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B8F3" w14:textId="0FB9DF0E" w:rsidR="00195452" w:rsidRDefault="008E70F4" w:rsidP="001C47F4">
      <w:pPr>
        <w:pStyle w:val="1-MainHeading"/>
        <w:rPr>
          <w:rFonts w:cstheme="minorHAnsi"/>
        </w:rPr>
      </w:pPr>
      <w:bookmarkStart w:id="0" w:name="_Toc219718638"/>
      <w:r w:rsidRPr="000160C3">
        <w:rPr>
          <w:rFonts w:cstheme="minorHAnsi"/>
        </w:rPr>
        <w:t>5.10</w:t>
      </w:r>
      <w:r w:rsidR="00163F66" w:rsidRPr="000160C3">
        <w:rPr>
          <w:rFonts w:cstheme="minorHAnsi"/>
        </w:rPr>
        <w:tab/>
      </w:r>
      <w:r w:rsidR="00D53D08" w:rsidRPr="000160C3">
        <w:rPr>
          <w:rFonts w:cstheme="minorHAnsi"/>
        </w:rPr>
        <w:t>T</w:t>
      </w:r>
      <w:r w:rsidR="00637995" w:rsidRPr="000160C3">
        <w:rPr>
          <w:rFonts w:cstheme="minorHAnsi"/>
        </w:rPr>
        <w:t>ECLISTAMAB</w:t>
      </w:r>
      <w:r w:rsidR="00163F66" w:rsidRPr="000160C3">
        <w:rPr>
          <w:rFonts w:cstheme="minorHAnsi"/>
        </w:rPr>
        <w:t>,</w:t>
      </w:r>
      <w:r w:rsidR="00163F66" w:rsidRPr="000160C3">
        <w:rPr>
          <w:rFonts w:cstheme="minorHAnsi"/>
        </w:rPr>
        <w:br/>
      </w:r>
      <w:r w:rsidRPr="000160C3">
        <w:rPr>
          <w:rFonts w:eastAsiaTheme="minorEastAsia" w:cstheme="minorHAnsi"/>
        </w:rPr>
        <w:t xml:space="preserve">Solution for </w:t>
      </w:r>
      <w:r w:rsidR="00C02202" w:rsidRPr="000160C3">
        <w:rPr>
          <w:rFonts w:eastAsiaTheme="minorEastAsia" w:cstheme="minorHAnsi"/>
        </w:rPr>
        <w:t xml:space="preserve">subcutaneous </w:t>
      </w:r>
      <w:r w:rsidRPr="000160C3">
        <w:rPr>
          <w:rFonts w:eastAsiaTheme="minorEastAsia" w:cstheme="minorHAnsi"/>
        </w:rPr>
        <w:t>injection</w:t>
      </w:r>
      <w:r w:rsidR="00C02202" w:rsidRPr="000160C3">
        <w:rPr>
          <w:rFonts w:eastAsiaTheme="minorEastAsia" w:cstheme="minorHAnsi"/>
        </w:rPr>
        <w:t>, 30 mg</w:t>
      </w:r>
      <w:r w:rsidRPr="000160C3">
        <w:rPr>
          <w:rFonts w:eastAsiaTheme="minorEastAsia" w:cstheme="minorHAnsi"/>
        </w:rPr>
        <w:t xml:space="preserve"> in 3 mL</w:t>
      </w:r>
      <w:r w:rsidR="00163F66" w:rsidRPr="000160C3">
        <w:rPr>
          <w:rFonts w:cstheme="minorHAnsi"/>
        </w:rPr>
        <w:t>,</w:t>
      </w:r>
      <w:r w:rsidR="00163F66" w:rsidRPr="000160C3">
        <w:rPr>
          <w:rFonts w:cstheme="minorHAnsi"/>
        </w:rPr>
        <w:br/>
      </w:r>
      <w:r w:rsidRPr="000160C3">
        <w:rPr>
          <w:rFonts w:eastAsiaTheme="minorEastAsia" w:cstheme="minorHAnsi"/>
        </w:rPr>
        <w:t xml:space="preserve">Solution for </w:t>
      </w:r>
      <w:r w:rsidR="00C02202" w:rsidRPr="000160C3">
        <w:rPr>
          <w:rFonts w:eastAsiaTheme="minorEastAsia" w:cstheme="minorHAnsi"/>
        </w:rPr>
        <w:t xml:space="preserve">subcutaneous </w:t>
      </w:r>
      <w:r w:rsidRPr="000160C3">
        <w:rPr>
          <w:rFonts w:eastAsiaTheme="minorEastAsia" w:cstheme="minorHAnsi"/>
        </w:rPr>
        <w:t>injection</w:t>
      </w:r>
      <w:r w:rsidR="00C02202" w:rsidRPr="000160C3">
        <w:rPr>
          <w:rFonts w:eastAsiaTheme="minorEastAsia" w:cstheme="minorHAnsi"/>
        </w:rPr>
        <w:t>, 153 mg</w:t>
      </w:r>
      <w:r w:rsidR="00637995" w:rsidRPr="000160C3">
        <w:rPr>
          <w:rFonts w:eastAsiaTheme="minorEastAsia" w:cstheme="minorHAnsi"/>
        </w:rPr>
        <w:t xml:space="preserve"> in 1.7 mL</w:t>
      </w:r>
      <w:r w:rsidR="00163F66" w:rsidRPr="000160C3">
        <w:rPr>
          <w:rFonts w:cstheme="minorHAnsi"/>
        </w:rPr>
        <w:t>,</w:t>
      </w:r>
      <w:r w:rsidR="00163F66" w:rsidRPr="000160C3">
        <w:rPr>
          <w:rFonts w:cstheme="minorHAnsi"/>
        </w:rPr>
        <w:br/>
      </w:r>
      <w:r w:rsidR="001C78FC" w:rsidRPr="000160C3">
        <w:rPr>
          <w:rFonts w:cstheme="minorHAnsi"/>
        </w:rPr>
        <w:t>Tec</w:t>
      </w:r>
      <w:r w:rsidR="006B09DE" w:rsidRPr="000160C3">
        <w:rPr>
          <w:rFonts w:cstheme="minorHAnsi"/>
        </w:rPr>
        <w:t>v</w:t>
      </w:r>
      <w:r w:rsidR="00937658" w:rsidRPr="000160C3">
        <w:rPr>
          <w:rFonts w:cstheme="minorHAnsi"/>
        </w:rPr>
        <w:t>ayli</w:t>
      </w:r>
      <w:r w:rsidR="00B60939" w:rsidRPr="000160C3">
        <w:rPr>
          <w:rFonts w:cstheme="minorHAnsi"/>
          <w:vertAlign w:val="superscript"/>
        </w:rPr>
        <w:t>®</w:t>
      </w:r>
      <w:r w:rsidR="004A6040" w:rsidRPr="000160C3">
        <w:rPr>
          <w:rFonts w:cstheme="minorHAnsi"/>
        </w:rPr>
        <w:t>,</w:t>
      </w:r>
      <w:r w:rsidR="004A6040" w:rsidRPr="000160C3">
        <w:rPr>
          <w:rFonts w:cstheme="minorHAnsi"/>
        </w:rPr>
        <w:br/>
      </w:r>
      <w:r w:rsidR="002353AE" w:rsidRPr="000160C3">
        <w:rPr>
          <w:rFonts w:cstheme="minorHAnsi"/>
        </w:rPr>
        <w:t>J</w:t>
      </w:r>
      <w:r w:rsidR="002353AE">
        <w:rPr>
          <w:rFonts w:cstheme="minorHAnsi"/>
        </w:rPr>
        <w:t>a</w:t>
      </w:r>
      <w:r w:rsidR="002353AE" w:rsidRPr="000160C3">
        <w:rPr>
          <w:rFonts w:cstheme="minorHAnsi"/>
        </w:rPr>
        <w:t>nssen Cilag Pty Ltd</w:t>
      </w:r>
      <w:bookmarkStart w:id="1" w:name="_Toc22897637"/>
      <w:bookmarkEnd w:id="0"/>
    </w:p>
    <w:p w14:paraId="11C00795" w14:textId="3DFB6D23" w:rsidR="00B50DB8" w:rsidRPr="000160C3" w:rsidRDefault="00B50DB8" w:rsidP="001C47F4">
      <w:pPr>
        <w:pStyle w:val="2-SectionHeading"/>
      </w:pPr>
      <w:bookmarkStart w:id="2" w:name="_Toc219718640"/>
      <w:bookmarkEnd w:id="1"/>
      <w:r w:rsidRPr="000160C3">
        <w:t xml:space="preserve">Purpose of </w:t>
      </w:r>
      <w:r w:rsidR="00CD7193" w:rsidRPr="000160C3">
        <w:t>s</w:t>
      </w:r>
      <w:r w:rsidR="00BB3A45" w:rsidRPr="000160C3">
        <w:t>ubmission</w:t>
      </w:r>
      <w:bookmarkEnd w:id="2"/>
    </w:p>
    <w:p w14:paraId="283E108D" w14:textId="47DB7225" w:rsidR="00521900" w:rsidRPr="000160C3" w:rsidRDefault="00521900" w:rsidP="001C47F4">
      <w:pPr>
        <w:pStyle w:val="3-BodyText"/>
      </w:pPr>
      <w:r w:rsidRPr="000160C3">
        <w:t xml:space="preserve">The Category </w:t>
      </w:r>
      <w:r w:rsidR="009F54C1" w:rsidRPr="000160C3">
        <w:t xml:space="preserve">2 </w:t>
      </w:r>
      <w:r w:rsidRPr="000160C3">
        <w:t xml:space="preserve">submission requested </w:t>
      </w:r>
      <w:r w:rsidR="004C4954" w:rsidRPr="000160C3">
        <w:t xml:space="preserve">an </w:t>
      </w:r>
      <w:r w:rsidRPr="000160C3">
        <w:t>Authority Required listing for teclistamab for the treatment of adult patients with relapse</w:t>
      </w:r>
      <w:r w:rsidR="00C42005" w:rsidRPr="000160C3">
        <w:t>d</w:t>
      </w:r>
      <w:r w:rsidRPr="000160C3">
        <w:t xml:space="preserve"> </w:t>
      </w:r>
      <w:r w:rsidR="00B5458F">
        <w:t xml:space="preserve">or </w:t>
      </w:r>
      <w:r w:rsidRPr="000160C3">
        <w:t>refractory multiple myeloma (RRMM) who have received at least 3 prior lines of therapy, including a proteasome inhibitor</w:t>
      </w:r>
      <w:r w:rsidR="004D740F" w:rsidRPr="000160C3">
        <w:t xml:space="preserve"> (PI)</w:t>
      </w:r>
      <w:r w:rsidRPr="000160C3">
        <w:t>, an immunomodulatory agent</w:t>
      </w:r>
      <w:r w:rsidR="004D740F" w:rsidRPr="000160C3">
        <w:t xml:space="preserve"> (</w:t>
      </w:r>
      <w:proofErr w:type="spellStart"/>
      <w:r w:rsidR="004D740F" w:rsidRPr="000160C3">
        <w:t>IMiD</w:t>
      </w:r>
      <w:proofErr w:type="spellEnd"/>
      <w:r w:rsidR="004D740F" w:rsidRPr="000160C3">
        <w:t>)</w:t>
      </w:r>
      <w:r w:rsidRPr="000160C3">
        <w:t xml:space="preserve"> and an anti</w:t>
      </w:r>
      <w:r w:rsidR="00EC1990">
        <w:noBreakHyphen/>
      </w:r>
      <w:r w:rsidRPr="000160C3">
        <w:t>CD38 monoclonal antibody.</w:t>
      </w:r>
      <w:r w:rsidRPr="000160C3">
        <w:rPr>
          <w:color w:val="0066FF"/>
        </w:rPr>
        <w:t xml:space="preserve"> </w:t>
      </w:r>
    </w:p>
    <w:p w14:paraId="59B2F353" w14:textId="2B1AADB9" w:rsidR="00521900" w:rsidRPr="000160C3" w:rsidRDefault="00521900" w:rsidP="001C47F4">
      <w:pPr>
        <w:pStyle w:val="3-BodyText"/>
      </w:pPr>
      <w:r w:rsidRPr="000160C3">
        <w:t xml:space="preserve">Listing was requested </w:t>
      </w:r>
      <w:proofErr w:type="gramStart"/>
      <w:r w:rsidRPr="000160C3">
        <w:t>on the basis of</w:t>
      </w:r>
      <w:proofErr w:type="gramEnd"/>
      <w:r w:rsidRPr="000160C3">
        <w:t xml:space="preserve"> a cost</w:t>
      </w:r>
      <w:r w:rsidR="00EC1990">
        <w:noBreakHyphen/>
      </w:r>
      <w:r w:rsidRPr="000160C3">
        <w:t>minimisation approach</w:t>
      </w:r>
      <w:r w:rsidR="008B75FE" w:rsidRPr="000160C3">
        <w:t xml:space="preserve"> (CMA)</w:t>
      </w:r>
      <w:r w:rsidRPr="000160C3">
        <w:t xml:space="preserve"> versus elranatamab. The key components of the clinical issues addressed by this submission are outlined in </w:t>
      </w:r>
      <w:r w:rsidRPr="000160C3">
        <w:rPr>
          <w:rFonts w:cstheme="minorHAnsi"/>
        </w:rPr>
        <w:fldChar w:fldCharType="begin"/>
      </w:r>
      <w:r w:rsidRPr="000160C3">
        <w:rPr>
          <w:rFonts w:cstheme="minorHAnsi"/>
        </w:rPr>
        <w:instrText xml:space="preserve"> REF _Ref215479821 \h </w:instrText>
      </w:r>
      <w:r w:rsidR="00DC7673" w:rsidRPr="000160C3">
        <w:rPr>
          <w:rFonts w:cstheme="minorHAnsi"/>
        </w:rPr>
        <w:instrText xml:space="preserve"> \* MERGEFORMAT </w:instrText>
      </w:r>
      <w:r w:rsidRPr="000160C3">
        <w:rPr>
          <w:rFonts w:cstheme="minorHAnsi"/>
        </w:rPr>
      </w:r>
      <w:r w:rsidRPr="000160C3">
        <w:rPr>
          <w:rFonts w:cstheme="minorHAnsi"/>
        </w:rPr>
        <w:fldChar w:fldCharType="separate"/>
      </w:r>
      <w:r w:rsidR="001C47F4" w:rsidRPr="001C47F4">
        <w:rPr>
          <w:rFonts w:cstheme="minorHAnsi"/>
        </w:rPr>
        <w:t>Table 1</w:t>
      </w:r>
      <w:r w:rsidRPr="000160C3">
        <w:rPr>
          <w:rFonts w:cstheme="minorHAnsi"/>
        </w:rPr>
        <w:fldChar w:fldCharType="end"/>
      </w:r>
      <w:r w:rsidRPr="000160C3">
        <w:t>.</w:t>
      </w:r>
    </w:p>
    <w:p w14:paraId="412D8EE5" w14:textId="21EA54D5" w:rsidR="00521900" w:rsidRPr="000160C3" w:rsidRDefault="00521900" w:rsidP="001C47F4">
      <w:pPr>
        <w:pStyle w:val="TableFigureHeading"/>
        <w:rPr>
          <w:rStyle w:val="CommentReference"/>
          <w:b/>
          <w:szCs w:val="24"/>
        </w:rPr>
      </w:pPr>
      <w:bookmarkStart w:id="3" w:name="_Ref215479821"/>
      <w:r w:rsidRPr="000160C3">
        <w:t xml:space="preserve">Table </w:t>
      </w:r>
      <w:r>
        <w:fldChar w:fldCharType="begin"/>
      </w:r>
      <w:r>
        <w:instrText>SEQ Table \* ARABIC</w:instrText>
      </w:r>
      <w:r>
        <w:fldChar w:fldCharType="separate"/>
      </w:r>
      <w:r w:rsidR="001C47F4">
        <w:rPr>
          <w:noProof/>
        </w:rPr>
        <w:t>1</w:t>
      </w:r>
      <w:r>
        <w:fldChar w:fldCharType="end"/>
      </w:r>
      <w:bookmarkEnd w:id="3"/>
      <w:r w:rsidRPr="000160C3">
        <w:t>:</w:t>
      </w:r>
      <w:r w:rsidRPr="000160C3">
        <w:rPr>
          <w:rStyle w:val="CommentReference"/>
          <w:b/>
          <w:szCs w:val="24"/>
        </w:rPr>
        <w:t xml:space="preserve"> Key components of the clinical issue addressed by the submission (as stated in the submission)</w:t>
      </w:r>
    </w:p>
    <w:tbl>
      <w:tblPr>
        <w:tblStyle w:val="TableGrid"/>
        <w:tblW w:w="5057" w:type="pct"/>
        <w:tblLook w:val="04A0" w:firstRow="1" w:lastRow="0" w:firstColumn="1" w:lastColumn="0" w:noHBand="0" w:noVBand="1"/>
        <w:tblCaption w:val="Table 1: Key components of the clinical issue addressed by the submission (as stated in the submission)"/>
      </w:tblPr>
      <w:tblGrid>
        <w:gridCol w:w="1155"/>
        <w:gridCol w:w="8010"/>
      </w:tblGrid>
      <w:tr w:rsidR="00521900" w:rsidRPr="000160C3" w14:paraId="4258BAE2" w14:textId="77777777" w:rsidTr="00404D38">
        <w:trPr>
          <w:trHeight w:val="123"/>
        </w:trPr>
        <w:tc>
          <w:tcPr>
            <w:tcW w:w="539" w:type="pct"/>
          </w:tcPr>
          <w:p w14:paraId="0BCFB592" w14:textId="0BA70902" w:rsidR="00521900" w:rsidRPr="000160C3" w:rsidRDefault="00521900" w:rsidP="001C47F4">
            <w:pPr>
              <w:pStyle w:val="In-tableHeading"/>
              <w:rPr>
                <w:snapToGrid w:val="0"/>
              </w:rPr>
            </w:pPr>
            <w:r w:rsidRPr="000160C3">
              <w:rPr>
                <w:snapToGrid w:val="0"/>
              </w:rPr>
              <w:t>Component</w:t>
            </w:r>
          </w:p>
        </w:tc>
        <w:tc>
          <w:tcPr>
            <w:tcW w:w="4461" w:type="pct"/>
          </w:tcPr>
          <w:p w14:paraId="3A75555E" w14:textId="77777777" w:rsidR="00521900" w:rsidRPr="000160C3" w:rsidRDefault="00521900" w:rsidP="001C47F4">
            <w:pPr>
              <w:pStyle w:val="In-tableHeading"/>
              <w:rPr>
                <w:snapToGrid w:val="0"/>
              </w:rPr>
            </w:pPr>
            <w:r w:rsidRPr="000160C3">
              <w:rPr>
                <w:snapToGrid w:val="0"/>
              </w:rPr>
              <w:t>Description</w:t>
            </w:r>
          </w:p>
        </w:tc>
      </w:tr>
      <w:tr w:rsidR="00445116" w:rsidRPr="000160C3" w14:paraId="15FF4300" w14:textId="77777777" w:rsidTr="00404D38">
        <w:trPr>
          <w:trHeight w:val="406"/>
        </w:trPr>
        <w:tc>
          <w:tcPr>
            <w:tcW w:w="539" w:type="pct"/>
            <w:vAlign w:val="center"/>
          </w:tcPr>
          <w:p w14:paraId="46AC3C0F" w14:textId="7709A2D5" w:rsidR="00445116" w:rsidRPr="000160C3" w:rsidRDefault="00445116" w:rsidP="001C47F4">
            <w:pPr>
              <w:pStyle w:val="In-tableHeading"/>
              <w:rPr>
                <w:snapToGrid w:val="0"/>
              </w:rPr>
            </w:pPr>
            <w:r w:rsidRPr="000160C3">
              <w:rPr>
                <w:snapToGrid w:val="0"/>
              </w:rPr>
              <w:t>Population</w:t>
            </w:r>
          </w:p>
        </w:tc>
        <w:tc>
          <w:tcPr>
            <w:tcW w:w="4461" w:type="pct"/>
            <w:vAlign w:val="center"/>
          </w:tcPr>
          <w:p w14:paraId="5888DFD1" w14:textId="1857BBEB" w:rsidR="00445116" w:rsidRPr="000160C3" w:rsidRDefault="00445116" w:rsidP="001C47F4">
            <w:pPr>
              <w:pStyle w:val="TableText0"/>
              <w:rPr>
                <w:snapToGrid w:val="0"/>
              </w:rPr>
            </w:pPr>
            <w:r w:rsidRPr="000160C3">
              <w:rPr>
                <w:snapToGrid w:val="0"/>
              </w:rPr>
              <w:t>Patients with RRMM who have received at least 3 prior lines of therapy, including a PI, an immunomodulatory agent, and a</w:t>
            </w:r>
            <w:r w:rsidR="00AE44F3" w:rsidRPr="000160C3">
              <w:rPr>
                <w:snapToGrid w:val="0"/>
              </w:rPr>
              <w:t>n anti</w:t>
            </w:r>
            <w:r w:rsidR="00EC1990">
              <w:rPr>
                <w:snapToGrid w:val="0"/>
              </w:rPr>
              <w:noBreakHyphen/>
            </w:r>
            <w:r w:rsidRPr="000160C3">
              <w:rPr>
                <w:snapToGrid w:val="0"/>
              </w:rPr>
              <w:t>CD38 monoclonal antibody. Patient</w:t>
            </w:r>
            <w:r w:rsidR="009E2987" w:rsidRPr="000160C3">
              <w:rPr>
                <w:snapToGrid w:val="0"/>
              </w:rPr>
              <w:t>s</w:t>
            </w:r>
            <w:r w:rsidRPr="000160C3">
              <w:rPr>
                <w:snapToGrid w:val="0"/>
              </w:rPr>
              <w:t xml:space="preserve"> must not have previously received treatment with another BCMA directed therapy for this condition.</w:t>
            </w:r>
          </w:p>
        </w:tc>
      </w:tr>
      <w:tr w:rsidR="00445116" w:rsidRPr="000160C3" w14:paraId="58D195B8" w14:textId="77777777" w:rsidTr="00404D38">
        <w:trPr>
          <w:trHeight w:val="406"/>
        </w:trPr>
        <w:tc>
          <w:tcPr>
            <w:tcW w:w="539" w:type="pct"/>
            <w:vAlign w:val="center"/>
          </w:tcPr>
          <w:p w14:paraId="3484E619" w14:textId="16B75459" w:rsidR="00445116" w:rsidRPr="000160C3" w:rsidRDefault="00445116" w:rsidP="001C47F4">
            <w:pPr>
              <w:pStyle w:val="In-tableHeading"/>
              <w:rPr>
                <w:snapToGrid w:val="0"/>
              </w:rPr>
            </w:pPr>
            <w:r w:rsidRPr="000160C3">
              <w:rPr>
                <w:snapToGrid w:val="0"/>
              </w:rPr>
              <w:t>Intervention</w:t>
            </w:r>
          </w:p>
        </w:tc>
        <w:tc>
          <w:tcPr>
            <w:tcW w:w="4461" w:type="pct"/>
            <w:vAlign w:val="center"/>
          </w:tcPr>
          <w:p w14:paraId="697C18D5" w14:textId="0005A2B7" w:rsidR="00445116" w:rsidRPr="000160C3" w:rsidRDefault="00445116" w:rsidP="001C47F4">
            <w:pPr>
              <w:pStyle w:val="TableText0"/>
              <w:rPr>
                <w:snapToGrid w:val="0"/>
              </w:rPr>
            </w:pPr>
            <w:r w:rsidRPr="000160C3">
              <w:rPr>
                <w:snapToGrid w:val="0"/>
              </w:rPr>
              <w:t>Teclistamab is administered by subcutaneous injection, with step</w:t>
            </w:r>
            <w:r w:rsidR="00EC1990">
              <w:rPr>
                <w:snapToGrid w:val="0"/>
              </w:rPr>
              <w:noBreakHyphen/>
            </w:r>
            <w:r w:rsidRPr="000160C3">
              <w:rPr>
                <w:snapToGrid w:val="0"/>
              </w:rPr>
              <w:t>up doses of 0.06 mg/kg and 0.3 mg/kg followed by 1.5 mg/kg once weekly. Patients who have a CR or better for a minimum of 6 months are eligible for a reduced dosing frequency of 1.5 mg/kg every two weeks until disease progression or unacceptable toxicity.</w:t>
            </w:r>
          </w:p>
        </w:tc>
      </w:tr>
      <w:tr w:rsidR="00445116" w:rsidRPr="000160C3" w14:paraId="5A949D61" w14:textId="77777777" w:rsidTr="00404D38">
        <w:trPr>
          <w:trHeight w:val="406"/>
        </w:trPr>
        <w:tc>
          <w:tcPr>
            <w:tcW w:w="539" w:type="pct"/>
            <w:vAlign w:val="center"/>
          </w:tcPr>
          <w:p w14:paraId="36D14516" w14:textId="2B9E735D" w:rsidR="00445116" w:rsidRPr="000160C3" w:rsidRDefault="00445116" w:rsidP="001C47F4">
            <w:pPr>
              <w:pStyle w:val="In-tableHeading"/>
              <w:rPr>
                <w:snapToGrid w:val="0"/>
              </w:rPr>
            </w:pPr>
            <w:r w:rsidRPr="000160C3">
              <w:rPr>
                <w:snapToGrid w:val="0"/>
              </w:rPr>
              <w:t>Comparator</w:t>
            </w:r>
          </w:p>
        </w:tc>
        <w:tc>
          <w:tcPr>
            <w:tcW w:w="4461" w:type="pct"/>
            <w:vAlign w:val="center"/>
          </w:tcPr>
          <w:p w14:paraId="1554357C" w14:textId="7699125E" w:rsidR="00445116" w:rsidRPr="000160C3" w:rsidRDefault="00445116" w:rsidP="001C47F4">
            <w:pPr>
              <w:pStyle w:val="TableText0"/>
              <w:rPr>
                <w:snapToGrid w:val="0"/>
              </w:rPr>
            </w:pPr>
            <w:r w:rsidRPr="000160C3">
              <w:rPr>
                <w:snapToGrid w:val="0"/>
              </w:rPr>
              <w:t>Elranatamab administered by subcutaneous injection, with step</w:t>
            </w:r>
            <w:r w:rsidR="00EC1990">
              <w:rPr>
                <w:snapToGrid w:val="0"/>
              </w:rPr>
              <w:noBreakHyphen/>
            </w:r>
            <w:r w:rsidRPr="000160C3">
              <w:rPr>
                <w:snapToGrid w:val="0"/>
              </w:rPr>
              <w:t>up doses of 12 mg on Day 1 and 32 mg on Day 4, followed by the full treatment dose of 76 mg once a week from Week 2 to Week 24. Patients who have achieved and maintained a response are recommended to transition to 76 mg every two weeks from Week 24 with a further dose frequency reduction to 76 mg every 4 weeks if maintaining a response after at least 24 weeks of treatment with 76 mg every 2 weeks. Treatment with elranatamab should be continued until disease progression or unacceptable toxicity.</w:t>
            </w:r>
          </w:p>
        </w:tc>
      </w:tr>
      <w:tr w:rsidR="00445116" w:rsidRPr="000160C3" w14:paraId="09D351CF" w14:textId="77777777" w:rsidTr="00404D38">
        <w:trPr>
          <w:trHeight w:val="406"/>
        </w:trPr>
        <w:tc>
          <w:tcPr>
            <w:tcW w:w="539" w:type="pct"/>
            <w:vAlign w:val="center"/>
          </w:tcPr>
          <w:p w14:paraId="0E84EA8A" w14:textId="7461432A" w:rsidR="00445116" w:rsidRPr="000160C3" w:rsidRDefault="00445116" w:rsidP="001C47F4">
            <w:pPr>
              <w:pStyle w:val="In-tableHeading"/>
              <w:rPr>
                <w:snapToGrid w:val="0"/>
              </w:rPr>
            </w:pPr>
            <w:r w:rsidRPr="000160C3">
              <w:rPr>
                <w:snapToGrid w:val="0"/>
              </w:rPr>
              <w:t>Outcomes</w:t>
            </w:r>
          </w:p>
        </w:tc>
        <w:tc>
          <w:tcPr>
            <w:tcW w:w="4461" w:type="pct"/>
            <w:vAlign w:val="center"/>
          </w:tcPr>
          <w:p w14:paraId="1C26713F" w14:textId="05080CF8" w:rsidR="00445116" w:rsidRPr="000160C3" w:rsidRDefault="00445116" w:rsidP="001C47F4">
            <w:pPr>
              <w:pStyle w:val="TableText0"/>
              <w:rPr>
                <w:snapToGrid w:val="0"/>
              </w:rPr>
            </w:pPr>
            <w:r w:rsidRPr="000160C3">
              <w:rPr>
                <w:snapToGrid w:val="0"/>
              </w:rPr>
              <w:t>PFS, OS, ORR, CRR, MRD negativity, depth of response, duration of response, time to response, time to subsequent therapy, adverse events, and health</w:t>
            </w:r>
            <w:r w:rsidR="00EC1990">
              <w:rPr>
                <w:snapToGrid w:val="0"/>
              </w:rPr>
              <w:noBreakHyphen/>
            </w:r>
            <w:r w:rsidRPr="000160C3">
              <w:rPr>
                <w:snapToGrid w:val="0"/>
              </w:rPr>
              <w:t xml:space="preserve">related quality of life. </w:t>
            </w:r>
          </w:p>
        </w:tc>
      </w:tr>
      <w:tr w:rsidR="00445116" w:rsidRPr="000160C3" w14:paraId="71BFEF46" w14:textId="77777777" w:rsidTr="00404D38">
        <w:trPr>
          <w:trHeight w:val="406"/>
        </w:trPr>
        <w:tc>
          <w:tcPr>
            <w:tcW w:w="539" w:type="pct"/>
            <w:vAlign w:val="center"/>
          </w:tcPr>
          <w:p w14:paraId="10272BDC" w14:textId="7ABE131C" w:rsidR="00445116" w:rsidRPr="000160C3" w:rsidRDefault="00445116" w:rsidP="001C47F4">
            <w:pPr>
              <w:pStyle w:val="In-tableHeading"/>
              <w:rPr>
                <w:snapToGrid w:val="0"/>
              </w:rPr>
            </w:pPr>
            <w:r w:rsidRPr="000160C3">
              <w:rPr>
                <w:snapToGrid w:val="0"/>
              </w:rPr>
              <w:t>Clinical claim</w:t>
            </w:r>
          </w:p>
        </w:tc>
        <w:tc>
          <w:tcPr>
            <w:tcW w:w="4461" w:type="pct"/>
            <w:vAlign w:val="center"/>
          </w:tcPr>
          <w:p w14:paraId="68F0170D" w14:textId="387B2766" w:rsidR="00445116" w:rsidRPr="000160C3" w:rsidRDefault="00445116" w:rsidP="001C47F4">
            <w:pPr>
              <w:pStyle w:val="TableText0"/>
              <w:rPr>
                <w:snapToGrid w:val="0"/>
              </w:rPr>
            </w:pPr>
            <w:r w:rsidRPr="000160C3">
              <w:rPr>
                <w:snapToGrid w:val="0"/>
              </w:rPr>
              <w:t>Teclistamab is non</w:t>
            </w:r>
            <w:r w:rsidR="00EC1990">
              <w:rPr>
                <w:snapToGrid w:val="0"/>
              </w:rPr>
              <w:noBreakHyphen/>
            </w:r>
            <w:r w:rsidRPr="000160C3">
              <w:rPr>
                <w:snapToGrid w:val="0"/>
              </w:rPr>
              <w:t>inferior in terms of efficacy compared to elranatamab.</w:t>
            </w:r>
          </w:p>
          <w:p w14:paraId="49CA5231" w14:textId="5DB12D8E" w:rsidR="00445116" w:rsidRPr="000160C3" w:rsidRDefault="00445116" w:rsidP="001C47F4">
            <w:pPr>
              <w:pStyle w:val="TableText0"/>
              <w:rPr>
                <w:snapToGrid w:val="0"/>
              </w:rPr>
            </w:pPr>
            <w:r w:rsidRPr="000160C3">
              <w:rPr>
                <w:snapToGrid w:val="0"/>
              </w:rPr>
              <w:t>Teclistamab has a similar safety profile compared with elranatamab.</w:t>
            </w:r>
          </w:p>
        </w:tc>
      </w:tr>
    </w:tbl>
    <w:p w14:paraId="5081C627" w14:textId="77777777" w:rsidR="00521900" w:rsidRPr="000160C3" w:rsidRDefault="00521900" w:rsidP="001C47F4">
      <w:pPr>
        <w:pStyle w:val="FooterTableFigure"/>
      </w:pPr>
      <w:r w:rsidRPr="000160C3">
        <w:t>Source: Table 1.1, p17 of the submission.</w:t>
      </w:r>
    </w:p>
    <w:p w14:paraId="1D9B99A4" w14:textId="4E24713D" w:rsidR="00521900" w:rsidRPr="000160C3" w:rsidRDefault="00521900" w:rsidP="001C47F4">
      <w:pPr>
        <w:pStyle w:val="FooterTableFigure"/>
      </w:pPr>
      <w:r w:rsidRPr="000160C3">
        <w:t>Abbreviations: BCMA = b</w:t>
      </w:r>
      <w:r w:rsidR="00EC1990">
        <w:noBreakHyphen/>
      </w:r>
      <w:r w:rsidRPr="000160C3">
        <w:t>cell maturation antigen; CR = complete response; CRR = complete response rate; MRD = minimal residual disease; ORR = overall response rate; OS = overall survival; PFS = progression</w:t>
      </w:r>
      <w:r w:rsidR="00EC1990">
        <w:noBreakHyphen/>
      </w:r>
      <w:r w:rsidRPr="000160C3">
        <w:t>free survival; PI = proteasome inhibitor; RRMM = relapsed or refractory multiple myeloma.</w:t>
      </w:r>
    </w:p>
    <w:p w14:paraId="7561E963" w14:textId="77777777" w:rsidR="00521900" w:rsidRPr="000160C3" w:rsidRDefault="00521900" w:rsidP="001C47F4">
      <w:pPr>
        <w:pStyle w:val="2-SectionHeading"/>
      </w:pPr>
      <w:bookmarkStart w:id="4" w:name="_Toc219718641"/>
      <w:r w:rsidRPr="000160C3">
        <w:t>Background</w:t>
      </w:r>
      <w:bookmarkEnd w:id="4"/>
    </w:p>
    <w:p w14:paraId="48437FBD" w14:textId="77777777" w:rsidR="00521900" w:rsidRPr="000160C3" w:rsidRDefault="00521900" w:rsidP="001C47F4">
      <w:pPr>
        <w:pStyle w:val="4-SubsectionHeading"/>
      </w:pPr>
      <w:bookmarkStart w:id="5" w:name="_Toc22897638"/>
      <w:bookmarkStart w:id="6" w:name="_Toc219718642"/>
      <w:r w:rsidRPr="000160C3">
        <w:t>Registration status</w:t>
      </w:r>
      <w:bookmarkEnd w:id="5"/>
      <w:bookmarkEnd w:id="6"/>
    </w:p>
    <w:p w14:paraId="218FBBA0" w14:textId="58B06F6E" w:rsidR="00BE3F19" w:rsidRPr="000160C3" w:rsidRDefault="00521900" w:rsidP="001C47F4">
      <w:pPr>
        <w:pStyle w:val="3-BodyText"/>
      </w:pPr>
      <w:r w:rsidRPr="000160C3">
        <w:t>Teclistamab was provisional</w:t>
      </w:r>
      <w:r w:rsidR="00566472" w:rsidRPr="000160C3">
        <w:t>ly</w:t>
      </w:r>
      <w:r w:rsidRPr="000160C3">
        <w:t xml:space="preserve"> approved by </w:t>
      </w:r>
      <w:r w:rsidR="00566472" w:rsidRPr="000160C3">
        <w:t xml:space="preserve">the </w:t>
      </w:r>
      <w:r w:rsidR="008C640B" w:rsidRPr="000160C3">
        <w:t>Therapeutic Goods Administration (</w:t>
      </w:r>
      <w:r w:rsidRPr="000160C3">
        <w:t>TGA</w:t>
      </w:r>
      <w:r w:rsidR="008C640B" w:rsidRPr="000160C3">
        <w:t>)</w:t>
      </w:r>
      <w:r w:rsidRPr="000160C3">
        <w:t xml:space="preserve"> in June 2023 for the treatment of adult patients with </w:t>
      </w:r>
      <w:r w:rsidR="00575297">
        <w:t xml:space="preserve">relapsed or </w:t>
      </w:r>
      <w:r w:rsidR="0072684C" w:rsidRPr="000160C3">
        <w:t xml:space="preserve">refractory multiple myeloma (RRMM) </w:t>
      </w:r>
      <w:r w:rsidRPr="000160C3">
        <w:t>who have received at least 3 prior therapies, including a proteasome inhibitor</w:t>
      </w:r>
      <w:r w:rsidR="0072684C" w:rsidRPr="000160C3">
        <w:t xml:space="preserve"> (PI)</w:t>
      </w:r>
      <w:r w:rsidRPr="000160C3">
        <w:t xml:space="preserve">, an immunomodulatory agent </w:t>
      </w:r>
      <w:r w:rsidR="0072684C" w:rsidRPr="000160C3">
        <w:t>(</w:t>
      </w:r>
      <w:proofErr w:type="spellStart"/>
      <w:r w:rsidR="0072684C" w:rsidRPr="000160C3">
        <w:t>IMiD</w:t>
      </w:r>
      <w:proofErr w:type="spellEnd"/>
      <w:r w:rsidR="0072684C" w:rsidRPr="000160C3">
        <w:t xml:space="preserve">) </w:t>
      </w:r>
      <w:r w:rsidRPr="000160C3">
        <w:t>and an anti</w:t>
      </w:r>
      <w:r w:rsidR="00EC1990">
        <w:noBreakHyphen/>
      </w:r>
      <w:r w:rsidRPr="000160C3">
        <w:t xml:space="preserve">CD38 </w:t>
      </w:r>
      <w:r w:rsidRPr="000160C3">
        <w:lastRenderedPageBreak/>
        <w:t>monoclonal antibody</w:t>
      </w:r>
      <w:r w:rsidR="000821C2" w:rsidRPr="000160C3">
        <w:t xml:space="preserve"> </w:t>
      </w:r>
      <w:proofErr w:type="gramStart"/>
      <w:r w:rsidR="000821C2" w:rsidRPr="000160C3">
        <w:t>on the basis of</w:t>
      </w:r>
      <w:proofErr w:type="gramEnd"/>
      <w:r w:rsidR="000821C2" w:rsidRPr="000160C3">
        <w:t xml:space="preserve"> the overall response rate in the MajesTEC</w:t>
      </w:r>
      <w:r w:rsidR="00EC1990">
        <w:noBreakHyphen/>
      </w:r>
      <w:r w:rsidR="000821C2" w:rsidRPr="000160C3">
        <w:t>1 single arm study</w:t>
      </w:r>
      <w:r w:rsidRPr="000160C3">
        <w:t xml:space="preserve">. </w:t>
      </w:r>
    </w:p>
    <w:p w14:paraId="16E53E50" w14:textId="6D86E88E" w:rsidR="006079D7" w:rsidRPr="000160C3" w:rsidRDefault="00DA2053" w:rsidP="001C47F4">
      <w:pPr>
        <w:pStyle w:val="3-BodyText"/>
      </w:pPr>
      <w:r w:rsidRPr="000160C3">
        <w:t xml:space="preserve">Elranatamab has provisional </w:t>
      </w:r>
      <w:r w:rsidR="008468D3" w:rsidRPr="000160C3">
        <w:t xml:space="preserve">TGA </w:t>
      </w:r>
      <w:r w:rsidRPr="000160C3">
        <w:t xml:space="preserve">approval </w:t>
      </w:r>
      <w:r w:rsidR="00CF4100" w:rsidRPr="000160C3">
        <w:t>for the same indication</w:t>
      </w:r>
      <w:r w:rsidRPr="000160C3">
        <w:t xml:space="preserve">. </w:t>
      </w:r>
    </w:p>
    <w:p w14:paraId="2333A014" w14:textId="77777777" w:rsidR="006079D7" w:rsidRPr="000160C3" w:rsidRDefault="006079D7" w:rsidP="001C47F4">
      <w:pPr>
        <w:pStyle w:val="4-SubsectionHeading"/>
      </w:pPr>
      <w:bookmarkStart w:id="7" w:name="_Toc219718643"/>
      <w:r w:rsidRPr="000160C3">
        <w:t>Previous PBAC consideration</w:t>
      </w:r>
      <w:bookmarkEnd w:id="7"/>
    </w:p>
    <w:p w14:paraId="2A4130A9" w14:textId="64B48E92" w:rsidR="0088490D" w:rsidRDefault="00DA2053" w:rsidP="001C47F4">
      <w:pPr>
        <w:pStyle w:val="3-BodyText"/>
      </w:pPr>
      <w:bookmarkStart w:id="8" w:name="_Ref221179172"/>
      <w:r w:rsidRPr="000160C3">
        <w:t>In March 2025, the PBAC recommended elranatamab for</w:t>
      </w:r>
      <w:r w:rsidR="007E31FA" w:rsidRPr="000160C3">
        <w:t xml:space="preserve"> PBS listing </w:t>
      </w:r>
      <w:r w:rsidRPr="000160C3">
        <w:t>for the same patient population as that proposed in the submission</w:t>
      </w:r>
      <w:r w:rsidR="006E0C48" w:rsidRPr="000160C3">
        <w:t>.</w:t>
      </w:r>
      <w:r w:rsidR="00F21248" w:rsidRPr="000160C3">
        <w:rPr>
          <w:rStyle w:val="FootnoteReference"/>
        </w:rPr>
        <w:footnoteReference w:id="2"/>
      </w:r>
      <w:r w:rsidR="0019628F" w:rsidRPr="000160C3">
        <w:t xml:space="preserve"> </w:t>
      </w:r>
      <w:r w:rsidR="007A2804" w:rsidRPr="00FB5BFC">
        <w:t xml:space="preserve">According to the Medicines Status Website, at the time of </w:t>
      </w:r>
      <w:r w:rsidR="005638C1">
        <w:t>PBAC</w:t>
      </w:r>
      <w:r w:rsidR="005638C1" w:rsidRPr="00FB5BFC">
        <w:t xml:space="preserve"> </w:t>
      </w:r>
      <w:r w:rsidR="007A2804" w:rsidRPr="00FB5BFC">
        <w:t xml:space="preserve">consideration, </w:t>
      </w:r>
      <w:r w:rsidR="002F7D3E" w:rsidRPr="00FB5BFC">
        <w:t>the sponsor for elranatamab had agreed to listing arrangements and Government processes had commenced.</w:t>
      </w:r>
      <w:bookmarkEnd w:id="8"/>
      <w:r w:rsidR="002F7D3E" w:rsidRPr="00FB5BFC">
        <w:t xml:space="preserve"> </w:t>
      </w:r>
    </w:p>
    <w:p w14:paraId="43D3C931" w14:textId="2916DC7D" w:rsidR="00C916F8" w:rsidRPr="00C916F8" w:rsidRDefault="00C916F8" w:rsidP="001C47F4">
      <w:pPr>
        <w:pStyle w:val="3-BodyText"/>
        <w:numPr>
          <w:ilvl w:val="0"/>
          <w:numId w:val="0"/>
        </w:numPr>
        <w:ind w:left="720"/>
        <w:rPr>
          <w:i/>
          <w:iCs/>
        </w:rPr>
      </w:pPr>
      <w:r w:rsidRPr="00C916F8">
        <w:rPr>
          <w:i/>
          <w:iCs/>
        </w:rPr>
        <w:t>For more detail on PBAC’s view, see section 7 PBAC outcome.</w:t>
      </w:r>
    </w:p>
    <w:p w14:paraId="679B3BF7" w14:textId="77777777" w:rsidR="00521900" w:rsidRDefault="00521900" w:rsidP="001C47F4">
      <w:pPr>
        <w:pStyle w:val="2-SectionHeading"/>
        <w:keepLines/>
      </w:pPr>
      <w:bookmarkStart w:id="9" w:name="_Toc107902078"/>
      <w:bookmarkStart w:id="10" w:name="_Toc219718644"/>
      <w:bookmarkEnd w:id="9"/>
      <w:r w:rsidRPr="000160C3">
        <w:t>Requested listing</w:t>
      </w:r>
      <w:bookmarkEnd w:id="10"/>
    </w:p>
    <w:p w14:paraId="6B2D1F59" w14:textId="3C6D416E" w:rsidR="005638C1" w:rsidRPr="005638C1" w:rsidRDefault="009F338B" w:rsidP="001C47F4">
      <w:pPr>
        <w:pStyle w:val="3-BodyText"/>
      </w:pPr>
      <w:r>
        <w:t>The requested restriction is presented below. Secretariat suggested additions are in italics and deletions in strikethrough.</w:t>
      </w:r>
    </w:p>
    <w:p w14:paraId="6E89F086" w14:textId="77777777" w:rsidR="00D75787" w:rsidRPr="000160C3" w:rsidRDefault="00D75787" w:rsidP="001C47F4">
      <w:pPr>
        <w:rPr>
          <w:b/>
          <w:bCs/>
          <w:i/>
        </w:rPr>
      </w:pPr>
      <w:bookmarkStart w:id="11" w:name="_Hlk104809082"/>
      <w:r w:rsidRPr="000160C3">
        <w:rPr>
          <w:b/>
          <w:bCs/>
        </w:rPr>
        <w:t>Initial/induction doses: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quested listing - Initial treatment"/>
      </w:tblPr>
      <w:tblGrid>
        <w:gridCol w:w="3683"/>
        <w:gridCol w:w="1066"/>
        <w:gridCol w:w="888"/>
        <w:gridCol w:w="1026"/>
        <w:gridCol w:w="894"/>
        <w:gridCol w:w="1657"/>
      </w:tblGrid>
      <w:tr w:rsidR="00D75787" w:rsidRPr="000160C3" w14:paraId="78BD1513" w14:textId="77777777" w:rsidTr="005638C1">
        <w:tc>
          <w:tcPr>
            <w:tcW w:w="3683" w:type="dxa"/>
            <w:tcBorders>
              <w:top w:val="single" w:sz="4" w:space="0" w:color="auto"/>
              <w:left w:val="single" w:sz="4" w:space="0" w:color="auto"/>
              <w:bottom w:val="single" w:sz="4" w:space="0" w:color="auto"/>
              <w:right w:val="single" w:sz="4" w:space="0" w:color="auto"/>
            </w:tcBorders>
            <w:vAlign w:val="center"/>
            <w:hideMark/>
          </w:tcPr>
          <w:p w14:paraId="55A9F564" w14:textId="77777777" w:rsidR="00D75787" w:rsidRPr="000160C3" w:rsidRDefault="00D75787" w:rsidP="001C47F4">
            <w:pPr>
              <w:rPr>
                <w:rFonts w:ascii="Arial Narrow" w:hAnsi="Arial Narrow" w:cs="Arial"/>
                <w:b/>
                <w:bCs/>
                <w:sz w:val="20"/>
                <w:szCs w:val="20"/>
                <w:lang w:eastAsia="en-AU"/>
              </w:rPr>
            </w:pPr>
            <w:r w:rsidRPr="000160C3">
              <w:rPr>
                <w:rFonts w:ascii="Arial Narrow" w:hAnsi="Arial Narrow" w:cs="Arial"/>
                <w:b/>
                <w:bCs/>
                <w:sz w:val="20"/>
                <w:szCs w:val="20"/>
                <w:lang w:eastAsia="en-AU"/>
              </w:rPr>
              <w:t>MEDICINAL PRODUCT</w:t>
            </w:r>
          </w:p>
          <w:p w14:paraId="7437EE51" w14:textId="77777777" w:rsidR="00D75787" w:rsidRPr="000160C3" w:rsidRDefault="00D75787" w:rsidP="001C47F4">
            <w:pPr>
              <w:rPr>
                <w:rFonts w:ascii="Arial Narrow" w:hAnsi="Arial Narrow" w:cs="Arial"/>
                <w:b/>
                <w:sz w:val="20"/>
                <w:szCs w:val="20"/>
                <w:lang w:eastAsia="en-AU"/>
              </w:rPr>
            </w:pPr>
            <w:r w:rsidRPr="000160C3">
              <w:rPr>
                <w:rFonts w:ascii="Arial Narrow" w:hAnsi="Arial Narrow" w:cs="Arial"/>
                <w:b/>
                <w:bCs/>
                <w:sz w:val="20"/>
                <w:szCs w:val="20"/>
                <w:lang w:eastAsia="en-AU"/>
              </w:rPr>
              <w:t>medicinal product pack</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0BE9655" w14:textId="77777777" w:rsidR="00D75787" w:rsidRPr="000160C3" w:rsidRDefault="00D75787" w:rsidP="001C47F4">
            <w:pPr>
              <w:jc w:val="center"/>
              <w:rPr>
                <w:rFonts w:ascii="Arial Narrow" w:hAnsi="Arial Narrow" w:cs="Arial"/>
                <w:b/>
                <w:sz w:val="20"/>
                <w:szCs w:val="20"/>
                <w:lang w:eastAsia="en-AU"/>
              </w:rPr>
            </w:pPr>
            <w:r w:rsidRPr="000160C3">
              <w:rPr>
                <w:rFonts w:ascii="Arial Narrow" w:hAnsi="Arial Narrow" w:cs="Arial"/>
                <w:b/>
                <w:sz w:val="20"/>
                <w:szCs w:val="20"/>
                <w:lang w:eastAsia="en-AU"/>
              </w:rPr>
              <w:t>PBS item code</w:t>
            </w:r>
          </w:p>
        </w:tc>
        <w:tc>
          <w:tcPr>
            <w:tcW w:w="888" w:type="dxa"/>
            <w:tcBorders>
              <w:top w:val="single" w:sz="4" w:space="0" w:color="auto"/>
              <w:left w:val="single" w:sz="4" w:space="0" w:color="auto"/>
              <w:bottom w:val="single" w:sz="4" w:space="0" w:color="auto"/>
              <w:right w:val="single" w:sz="4" w:space="0" w:color="auto"/>
            </w:tcBorders>
            <w:vAlign w:val="center"/>
            <w:hideMark/>
          </w:tcPr>
          <w:p w14:paraId="4A9A0CED" w14:textId="77777777" w:rsidR="00D75787" w:rsidRPr="000160C3" w:rsidRDefault="00D75787" w:rsidP="001C47F4">
            <w:pPr>
              <w:jc w:val="center"/>
              <w:rPr>
                <w:rFonts w:ascii="Arial Narrow" w:hAnsi="Arial Narrow" w:cs="Arial"/>
                <w:b/>
                <w:sz w:val="20"/>
                <w:szCs w:val="20"/>
                <w:lang w:eastAsia="en-AU"/>
              </w:rPr>
            </w:pPr>
            <w:r w:rsidRPr="000160C3">
              <w:rPr>
                <w:rFonts w:ascii="Arial Narrow" w:hAnsi="Arial Narrow" w:cs="Arial"/>
                <w:b/>
                <w:sz w:val="20"/>
                <w:szCs w:val="20"/>
                <w:lang w:eastAsia="en-AU"/>
              </w:rPr>
              <w:t>Max. qty packs</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2EEB5F8" w14:textId="77777777" w:rsidR="00D75787" w:rsidRPr="000160C3" w:rsidRDefault="00D75787" w:rsidP="001C47F4">
            <w:pPr>
              <w:jc w:val="center"/>
              <w:rPr>
                <w:rFonts w:ascii="Arial Narrow" w:hAnsi="Arial Narrow" w:cs="Arial"/>
                <w:b/>
                <w:sz w:val="20"/>
                <w:szCs w:val="20"/>
                <w:lang w:eastAsia="en-AU"/>
              </w:rPr>
            </w:pPr>
            <w:r w:rsidRPr="000160C3">
              <w:rPr>
                <w:rFonts w:ascii="Arial Narrow" w:hAnsi="Arial Narrow" w:cs="Arial"/>
                <w:b/>
                <w:sz w:val="20"/>
                <w:szCs w:val="20"/>
                <w:lang w:eastAsia="en-AU"/>
              </w:rPr>
              <w:t>Max. qty units</w:t>
            </w:r>
          </w:p>
        </w:tc>
        <w:tc>
          <w:tcPr>
            <w:tcW w:w="894" w:type="dxa"/>
            <w:tcBorders>
              <w:top w:val="single" w:sz="4" w:space="0" w:color="auto"/>
              <w:left w:val="single" w:sz="4" w:space="0" w:color="auto"/>
              <w:bottom w:val="single" w:sz="4" w:space="0" w:color="auto"/>
              <w:right w:val="single" w:sz="4" w:space="0" w:color="auto"/>
            </w:tcBorders>
            <w:vAlign w:val="center"/>
            <w:hideMark/>
          </w:tcPr>
          <w:p w14:paraId="6AC7A4B6" w14:textId="77777777" w:rsidR="00D75787" w:rsidRPr="000160C3" w:rsidRDefault="00D75787" w:rsidP="001C47F4">
            <w:pPr>
              <w:jc w:val="center"/>
              <w:rPr>
                <w:rFonts w:ascii="Arial Narrow" w:hAnsi="Arial Narrow" w:cs="Arial"/>
                <w:b/>
                <w:sz w:val="20"/>
                <w:szCs w:val="20"/>
                <w:lang w:eastAsia="en-AU"/>
              </w:rPr>
            </w:pPr>
            <w:r w:rsidRPr="000160C3">
              <w:rPr>
                <w:rFonts w:ascii="Arial Narrow" w:hAnsi="Arial Narrow" w:cs="Arial"/>
                <w:b/>
                <w:sz w:val="20"/>
                <w:szCs w:val="20"/>
                <w:lang w:eastAsia="en-AU"/>
              </w:rPr>
              <w:t>№.of</w:t>
            </w:r>
          </w:p>
          <w:p w14:paraId="0806CE1C" w14:textId="77777777" w:rsidR="00D75787" w:rsidRPr="000160C3" w:rsidRDefault="00D75787" w:rsidP="001C47F4">
            <w:pPr>
              <w:jc w:val="center"/>
              <w:rPr>
                <w:rFonts w:ascii="Arial Narrow" w:hAnsi="Arial Narrow" w:cs="Arial"/>
                <w:b/>
                <w:sz w:val="20"/>
                <w:szCs w:val="20"/>
                <w:lang w:eastAsia="en-AU"/>
              </w:rPr>
            </w:pPr>
            <w:r w:rsidRPr="000160C3">
              <w:rPr>
                <w:rFonts w:ascii="Arial Narrow" w:hAnsi="Arial Narrow" w:cs="Arial"/>
                <w:b/>
                <w:sz w:val="20"/>
                <w:szCs w:val="20"/>
                <w:lang w:eastAsia="en-AU"/>
              </w:rPr>
              <w:t>Rpts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081DC28B" w14:textId="77777777" w:rsidR="00D75787" w:rsidRPr="000160C3" w:rsidRDefault="00D75787" w:rsidP="001C47F4">
            <w:pPr>
              <w:rPr>
                <w:rFonts w:ascii="Arial Narrow" w:hAnsi="Arial Narrow" w:cs="Arial"/>
                <w:b/>
                <w:sz w:val="20"/>
                <w:szCs w:val="20"/>
                <w:lang w:eastAsia="en-AU"/>
              </w:rPr>
            </w:pPr>
            <w:r w:rsidRPr="000160C3">
              <w:rPr>
                <w:rFonts w:ascii="Arial Narrow" w:hAnsi="Arial Narrow" w:cs="Arial"/>
                <w:b/>
                <w:sz w:val="20"/>
                <w:szCs w:val="20"/>
                <w:lang w:eastAsia="en-AU"/>
              </w:rPr>
              <w:t>Available brands</w:t>
            </w:r>
          </w:p>
        </w:tc>
      </w:tr>
      <w:tr w:rsidR="00D75787" w:rsidRPr="000160C3" w14:paraId="5A9A6892" w14:textId="77777777" w:rsidTr="005638C1">
        <w:tc>
          <w:tcPr>
            <w:tcW w:w="9214" w:type="dxa"/>
            <w:gridSpan w:val="6"/>
            <w:tcBorders>
              <w:top w:val="single" w:sz="4" w:space="0" w:color="auto"/>
              <w:left w:val="single" w:sz="4" w:space="0" w:color="auto"/>
              <w:bottom w:val="single" w:sz="4" w:space="0" w:color="auto"/>
              <w:right w:val="single" w:sz="4" w:space="0" w:color="auto"/>
            </w:tcBorders>
            <w:vAlign w:val="center"/>
            <w:hideMark/>
          </w:tcPr>
          <w:p w14:paraId="08DE7E28" w14:textId="77777777" w:rsidR="00D75787" w:rsidRPr="000160C3" w:rsidRDefault="00D75787" w:rsidP="001C47F4">
            <w:pPr>
              <w:rPr>
                <w:rFonts w:ascii="Arial Narrow" w:hAnsi="Arial Narrow" w:cs="Arial"/>
                <w:sz w:val="20"/>
                <w:szCs w:val="20"/>
                <w:lang w:eastAsia="en-AU"/>
              </w:rPr>
            </w:pPr>
            <w:r w:rsidRPr="000160C3">
              <w:rPr>
                <w:rFonts w:ascii="Arial Narrow" w:hAnsi="Arial Narrow" w:cs="Arial"/>
                <w:bCs/>
                <w:sz w:val="20"/>
                <w:szCs w:val="20"/>
                <w:lang w:eastAsia="en-AU"/>
              </w:rPr>
              <w:t>TECLISTAMAB</w:t>
            </w:r>
          </w:p>
        </w:tc>
      </w:tr>
      <w:tr w:rsidR="00D75787" w:rsidRPr="000160C3" w14:paraId="66A854C7" w14:textId="77777777" w:rsidTr="005638C1">
        <w:tc>
          <w:tcPr>
            <w:tcW w:w="3683" w:type="dxa"/>
            <w:tcBorders>
              <w:top w:val="single" w:sz="4" w:space="0" w:color="auto"/>
              <w:left w:val="single" w:sz="4" w:space="0" w:color="auto"/>
              <w:bottom w:val="single" w:sz="4" w:space="0" w:color="auto"/>
              <w:right w:val="single" w:sz="4" w:space="0" w:color="auto"/>
            </w:tcBorders>
            <w:vAlign w:val="center"/>
          </w:tcPr>
          <w:p w14:paraId="70AA9109" w14:textId="77777777" w:rsidR="00D75787" w:rsidRPr="000160C3" w:rsidRDefault="00D75787" w:rsidP="001C47F4">
            <w:pPr>
              <w:rPr>
                <w:rFonts w:ascii="Arial Narrow" w:hAnsi="Arial Narrow" w:cs="Arial"/>
                <w:sz w:val="20"/>
                <w:szCs w:val="20"/>
                <w:lang w:eastAsia="en-AU"/>
              </w:rPr>
            </w:pPr>
            <w:r w:rsidRPr="000160C3">
              <w:rPr>
                <w:rFonts w:ascii="Arial Narrow" w:hAnsi="Arial Narrow" w:cs="Arial"/>
                <w:sz w:val="20"/>
                <w:szCs w:val="20"/>
                <w:lang w:eastAsia="en-AU"/>
              </w:rPr>
              <w:t>Teclistamab</w:t>
            </w:r>
            <w:r w:rsidRPr="000160C3">
              <w:rPr>
                <w:rFonts w:ascii="Arial Narrow" w:hAnsi="Arial Narrow" w:cs="Arial"/>
                <w:strike/>
                <w:sz w:val="20"/>
                <w:szCs w:val="20"/>
                <w:lang w:eastAsia="en-AU"/>
              </w:rPr>
              <w:t>, subcutaneous vial,</w:t>
            </w:r>
            <w:r w:rsidRPr="000160C3">
              <w:rPr>
                <w:rFonts w:ascii="Arial Narrow" w:hAnsi="Arial Narrow" w:cs="Arial"/>
                <w:sz w:val="20"/>
                <w:szCs w:val="20"/>
                <w:lang w:eastAsia="en-AU"/>
              </w:rPr>
              <w:t xml:space="preserve"> 30 mg</w:t>
            </w:r>
            <w:r w:rsidRPr="000160C3">
              <w:rPr>
                <w:rFonts w:ascii="Arial Narrow" w:hAnsi="Arial Narrow" w:cs="Arial"/>
                <w:i/>
                <w:iCs/>
                <w:sz w:val="20"/>
                <w:szCs w:val="20"/>
                <w:lang w:eastAsia="en-AU"/>
              </w:rPr>
              <w:t>/3 mL injection, vial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A8B0AF7" w14:textId="77777777" w:rsidR="00D75787" w:rsidRPr="000160C3" w:rsidRDefault="00D75787" w:rsidP="001C47F4">
            <w:pPr>
              <w:jc w:val="center"/>
              <w:rPr>
                <w:rFonts w:ascii="Arial Narrow" w:hAnsi="Arial Narrow" w:cs="Arial"/>
                <w:sz w:val="20"/>
                <w:szCs w:val="20"/>
                <w:lang w:eastAsia="en-AU"/>
              </w:rPr>
            </w:pPr>
            <w:r w:rsidRPr="000160C3">
              <w:rPr>
                <w:rFonts w:ascii="Arial Narrow" w:hAnsi="Arial Narrow" w:cs="Arial"/>
                <w:sz w:val="20"/>
                <w:szCs w:val="20"/>
                <w:lang w:eastAsia="en-AU"/>
              </w:rPr>
              <w:t>NEW (CT)</w:t>
            </w:r>
          </w:p>
        </w:tc>
        <w:tc>
          <w:tcPr>
            <w:tcW w:w="888" w:type="dxa"/>
            <w:tcBorders>
              <w:top w:val="single" w:sz="4" w:space="0" w:color="auto"/>
              <w:left w:val="single" w:sz="4" w:space="0" w:color="auto"/>
              <w:bottom w:val="single" w:sz="4" w:space="0" w:color="auto"/>
              <w:right w:val="single" w:sz="4" w:space="0" w:color="auto"/>
            </w:tcBorders>
            <w:vAlign w:val="center"/>
            <w:hideMark/>
          </w:tcPr>
          <w:p w14:paraId="233099F2" w14:textId="77777777" w:rsidR="00D75787" w:rsidRPr="00A15950" w:rsidRDefault="00D75787" w:rsidP="001C47F4">
            <w:pPr>
              <w:jc w:val="center"/>
              <w:rPr>
                <w:rFonts w:ascii="Arial Narrow" w:hAnsi="Arial Narrow" w:cs="Arial"/>
                <w:sz w:val="20"/>
                <w:szCs w:val="20"/>
                <w:lang w:eastAsia="en-AU"/>
              </w:rPr>
            </w:pPr>
            <w:r w:rsidRPr="00A15950">
              <w:rPr>
                <w:rFonts w:ascii="Arial Narrow" w:hAnsi="Arial Narrow" w:cs="Arial"/>
                <w:strike/>
                <w:sz w:val="20"/>
                <w:szCs w:val="20"/>
                <w:lang w:eastAsia="en-AU"/>
              </w:rPr>
              <w:t>2</w:t>
            </w:r>
            <w:r w:rsidRPr="00A15950">
              <w:rPr>
                <w:rFonts w:ascii="Arial Narrow" w:hAnsi="Arial Narrow" w:cs="Arial"/>
                <w:i/>
                <w:iCs/>
                <w:sz w:val="20"/>
                <w:szCs w:val="20"/>
                <w:lang w:eastAsia="en-AU"/>
              </w:rPr>
              <w:t xml:space="preserve"> 1</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A8EA831" w14:textId="77777777" w:rsidR="00D75787" w:rsidRPr="00A15950" w:rsidRDefault="00D75787" w:rsidP="001C47F4">
            <w:pPr>
              <w:jc w:val="center"/>
              <w:rPr>
                <w:rFonts w:ascii="Arial Narrow" w:hAnsi="Arial Narrow" w:cs="Arial"/>
                <w:sz w:val="20"/>
                <w:szCs w:val="20"/>
                <w:lang w:eastAsia="en-AU"/>
              </w:rPr>
            </w:pPr>
            <w:r w:rsidRPr="00A15950">
              <w:rPr>
                <w:rFonts w:ascii="Arial Narrow" w:hAnsi="Arial Narrow" w:cs="Arial"/>
                <w:strike/>
                <w:sz w:val="20"/>
                <w:szCs w:val="20"/>
                <w:lang w:eastAsia="en-AU"/>
              </w:rPr>
              <w:t>2</w:t>
            </w:r>
            <w:r w:rsidRPr="00A15950">
              <w:rPr>
                <w:rFonts w:ascii="Arial Narrow" w:hAnsi="Arial Narrow" w:cs="Arial"/>
                <w:sz w:val="20"/>
                <w:szCs w:val="20"/>
                <w:lang w:eastAsia="en-AU"/>
              </w:rPr>
              <w:t xml:space="preserve"> </w:t>
            </w:r>
            <w:r w:rsidRPr="00A15950">
              <w:rPr>
                <w:rFonts w:ascii="Arial Narrow" w:hAnsi="Arial Narrow" w:cs="Arial"/>
                <w:i/>
                <w:iCs/>
                <w:sz w:val="20"/>
                <w:szCs w:val="20"/>
                <w:lang w:eastAsia="en-AU"/>
              </w:rPr>
              <w:t>1</w:t>
            </w:r>
          </w:p>
        </w:tc>
        <w:tc>
          <w:tcPr>
            <w:tcW w:w="894" w:type="dxa"/>
            <w:tcBorders>
              <w:top w:val="single" w:sz="4" w:space="0" w:color="auto"/>
              <w:left w:val="single" w:sz="4" w:space="0" w:color="auto"/>
              <w:bottom w:val="single" w:sz="4" w:space="0" w:color="auto"/>
              <w:right w:val="single" w:sz="4" w:space="0" w:color="auto"/>
            </w:tcBorders>
            <w:vAlign w:val="center"/>
            <w:hideMark/>
          </w:tcPr>
          <w:p w14:paraId="6DD71A05" w14:textId="77777777" w:rsidR="00D75787" w:rsidRPr="000160C3" w:rsidRDefault="00D75787" w:rsidP="001C47F4">
            <w:pPr>
              <w:jc w:val="center"/>
              <w:rPr>
                <w:rFonts w:ascii="Arial Narrow" w:hAnsi="Arial Narrow" w:cs="Arial"/>
                <w:sz w:val="20"/>
                <w:szCs w:val="20"/>
                <w:lang w:eastAsia="en-AU"/>
              </w:rPr>
            </w:pPr>
            <w:r w:rsidRPr="000160C3">
              <w:rPr>
                <w:rFonts w:ascii="Arial Narrow" w:hAnsi="Arial Narrow" w:cs="Arial"/>
                <w:sz w:val="20"/>
                <w:szCs w:val="20"/>
                <w:lang w:eastAsia="en-AU"/>
              </w:rPr>
              <w:t>1</w:t>
            </w:r>
          </w:p>
        </w:tc>
        <w:tc>
          <w:tcPr>
            <w:tcW w:w="1657" w:type="dxa"/>
            <w:tcBorders>
              <w:top w:val="single" w:sz="4" w:space="0" w:color="auto"/>
              <w:left w:val="single" w:sz="4" w:space="0" w:color="auto"/>
              <w:bottom w:val="single" w:sz="4" w:space="0" w:color="auto"/>
              <w:right w:val="single" w:sz="4" w:space="0" w:color="auto"/>
            </w:tcBorders>
            <w:vAlign w:val="center"/>
          </w:tcPr>
          <w:p w14:paraId="700E10D3" w14:textId="77777777" w:rsidR="00D75787" w:rsidRPr="000160C3" w:rsidRDefault="00D75787" w:rsidP="001C47F4">
            <w:pPr>
              <w:rPr>
                <w:rFonts w:ascii="Arial Narrow" w:hAnsi="Arial Narrow" w:cs="Arial"/>
                <w:sz w:val="20"/>
                <w:szCs w:val="20"/>
                <w:lang w:eastAsia="en-AU"/>
              </w:rPr>
            </w:pPr>
            <w:r w:rsidRPr="000160C3">
              <w:rPr>
                <w:rFonts w:ascii="Arial Narrow" w:hAnsi="Arial Narrow" w:cs="Arial"/>
                <w:sz w:val="20"/>
                <w:szCs w:val="20"/>
                <w:lang w:eastAsia="en-AU"/>
              </w:rPr>
              <w:t>Tecvayli</w:t>
            </w:r>
          </w:p>
        </w:tc>
      </w:tr>
      <w:tr w:rsidR="00D75787" w:rsidRPr="000160C3" w14:paraId="35AEA59C" w14:textId="77777777" w:rsidTr="005638C1">
        <w:tc>
          <w:tcPr>
            <w:tcW w:w="3683" w:type="dxa"/>
            <w:tcBorders>
              <w:top w:val="single" w:sz="4" w:space="0" w:color="auto"/>
              <w:left w:val="single" w:sz="4" w:space="0" w:color="auto"/>
              <w:bottom w:val="single" w:sz="4" w:space="0" w:color="auto"/>
              <w:right w:val="single" w:sz="4" w:space="0" w:color="auto"/>
            </w:tcBorders>
            <w:vAlign w:val="center"/>
          </w:tcPr>
          <w:p w14:paraId="62C9464F" w14:textId="77777777" w:rsidR="00D75787" w:rsidRPr="000160C3" w:rsidRDefault="00D75787" w:rsidP="001C47F4">
            <w:pPr>
              <w:rPr>
                <w:rFonts w:ascii="Arial Narrow" w:hAnsi="Arial Narrow" w:cs="Arial"/>
                <w:sz w:val="20"/>
                <w:szCs w:val="20"/>
                <w:lang w:eastAsia="en-AU"/>
              </w:rPr>
            </w:pPr>
            <w:r w:rsidRPr="000160C3">
              <w:rPr>
                <w:rFonts w:ascii="Arial Narrow" w:hAnsi="Arial Narrow" w:cs="Arial"/>
                <w:sz w:val="20"/>
                <w:szCs w:val="20"/>
                <w:lang w:eastAsia="en-AU"/>
              </w:rPr>
              <w:t>Teclistamab</w:t>
            </w:r>
            <w:r w:rsidRPr="000160C3">
              <w:rPr>
                <w:rFonts w:ascii="Arial Narrow" w:hAnsi="Arial Narrow" w:cs="Arial"/>
                <w:strike/>
                <w:sz w:val="20"/>
                <w:szCs w:val="20"/>
                <w:lang w:eastAsia="en-AU"/>
              </w:rPr>
              <w:t>, subcutaneous vial,</w:t>
            </w:r>
            <w:r w:rsidRPr="000160C3">
              <w:rPr>
                <w:rFonts w:ascii="Arial Narrow" w:hAnsi="Arial Narrow" w:cs="Arial"/>
                <w:sz w:val="20"/>
                <w:szCs w:val="20"/>
                <w:lang w:eastAsia="en-AU"/>
              </w:rPr>
              <w:t xml:space="preserve"> 30 mg</w:t>
            </w:r>
            <w:r w:rsidRPr="000160C3">
              <w:rPr>
                <w:rFonts w:ascii="Arial Narrow" w:hAnsi="Arial Narrow" w:cs="Arial"/>
                <w:i/>
                <w:iCs/>
                <w:sz w:val="20"/>
                <w:szCs w:val="20"/>
                <w:lang w:eastAsia="en-AU"/>
              </w:rPr>
              <w:t>/3 mL injection, vial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E9B33BE" w14:textId="77777777" w:rsidR="00D75787" w:rsidRPr="000160C3" w:rsidRDefault="00D75787" w:rsidP="001C47F4">
            <w:pPr>
              <w:jc w:val="center"/>
              <w:rPr>
                <w:rFonts w:ascii="Arial Narrow" w:hAnsi="Arial Narrow" w:cs="Arial"/>
                <w:sz w:val="20"/>
                <w:szCs w:val="20"/>
                <w:lang w:eastAsia="en-AU"/>
              </w:rPr>
            </w:pPr>
            <w:r w:rsidRPr="000160C3">
              <w:rPr>
                <w:rFonts w:ascii="Arial Narrow" w:hAnsi="Arial Narrow" w:cs="Arial"/>
                <w:sz w:val="20"/>
                <w:szCs w:val="20"/>
                <w:lang w:eastAsia="en-AU"/>
              </w:rPr>
              <w:t>NEW (GE)</w:t>
            </w:r>
          </w:p>
        </w:tc>
        <w:tc>
          <w:tcPr>
            <w:tcW w:w="888" w:type="dxa"/>
            <w:tcBorders>
              <w:top w:val="single" w:sz="4" w:space="0" w:color="auto"/>
              <w:left w:val="single" w:sz="4" w:space="0" w:color="auto"/>
              <w:bottom w:val="single" w:sz="4" w:space="0" w:color="auto"/>
              <w:right w:val="single" w:sz="4" w:space="0" w:color="auto"/>
            </w:tcBorders>
            <w:vAlign w:val="center"/>
            <w:hideMark/>
          </w:tcPr>
          <w:p w14:paraId="031CE136" w14:textId="77777777" w:rsidR="00D75787" w:rsidRPr="00A15950" w:rsidRDefault="00D75787" w:rsidP="001C47F4">
            <w:pPr>
              <w:jc w:val="center"/>
              <w:rPr>
                <w:rFonts w:ascii="Arial Narrow" w:hAnsi="Arial Narrow" w:cs="Arial"/>
                <w:sz w:val="20"/>
                <w:szCs w:val="20"/>
                <w:lang w:eastAsia="en-AU"/>
              </w:rPr>
            </w:pPr>
            <w:r w:rsidRPr="00A15950">
              <w:rPr>
                <w:rFonts w:ascii="Arial Narrow" w:hAnsi="Arial Narrow" w:cs="Arial"/>
                <w:strike/>
                <w:sz w:val="20"/>
                <w:szCs w:val="20"/>
                <w:lang w:eastAsia="en-AU"/>
              </w:rPr>
              <w:t>2</w:t>
            </w:r>
            <w:r w:rsidRPr="00A15950">
              <w:rPr>
                <w:rFonts w:ascii="Arial Narrow" w:hAnsi="Arial Narrow" w:cs="Arial"/>
                <w:sz w:val="20"/>
                <w:szCs w:val="20"/>
                <w:lang w:eastAsia="en-AU"/>
              </w:rPr>
              <w:t xml:space="preserve"> </w:t>
            </w:r>
            <w:r w:rsidRPr="00A15950">
              <w:rPr>
                <w:rFonts w:ascii="Arial Narrow" w:hAnsi="Arial Narrow" w:cs="Arial"/>
                <w:i/>
                <w:iCs/>
                <w:sz w:val="20"/>
                <w:szCs w:val="20"/>
                <w:lang w:eastAsia="en-AU"/>
              </w:rPr>
              <w:t>1</w:t>
            </w:r>
          </w:p>
        </w:tc>
        <w:tc>
          <w:tcPr>
            <w:tcW w:w="1026" w:type="dxa"/>
            <w:tcBorders>
              <w:top w:val="single" w:sz="4" w:space="0" w:color="auto"/>
              <w:left w:val="single" w:sz="4" w:space="0" w:color="auto"/>
              <w:bottom w:val="single" w:sz="4" w:space="0" w:color="auto"/>
              <w:right w:val="single" w:sz="4" w:space="0" w:color="auto"/>
            </w:tcBorders>
            <w:vAlign w:val="center"/>
            <w:hideMark/>
          </w:tcPr>
          <w:p w14:paraId="05F87849" w14:textId="77777777" w:rsidR="00D75787" w:rsidRPr="00A15950" w:rsidRDefault="00D75787" w:rsidP="001C47F4">
            <w:pPr>
              <w:jc w:val="center"/>
              <w:rPr>
                <w:rFonts w:ascii="Arial Narrow" w:hAnsi="Arial Narrow" w:cs="Arial"/>
                <w:sz w:val="20"/>
                <w:szCs w:val="20"/>
                <w:lang w:eastAsia="en-AU"/>
              </w:rPr>
            </w:pPr>
            <w:r w:rsidRPr="00A15950">
              <w:rPr>
                <w:rFonts w:ascii="Arial Narrow" w:hAnsi="Arial Narrow" w:cs="Arial"/>
                <w:strike/>
                <w:sz w:val="20"/>
                <w:szCs w:val="20"/>
                <w:lang w:eastAsia="en-AU"/>
              </w:rPr>
              <w:t>2</w:t>
            </w:r>
            <w:r w:rsidRPr="00A15950">
              <w:rPr>
                <w:rFonts w:ascii="Arial Narrow" w:hAnsi="Arial Narrow" w:cs="Arial"/>
                <w:sz w:val="20"/>
                <w:szCs w:val="20"/>
                <w:lang w:eastAsia="en-AU"/>
              </w:rPr>
              <w:t xml:space="preserve"> </w:t>
            </w:r>
            <w:r w:rsidRPr="00A15950">
              <w:rPr>
                <w:rFonts w:ascii="Arial Narrow" w:hAnsi="Arial Narrow" w:cs="Arial"/>
                <w:i/>
                <w:iCs/>
                <w:sz w:val="20"/>
                <w:szCs w:val="20"/>
                <w:lang w:eastAsia="en-AU"/>
              </w:rPr>
              <w:t>1</w:t>
            </w:r>
          </w:p>
        </w:tc>
        <w:tc>
          <w:tcPr>
            <w:tcW w:w="894" w:type="dxa"/>
            <w:tcBorders>
              <w:top w:val="single" w:sz="4" w:space="0" w:color="auto"/>
              <w:left w:val="single" w:sz="4" w:space="0" w:color="auto"/>
              <w:bottom w:val="single" w:sz="4" w:space="0" w:color="auto"/>
              <w:right w:val="single" w:sz="4" w:space="0" w:color="auto"/>
            </w:tcBorders>
            <w:vAlign w:val="center"/>
            <w:hideMark/>
          </w:tcPr>
          <w:p w14:paraId="282B4DAF" w14:textId="77777777" w:rsidR="00D75787" w:rsidRPr="000160C3" w:rsidRDefault="00D75787" w:rsidP="001C47F4">
            <w:pPr>
              <w:jc w:val="center"/>
              <w:rPr>
                <w:rFonts w:ascii="Arial Narrow" w:hAnsi="Arial Narrow" w:cs="Arial"/>
                <w:sz w:val="20"/>
                <w:szCs w:val="20"/>
                <w:lang w:eastAsia="en-AU"/>
              </w:rPr>
            </w:pPr>
            <w:r w:rsidRPr="000160C3">
              <w:rPr>
                <w:rFonts w:ascii="Arial Narrow" w:hAnsi="Arial Narrow" w:cs="Arial"/>
                <w:sz w:val="20"/>
                <w:szCs w:val="20"/>
                <w:lang w:eastAsia="en-AU"/>
              </w:rPr>
              <w:t>1</w:t>
            </w:r>
          </w:p>
        </w:tc>
        <w:tc>
          <w:tcPr>
            <w:tcW w:w="1657" w:type="dxa"/>
            <w:tcBorders>
              <w:top w:val="single" w:sz="4" w:space="0" w:color="auto"/>
              <w:left w:val="single" w:sz="4" w:space="0" w:color="auto"/>
              <w:bottom w:val="single" w:sz="4" w:space="0" w:color="auto"/>
              <w:right w:val="single" w:sz="4" w:space="0" w:color="auto"/>
            </w:tcBorders>
            <w:vAlign w:val="center"/>
          </w:tcPr>
          <w:p w14:paraId="204FEFC9" w14:textId="77777777" w:rsidR="00D75787" w:rsidRPr="000160C3" w:rsidRDefault="00D75787" w:rsidP="001C47F4">
            <w:pPr>
              <w:rPr>
                <w:rFonts w:ascii="Arial Narrow" w:hAnsi="Arial Narrow" w:cs="Arial"/>
                <w:sz w:val="20"/>
                <w:szCs w:val="20"/>
                <w:lang w:eastAsia="en-AU"/>
              </w:rPr>
            </w:pPr>
            <w:r w:rsidRPr="000160C3">
              <w:rPr>
                <w:rFonts w:ascii="Arial Narrow" w:hAnsi="Arial Narrow" w:cs="Arial"/>
                <w:sz w:val="20"/>
                <w:szCs w:val="20"/>
                <w:lang w:eastAsia="en-AU"/>
              </w:rPr>
              <w:t>Tecvayli</w:t>
            </w:r>
          </w:p>
        </w:tc>
      </w:tr>
      <w:tr w:rsidR="00D75787" w:rsidRPr="000160C3" w14:paraId="064DDF64"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8141A9E" w14:textId="77777777" w:rsidR="00D75787" w:rsidRPr="000160C3" w:rsidRDefault="00D75787" w:rsidP="001C47F4">
            <w:pPr>
              <w:rPr>
                <w:rFonts w:ascii="Arial Narrow" w:hAnsi="Arial Narrow" w:cs="Arial"/>
                <w:bCs/>
                <w:color w:val="C4BC96" w:themeColor="background2" w:themeShade="BF"/>
                <w:sz w:val="20"/>
                <w:szCs w:val="20"/>
                <w:lang w:eastAsia="en-AU"/>
              </w:rPr>
            </w:pPr>
          </w:p>
        </w:tc>
      </w:tr>
      <w:tr w:rsidR="005638C1" w:rsidRPr="000160C3" w14:paraId="34A21632"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2AD927D" w14:textId="77777777" w:rsidR="005638C1" w:rsidRPr="000160C3" w:rsidRDefault="005638C1" w:rsidP="001C47F4">
            <w:pPr>
              <w:rPr>
                <w:rFonts w:ascii="Arial Narrow" w:hAnsi="Arial Narrow" w:cs="Arial"/>
                <w:bCs/>
                <w:sz w:val="20"/>
                <w:szCs w:val="20"/>
                <w:lang w:eastAsia="en-AU"/>
              </w:rPr>
            </w:pPr>
            <w:r w:rsidRPr="000160C3">
              <w:rPr>
                <w:rFonts w:ascii="Arial Narrow" w:hAnsi="Arial Narrow" w:cs="Arial"/>
                <w:bCs/>
                <w:sz w:val="20"/>
                <w:szCs w:val="20"/>
                <w:lang w:eastAsia="en-AU"/>
              </w:rPr>
              <w:t xml:space="preserve">Category / Program: </w:t>
            </w:r>
          </w:p>
          <w:p w14:paraId="37D9ABD7" w14:textId="77777777" w:rsidR="005638C1" w:rsidRPr="000160C3" w:rsidRDefault="005638C1" w:rsidP="001C47F4">
            <w:pPr>
              <w:jc w:val="left"/>
              <w:rPr>
                <w:rFonts w:ascii="Arial Narrow" w:hAnsi="Arial Narrow" w:cs="Arial"/>
                <w:bCs/>
                <w:sz w:val="20"/>
                <w:szCs w:val="20"/>
                <w:lang w:eastAsia="en-AU"/>
              </w:rPr>
            </w:pPr>
            <w:r w:rsidRPr="000160C3">
              <w:rPr>
                <w:rFonts w:ascii="Arial Narrow" w:eastAsia="Calibri" w:hAnsi="Arial Narrow" w:cs="Arial"/>
                <w:bCs/>
                <w:sz w:val="20"/>
                <w:szCs w:val="20"/>
                <w:lang w:eastAsia="en-AU"/>
              </w:rPr>
              <w:fldChar w:fldCharType="begin" w:fldLock="1">
                <w:ffData>
                  <w:name w:val="Check1"/>
                  <w:enabled/>
                  <w:calcOnExit w:val="0"/>
                  <w:checkBox>
                    <w:sizeAuto/>
                    <w:default w:val="1"/>
                  </w:checkBox>
                </w:ffData>
              </w:fldChar>
            </w:r>
            <w:r w:rsidRPr="000160C3">
              <w:rPr>
                <w:rFonts w:ascii="Arial Narrow" w:eastAsia="Calibri" w:hAnsi="Arial Narrow" w:cs="Arial"/>
                <w:bCs/>
                <w:sz w:val="20"/>
                <w:szCs w:val="20"/>
                <w:lang w:eastAsia="en-AU"/>
              </w:rPr>
              <w:instrText xml:space="preserve"> FORMCHECKBOX </w:instrText>
            </w:r>
            <w:r w:rsidRPr="000160C3">
              <w:rPr>
                <w:rFonts w:ascii="Arial Narrow" w:eastAsia="Calibri" w:hAnsi="Arial Narrow" w:cs="Arial"/>
                <w:bCs/>
                <w:sz w:val="20"/>
                <w:szCs w:val="20"/>
                <w:lang w:eastAsia="en-AU"/>
              </w:rPr>
            </w:r>
            <w:r w:rsidRPr="000160C3">
              <w:rPr>
                <w:rFonts w:ascii="Arial Narrow" w:eastAsia="Calibri" w:hAnsi="Arial Narrow" w:cs="Arial"/>
                <w:bCs/>
                <w:sz w:val="20"/>
                <w:szCs w:val="20"/>
                <w:lang w:eastAsia="en-AU"/>
              </w:rPr>
              <w:fldChar w:fldCharType="separate"/>
            </w:r>
            <w:r w:rsidRPr="000160C3">
              <w:rPr>
                <w:rFonts w:ascii="Arial Narrow" w:eastAsia="Calibri" w:hAnsi="Arial Narrow" w:cs="Arial"/>
                <w:bCs/>
                <w:sz w:val="20"/>
                <w:szCs w:val="20"/>
                <w:lang w:eastAsia="en-AU"/>
              </w:rPr>
              <w:fldChar w:fldCharType="end"/>
            </w:r>
            <w:r w:rsidRPr="000160C3">
              <w:rPr>
                <w:rFonts w:ascii="Arial Narrow" w:eastAsia="Calibri" w:hAnsi="Arial Narrow" w:cs="Arial"/>
                <w:bCs/>
                <w:sz w:val="20"/>
                <w:szCs w:val="20"/>
                <w:lang w:eastAsia="en-AU"/>
              </w:rPr>
              <w:t xml:space="preserve"> GENERAL </w:t>
            </w:r>
            <w:r w:rsidRPr="000160C3">
              <w:rPr>
                <w:rFonts w:ascii="Arial Narrow" w:hAnsi="Arial Narrow" w:cs="Arial"/>
                <w:bCs/>
                <w:sz w:val="20"/>
                <w:szCs w:val="20"/>
                <w:lang w:eastAsia="en-AU"/>
              </w:rPr>
              <w:t>–</w:t>
            </w:r>
            <w:r w:rsidRPr="000160C3">
              <w:rPr>
                <w:rFonts w:ascii="Arial Narrow" w:eastAsia="Calibri" w:hAnsi="Arial Narrow" w:cs="Arial"/>
                <w:bCs/>
                <w:sz w:val="20"/>
                <w:szCs w:val="20"/>
                <w:lang w:eastAsia="en-AU"/>
              </w:rPr>
              <w:t xml:space="preserve"> General Schedule (Code GE) </w:t>
            </w:r>
            <w:r w:rsidRPr="000160C3">
              <w:rPr>
                <w:rFonts w:ascii="Arial Narrow" w:eastAsia="Calibri" w:hAnsi="Arial Narrow" w:cs="Arial"/>
                <w:bCs/>
                <w:sz w:val="20"/>
                <w:szCs w:val="20"/>
                <w:lang w:eastAsia="en-AU"/>
              </w:rPr>
              <w:br/>
            </w:r>
            <w:r w:rsidRPr="000160C3">
              <w:rPr>
                <w:rFonts w:ascii="Arial Narrow" w:eastAsia="Calibri" w:hAnsi="Arial Narrow" w:cs="Arial"/>
                <w:bCs/>
                <w:sz w:val="20"/>
                <w:szCs w:val="20"/>
                <w:lang w:eastAsia="en-AU"/>
              </w:rPr>
              <w:fldChar w:fldCharType="begin" w:fldLock="1">
                <w:ffData>
                  <w:name w:val=""/>
                  <w:enabled/>
                  <w:calcOnExit w:val="0"/>
                  <w:checkBox>
                    <w:sizeAuto/>
                    <w:default w:val="1"/>
                  </w:checkBox>
                </w:ffData>
              </w:fldChar>
            </w:r>
            <w:r w:rsidRPr="000160C3">
              <w:rPr>
                <w:rFonts w:ascii="Arial Narrow" w:eastAsia="Calibri" w:hAnsi="Arial Narrow" w:cs="Arial"/>
                <w:bCs/>
                <w:sz w:val="20"/>
                <w:szCs w:val="20"/>
                <w:lang w:eastAsia="en-AU"/>
              </w:rPr>
              <w:instrText xml:space="preserve"> FORMCHECKBOX </w:instrText>
            </w:r>
            <w:r w:rsidRPr="000160C3">
              <w:rPr>
                <w:rFonts w:ascii="Arial Narrow" w:eastAsia="Calibri" w:hAnsi="Arial Narrow" w:cs="Arial"/>
                <w:bCs/>
                <w:sz w:val="20"/>
                <w:szCs w:val="20"/>
                <w:lang w:eastAsia="en-AU"/>
              </w:rPr>
            </w:r>
            <w:r w:rsidRPr="000160C3">
              <w:rPr>
                <w:rFonts w:ascii="Arial Narrow" w:eastAsia="Calibri" w:hAnsi="Arial Narrow" w:cs="Arial"/>
                <w:bCs/>
                <w:sz w:val="20"/>
                <w:szCs w:val="20"/>
                <w:lang w:eastAsia="en-AU"/>
              </w:rPr>
              <w:fldChar w:fldCharType="separate"/>
            </w:r>
            <w:r w:rsidRPr="000160C3">
              <w:rPr>
                <w:rFonts w:ascii="Arial Narrow" w:eastAsia="Calibri" w:hAnsi="Arial Narrow" w:cs="Arial"/>
                <w:bCs/>
                <w:sz w:val="20"/>
                <w:szCs w:val="20"/>
                <w:lang w:eastAsia="en-AU"/>
              </w:rPr>
              <w:fldChar w:fldCharType="end"/>
            </w:r>
            <w:r w:rsidRPr="000160C3">
              <w:rPr>
                <w:rFonts w:ascii="Arial Narrow" w:eastAsia="Calibri" w:hAnsi="Arial Narrow" w:cs="Arial"/>
                <w:bCs/>
                <w:sz w:val="20"/>
                <w:szCs w:val="20"/>
                <w:lang w:eastAsia="en-AU"/>
              </w:rPr>
              <w:t xml:space="preserve"> Section </w:t>
            </w:r>
            <w:r w:rsidRPr="000160C3">
              <w:rPr>
                <w:rFonts w:ascii="Arial Narrow" w:hAnsi="Arial Narrow" w:cs="Arial"/>
                <w:bCs/>
                <w:sz w:val="20"/>
                <w:szCs w:val="20"/>
                <w:lang w:eastAsia="en-AU"/>
              </w:rPr>
              <w:t xml:space="preserve">100 – Efficient Funding of Chemotherapy – Related Benefits (Code CT) </w:t>
            </w:r>
          </w:p>
        </w:tc>
      </w:tr>
      <w:tr w:rsidR="005638C1" w:rsidRPr="000160C3" w14:paraId="299F67F1"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ABF9EA" w14:textId="77777777" w:rsidR="005638C1" w:rsidRPr="000160C3" w:rsidRDefault="005638C1" w:rsidP="001C47F4">
            <w:pPr>
              <w:rPr>
                <w:rFonts w:ascii="Arial Narrow" w:hAnsi="Arial Narrow" w:cs="Arial"/>
                <w:bCs/>
                <w:sz w:val="20"/>
                <w:szCs w:val="20"/>
                <w:lang w:eastAsia="en-AU"/>
              </w:rPr>
            </w:pPr>
            <w:r w:rsidRPr="000160C3">
              <w:rPr>
                <w:rFonts w:ascii="Arial Narrow" w:hAnsi="Arial Narrow" w:cs="Arial"/>
                <w:bCs/>
                <w:sz w:val="20"/>
                <w:szCs w:val="20"/>
                <w:lang w:eastAsia="en-AU"/>
              </w:rPr>
              <w:t xml:space="preserve">Prescriber type: </w:t>
            </w:r>
            <w:r w:rsidRPr="000160C3">
              <w:rPr>
                <w:rFonts w:ascii="Arial Narrow" w:hAnsi="Arial Narrow" w:cs="Arial"/>
                <w:bCs/>
                <w:sz w:val="20"/>
                <w:szCs w:val="20"/>
                <w:lang w:eastAsia="en-AU"/>
              </w:rPr>
              <w:fldChar w:fldCharType="begin" w:fldLock="1">
                <w:ffData>
                  <w:name w:val=""/>
                  <w:enabled/>
                  <w:calcOnExit w:val="0"/>
                  <w:checkBox>
                    <w:sizeAuto/>
                    <w:default w:val="1"/>
                  </w:checkBox>
                </w:ffData>
              </w:fldChar>
            </w:r>
            <w:r w:rsidRPr="000160C3">
              <w:rPr>
                <w:rFonts w:ascii="Arial Narrow" w:hAnsi="Arial Narrow" w:cs="Arial"/>
                <w:bCs/>
                <w:sz w:val="20"/>
                <w:szCs w:val="20"/>
                <w:lang w:eastAsia="en-AU"/>
              </w:rPr>
              <w:instrText xml:space="preserve"> FORMCHECKBOX </w:instrText>
            </w:r>
            <w:r w:rsidRPr="000160C3">
              <w:rPr>
                <w:rFonts w:ascii="Arial Narrow" w:hAnsi="Arial Narrow" w:cs="Arial"/>
                <w:bCs/>
                <w:sz w:val="20"/>
                <w:szCs w:val="20"/>
                <w:lang w:eastAsia="en-AU"/>
              </w:rPr>
            </w:r>
            <w:r w:rsidRPr="000160C3">
              <w:rPr>
                <w:rFonts w:ascii="Arial Narrow" w:hAnsi="Arial Narrow" w:cs="Arial"/>
                <w:bCs/>
                <w:sz w:val="20"/>
                <w:szCs w:val="20"/>
                <w:lang w:eastAsia="en-AU"/>
              </w:rPr>
              <w:fldChar w:fldCharType="separate"/>
            </w:r>
            <w:r w:rsidRPr="000160C3">
              <w:rPr>
                <w:rFonts w:ascii="Arial Narrow" w:hAnsi="Arial Narrow" w:cs="Arial"/>
                <w:bCs/>
                <w:sz w:val="20"/>
                <w:szCs w:val="20"/>
                <w:lang w:eastAsia="en-AU"/>
              </w:rPr>
              <w:fldChar w:fldCharType="end"/>
            </w:r>
            <w:r w:rsidRPr="000160C3">
              <w:rPr>
                <w:rFonts w:ascii="Arial Narrow" w:hAnsi="Arial Narrow" w:cs="Arial"/>
                <w:bCs/>
                <w:sz w:val="20"/>
                <w:szCs w:val="20"/>
                <w:lang w:eastAsia="en-AU"/>
              </w:rPr>
              <w:t xml:space="preserve">Medical Practitioners </w:t>
            </w:r>
          </w:p>
        </w:tc>
      </w:tr>
      <w:tr w:rsidR="005638C1" w:rsidRPr="000160C3" w14:paraId="393878BD"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355AF71" w14:textId="77777777" w:rsidR="005638C1" w:rsidRPr="000160C3" w:rsidRDefault="005638C1" w:rsidP="001C47F4">
            <w:pPr>
              <w:rPr>
                <w:rFonts w:ascii="Arial Narrow" w:eastAsia="Calibri" w:hAnsi="Arial Narrow" w:cs="Arial"/>
                <w:bCs/>
                <w:sz w:val="20"/>
                <w:szCs w:val="20"/>
                <w:lang w:eastAsia="en-AU"/>
              </w:rPr>
            </w:pPr>
            <w:r w:rsidRPr="000160C3">
              <w:rPr>
                <w:rFonts w:ascii="Arial Narrow" w:hAnsi="Arial Narrow" w:cs="Arial"/>
                <w:bCs/>
                <w:sz w:val="20"/>
                <w:szCs w:val="20"/>
                <w:lang w:eastAsia="en-AU"/>
              </w:rPr>
              <w:t xml:space="preserve">Restriction type: </w:t>
            </w:r>
            <w:r w:rsidRPr="000160C3">
              <w:rPr>
                <w:rFonts w:ascii="Arial Narrow" w:hAnsi="Arial Narrow" w:cs="Arial"/>
                <w:bCs/>
                <w:sz w:val="20"/>
                <w:szCs w:val="20"/>
                <w:lang w:eastAsia="en-AU"/>
              </w:rPr>
              <w:fldChar w:fldCharType="begin" w:fldLock="1">
                <w:ffData>
                  <w:name w:val=""/>
                  <w:enabled/>
                  <w:calcOnExit w:val="0"/>
                  <w:checkBox>
                    <w:sizeAuto/>
                    <w:default w:val="1"/>
                  </w:checkBox>
                </w:ffData>
              </w:fldChar>
            </w:r>
            <w:r w:rsidRPr="000160C3">
              <w:rPr>
                <w:rFonts w:ascii="Arial Narrow" w:hAnsi="Arial Narrow" w:cs="Arial"/>
                <w:bCs/>
                <w:sz w:val="20"/>
                <w:szCs w:val="20"/>
                <w:lang w:eastAsia="en-AU"/>
              </w:rPr>
              <w:instrText xml:space="preserve"> FORMCHECKBOX </w:instrText>
            </w:r>
            <w:r w:rsidRPr="000160C3">
              <w:rPr>
                <w:rFonts w:ascii="Arial Narrow" w:hAnsi="Arial Narrow" w:cs="Arial"/>
                <w:bCs/>
                <w:sz w:val="20"/>
                <w:szCs w:val="20"/>
                <w:lang w:eastAsia="en-AU"/>
              </w:rPr>
            </w:r>
            <w:r w:rsidRPr="000160C3">
              <w:rPr>
                <w:rFonts w:ascii="Arial Narrow" w:hAnsi="Arial Narrow" w:cs="Arial"/>
                <w:bCs/>
                <w:sz w:val="20"/>
                <w:szCs w:val="20"/>
                <w:lang w:eastAsia="en-AU"/>
              </w:rPr>
              <w:fldChar w:fldCharType="separate"/>
            </w:r>
            <w:r w:rsidRPr="000160C3">
              <w:rPr>
                <w:rFonts w:ascii="Arial Narrow" w:hAnsi="Arial Narrow" w:cs="Arial"/>
                <w:bCs/>
                <w:sz w:val="20"/>
                <w:szCs w:val="20"/>
                <w:lang w:eastAsia="en-AU"/>
              </w:rPr>
              <w:fldChar w:fldCharType="end"/>
            </w:r>
            <w:r w:rsidRPr="000160C3">
              <w:rPr>
                <w:rFonts w:ascii="Arial Narrow" w:hAnsi="Arial Narrow" w:cs="Arial"/>
                <w:bCs/>
                <w:sz w:val="20"/>
                <w:szCs w:val="20"/>
                <w:lang w:eastAsia="en-AU"/>
              </w:rPr>
              <w:t>Authority Required (Telephone/Online)</w:t>
            </w:r>
          </w:p>
        </w:tc>
      </w:tr>
      <w:tr w:rsidR="005638C1" w:rsidRPr="000160C3" w14:paraId="5EC1C51E"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ED46CC" w14:textId="7FC1B955" w:rsidR="005638C1" w:rsidRPr="000160C3" w:rsidRDefault="005638C1" w:rsidP="001C47F4">
            <w:pPr>
              <w:rPr>
                <w:rFonts w:ascii="Arial Narrow" w:hAnsi="Arial Narrow" w:cs="Arial"/>
                <w:bCs/>
                <w:sz w:val="20"/>
                <w:szCs w:val="20"/>
                <w:lang w:eastAsia="en-AU"/>
              </w:rPr>
            </w:pPr>
            <w:r w:rsidRPr="000160C3">
              <w:rPr>
                <w:rFonts w:ascii="Arial Narrow" w:hAnsi="Arial Narrow" w:cs="Arial"/>
                <w:bCs/>
                <w:sz w:val="20"/>
                <w:szCs w:val="20"/>
                <w:lang w:eastAsia="en-AU"/>
              </w:rPr>
              <w:t xml:space="preserve">Authority type: </w:t>
            </w:r>
            <w:r w:rsidRPr="000160C3">
              <w:rPr>
                <w:rFonts w:ascii="Arial Narrow" w:eastAsia="Calibri" w:hAnsi="Arial Narrow" w:cs="Arial"/>
                <w:bCs/>
                <w:sz w:val="20"/>
                <w:szCs w:val="20"/>
                <w:lang w:eastAsia="en-AU"/>
              </w:rPr>
              <w:fldChar w:fldCharType="begin" w:fldLock="1">
                <w:ffData>
                  <w:name w:val=""/>
                  <w:enabled/>
                  <w:calcOnExit w:val="0"/>
                  <w:checkBox>
                    <w:sizeAuto/>
                    <w:default w:val="1"/>
                  </w:checkBox>
                </w:ffData>
              </w:fldChar>
            </w:r>
            <w:r w:rsidRPr="000160C3">
              <w:rPr>
                <w:rFonts w:ascii="Arial Narrow" w:eastAsia="Calibri" w:hAnsi="Arial Narrow" w:cs="Arial"/>
                <w:bCs/>
                <w:sz w:val="20"/>
                <w:szCs w:val="20"/>
                <w:lang w:eastAsia="en-AU"/>
              </w:rPr>
              <w:instrText xml:space="preserve"> FORMCHECKBOX </w:instrText>
            </w:r>
            <w:r w:rsidRPr="000160C3">
              <w:rPr>
                <w:rFonts w:ascii="Arial Narrow" w:eastAsia="Calibri" w:hAnsi="Arial Narrow" w:cs="Arial"/>
                <w:bCs/>
                <w:sz w:val="20"/>
                <w:szCs w:val="20"/>
                <w:lang w:eastAsia="en-AU"/>
              </w:rPr>
            </w:r>
            <w:r w:rsidRPr="000160C3">
              <w:rPr>
                <w:rFonts w:ascii="Arial Narrow" w:eastAsia="Calibri" w:hAnsi="Arial Narrow" w:cs="Arial"/>
                <w:bCs/>
                <w:sz w:val="20"/>
                <w:szCs w:val="20"/>
                <w:lang w:eastAsia="en-AU"/>
              </w:rPr>
              <w:fldChar w:fldCharType="separate"/>
            </w:r>
            <w:r w:rsidRPr="000160C3">
              <w:rPr>
                <w:rFonts w:ascii="Arial Narrow" w:eastAsia="Calibri" w:hAnsi="Arial Narrow" w:cs="Arial"/>
                <w:bCs/>
                <w:sz w:val="20"/>
                <w:szCs w:val="20"/>
                <w:lang w:eastAsia="en-AU"/>
              </w:rPr>
              <w:fldChar w:fldCharType="end"/>
            </w:r>
            <w:r w:rsidRPr="000160C3">
              <w:rPr>
                <w:rFonts w:ascii="Arial Narrow" w:eastAsia="Calibri" w:hAnsi="Arial Narrow" w:cs="Arial"/>
                <w:bCs/>
                <w:sz w:val="20"/>
                <w:szCs w:val="20"/>
                <w:lang w:eastAsia="en-AU"/>
              </w:rPr>
              <w:t xml:space="preserve"> Non</w:t>
            </w:r>
            <w:r w:rsidR="00EC1990">
              <w:rPr>
                <w:rFonts w:ascii="Arial Narrow" w:eastAsia="Calibri" w:hAnsi="Arial Narrow" w:cs="Arial"/>
                <w:bCs/>
                <w:sz w:val="20"/>
                <w:szCs w:val="20"/>
                <w:lang w:eastAsia="en-AU"/>
              </w:rPr>
              <w:noBreakHyphen/>
            </w:r>
            <w:r w:rsidRPr="000160C3">
              <w:rPr>
                <w:rFonts w:ascii="Arial Narrow" w:eastAsia="Calibri" w:hAnsi="Arial Narrow" w:cs="Arial"/>
                <w:bCs/>
                <w:sz w:val="20"/>
                <w:szCs w:val="20"/>
                <w:lang w:eastAsia="en-AU"/>
              </w:rPr>
              <w:t>complex Authority Required (non</w:t>
            </w:r>
            <w:r w:rsidR="00EC1990">
              <w:rPr>
                <w:rFonts w:ascii="Arial Narrow" w:eastAsia="Calibri" w:hAnsi="Arial Narrow" w:cs="Arial"/>
                <w:bCs/>
                <w:sz w:val="20"/>
                <w:szCs w:val="20"/>
                <w:lang w:eastAsia="en-AU"/>
              </w:rPr>
              <w:noBreakHyphen/>
            </w:r>
            <w:r w:rsidRPr="000160C3">
              <w:rPr>
                <w:rFonts w:ascii="Arial Narrow" w:eastAsia="Calibri" w:hAnsi="Arial Narrow" w:cs="Arial"/>
                <w:bCs/>
                <w:sz w:val="20"/>
                <w:szCs w:val="20"/>
                <w:lang w:eastAsia="en-AU"/>
              </w:rPr>
              <w:t>CAR)</w:t>
            </w:r>
          </w:p>
        </w:tc>
      </w:tr>
      <w:tr w:rsidR="00D75787" w:rsidRPr="000160C3" w14:paraId="74C7160F"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AB3F4E7" w14:textId="77777777" w:rsidR="00D75787" w:rsidRPr="000160C3" w:rsidRDefault="00D75787" w:rsidP="001C47F4">
            <w:pPr>
              <w:rPr>
                <w:rFonts w:ascii="Arial Narrow" w:hAnsi="Arial Narrow" w:cs="Arial"/>
                <w:b/>
                <w:sz w:val="20"/>
                <w:szCs w:val="20"/>
                <w:lang w:eastAsia="en-AU"/>
              </w:rPr>
            </w:pPr>
            <w:r w:rsidRPr="000160C3">
              <w:rPr>
                <w:rFonts w:ascii="Arial Narrow" w:hAnsi="Arial Narrow" w:cs="Arial"/>
                <w:b/>
                <w:sz w:val="20"/>
                <w:szCs w:val="20"/>
                <w:lang w:eastAsia="en-AU"/>
              </w:rPr>
              <w:t>Restrictions Summary [New1] / Treatment of Concept [New 1A]</w:t>
            </w:r>
          </w:p>
        </w:tc>
      </w:tr>
      <w:tr w:rsidR="005638C1" w:rsidRPr="000160C3" w14:paraId="2A0446B9"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87E22A7" w14:textId="77777777" w:rsidR="005638C1" w:rsidRPr="000160C3" w:rsidRDefault="005638C1" w:rsidP="001C47F4">
            <w:pPr>
              <w:rPr>
                <w:rFonts w:ascii="Arial Narrow" w:hAnsi="Arial Narrow" w:cs="Arial"/>
                <w:bCs/>
                <w:sz w:val="20"/>
                <w:szCs w:val="20"/>
                <w:lang w:eastAsia="en-AU"/>
              </w:rPr>
            </w:pPr>
            <w:r w:rsidRPr="000160C3">
              <w:rPr>
                <w:rFonts w:ascii="Arial Narrow" w:hAnsi="Arial Narrow" w:cs="Arial"/>
                <w:b/>
                <w:bCs/>
                <w:sz w:val="20"/>
                <w:szCs w:val="20"/>
                <w:lang w:eastAsia="en-AU"/>
              </w:rPr>
              <w:t xml:space="preserve">Episodicity: </w:t>
            </w:r>
            <w:r w:rsidRPr="000160C3">
              <w:rPr>
                <w:rFonts w:ascii="Arial Narrow" w:hAnsi="Arial Narrow" w:cs="Arial"/>
                <w:sz w:val="20"/>
                <w:szCs w:val="20"/>
                <w:lang w:eastAsia="en-AU"/>
              </w:rPr>
              <w:t>[Blank]</w:t>
            </w:r>
          </w:p>
        </w:tc>
      </w:tr>
      <w:tr w:rsidR="005638C1" w:rsidRPr="000160C3" w14:paraId="60B50131"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A2BE31F" w14:textId="77777777" w:rsidR="005638C1" w:rsidRPr="000160C3" w:rsidRDefault="005638C1" w:rsidP="001C47F4">
            <w:pPr>
              <w:rPr>
                <w:rFonts w:ascii="Arial Narrow" w:hAnsi="Arial Narrow" w:cs="Arial"/>
                <w:b/>
                <w:bCs/>
                <w:sz w:val="20"/>
                <w:szCs w:val="20"/>
                <w:lang w:eastAsia="en-AU"/>
              </w:rPr>
            </w:pPr>
            <w:r w:rsidRPr="000160C3">
              <w:rPr>
                <w:rFonts w:ascii="Arial Narrow" w:hAnsi="Arial Narrow" w:cs="Arial"/>
                <w:b/>
                <w:sz w:val="20"/>
                <w:szCs w:val="20"/>
                <w:lang w:eastAsia="en-AU"/>
              </w:rPr>
              <w:t>Severity:</w:t>
            </w:r>
            <w:r w:rsidRPr="000160C3">
              <w:rPr>
                <w:rFonts w:ascii="Arial Narrow" w:hAnsi="Arial Narrow" w:cs="Arial"/>
                <w:sz w:val="20"/>
                <w:szCs w:val="20"/>
                <w:lang w:eastAsia="en-AU"/>
              </w:rPr>
              <w:t xml:space="preserve"> Relapsed or refractory</w:t>
            </w:r>
          </w:p>
        </w:tc>
      </w:tr>
      <w:tr w:rsidR="005638C1" w:rsidRPr="000160C3" w14:paraId="799C0163"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F6DFD52" w14:textId="77777777" w:rsidR="005638C1" w:rsidRPr="000160C3" w:rsidRDefault="005638C1" w:rsidP="001C47F4">
            <w:pPr>
              <w:rPr>
                <w:rFonts w:ascii="Arial Narrow" w:hAnsi="Arial Narrow" w:cs="Arial"/>
                <w:b/>
                <w:bCs/>
                <w:sz w:val="20"/>
                <w:szCs w:val="20"/>
                <w:lang w:eastAsia="en-AU"/>
              </w:rPr>
            </w:pPr>
            <w:r w:rsidRPr="000160C3">
              <w:rPr>
                <w:rFonts w:ascii="Arial Narrow" w:hAnsi="Arial Narrow" w:cs="Arial"/>
                <w:b/>
                <w:sz w:val="20"/>
                <w:szCs w:val="20"/>
                <w:lang w:eastAsia="en-AU"/>
              </w:rPr>
              <w:t>Condition:</w:t>
            </w:r>
            <w:r w:rsidRPr="000160C3">
              <w:rPr>
                <w:rFonts w:ascii="Arial Narrow" w:hAnsi="Arial Narrow" w:cs="Arial"/>
                <w:sz w:val="20"/>
                <w:szCs w:val="20"/>
                <w:lang w:eastAsia="en-AU"/>
              </w:rPr>
              <w:t xml:space="preserve"> Multiple myeloma</w:t>
            </w:r>
          </w:p>
        </w:tc>
      </w:tr>
      <w:tr w:rsidR="005638C1" w:rsidRPr="000160C3" w14:paraId="26134468"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A8A48AE" w14:textId="77777777" w:rsidR="005638C1" w:rsidRPr="000160C3" w:rsidRDefault="005638C1" w:rsidP="001C47F4">
            <w:pPr>
              <w:rPr>
                <w:rFonts w:ascii="Arial Narrow" w:hAnsi="Arial Narrow" w:cs="Arial"/>
                <w:sz w:val="20"/>
                <w:szCs w:val="20"/>
                <w:lang w:eastAsia="en-AU"/>
              </w:rPr>
            </w:pPr>
            <w:r w:rsidRPr="000160C3">
              <w:rPr>
                <w:rFonts w:ascii="Arial Narrow" w:hAnsi="Arial Narrow" w:cs="Arial"/>
                <w:b/>
                <w:sz w:val="20"/>
                <w:szCs w:val="20"/>
                <w:lang w:eastAsia="en-AU"/>
              </w:rPr>
              <w:t>Indication:</w:t>
            </w:r>
            <w:r w:rsidRPr="000160C3">
              <w:rPr>
                <w:rFonts w:ascii="Arial Narrow" w:hAnsi="Arial Narrow" w:cs="Arial"/>
                <w:sz w:val="20"/>
                <w:szCs w:val="20"/>
                <w:lang w:eastAsia="en-AU"/>
              </w:rPr>
              <w:t xml:space="preserve"> Relapsed or refractory multiple myeloma</w:t>
            </w:r>
          </w:p>
        </w:tc>
      </w:tr>
      <w:tr w:rsidR="005638C1" w:rsidRPr="000160C3" w14:paraId="056236E6"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4E5F7DB" w14:textId="22745260" w:rsidR="005638C1" w:rsidRPr="000160C3" w:rsidRDefault="005638C1" w:rsidP="001C47F4">
            <w:pPr>
              <w:rPr>
                <w:rFonts w:ascii="Arial Narrow" w:hAnsi="Arial Narrow" w:cs="Arial"/>
                <w:b/>
                <w:sz w:val="20"/>
                <w:szCs w:val="20"/>
                <w:lang w:eastAsia="en-AU"/>
              </w:rPr>
            </w:pPr>
            <w:r w:rsidRPr="000160C3">
              <w:rPr>
                <w:rFonts w:ascii="Arial Narrow" w:hAnsi="Arial Narrow" w:cs="Arial"/>
                <w:b/>
                <w:bCs/>
                <w:sz w:val="20"/>
                <w:szCs w:val="20"/>
                <w:lang w:eastAsia="en-AU"/>
              </w:rPr>
              <w:t>Treatment</w:t>
            </w:r>
            <w:r w:rsidRPr="000160C3">
              <w:rPr>
                <w:rFonts w:ascii="Arial Narrow" w:hAnsi="Arial Narrow" w:cs="Arial"/>
                <w:b/>
                <w:bCs/>
                <w:spacing w:val="-3"/>
                <w:sz w:val="20"/>
                <w:szCs w:val="20"/>
                <w:lang w:eastAsia="en-AU"/>
              </w:rPr>
              <w:t xml:space="preserve"> </w:t>
            </w:r>
            <w:r w:rsidRPr="000160C3">
              <w:rPr>
                <w:rFonts w:ascii="Arial Narrow" w:hAnsi="Arial Narrow" w:cs="Arial"/>
                <w:b/>
                <w:bCs/>
                <w:sz w:val="20"/>
                <w:szCs w:val="20"/>
                <w:lang w:eastAsia="en-AU"/>
              </w:rPr>
              <w:t>Phase:</w:t>
            </w:r>
            <w:r w:rsidRPr="000160C3">
              <w:rPr>
                <w:rFonts w:ascii="Arial Narrow" w:hAnsi="Arial Narrow" w:cs="Arial"/>
                <w:sz w:val="20"/>
                <w:szCs w:val="20"/>
                <w:lang w:eastAsia="en-AU"/>
              </w:rPr>
              <w:t xml:space="preserve"> Induction treatment (step</w:t>
            </w:r>
            <w:r w:rsidR="00EC1990">
              <w:rPr>
                <w:rFonts w:ascii="Arial Narrow" w:hAnsi="Arial Narrow" w:cs="Arial"/>
                <w:sz w:val="20"/>
                <w:szCs w:val="20"/>
                <w:lang w:eastAsia="en-AU"/>
              </w:rPr>
              <w:noBreakHyphen/>
            </w:r>
            <w:r w:rsidRPr="000160C3">
              <w:rPr>
                <w:rFonts w:ascii="Arial Narrow" w:hAnsi="Arial Narrow" w:cs="Arial"/>
                <w:sz w:val="20"/>
                <w:szCs w:val="20"/>
                <w:lang w:eastAsia="en-AU"/>
              </w:rPr>
              <w:t xml:space="preserve">up dosing) </w:t>
            </w:r>
          </w:p>
        </w:tc>
      </w:tr>
      <w:tr w:rsidR="005638C1" w:rsidRPr="000160C3" w14:paraId="542C4B0A"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F680247" w14:textId="77777777" w:rsidR="005638C1" w:rsidRPr="000160C3" w:rsidRDefault="005638C1" w:rsidP="001C47F4">
            <w:pPr>
              <w:rPr>
                <w:rFonts w:ascii="Arial Narrow" w:hAnsi="Arial Narrow" w:cs="Arial"/>
                <w:b/>
                <w:sz w:val="20"/>
                <w:szCs w:val="20"/>
                <w:lang w:eastAsia="en-AU"/>
              </w:rPr>
            </w:pPr>
            <w:r w:rsidRPr="000160C3">
              <w:rPr>
                <w:rFonts w:ascii="Arial Narrow" w:hAnsi="Arial Narrow" w:cs="Arial"/>
                <w:b/>
                <w:bCs/>
                <w:sz w:val="20"/>
                <w:szCs w:val="20"/>
                <w:lang w:eastAsia="en-AU"/>
              </w:rPr>
              <w:t>Clinical</w:t>
            </w:r>
            <w:r w:rsidRPr="000160C3">
              <w:rPr>
                <w:rFonts w:ascii="Arial Narrow" w:hAnsi="Arial Narrow" w:cs="Arial"/>
                <w:b/>
                <w:bCs/>
                <w:spacing w:val="-4"/>
                <w:sz w:val="20"/>
                <w:szCs w:val="20"/>
                <w:lang w:eastAsia="en-AU"/>
              </w:rPr>
              <w:t xml:space="preserve"> </w:t>
            </w:r>
            <w:r w:rsidRPr="000160C3">
              <w:rPr>
                <w:rFonts w:ascii="Arial Narrow" w:hAnsi="Arial Narrow" w:cs="Arial"/>
                <w:b/>
                <w:bCs/>
                <w:spacing w:val="-2"/>
                <w:sz w:val="20"/>
                <w:szCs w:val="20"/>
                <w:lang w:eastAsia="en-AU"/>
              </w:rPr>
              <w:t>criteria:</w:t>
            </w:r>
          </w:p>
        </w:tc>
      </w:tr>
      <w:tr w:rsidR="005638C1" w:rsidRPr="000160C3" w14:paraId="2BC8DA10"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EBFB67E" w14:textId="77777777" w:rsidR="005638C1" w:rsidRPr="000160C3" w:rsidRDefault="005638C1" w:rsidP="001C47F4">
            <w:pPr>
              <w:rPr>
                <w:rFonts w:ascii="Arial Narrow" w:hAnsi="Arial Narrow" w:cs="Arial"/>
                <w:b/>
                <w:sz w:val="20"/>
                <w:szCs w:val="20"/>
                <w:lang w:eastAsia="en-AU"/>
              </w:rPr>
            </w:pPr>
            <w:r w:rsidRPr="000160C3">
              <w:rPr>
                <w:rFonts w:ascii="Arial Narrow" w:hAnsi="Arial Narrow" w:cs="Arial"/>
                <w:spacing w:val="-2"/>
                <w:sz w:val="20"/>
                <w:szCs w:val="20"/>
                <w:lang w:eastAsia="en-AU"/>
              </w:rPr>
              <w:t>The condition must be confirmed by a histological diagnosis</w:t>
            </w:r>
          </w:p>
        </w:tc>
      </w:tr>
      <w:tr w:rsidR="005638C1" w:rsidRPr="000160C3" w14:paraId="674D04E2"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1F9CD7E" w14:textId="77777777" w:rsidR="005638C1" w:rsidRPr="000160C3" w:rsidRDefault="005638C1" w:rsidP="001C47F4">
            <w:pPr>
              <w:rPr>
                <w:rFonts w:ascii="Arial Narrow" w:hAnsi="Arial Narrow" w:cs="Arial"/>
                <w:b/>
                <w:sz w:val="20"/>
                <w:szCs w:val="20"/>
                <w:lang w:eastAsia="en-AU"/>
              </w:rPr>
            </w:pPr>
            <w:r w:rsidRPr="000160C3">
              <w:rPr>
                <w:rFonts w:ascii="Arial Narrow" w:hAnsi="Arial Narrow" w:cs="Arial"/>
                <w:b/>
                <w:bCs/>
                <w:spacing w:val="-5"/>
                <w:sz w:val="20"/>
                <w:szCs w:val="20"/>
                <w:lang w:eastAsia="en-AU"/>
              </w:rPr>
              <w:t>AND</w:t>
            </w:r>
          </w:p>
        </w:tc>
      </w:tr>
      <w:tr w:rsidR="005638C1" w:rsidRPr="000160C3" w14:paraId="33BFD1CD"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E385FCB" w14:textId="77777777" w:rsidR="005638C1" w:rsidRPr="000160C3" w:rsidRDefault="005638C1" w:rsidP="001C47F4">
            <w:pPr>
              <w:rPr>
                <w:rFonts w:ascii="Arial Narrow" w:hAnsi="Arial Narrow" w:cs="Arial"/>
                <w:b/>
                <w:bCs/>
                <w:spacing w:val="-5"/>
                <w:sz w:val="20"/>
                <w:szCs w:val="20"/>
                <w:lang w:eastAsia="en-AU"/>
              </w:rPr>
            </w:pPr>
            <w:r w:rsidRPr="000160C3">
              <w:rPr>
                <w:rFonts w:ascii="Arial Narrow" w:hAnsi="Arial Narrow" w:cs="Arial"/>
                <w:b/>
                <w:bCs/>
                <w:sz w:val="20"/>
                <w:szCs w:val="20"/>
                <w:lang w:eastAsia="en-AU"/>
              </w:rPr>
              <w:t>Clinical</w:t>
            </w:r>
            <w:r w:rsidRPr="000160C3">
              <w:rPr>
                <w:rFonts w:ascii="Arial Narrow" w:hAnsi="Arial Narrow" w:cs="Arial"/>
                <w:b/>
                <w:bCs/>
                <w:spacing w:val="-4"/>
                <w:sz w:val="20"/>
                <w:szCs w:val="20"/>
                <w:lang w:eastAsia="en-AU"/>
              </w:rPr>
              <w:t xml:space="preserve"> </w:t>
            </w:r>
            <w:r w:rsidRPr="000160C3">
              <w:rPr>
                <w:rFonts w:ascii="Arial Narrow" w:hAnsi="Arial Narrow" w:cs="Arial"/>
                <w:b/>
                <w:bCs/>
                <w:spacing w:val="-2"/>
                <w:sz w:val="20"/>
                <w:szCs w:val="20"/>
                <w:lang w:eastAsia="en-AU"/>
              </w:rPr>
              <w:t>criteria:</w:t>
            </w:r>
          </w:p>
        </w:tc>
      </w:tr>
      <w:tr w:rsidR="005638C1" w:rsidRPr="000160C3" w14:paraId="1EEDDF79"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03EA933" w14:textId="19271F6D" w:rsidR="005638C1" w:rsidRPr="000160C3" w:rsidRDefault="005638C1" w:rsidP="001C47F4">
            <w:pPr>
              <w:rPr>
                <w:rFonts w:ascii="Arial Narrow" w:hAnsi="Arial Narrow" w:cs="Arial"/>
                <w:spacing w:val="-2"/>
                <w:sz w:val="20"/>
                <w:szCs w:val="20"/>
                <w:lang w:eastAsia="en-AU"/>
              </w:rPr>
            </w:pPr>
            <w:r w:rsidRPr="000160C3">
              <w:rPr>
                <w:rFonts w:ascii="Arial Narrow" w:hAnsi="Arial Narrow" w:cs="Arial"/>
                <w:spacing w:val="-2"/>
                <w:sz w:val="20"/>
                <w:szCs w:val="20"/>
                <w:lang w:eastAsia="en-AU"/>
              </w:rPr>
              <w:t>Patient must have had progressive disease after receiving at least 3 prior lines of therapy, including each of the following therapies: (i) a proteasome inhibitor, (ii) an immunomodulatory agent, and (iii) an anti</w:t>
            </w:r>
            <w:r w:rsidR="00EC1990">
              <w:rPr>
                <w:rFonts w:ascii="Arial Narrow" w:hAnsi="Arial Narrow" w:cs="Arial"/>
                <w:spacing w:val="-2"/>
                <w:sz w:val="20"/>
                <w:szCs w:val="20"/>
                <w:lang w:eastAsia="en-AU"/>
              </w:rPr>
              <w:noBreakHyphen/>
            </w:r>
            <w:r w:rsidRPr="000160C3">
              <w:rPr>
                <w:rFonts w:ascii="Arial Narrow" w:hAnsi="Arial Narrow" w:cs="Arial"/>
                <w:spacing w:val="-2"/>
                <w:sz w:val="20"/>
                <w:szCs w:val="20"/>
                <w:lang w:eastAsia="en-AU"/>
              </w:rPr>
              <w:t>CD38 monoclonal antibody; or</w:t>
            </w:r>
          </w:p>
        </w:tc>
      </w:tr>
      <w:tr w:rsidR="005638C1" w:rsidRPr="000160C3" w14:paraId="6D6DD1E4"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24CF55D" w14:textId="0683A6F7" w:rsidR="005638C1" w:rsidRPr="000160C3" w:rsidRDefault="005638C1" w:rsidP="001C47F4">
            <w:pPr>
              <w:rPr>
                <w:rFonts w:ascii="Arial Narrow" w:hAnsi="Arial Narrow" w:cs="Arial"/>
                <w:b/>
                <w:sz w:val="20"/>
                <w:szCs w:val="20"/>
                <w:lang w:eastAsia="en-AU"/>
              </w:rPr>
            </w:pPr>
            <w:r w:rsidRPr="000160C3">
              <w:rPr>
                <w:rFonts w:ascii="Arial Narrow" w:hAnsi="Arial Narrow" w:cs="Arial"/>
                <w:spacing w:val="-2"/>
                <w:sz w:val="20"/>
                <w:szCs w:val="20"/>
                <w:lang w:eastAsia="en-AU"/>
              </w:rPr>
              <w:t>Patient must have been refractory to, at least 3 prior lines of therapy, including each of the following therapies: (i) a proteasome inhibitor, (ii) an immunomodulatory agent, (iii) an anti</w:t>
            </w:r>
            <w:r w:rsidR="00EC1990">
              <w:rPr>
                <w:rFonts w:ascii="Arial Narrow" w:hAnsi="Arial Narrow" w:cs="Arial"/>
                <w:spacing w:val="-2"/>
                <w:sz w:val="20"/>
                <w:szCs w:val="20"/>
                <w:lang w:eastAsia="en-AU"/>
              </w:rPr>
              <w:noBreakHyphen/>
            </w:r>
            <w:r w:rsidRPr="000160C3">
              <w:rPr>
                <w:rFonts w:ascii="Arial Narrow" w:hAnsi="Arial Narrow" w:cs="Arial"/>
                <w:spacing w:val="-2"/>
                <w:sz w:val="20"/>
                <w:szCs w:val="20"/>
                <w:lang w:eastAsia="en-AU"/>
              </w:rPr>
              <w:t>CD38 monoclonal antibody</w:t>
            </w:r>
          </w:p>
        </w:tc>
      </w:tr>
      <w:tr w:rsidR="005638C1" w:rsidRPr="000160C3" w14:paraId="016C7445"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5AEE3F7" w14:textId="77777777" w:rsidR="005638C1" w:rsidRPr="000160C3" w:rsidRDefault="005638C1" w:rsidP="001C47F4">
            <w:pPr>
              <w:rPr>
                <w:rFonts w:ascii="Arial Narrow" w:hAnsi="Arial Narrow" w:cs="Arial"/>
                <w:strike/>
                <w:spacing w:val="-2"/>
                <w:sz w:val="20"/>
                <w:szCs w:val="20"/>
                <w:lang w:eastAsia="en-AU"/>
              </w:rPr>
            </w:pPr>
            <w:r w:rsidRPr="000160C3">
              <w:rPr>
                <w:rFonts w:ascii="Arial Narrow" w:hAnsi="Arial Narrow" w:cs="Arial"/>
                <w:b/>
                <w:bCs/>
                <w:spacing w:val="-2"/>
                <w:sz w:val="20"/>
                <w:szCs w:val="20"/>
                <w:lang w:eastAsia="en-AU"/>
              </w:rPr>
              <w:t>AND</w:t>
            </w:r>
          </w:p>
        </w:tc>
      </w:tr>
      <w:tr w:rsidR="005638C1" w:rsidRPr="000160C3" w14:paraId="7ECB83AF"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799B543" w14:textId="77777777" w:rsidR="005638C1" w:rsidRPr="000160C3" w:rsidRDefault="005638C1" w:rsidP="001C47F4">
            <w:pPr>
              <w:rPr>
                <w:rFonts w:ascii="Arial Narrow" w:hAnsi="Arial Narrow" w:cs="Arial"/>
                <w:strike/>
                <w:spacing w:val="-2"/>
                <w:sz w:val="20"/>
                <w:szCs w:val="20"/>
                <w:lang w:eastAsia="en-AU"/>
              </w:rPr>
            </w:pPr>
            <w:r w:rsidRPr="000160C3">
              <w:rPr>
                <w:rFonts w:ascii="Arial Narrow" w:hAnsi="Arial Narrow" w:cs="Arial"/>
                <w:b/>
                <w:bCs/>
                <w:sz w:val="20"/>
                <w:szCs w:val="20"/>
                <w:lang w:eastAsia="en-AU"/>
              </w:rPr>
              <w:t>Clinical</w:t>
            </w:r>
            <w:r w:rsidRPr="000160C3">
              <w:rPr>
                <w:rFonts w:ascii="Arial Narrow" w:hAnsi="Arial Narrow" w:cs="Arial"/>
                <w:b/>
                <w:bCs/>
                <w:spacing w:val="-4"/>
                <w:sz w:val="20"/>
                <w:szCs w:val="20"/>
                <w:lang w:eastAsia="en-AU"/>
              </w:rPr>
              <w:t xml:space="preserve"> </w:t>
            </w:r>
            <w:r w:rsidRPr="000160C3">
              <w:rPr>
                <w:rFonts w:ascii="Arial Narrow" w:hAnsi="Arial Narrow" w:cs="Arial"/>
                <w:b/>
                <w:bCs/>
                <w:spacing w:val="-2"/>
                <w:sz w:val="20"/>
                <w:szCs w:val="20"/>
                <w:lang w:eastAsia="en-AU"/>
              </w:rPr>
              <w:t>criteria:</w:t>
            </w:r>
          </w:p>
        </w:tc>
      </w:tr>
      <w:tr w:rsidR="005638C1" w:rsidRPr="000160C3" w14:paraId="73E03ABB"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30B4EF0" w14:textId="77777777" w:rsidR="005638C1" w:rsidRPr="000160C3" w:rsidRDefault="005638C1" w:rsidP="001C47F4">
            <w:pPr>
              <w:rPr>
                <w:rFonts w:ascii="Arial Narrow" w:hAnsi="Arial Narrow" w:cs="Arial"/>
                <w:strike/>
                <w:spacing w:val="-2"/>
                <w:sz w:val="20"/>
                <w:szCs w:val="20"/>
                <w:lang w:eastAsia="en-AU"/>
              </w:rPr>
            </w:pPr>
            <w:r w:rsidRPr="000160C3">
              <w:rPr>
                <w:rFonts w:ascii="Arial Narrow" w:hAnsi="Arial Narrow" w:cs="Arial"/>
                <w:spacing w:val="-2"/>
                <w:sz w:val="20"/>
                <w:szCs w:val="20"/>
                <w:lang w:eastAsia="en-AU"/>
              </w:rPr>
              <w:t>Patient must have a WHO performance status of 2 or less</w:t>
            </w:r>
          </w:p>
        </w:tc>
      </w:tr>
      <w:tr w:rsidR="005638C1" w:rsidRPr="000160C3" w14:paraId="1A39BC03"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93325B0"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160C3">
              <w:rPr>
                <w:rFonts w:ascii="Arial Narrow" w:eastAsia="MS Mincho" w:hAnsi="Arial Narrow" w:cs="Arial Narrow"/>
                <w:b/>
                <w:bCs/>
                <w:spacing w:val="-2"/>
                <w:sz w:val="20"/>
                <w:szCs w:val="20"/>
                <w:lang w:eastAsia="en-AU"/>
              </w:rPr>
              <w:lastRenderedPageBreak/>
              <w:t>AND</w:t>
            </w:r>
          </w:p>
        </w:tc>
      </w:tr>
      <w:tr w:rsidR="005638C1" w:rsidRPr="000160C3" w14:paraId="734E181F"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0ECB0F9"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160C3">
              <w:rPr>
                <w:rFonts w:ascii="Arial Narrow" w:eastAsia="MS Mincho" w:hAnsi="Arial Narrow" w:cs="Arial Narrow"/>
                <w:b/>
                <w:bCs/>
                <w:spacing w:val="-2"/>
                <w:sz w:val="20"/>
                <w:szCs w:val="20"/>
                <w:lang w:eastAsia="en-AU"/>
              </w:rPr>
              <w:t>Clinical criteria:</w:t>
            </w:r>
          </w:p>
        </w:tc>
      </w:tr>
      <w:tr w:rsidR="005638C1" w:rsidRPr="000160C3" w14:paraId="7840E912"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44B4FCB" w14:textId="08029F5E"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0160C3">
              <w:rPr>
                <w:rFonts w:ascii="Arial Narrow" w:eastAsia="MS Mincho" w:hAnsi="Arial Narrow" w:cs="Arial Narrow"/>
                <w:spacing w:val="-2"/>
                <w:sz w:val="20"/>
                <w:szCs w:val="20"/>
                <w:lang w:eastAsia="en-AU"/>
              </w:rPr>
              <w:t>Patient must not have previously received treatment with another B</w:t>
            </w:r>
            <w:r w:rsidR="00EC1990">
              <w:rPr>
                <w:rFonts w:ascii="Arial Narrow" w:eastAsia="MS Mincho" w:hAnsi="Arial Narrow" w:cs="Arial Narrow"/>
                <w:spacing w:val="-2"/>
                <w:sz w:val="20"/>
                <w:szCs w:val="20"/>
                <w:lang w:eastAsia="en-AU"/>
              </w:rPr>
              <w:noBreakHyphen/>
            </w:r>
            <w:r w:rsidRPr="000160C3">
              <w:rPr>
                <w:rFonts w:ascii="Arial Narrow" w:eastAsia="MS Mincho" w:hAnsi="Arial Narrow" w:cs="Arial Narrow"/>
                <w:spacing w:val="-2"/>
                <w:sz w:val="20"/>
                <w:szCs w:val="20"/>
                <w:lang w:eastAsia="en-AU"/>
              </w:rPr>
              <w:t>cell maturation antigen (BCMA) directed therapy for this condition</w:t>
            </w:r>
          </w:p>
        </w:tc>
      </w:tr>
      <w:tr w:rsidR="005638C1" w:rsidRPr="000160C3" w14:paraId="32974C81"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358D95A"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160C3">
              <w:rPr>
                <w:rFonts w:ascii="Arial Narrow" w:eastAsia="MS Mincho" w:hAnsi="Arial Narrow" w:cs="Arial Narrow"/>
                <w:b/>
                <w:bCs/>
                <w:spacing w:val="-2"/>
                <w:sz w:val="20"/>
                <w:szCs w:val="20"/>
                <w:lang w:eastAsia="en-AU"/>
              </w:rPr>
              <w:t>AND</w:t>
            </w:r>
          </w:p>
        </w:tc>
      </w:tr>
      <w:tr w:rsidR="005638C1" w:rsidRPr="000160C3" w14:paraId="547F6088"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AE9C034"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160C3">
              <w:rPr>
                <w:rFonts w:ascii="Arial Narrow" w:eastAsia="MS Mincho" w:hAnsi="Arial Narrow" w:cs="Arial Narrow"/>
                <w:b/>
                <w:bCs/>
                <w:spacing w:val="-2"/>
                <w:sz w:val="20"/>
                <w:szCs w:val="20"/>
                <w:lang w:eastAsia="en-AU"/>
              </w:rPr>
              <w:t>Clinical criteria:</w:t>
            </w:r>
          </w:p>
        </w:tc>
      </w:tr>
      <w:tr w:rsidR="005638C1" w:rsidRPr="000160C3" w14:paraId="14CBBFE7"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A5688D2" w14:textId="57324132"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0160C3">
              <w:rPr>
                <w:rFonts w:ascii="Arial Narrow" w:eastAsia="MS Mincho" w:hAnsi="Arial Narrow" w:cs="Arial Narrow"/>
                <w:spacing w:val="-2"/>
                <w:sz w:val="20"/>
                <w:szCs w:val="20"/>
                <w:lang w:eastAsia="en-AU"/>
              </w:rPr>
              <w:t>The treatment must be the sole PBS</w:t>
            </w:r>
            <w:r w:rsidR="00EC1990">
              <w:rPr>
                <w:rFonts w:ascii="Arial Narrow" w:eastAsia="MS Mincho" w:hAnsi="Arial Narrow" w:cs="Arial Narrow"/>
                <w:spacing w:val="-2"/>
                <w:sz w:val="20"/>
                <w:szCs w:val="20"/>
                <w:lang w:eastAsia="en-AU"/>
              </w:rPr>
              <w:noBreakHyphen/>
            </w:r>
            <w:r w:rsidRPr="000160C3">
              <w:rPr>
                <w:rFonts w:ascii="Arial Narrow" w:eastAsia="MS Mincho" w:hAnsi="Arial Narrow" w:cs="Arial Narrow"/>
                <w:spacing w:val="-2"/>
                <w:sz w:val="20"/>
                <w:szCs w:val="20"/>
                <w:lang w:eastAsia="en-AU"/>
              </w:rPr>
              <w:t>subsidised systemic anti</w:t>
            </w:r>
            <w:r w:rsidR="00EC1990">
              <w:rPr>
                <w:rFonts w:ascii="Arial Narrow" w:eastAsia="MS Mincho" w:hAnsi="Arial Narrow" w:cs="Arial Narrow"/>
                <w:spacing w:val="-2"/>
                <w:sz w:val="20"/>
                <w:szCs w:val="20"/>
                <w:lang w:eastAsia="en-AU"/>
              </w:rPr>
              <w:noBreakHyphen/>
            </w:r>
            <w:r w:rsidRPr="000160C3">
              <w:rPr>
                <w:rFonts w:ascii="Arial Narrow" w:eastAsia="MS Mincho" w:hAnsi="Arial Narrow" w:cs="Arial Narrow"/>
                <w:spacing w:val="-2"/>
                <w:sz w:val="20"/>
                <w:szCs w:val="20"/>
                <w:lang w:eastAsia="en-AU"/>
              </w:rPr>
              <w:t>cancer therapy for this condition</w:t>
            </w:r>
          </w:p>
        </w:tc>
      </w:tr>
      <w:tr w:rsidR="005638C1" w:rsidRPr="000160C3" w14:paraId="7D8B520C"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100E75E"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160C3">
              <w:rPr>
                <w:rFonts w:ascii="Arial Narrow" w:eastAsia="MS Mincho" w:hAnsi="Arial Narrow" w:cs="Arial Narrow"/>
                <w:b/>
                <w:bCs/>
                <w:spacing w:val="-2"/>
                <w:sz w:val="20"/>
                <w:szCs w:val="20"/>
                <w:lang w:eastAsia="en-AU"/>
              </w:rPr>
              <w:t>Prescribing instruction:</w:t>
            </w:r>
          </w:p>
          <w:p w14:paraId="5AB8C5DB" w14:textId="05A83C67" w:rsidR="005638C1" w:rsidRPr="000160C3" w:rsidRDefault="005638C1" w:rsidP="001C47F4">
            <w:pPr>
              <w:kinsoku w:val="0"/>
              <w:overflowPunct w:val="0"/>
              <w:autoSpaceDE w:val="0"/>
              <w:autoSpaceDN w:val="0"/>
              <w:adjustRightInd w:val="0"/>
              <w:spacing w:line="201" w:lineRule="exact"/>
              <w:rPr>
                <w:rFonts w:ascii="Arial Narrow" w:eastAsia="MS Mincho" w:hAnsi="Arial Narrow" w:cs="Arial Narrow"/>
                <w:spacing w:val="-2"/>
                <w:sz w:val="20"/>
                <w:szCs w:val="20"/>
                <w:lang w:eastAsia="en-AU"/>
              </w:rPr>
            </w:pPr>
            <w:r w:rsidRPr="000160C3">
              <w:rPr>
                <w:rFonts w:ascii="Arial Narrow" w:eastAsia="MS Mincho" w:hAnsi="Arial Narrow" w:cs="Arial Narrow"/>
                <w:spacing w:val="-2"/>
                <w:sz w:val="20"/>
                <w:szCs w:val="20"/>
                <w:lang w:eastAsia="en-AU"/>
              </w:rPr>
              <w:t>According to the TGA</w:t>
            </w:r>
            <w:r w:rsidR="00EC1990">
              <w:rPr>
                <w:rFonts w:ascii="Arial Narrow" w:eastAsia="MS Mincho" w:hAnsi="Arial Narrow" w:cs="Arial Narrow"/>
                <w:spacing w:val="-2"/>
                <w:sz w:val="20"/>
                <w:szCs w:val="20"/>
                <w:lang w:eastAsia="en-AU"/>
              </w:rPr>
              <w:noBreakHyphen/>
            </w:r>
            <w:r w:rsidRPr="000160C3">
              <w:rPr>
                <w:rFonts w:ascii="Arial Narrow" w:eastAsia="MS Mincho" w:hAnsi="Arial Narrow" w:cs="Arial Narrow"/>
                <w:spacing w:val="-2"/>
                <w:sz w:val="20"/>
                <w:szCs w:val="20"/>
                <w:lang w:eastAsia="en-AU"/>
              </w:rPr>
              <w:t>approved Product Information, patients should be instructed to remain within proximity of a healthcare facility for 48 hours after all doses within the induction treatment phase.</w:t>
            </w:r>
          </w:p>
        </w:tc>
      </w:tr>
      <w:tr w:rsidR="005638C1" w:rsidRPr="000160C3" w14:paraId="5DE73380"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F55D170"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160C3">
              <w:rPr>
                <w:rFonts w:ascii="Arial Narrow" w:eastAsia="MS Mincho" w:hAnsi="Arial Narrow" w:cs="Arial Narrow"/>
                <w:b/>
                <w:bCs/>
                <w:spacing w:val="-2"/>
                <w:sz w:val="20"/>
                <w:szCs w:val="20"/>
                <w:lang w:eastAsia="en-AU"/>
              </w:rPr>
              <w:t>Prescribing instruction:</w:t>
            </w:r>
          </w:p>
          <w:p w14:paraId="5A508410" w14:textId="0994A75A"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160C3">
              <w:rPr>
                <w:rFonts w:ascii="Arial Narrow" w:eastAsia="MS Mincho" w:hAnsi="Arial Narrow" w:cs="Arial Narrow"/>
                <w:spacing w:val="-2"/>
                <w:sz w:val="20"/>
                <w:szCs w:val="20"/>
                <w:lang w:eastAsia="en-AU"/>
              </w:rPr>
              <w:t>Patients who require restarting therapy due to dose delays may access step</w:t>
            </w:r>
            <w:r w:rsidR="00EC1990">
              <w:rPr>
                <w:rFonts w:ascii="Arial Narrow" w:eastAsia="MS Mincho" w:hAnsi="Arial Narrow" w:cs="Arial Narrow"/>
                <w:spacing w:val="-2"/>
                <w:sz w:val="20"/>
                <w:szCs w:val="20"/>
                <w:lang w:eastAsia="en-AU"/>
              </w:rPr>
              <w:noBreakHyphen/>
            </w:r>
            <w:r w:rsidRPr="000160C3">
              <w:rPr>
                <w:rFonts w:ascii="Arial Narrow" w:eastAsia="MS Mincho" w:hAnsi="Arial Narrow" w:cs="Arial Narrow"/>
                <w:spacing w:val="-2"/>
                <w:sz w:val="20"/>
                <w:szCs w:val="20"/>
                <w:lang w:eastAsia="en-AU"/>
              </w:rPr>
              <w:t>up dosing through this induction treatment restriction.</w:t>
            </w:r>
          </w:p>
        </w:tc>
      </w:tr>
      <w:tr w:rsidR="005638C1" w:rsidRPr="000160C3" w14:paraId="32FBFC4D"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18A9237"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b/>
                <w:bCs/>
                <w:i/>
                <w:iCs/>
                <w:spacing w:val="-2"/>
                <w:sz w:val="20"/>
                <w:szCs w:val="20"/>
                <w:lang w:eastAsia="en-AU"/>
              </w:rPr>
            </w:pPr>
            <w:r w:rsidRPr="000160C3">
              <w:rPr>
                <w:rFonts w:ascii="Arial Narrow" w:eastAsia="MS Mincho" w:hAnsi="Arial Narrow" w:cs="Arial Narrow"/>
                <w:b/>
                <w:bCs/>
                <w:i/>
                <w:iCs/>
                <w:spacing w:val="-2"/>
                <w:sz w:val="20"/>
                <w:szCs w:val="20"/>
                <w:lang w:eastAsia="en-AU"/>
              </w:rPr>
              <w:t>Prescribing instruction:</w:t>
            </w:r>
          </w:p>
          <w:p w14:paraId="2C181575" w14:textId="3A1F057D"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b/>
                <w:bCs/>
                <w:i/>
                <w:iCs/>
                <w:spacing w:val="-2"/>
                <w:sz w:val="20"/>
                <w:szCs w:val="20"/>
                <w:lang w:eastAsia="en-AU"/>
              </w:rPr>
            </w:pPr>
            <w:r w:rsidRPr="000160C3">
              <w:rPr>
                <w:rFonts w:ascii="Arial Narrow" w:eastAsia="MS Mincho" w:hAnsi="Arial Narrow" w:cs="Arial Narrow"/>
                <w:i/>
                <w:iCs/>
                <w:spacing w:val="-2"/>
                <w:sz w:val="20"/>
                <w:szCs w:val="20"/>
                <w:lang w:eastAsia="en-AU"/>
              </w:rPr>
              <w:t>This drug is not PBS</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subsidised if it is administered to an in</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patient in a public hospital setting.</w:t>
            </w:r>
          </w:p>
        </w:tc>
      </w:tr>
      <w:tr w:rsidR="005638C1" w:rsidRPr="000160C3" w14:paraId="73865059"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4F8433F" w14:textId="77777777" w:rsidR="005638C1" w:rsidRPr="000160C3" w:rsidRDefault="005638C1" w:rsidP="001C47F4">
            <w:pPr>
              <w:kinsoku w:val="0"/>
              <w:overflowPunct w:val="0"/>
              <w:autoSpaceDE w:val="0"/>
              <w:autoSpaceDN w:val="0"/>
              <w:adjustRightInd w:val="0"/>
              <w:rPr>
                <w:rFonts w:ascii="Arial Narrow" w:eastAsia="MS Mincho" w:hAnsi="Arial Narrow" w:cs="Arial Narrow"/>
                <w:b/>
                <w:bCs/>
                <w:i/>
                <w:iCs/>
                <w:spacing w:val="-2"/>
                <w:sz w:val="20"/>
                <w:szCs w:val="20"/>
                <w:lang w:eastAsia="en-AU"/>
              </w:rPr>
            </w:pPr>
            <w:r w:rsidRPr="000160C3">
              <w:rPr>
                <w:rFonts w:ascii="Arial Narrow" w:eastAsia="MS Mincho" w:hAnsi="Arial Narrow" w:cs="Arial Narrow"/>
                <w:b/>
                <w:bCs/>
                <w:i/>
                <w:iCs/>
                <w:spacing w:val="-2"/>
                <w:sz w:val="20"/>
                <w:szCs w:val="20"/>
                <w:lang w:eastAsia="en-AU"/>
              </w:rPr>
              <w:t xml:space="preserve">Prescriber Instructions: </w:t>
            </w:r>
          </w:p>
          <w:p w14:paraId="63389942" w14:textId="77777777"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Progressive disease is defined as at least 1 of the following:</w:t>
            </w:r>
          </w:p>
          <w:p w14:paraId="0D5C5CDC" w14:textId="77777777"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(a) at least a 25% increase and an absolute increase of at least 5 g per L in serum M protein (monoclonal protein); or</w:t>
            </w:r>
          </w:p>
          <w:p w14:paraId="2B631C45" w14:textId="6815C9CD"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(b) at least a 25% increase in 24</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hour urinary light chain M protein excretion, and an absolute increase of at least 200 mg per 24 hours; or</w:t>
            </w:r>
          </w:p>
          <w:p w14:paraId="14404D53" w14:textId="0C7975EB"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(c) in oligo</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secretory and non</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secretory myeloma patients only, at least a 50% increase in the difference between involved free light chain and uninvolved free light chain; or</w:t>
            </w:r>
          </w:p>
          <w:p w14:paraId="01E31CDB" w14:textId="77777777"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(d) at least a 25% relative increase and at least a 10% absolute increase in plasma cells in a bone marrow aspirate or on biopsy; or</w:t>
            </w:r>
          </w:p>
          <w:p w14:paraId="00D6BDC7" w14:textId="77777777"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(e) an increase in the size or number of lytic bone lesions (not including compression fractures); or</w:t>
            </w:r>
          </w:p>
          <w:p w14:paraId="493B21F5" w14:textId="77777777"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(f) at least a 25% increase in the size of an existing or the development of a new soft tissue plasmacytoma (determined by clinical examination or diagnostic imaging); or</w:t>
            </w:r>
          </w:p>
          <w:p w14:paraId="7C929A59" w14:textId="77777777"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(g) development of hypercalcaemia (corrected serum calcium greater than 2.65 mmol per L not attributable to any other cause).</w:t>
            </w:r>
          </w:p>
          <w:p w14:paraId="1F383A13" w14:textId="77777777"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p>
          <w:p w14:paraId="4B18BA8D" w14:textId="1405A485"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Oligo</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secretory and non</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secretory patients are defined as having active disease with less than 10 g per L serum M protein.</w:t>
            </w:r>
          </w:p>
          <w:p w14:paraId="0EB99049" w14:textId="77777777"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 xml:space="preserve">Details </w:t>
            </w:r>
            <w:proofErr w:type="gramStart"/>
            <w:r w:rsidRPr="000160C3">
              <w:rPr>
                <w:rFonts w:ascii="Arial Narrow" w:eastAsia="MS Mincho" w:hAnsi="Arial Narrow" w:cs="Arial Narrow"/>
                <w:i/>
                <w:iCs/>
                <w:spacing w:val="-2"/>
                <w:sz w:val="20"/>
                <w:szCs w:val="20"/>
                <w:lang w:eastAsia="en-AU"/>
              </w:rPr>
              <w:t>of:</w:t>
            </w:r>
            <w:proofErr w:type="gramEnd"/>
            <w:r w:rsidRPr="000160C3">
              <w:rPr>
                <w:rFonts w:ascii="Arial Narrow" w:eastAsia="MS Mincho" w:hAnsi="Arial Narrow" w:cs="Arial Narrow"/>
                <w:i/>
                <w:iCs/>
                <w:spacing w:val="-2"/>
                <w:sz w:val="20"/>
                <w:szCs w:val="20"/>
                <w:lang w:eastAsia="en-AU"/>
              </w:rPr>
              <w:t xml:space="preserve">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w:t>
            </w:r>
          </w:p>
          <w:p w14:paraId="7FE10AEB" w14:textId="77777777"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p>
          <w:p w14:paraId="776CE7BB" w14:textId="77777777"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Confirmation of eligibility for treatment with current diagnostic reports of at least one of the following must be documented in the patient's medical records:</w:t>
            </w:r>
          </w:p>
          <w:p w14:paraId="2802F5A2" w14:textId="77777777"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p>
          <w:p w14:paraId="149615B4" w14:textId="77777777"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(a) the level of serum monoclonal protein; or</w:t>
            </w:r>
          </w:p>
          <w:p w14:paraId="5CCB69AA" w14:textId="3EF232F2"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(b) Bence</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 xml:space="preserve">Jones proteinuria </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 xml:space="preserve"> the results of 24</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hour urinary light chain M protein excretion; or</w:t>
            </w:r>
          </w:p>
          <w:p w14:paraId="02A17F58" w14:textId="77777777"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(c) the serum level of free kappa and lambda light chains; or</w:t>
            </w:r>
          </w:p>
          <w:p w14:paraId="089F0B9E" w14:textId="77777777"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(d) bone marrow aspirate or trephine; or</w:t>
            </w:r>
          </w:p>
          <w:p w14:paraId="588D6C2A" w14:textId="77777777"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(e) if present, the size and location of lytic bone lesions (not including compression fractures); or</w:t>
            </w:r>
          </w:p>
          <w:p w14:paraId="447B67D5" w14:textId="4DECD999"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(f) if present, the size and location of all soft tissue plasmacytomas by clinical or radiographic examination i.e. MRI or CT</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scan; or</w:t>
            </w:r>
          </w:p>
          <w:p w14:paraId="4D4B261A" w14:textId="77777777"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(g) if present, the level of hypercalcaemia, corrected for albumin concentration.</w:t>
            </w:r>
          </w:p>
          <w:p w14:paraId="57019779" w14:textId="77777777"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p>
          <w:p w14:paraId="731CE99A" w14:textId="4F571CC5"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As these parameters must be used to determine response, results for either (a) or (b) or (c) should be documented for all patients. Where the patient has oligo</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secretory or non</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secretory multiple myeloma, either (c) or (d) or if relevant (e), (f) or (g) must be documented in the patient's medical records. Where the prescriber plans to assess response in patients with oligo</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secretory or non</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secretory multiple myeloma with free light chain assays, evidence of the oligo</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secretory or non</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secretory nature of the multiple myeloma (current serum M protein less than 10 g per L) must be documented in the patient's medical records.</w:t>
            </w:r>
          </w:p>
          <w:p w14:paraId="373AA152" w14:textId="77777777" w:rsidR="005638C1" w:rsidRPr="000160C3" w:rsidRDefault="005638C1" w:rsidP="001C47F4">
            <w:pPr>
              <w:kinsoku w:val="0"/>
              <w:overflowPunct w:val="0"/>
              <w:autoSpaceDE w:val="0"/>
              <w:autoSpaceDN w:val="0"/>
              <w:adjustRightInd w:val="0"/>
              <w:rPr>
                <w:rFonts w:ascii="Arial Narrow" w:eastAsia="MS Mincho" w:hAnsi="Arial Narrow" w:cs="Arial Narrow"/>
                <w:i/>
                <w:iCs/>
                <w:spacing w:val="-2"/>
                <w:sz w:val="20"/>
                <w:szCs w:val="20"/>
                <w:lang w:eastAsia="en-AU"/>
              </w:rPr>
            </w:pPr>
          </w:p>
          <w:p w14:paraId="5F4BA1AD" w14:textId="77777777" w:rsidR="005638C1" w:rsidRPr="000160C3" w:rsidRDefault="005638C1" w:rsidP="001C47F4">
            <w:pPr>
              <w:rPr>
                <w:rFonts w:ascii="Arial Narrow" w:hAnsi="Arial Narrow" w:cs="Arial"/>
                <w:i/>
                <w:iCs/>
                <w:spacing w:val="-2"/>
                <w:sz w:val="20"/>
                <w:szCs w:val="20"/>
                <w:lang w:eastAsia="en-AU"/>
              </w:rPr>
            </w:pPr>
            <w:r w:rsidRPr="000160C3">
              <w:rPr>
                <w:rFonts w:ascii="Arial Narrow" w:hAnsi="Arial Narrow" w:cs="Arial"/>
                <w:i/>
                <w:iCs/>
                <w:spacing w:val="-2"/>
                <w:sz w:val="20"/>
                <w:szCs w:val="20"/>
                <w:lang w:eastAsia="en-AU"/>
              </w:rPr>
              <w:t>Refractory disease is defined as less than or equal to a 25% response to therapy, or progression during or within 60 days after completion of therapy</w:t>
            </w:r>
          </w:p>
        </w:tc>
      </w:tr>
      <w:tr w:rsidR="005638C1" w:rsidRPr="000160C3" w14:paraId="3421E02E"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70489A8" w14:textId="77777777" w:rsidR="005638C1" w:rsidRPr="000160C3" w:rsidRDefault="005638C1" w:rsidP="001C47F4">
            <w:pPr>
              <w:kinsoku w:val="0"/>
              <w:overflowPunct w:val="0"/>
              <w:autoSpaceDE w:val="0"/>
              <w:autoSpaceDN w:val="0"/>
              <w:adjustRightInd w:val="0"/>
              <w:rPr>
                <w:rFonts w:ascii="Arial Narrow" w:eastAsia="MS Mincho" w:hAnsi="Arial Narrow" w:cs="Arial Narrow"/>
                <w:b/>
                <w:bCs/>
                <w:i/>
                <w:iCs/>
                <w:spacing w:val="-2"/>
                <w:sz w:val="20"/>
                <w:szCs w:val="20"/>
                <w:lang w:eastAsia="en-AU"/>
              </w:rPr>
            </w:pPr>
            <w:r w:rsidRPr="000160C3">
              <w:rPr>
                <w:rFonts w:ascii="Arial Narrow" w:eastAsia="Calibri" w:hAnsi="Arial Narrow" w:cs="Arial"/>
                <w:b/>
                <w:i/>
                <w:iCs/>
                <w:sz w:val="20"/>
                <w:szCs w:val="20"/>
                <w:lang w:eastAsia="en-AU"/>
              </w:rPr>
              <w:t>Administrative advice:</w:t>
            </w:r>
            <w:r w:rsidRPr="000160C3">
              <w:rPr>
                <w:rFonts w:ascii="Arial Narrow" w:eastAsia="Calibri" w:hAnsi="Arial Narrow" w:cs="Arial"/>
                <w:bCs/>
                <w:i/>
                <w:iCs/>
                <w:sz w:val="20"/>
                <w:szCs w:val="20"/>
                <w:lang w:eastAsia="en-AU"/>
              </w:rPr>
              <w:t xml:space="preserve"> No increase in the maximum number of repeats may be authorised</w:t>
            </w:r>
          </w:p>
        </w:tc>
      </w:tr>
      <w:tr w:rsidR="005638C1" w:rsidRPr="000160C3" w14:paraId="7B235256"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E3ED2A1" w14:textId="77777777" w:rsidR="005638C1" w:rsidRPr="000160C3" w:rsidRDefault="005638C1" w:rsidP="001C47F4">
            <w:pPr>
              <w:kinsoku w:val="0"/>
              <w:overflowPunct w:val="0"/>
              <w:autoSpaceDE w:val="0"/>
              <w:autoSpaceDN w:val="0"/>
              <w:adjustRightInd w:val="0"/>
              <w:rPr>
                <w:rFonts w:ascii="Arial Narrow" w:eastAsia="MS Mincho" w:hAnsi="Arial Narrow" w:cs="Arial Narrow"/>
                <w:b/>
                <w:bCs/>
                <w:spacing w:val="-2"/>
                <w:sz w:val="20"/>
                <w:szCs w:val="20"/>
                <w:lang w:eastAsia="en-AU"/>
              </w:rPr>
            </w:pPr>
            <w:r w:rsidRPr="000160C3">
              <w:rPr>
                <w:rFonts w:ascii="Arial Narrow" w:eastAsia="Calibri" w:hAnsi="Arial Narrow" w:cs="Arial"/>
                <w:b/>
                <w:sz w:val="20"/>
                <w:szCs w:val="20"/>
                <w:lang w:eastAsia="en-AU"/>
              </w:rPr>
              <w:t>Administrative advice:</w:t>
            </w:r>
            <w:r w:rsidRPr="000160C3">
              <w:rPr>
                <w:rFonts w:ascii="Arial Narrow" w:eastAsia="Calibri" w:hAnsi="Arial Narrow" w:cs="Arial"/>
                <w:bCs/>
                <w:sz w:val="20"/>
                <w:szCs w:val="20"/>
                <w:lang w:eastAsia="en-AU"/>
              </w:rPr>
              <w:t xml:space="preserve"> Special pricing arrangements apply</w:t>
            </w:r>
          </w:p>
        </w:tc>
      </w:tr>
      <w:tr w:rsidR="005638C1" w:rsidRPr="000160C3" w14:paraId="51C97ACF" w14:textId="77777777" w:rsidTr="005638C1">
        <w:tc>
          <w:tcPr>
            <w:tcW w:w="921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185033" w14:textId="77777777" w:rsidR="005638C1" w:rsidRPr="000160C3" w:rsidRDefault="005638C1" w:rsidP="001C47F4">
            <w:pPr>
              <w:kinsoku w:val="0"/>
              <w:overflowPunct w:val="0"/>
              <w:autoSpaceDE w:val="0"/>
              <w:autoSpaceDN w:val="0"/>
              <w:adjustRightInd w:val="0"/>
              <w:rPr>
                <w:rFonts w:ascii="Arial Narrow" w:eastAsia="MS Mincho" w:hAnsi="Arial Narrow" w:cs="Arial Narrow"/>
                <w:b/>
                <w:bCs/>
                <w:i/>
                <w:iCs/>
                <w:spacing w:val="-2"/>
                <w:sz w:val="20"/>
                <w:szCs w:val="20"/>
                <w:lang w:eastAsia="en-AU"/>
              </w:rPr>
            </w:pPr>
            <w:r w:rsidRPr="000160C3">
              <w:rPr>
                <w:rFonts w:ascii="Arial Narrow" w:eastAsia="Calibri" w:hAnsi="Arial Narrow" w:cs="Arial"/>
                <w:b/>
                <w:i/>
                <w:iCs/>
                <w:sz w:val="20"/>
                <w:szCs w:val="20"/>
                <w:lang w:eastAsia="en-AU"/>
              </w:rPr>
              <w:t>Administrative Advice:</w:t>
            </w:r>
            <w:r w:rsidRPr="000160C3">
              <w:rPr>
                <w:rFonts w:ascii="Arial Narrow" w:eastAsia="Calibri" w:hAnsi="Arial Narrow" w:cs="Arial"/>
                <w:bCs/>
                <w:i/>
                <w:iCs/>
                <w:sz w:val="20"/>
                <w:szCs w:val="20"/>
                <w:lang w:eastAsia="en-AU"/>
              </w:rPr>
              <w:t xml:space="preserve"> Applications for authorisation under this restriction may be made in real time using the Online PBS Authorities system (see www.servicesaustralia.gov.au/HPOS) or by telephone by contacting Services Australia on 1800 888 333.</w:t>
            </w:r>
          </w:p>
        </w:tc>
      </w:tr>
    </w:tbl>
    <w:p w14:paraId="39793F93" w14:textId="77777777" w:rsidR="00D75787" w:rsidRPr="000160C3" w:rsidRDefault="00D75787" w:rsidP="001C47F4">
      <w:pPr>
        <w:rPr>
          <w:rFonts w:ascii="Calibri" w:hAnsi="Calibri" w:cs="Arial"/>
          <w:color w:val="C4BC96" w:themeColor="background2" w:themeShade="BF"/>
          <w:lang w:eastAsia="en-AU"/>
        </w:rPr>
      </w:pPr>
    </w:p>
    <w:p w14:paraId="7B88C536" w14:textId="77777777" w:rsidR="00D75787" w:rsidRPr="000160C3" w:rsidRDefault="00D75787" w:rsidP="001C47F4">
      <w:pPr>
        <w:keepNext/>
        <w:keepLines/>
        <w:rPr>
          <w:b/>
          <w:bCs/>
          <w:i/>
        </w:rPr>
      </w:pPr>
      <w:r w:rsidRPr="000160C3">
        <w:rPr>
          <w:b/>
          <w:bCs/>
        </w:rPr>
        <w:lastRenderedPageBreak/>
        <w:t>Continuing treatment: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quested listing - Continuing treatment"/>
      </w:tblPr>
      <w:tblGrid>
        <w:gridCol w:w="6"/>
        <w:gridCol w:w="3677"/>
        <w:gridCol w:w="1066"/>
        <w:gridCol w:w="888"/>
        <w:gridCol w:w="1080"/>
        <w:gridCol w:w="960"/>
        <w:gridCol w:w="1537"/>
      </w:tblGrid>
      <w:tr w:rsidR="00D75787" w:rsidRPr="000160C3" w14:paraId="4371BD4B" w14:textId="77777777" w:rsidTr="005638C1">
        <w:trPr>
          <w:gridBefore w:val="1"/>
          <w:wBefore w:w="6" w:type="dxa"/>
          <w:cantSplit/>
          <w:trHeight w:val="20"/>
        </w:trPr>
        <w:tc>
          <w:tcPr>
            <w:tcW w:w="3677" w:type="dxa"/>
            <w:tcBorders>
              <w:top w:val="single" w:sz="4" w:space="0" w:color="auto"/>
              <w:left w:val="single" w:sz="4" w:space="0" w:color="auto"/>
              <w:bottom w:val="single" w:sz="4" w:space="0" w:color="auto"/>
              <w:right w:val="single" w:sz="4" w:space="0" w:color="auto"/>
            </w:tcBorders>
            <w:vAlign w:val="center"/>
            <w:hideMark/>
          </w:tcPr>
          <w:p w14:paraId="4902AE84" w14:textId="77777777" w:rsidR="00D75787" w:rsidRPr="000160C3" w:rsidRDefault="00D75787" w:rsidP="001C47F4">
            <w:pPr>
              <w:keepNext/>
              <w:keepLines/>
              <w:rPr>
                <w:rFonts w:ascii="Arial Narrow" w:hAnsi="Arial Narrow" w:cs="Arial"/>
                <w:b/>
                <w:bCs/>
                <w:color w:val="000000" w:themeColor="text1"/>
                <w:sz w:val="20"/>
                <w:szCs w:val="20"/>
                <w:lang w:eastAsia="en-AU"/>
              </w:rPr>
            </w:pPr>
            <w:r w:rsidRPr="000160C3">
              <w:rPr>
                <w:rFonts w:ascii="Arial Narrow" w:hAnsi="Arial Narrow" w:cs="Arial"/>
                <w:b/>
                <w:bCs/>
                <w:color w:val="000000" w:themeColor="text1"/>
                <w:sz w:val="20"/>
                <w:szCs w:val="20"/>
                <w:lang w:eastAsia="en-AU"/>
              </w:rPr>
              <w:t>MEDICINAL PRODUCT</w:t>
            </w:r>
          </w:p>
          <w:p w14:paraId="06EDC836" w14:textId="77777777" w:rsidR="00D75787" w:rsidRPr="000160C3" w:rsidRDefault="00D75787" w:rsidP="001C47F4">
            <w:pPr>
              <w:keepNext/>
              <w:keepLines/>
              <w:rPr>
                <w:rFonts w:ascii="Arial Narrow" w:hAnsi="Arial Narrow" w:cs="Arial"/>
                <w:b/>
                <w:color w:val="000000" w:themeColor="text1"/>
                <w:sz w:val="20"/>
                <w:szCs w:val="20"/>
                <w:lang w:eastAsia="en-AU"/>
              </w:rPr>
            </w:pPr>
            <w:r w:rsidRPr="000160C3">
              <w:rPr>
                <w:rFonts w:ascii="Arial Narrow" w:hAnsi="Arial Narrow" w:cs="Arial"/>
                <w:b/>
                <w:bCs/>
                <w:color w:val="000000" w:themeColor="text1"/>
                <w:sz w:val="20"/>
                <w:szCs w:val="20"/>
                <w:lang w:eastAsia="en-AU"/>
              </w:rPr>
              <w:t>medicinal product pack</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B267351" w14:textId="77777777" w:rsidR="00D75787" w:rsidRPr="000160C3" w:rsidRDefault="00D75787" w:rsidP="001C47F4">
            <w:pPr>
              <w:keepNext/>
              <w:keepLines/>
              <w:jc w:val="center"/>
              <w:rPr>
                <w:rFonts w:ascii="Arial Narrow" w:hAnsi="Arial Narrow" w:cs="Arial"/>
                <w:b/>
                <w:color w:val="000000" w:themeColor="text1"/>
                <w:sz w:val="20"/>
                <w:szCs w:val="20"/>
                <w:lang w:eastAsia="en-AU"/>
              </w:rPr>
            </w:pPr>
            <w:r w:rsidRPr="000160C3">
              <w:rPr>
                <w:rFonts w:ascii="Arial Narrow" w:hAnsi="Arial Narrow" w:cs="Arial"/>
                <w:b/>
                <w:color w:val="000000" w:themeColor="text1"/>
                <w:sz w:val="20"/>
                <w:szCs w:val="20"/>
                <w:lang w:eastAsia="en-AU"/>
              </w:rPr>
              <w:t>PBS item code</w:t>
            </w:r>
          </w:p>
        </w:tc>
        <w:tc>
          <w:tcPr>
            <w:tcW w:w="888" w:type="dxa"/>
            <w:tcBorders>
              <w:top w:val="single" w:sz="4" w:space="0" w:color="auto"/>
              <w:left w:val="single" w:sz="4" w:space="0" w:color="auto"/>
              <w:bottom w:val="single" w:sz="4" w:space="0" w:color="auto"/>
              <w:right w:val="single" w:sz="4" w:space="0" w:color="auto"/>
            </w:tcBorders>
            <w:vAlign w:val="center"/>
            <w:hideMark/>
          </w:tcPr>
          <w:p w14:paraId="3D22D101" w14:textId="77777777" w:rsidR="00D75787" w:rsidRPr="000160C3" w:rsidRDefault="00D75787" w:rsidP="001C47F4">
            <w:pPr>
              <w:keepNext/>
              <w:keepLines/>
              <w:jc w:val="center"/>
              <w:rPr>
                <w:rFonts w:ascii="Arial Narrow" w:hAnsi="Arial Narrow" w:cs="Arial"/>
                <w:b/>
                <w:color w:val="000000" w:themeColor="text1"/>
                <w:sz w:val="20"/>
                <w:szCs w:val="20"/>
                <w:lang w:eastAsia="en-AU"/>
              </w:rPr>
            </w:pPr>
            <w:r w:rsidRPr="000160C3">
              <w:rPr>
                <w:rFonts w:ascii="Arial Narrow" w:hAnsi="Arial Narrow" w:cs="Arial"/>
                <w:b/>
                <w:color w:val="000000" w:themeColor="text1"/>
                <w:sz w:val="20"/>
                <w:szCs w:val="20"/>
                <w:lang w:eastAsia="en-AU"/>
              </w:rPr>
              <w:t>Max. qty packs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B8E076" w14:textId="77777777" w:rsidR="00D75787" w:rsidRPr="000160C3" w:rsidRDefault="00D75787" w:rsidP="001C47F4">
            <w:pPr>
              <w:keepNext/>
              <w:keepLines/>
              <w:jc w:val="center"/>
              <w:rPr>
                <w:rFonts w:ascii="Arial Narrow" w:hAnsi="Arial Narrow" w:cs="Arial"/>
                <w:b/>
                <w:color w:val="000000" w:themeColor="text1"/>
                <w:sz w:val="20"/>
                <w:szCs w:val="20"/>
                <w:lang w:eastAsia="en-AU"/>
              </w:rPr>
            </w:pPr>
            <w:r w:rsidRPr="000160C3">
              <w:rPr>
                <w:rFonts w:ascii="Arial Narrow" w:hAnsi="Arial Narrow" w:cs="Arial"/>
                <w:b/>
                <w:color w:val="000000" w:themeColor="text1"/>
                <w:sz w:val="20"/>
                <w:szCs w:val="20"/>
                <w:lang w:eastAsia="en-AU"/>
              </w:rPr>
              <w:t>Max. qty units</w:t>
            </w:r>
          </w:p>
        </w:tc>
        <w:tc>
          <w:tcPr>
            <w:tcW w:w="960" w:type="dxa"/>
            <w:tcBorders>
              <w:top w:val="single" w:sz="4" w:space="0" w:color="auto"/>
              <w:left w:val="single" w:sz="4" w:space="0" w:color="auto"/>
              <w:bottom w:val="single" w:sz="4" w:space="0" w:color="auto"/>
              <w:right w:val="single" w:sz="4" w:space="0" w:color="auto"/>
            </w:tcBorders>
            <w:vAlign w:val="center"/>
            <w:hideMark/>
          </w:tcPr>
          <w:p w14:paraId="7E880B8B" w14:textId="77777777" w:rsidR="00D75787" w:rsidRPr="000160C3" w:rsidRDefault="00D75787" w:rsidP="001C47F4">
            <w:pPr>
              <w:keepNext/>
              <w:keepLines/>
              <w:jc w:val="center"/>
              <w:rPr>
                <w:rFonts w:ascii="Arial Narrow" w:hAnsi="Arial Narrow" w:cs="Arial"/>
                <w:b/>
                <w:color w:val="000000" w:themeColor="text1"/>
                <w:sz w:val="20"/>
                <w:szCs w:val="20"/>
                <w:lang w:eastAsia="en-AU"/>
              </w:rPr>
            </w:pPr>
            <w:r w:rsidRPr="000160C3">
              <w:rPr>
                <w:rFonts w:ascii="Arial Narrow" w:hAnsi="Arial Narrow" w:cs="Arial"/>
                <w:b/>
                <w:color w:val="000000" w:themeColor="text1"/>
                <w:sz w:val="20"/>
                <w:szCs w:val="20"/>
                <w:lang w:eastAsia="en-AU"/>
              </w:rPr>
              <w:t>№.of</w:t>
            </w:r>
          </w:p>
          <w:p w14:paraId="442FDD4A" w14:textId="77777777" w:rsidR="00D75787" w:rsidRPr="000160C3" w:rsidRDefault="00D75787" w:rsidP="001C47F4">
            <w:pPr>
              <w:keepNext/>
              <w:keepLines/>
              <w:jc w:val="center"/>
              <w:rPr>
                <w:rFonts w:ascii="Arial Narrow" w:hAnsi="Arial Narrow" w:cs="Arial"/>
                <w:b/>
                <w:color w:val="000000" w:themeColor="text1"/>
                <w:sz w:val="20"/>
                <w:szCs w:val="20"/>
                <w:lang w:eastAsia="en-AU"/>
              </w:rPr>
            </w:pPr>
            <w:r w:rsidRPr="000160C3">
              <w:rPr>
                <w:rFonts w:ascii="Arial Narrow" w:hAnsi="Arial Narrow" w:cs="Arial"/>
                <w:b/>
                <w:color w:val="000000" w:themeColor="text1"/>
                <w:sz w:val="20"/>
                <w:szCs w:val="20"/>
                <w:lang w:eastAsia="en-AU"/>
              </w:rPr>
              <w:t>Rpts</w:t>
            </w:r>
          </w:p>
        </w:tc>
        <w:tc>
          <w:tcPr>
            <w:tcW w:w="1537" w:type="dxa"/>
            <w:tcBorders>
              <w:top w:val="single" w:sz="4" w:space="0" w:color="auto"/>
              <w:left w:val="single" w:sz="4" w:space="0" w:color="auto"/>
              <w:bottom w:val="single" w:sz="4" w:space="0" w:color="auto"/>
              <w:right w:val="single" w:sz="4" w:space="0" w:color="auto"/>
            </w:tcBorders>
            <w:vAlign w:val="center"/>
            <w:hideMark/>
          </w:tcPr>
          <w:p w14:paraId="7B493B38" w14:textId="77777777" w:rsidR="00D75787" w:rsidRPr="000160C3" w:rsidRDefault="00D75787" w:rsidP="001C47F4">
            <w:pPr>
              <w:keepNext/>
              <w:keepLines/>
              <w:rPr>
                <w:rFonts w:ascii="Arial Narrow" w:hAnsi="Arial Narrow" w:cs="Arial"/>
                <w:b/>
                <w:color w:val="000000" w:themeColor="text1"/>
                <w:sz w:val="20"/>
                <w:szCs w:val="20"/>
                <w:lang w:eastAsia="en-AU"/>
              </w:rPr>
            </w:pPr>
            <w:r w:rsidRPr="000160C3">
              <w:rPr>
                <w:rFonts w:ascii="Arial Narrow" w:hAnsi="Arial Narrow" w:cs="Arial"/>
                <w:b/>
                <w:color w:val="000000" w:themeColor="text1"/>
                <w:sz w:val="20"/>
                <w:szCs w:val="20"/>
                <w:lang w:eastAsia="en-AU"/>
              </w:rPr>
              <w:t>Available brands</w:t>
            </w:r>
          </w:p>
        </w:tc>
      </w:tr>
      <w:tr w:rsidR="00D75787" w:rsidRPr="000160C3" w14:paraId="752AE802" w14:textId="77777777" w:rsidTr="005638C1">
        <w:trPr>
          <w:gridBefore w:val="1"/>
          <w:wBefore w:w="6" w:type="dxa"/>
          <w:cantSplit/>
          <w:trHeight w:val="20"/>
        </w:trPr>
        <w:tc>
          <w:tcPr>
            <w:tcW w:w="9208" w:type="dxa"/>
            <w:gridSpan w:val="6"/>
            <w:tcBorders>
              <w:top w:val="single" w:sz="4" w:space="0" w:color="auto"/>
              <w:left w:val="single" w:sz="4" w:space="0" w:color="auto"/>
              <w:bottom w:val="single" w:sz="4" w:space="0" w:color="auto"/>
              <w:right w:val="single" w:sz="4" w:space="0" w:color="auto"/>
            </w:tcBorders>
            <w:vAlign w:val="center"/>
            <w:hideMark/>
          </w:tcPr>
          <w:p w14:paraId="7D77BA16" w14:textId="77777777" w:rsidR="00D75787" w:rsidRPr="000160C3" w:rsidRDefault="00D75787" w:rsidP="001C47F4">
            <w:pPr>
              <w:keepNext/>
              <w:keepLines/>
              <w:rPr>
                <w:rFonts w:ascii="Arial Narrow" w:hAnsi="Arial Narrow" w:cs="Arial"/>
                <w:color w:val="000000" w:themeColor="text1"/>
                <w:sz w:val="20"/>
                <w:szCs w:val="20"/>
                <w:lang w:eastAsia="en-AU"/>
              </w:rPr>
            </w:pPr>
            <w:r w:rsidRPr="000160C3">
              <w:rPr>
                <w:rFonts w:ascii="Arial Narrow" w:hAnsi="Arial Narrow" w:cs="Arial"/>
                <w:bCs/>
                <w:color w:val="000000" w:themeColor="text1"/>
                <w:sz w:val="20"/>
                <w:szCs w:val="20"/>
                <w:lang w:eastAsia="en-AU"/>
              </w:rPr>
              <w:t>ELRANATAMAB</w:t>
            </w:r>
          </w:p>
        </w:tc>
      </w:tr>
      <w:tr w:rsidR="00D75787" w:rsidRPr="000160C3" w14:paraId="739B15A5" w14:textId="77777777" w:rsidTr="005638C1">
        <w:trPr>
          <w:gridBefore w:val="1"/>
          <w:wBefore w:w="6" w:type="dxa"/>
          <w:cantSplit/>
          <w:trHeight w:val="20"/>
        </w:trPr>
        <w:tc>
          <w:tcPr>
            <w:tcW w:w="3677" w:type="dxa"/>
            <w:tcBorders>
              <w:top w:val="single" w:sz="4" w:space="0" w:color="auto"/>
              <w:left w:val="single" w:sz="4" w:space="0" w:color="auto"/>
              <w:bottom w:val="single" w:sz="4" w:space="0" w:color="auto"/>
              <w:right w:val="single" w:sz="4" w:space="0" w:color="auto"/>
            </w:tcBorders>
            <w:vAlign w:val="center"/>
            <w:hideMark/>
          </w:tcPr>
          <w:p w14:paraId="0A13850C" w14:textId="77777777" w:rsidR="00D75787" w:rsidRPr="000160C3" w:rsidRDefault="00D75787" w:rsidP="001C47F4">
            <w:pPr>
              <w:keepNext/>
              <w:keepLines/>
              <w:rPr>
                <w:rFonts w:ascii="Arial Narrow" w:hAnsi="Arial Narrow" w:cs="Arial"/>
                <w:sz w:val="20"/>
                <w:szCs w:val="20"/>
                <w:lang w:eastAsia="en-AU"/>
              </w:rPr>
            </w:pPr>
            <w:r w:rsidRPr="000160C3">
              <w:rPr>
                <w:rFonts w:ascii="Arial Narrow" w:hAnsi="Arial Narrow" w:cs="Arial"/>
                <w:sz w:val="20"/>
                <w:szCs w:val="20"/>
                <w:lang w:eastAsia="en-AU"/>
              </w:rPr>
              <w:t>Teclistamab</w:t>
            </w:r>
            <w:r w:rsidRPr="000160C3">
              <w:rPr>
                <w:rFonts w:ascii="Arial Narrow" w:hAnsi="Arial Narrow" w:cs="Arial"/>
                <w:strike/>
                <w:sz w:val="20"/>
                <w:szCs w:val="20"/>
                <w:lang w:eastAsia="en-AU"/>
              </w:rPr>
              <w:t>, subcutaneous vial,</w:t>
            </w:r>
            <w:r w:rsidRPr="000160C3">
              <w:rPr>
                <w:rFonts w:ascii="Arial Narrow" w:hAnsi="Arial Narrow" w:cs="Arial"/>
                <w:sz w:val="20"/>
                <w:szCs w:val="20"/>
                <w:lang w:eastAsia="en-AU"/>
              </w:rPr>
              <w:t xml:space="preserve"> 153 mg</w:t>
            </w:r>
            <w:r w:rsidRPr="000160C3">
              <w:rPr>
                <w:rFonts w:ascii="Arial Narrow" w:hAnsi="Arial Narrow" w:cs="Arial"/>
                <w:i/>
                <w:iCs/>
                <w:sz w:val="20"/>
                <w:szCs w:val="20"/>
                <w:lang w:eastAsia="en-AU"/>
              </w:rPr>
              <w:t>/1.7 mL injection, vial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9E3DBA0" w14:textId="77777777" w:rsidR="00D75787" w:rsidRPr="000160C3" w:rsidRDefault="00D75787" w:rsidP="001C47F4">
            <w:pPr>
              <w:keepNext/>
              <w:keepLines/>
              <w:jc w:val="center"/>
              <w:rPr>
                <w:rFonts w:ascii="Arial Narrow" w:hAnsi="Arial Narrow" w:cs="Arial"/>
                <w:sz w:val="20"/>
                <w:szCs w:val="20"/>
                <w:lang w:eastAsia="en-AU"/>
              </w:rPr>
            </w:pPr>
            <w:r w:rsidRPr="000160C3">
              <w:rPr>
                <w:rFonts w:ascii="Arial Narrow" w:hAnsi="Arial Narrow" w:cs="Arial"/>
                <w:sz w:val="20"/>
                <w:szCs w:val="20"/>
                <w:lang w:eastAsia="en-AU"/>
              </w:rPr>
              <w:t>NEW (CT)</w:t>
            </w:r>
          </w:p>
        </w:tc>
        <w:tc>
          <w:tcPr>
            <w:tcW w:w="888" w:type="dxa"/>
            <w:tcBorders>
              <w:top w:val="single" w:sz="4" w:space="0" w:color="auto"/>
              <w:left w:val="single" w:sz="4" w:space="0" w:color="auto"/>
              <w:bottom w:val="single" w:sz="4" w:space="0" w:color="auto"/>
              <w:right w:val="single" w:sz="4" w:space="0" w:color="auto"/>
            </w:tcBorders>
            <w:vAlign w:val="center"/>
            <w:hideMark/>
          </w:tcPr>
          <w:p w14:paraId="256D60CB" w14:textId="77777777" w:rsidR="00D75787" w:rsidRPr="000160C3" w:rsidRDefault="00D75787" w:rsidP="001C47F4">
            <w:pPr>
              <w:keepNext/>
              <w:keepLines/>
              <w:jc w:val="center"/>
              <w:rPr>
                <w:rFonts w:ascii="Arial Narrow" w:hAnsi="Arial Narrow" w:cs="Arial"/>
                <w:color w:val="000000" w:themeColor="text1"/>
                <w:sz w:val="20"/>
                <w:szCs w:val="20"/>
                <w:lang w:eastAsia="en-AU"/>
              </w:rPr>
            </w:pPr>
            <w:r w:rsidRPr="000160C3">
              <w:rPr>
                <w:rFonts w:ascii="Arial Narrow" w:hAnsi="Arial Narrow" w:cs="Arial"/>
                <w:color w:val="000000" w:themeColor="text1"/>
                <w:sz w:val="20"/>
                <w:szCs w:val="20"/>
                <w:lang w:eastAsia="en-AU"/>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271326" w14:textId="77777777" w:rsidR="00D75787" w:rsidRPr="000160C3" w:rsidRDefault="00D75787" w:rsidP="001C47F4">
            <w:pPr>
              <w:keepNext/>
              <w:keepLines/>
              <w:jc w:val="center"/>
              <w:rPr>
                <w:rFonts w:ascii="Arial Narrow" w:hAnsi="Arial Narrow" w:cs="Arial"/>
                <w:color w:val="000000" w:themeColor="text1"/>
                <w:sz w:val="20"/>
                <w:szCs w:val="20"/>
                <w:lang w:eastAsia="en-AU"/>
              </w:rPr>
            </w:pPr>
            <w:r w:rsidRPr="000160C3">
              <w:rPr>
                <w:rFonts w:ascii="Arial Narrow" w:hAnsi="Arial Narrow" w:cs="Arial"/>
                <w:color w:val="000000" w:themeColor="text1"/>
                <w:sz w:val="20"/>
                <w:szCs w:val="20"/>
                <w:lang w:eastAsia="en-AU"/>
              </w:rPr>
              <w:t>2</w:t>
            </w:r>
          </w:p>
        </w:tc>
        <w:tc>
          <w:tcPr>
            <w:tcW w:w="960" w:type="dxa"/>
            <w:tcBorders>
              <w:top w:val="single" w:sz="4" w:space="0" w:color="auto"/>
              <w:left w:val="single" w:sz="4" w:space="0" w:color="auto"/>
              <w:bottom w:val="single" w:sz="4" w:space="0" w:color="auto"/>
              <w:right w:val="single" w:sz="4" w:space="0" w:color="auto"/>
            </w:tcBorders>
            <w:vAlign w:val="center"/>
            <w:hideMark/>
          </w:tcPr>
          <w:p w14:paraId="26169CFB" w14:textId="77777777" w:rsidR="00D75787" w:rsidRPr="000160C3" w:rsidRDefault="00D75787" w:rsidP="001C47F4">
            <w:pPr>
              <w:keepNext/>
              <w:keepLines/>
              <w:jc w:val="center"/>
              <w:rPr>
                <w:rFonts w:ascii="Arial Narrow" w:hAnsi="Arial Narrow" w:cs="Arial"/>
                <w:color w:val="000000" w:themeColor="text1"/>
                <w:sz w:val="20"/>
                <w:szCs w:val="20"/>
                <w:lang w:eastAsia="en-AU"/>
              </w:rPr>
            </w:pPr>
            <w:r w:rsidRPr="000160C3">
              <w:rPr>
                <w:rFonts w:ascii="Arial Narrow" w:hAnsi="Arial Narrow" w:cs="Arial"/>
                <w:color w:val="000000" w:themeColor="text1"/>
                <w:sz w:val="20"/>
                <w:szCs w:val="20"/>
                <w:lang w:eastAsia="en-AU"/>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14:paraId="4C910C8B" w14:textId="77777777" w:rsidR="00D75787" w:rsidRPr="000160C3" w:rsidRDefault="00D75787" w:rsidP="001C47F4">
            <w:pPr>
              <w:keepNext/>
              <w:keepLines/>
              <w:rPr>
                <w:rFonts w:ascii="Arial Narrow" w:hAnsi="Arial Narrow" w:cs="Arial"/>
                <w:color w:val="000000" w:themeColor="text1"/>
                <w:sz w:val="20"/>
                <w:szCs w:val="20"/>
                <w:lang w:eastAsia="en-AU"/>
              </w:rPr>
            </w:pPr>
            <w:r w:rsidRPr="000160C3">
              <w:rPr>
                <w:rFonts w:ascii="Arial Narrow" w:hAnsi="Arial Narrow" w:cs="Arial"/>
                <w:color w:val="000000" w:themeColor="text1"/>
                <w:sz w:val="20"/>
                <w:szCs w:val="20"/>
                <w:lang w:eastAsia="en-AU"/>
              </w:rPr>
              <w:t>Tecvayli</w:t>
            </w:r>
          </w:p>
        </w:tc>
      </w:tr>
      <w:tr w:rsidR="00D75787" w:rsidRPr="000160C3" w14:paraId="15931C08" w14:textId="77777777" w:rsidTr="005638C1">
        <w:trPr>
          <w:gridBefore w:val="1"/>
          <w:wBefore w:w="6" w:type="dxa"/>
          <w:cantSplit/>
          <w:trHeight w:val="20"/>
        </w:trPr>
        <w:tc>
          <w:tcPr>
            <w:tcW w:w="3677" w:type="dxa"/>
            <w:tcBorders>
              <w:top w:val="single" w:sz="4" w:space="0" w:color="auto"/>
              <w:left w:val="single" w:sz="4" w:space="0" w:color="auto"/>
              <w:bottom w:val="single" w:sz="4" w:space="0" w:color="auto"/>
              <w:right w:val="single" w:sz="4" w:space="0" w:color="auto"/>
            </w:tcBorders>
            <w:vAlign w:val="center"/>
            <w:hideMark/>
          </w:tcPr>
          <w:p w14:paraId="1F9A6363" w14:textId="77777777" w:rsidR="00D75787" w:rsidRPr="000160C3" w:rsidRDefault="00D75787" w:rsidP="001C47F4">
            <w:pPr>
              <w:keepNext/>
              <w:keepLines/>
              <w:rPr>
                <w:rFonts w:ascii="Arial Narrow" w:hAnsi="Arial Narrow" w:cs="Arial"/>
                <w:sz w:val="20"/>
                <w:szCs w:val="20"/>
                <w:lang w:eastAsia="en-AU"/>
              </w:rPr>
            </w:pPr>
            <w:r w:rsidRPr="000160C3">
              <w:rPr>
                <w:rFonts w:ascii="Arial Narrow" w:hAnsi="Arial Narrow" w:cs="Arial"/>
                <w:sz w:val="20"/>
                <w:szCs w:val="20"/>
                <w:lang w:eastAsia="en-AU"/>
              </w:rPr>
              <w:t>Teclistamab</w:t>
            </w:r>
            <w:r w:rsidRPr="000160C3">
              <w:rPr>
                <w:rFonts w:ascii="Arial Narrow" w:hAnsi="Arial Narrow" w:cs="Arial"/>
                <w:strike/>
                <w:sz w:val="20"/>
                <w:szCs w:val="20"/>
                <w:lang w:eastAsia="en-AU"/>
              </w:rPr>
              <w:t>, subcutaneous vial,</w:t>
            </w:r>
            <w:r w:rsidRPr="000160C3">
              <w:rPr>
                <w:rFonts w:ascii="Arial Narrow" w:hAnsi="Arial Narrow" w:cs="Arial"/>
                <w:sz w:val="20"/>
                <w:szCs w:val="20"/>
                <w:lang w:eastAsia="en-AU"/>
              </w:rPr>
              <w:t xml:space="preserve"> 153 mg</w:t>
            </w:r>
            <w:r w:rsidRPr="000160C3">
              <w:rPr>
                <w:rFonts w:ascii="Arial Narrow" w:hAnsi="Arial Narrow" w:cs="Arial"/>
                <w:i/>
                <w:iCs/>
                <w:sz w:val="20"/>
                <w:szCs w:val="20"/>
                <w:lang w:eastAsia="en-AU"/>
              </w:rPr>
              <w:t>/1.7 mL injection, vial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0E39DF7" w14:textId="77777777" w:rsidR="00D75787" w:rsidRPr="000160C3" w:rsidRDefault="00D75787" w:rsidP="001C47F4">
            <w:pPr>
              <w:keepNext/>
              <w:keepLines/>
              <w:jc w:val="center"/>
              <w:rPr>
                <w:rFonts w:ascii="Arial Narrow" w:hAnsi="Arial Narrow" w:cs="Arial"/>
                <w:sz w:val="20"/>
                <w:szCs w:val="20"/>
                <w:lang w:eastAsia="en-AU"/>
              </w:rPr>
            </w:pPr>
            <w:r w:rsidRPr="000160C3">
              <w:rPr>
                <w:rFonts w:ascii="Arial Narrow" w:hAnsi="Arial Narrow" w:cs="Arial"/>
                <w:sz w:val="20"/>
                <w:szCs w:val="20"/>
                <w:lang w:eastAsia="en-AU"/>
              </w:rPr>
              <w:t>NEW (GE)</w:t>
            </w:r>
          </w:p>
        </w:tc>
        <w:tc>
          <w:tcPr>
            <w:tcW w:w="888" w:type="dxa"/>
            <w:tcBorders>
              <w:top w:val="single" w:sz="4" w:space="0" w:color="auto"/>
              <w:left w:val="single" w:sz="4" w:space="0" w:color="auto"/>
              <w:bottom w:val="single" w:sz="4" w:space="0" w:color="auto"/>
              <w:right w:val="single" w:sz="4" w:space="0" w:color="auto"/>
            </w:tcBorders>
            <w:vAlign w:val="center"/>
            <w:hideMark/>
          </w:tcPr>
          <w:p w14:paraId="372FCDC5" w14:textId="77777777" w:rsidR="00D75787" w:rsidRPr="000160C3" w:rsidRDefault="00D75787" w:rsidP="001C47F4">
            <w:pPr>
              <w:keepNext/>
              <w:keepLines/>
              <w:jc w:val="center"/>
              <w:rPr>
                <w:rFonts w:ascii="Arial Narrow" w:hAnsi="Arial Narrow" w:cs="Arial"/>
                <w:color w:val="000000" w:themeColor="text1"/>
                <w:sz w:val="20"/>
                <w:szCs w:val="20"/>
                <w:lang w:eastAsia="en-AU"/>
              </w:rPr>
            </w:pPr>
            <w:r w:rsidRPr="000160C3">
              <w:rPr>
                <w:rFonts w:ascii="Arial Narrow" w:hAnsi="Arial Narrow" w:cs="Arial"/>
                <w:color w:val="000000" w:themeColor="text1"/>
                <w:sz w:val="20"/>
                <w:szCs w:val="20"/>
                <w:lang w:eastAsia="en-AU"/>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F5CB85" w14:textId="77777777" w:rsidR="00D75787" w:rsidRPr="000160C3" w:rsidRDefault="00D75787" w:rsidP="001C47F4">
            <w:pPr>
              <w:keepNext/>
              <w:keepLines/>
              <w:jc w:val="center"/>
              <w:rPr>
                <w:rFonts w:ascii="Arial Narrow" w:hAnsi="Arial Narrow" w:cs="Arial"/>
                <w:color w:val="000000" w:themeColor="text1"/>
                <w:sz w:val="20"/>
                <w:szCs w:val="20"/>
                <w:lang w:eastAsia="en-AU"/>
              </w:rPr>
            </w:pPr>
            <w:r w:rsidRPr="000160C3">
              <w:rPr>
                <w:rFonts w:ascii="Arial Narrow" w:hAnsi="Arial Narrow" w:cs="Arial"/>
                <w:color w:val="000000" w:themeColor="text1"/>
                <w:sz w:val="20"/>
                <w:szCs w:val="20"/>
                <w:lang w:eastAsia="en-AU"/>
              </w:rPr>
              <w:t>2</w:t>
            </w:r>
          </w:p>
        </w:tc>
        <w:tc>
          <w:tcPr>
            <w:tcW w:w="960" w:type="dxa"/>
            <w:tcBorders>
              <w:top w:val="single" w:sz="4" w:space="0" w:color="auto"/>
              <w:left w:val="single" w:sz="4" w:space="0" w:color="auto"/>
              <w:bottom w:val="single" w:sz="4" w:space="0" w:color="auto"/>
              <w:right w:val="single" w:sz="4" w:space="0" w:color="auto"/>
            </w:tcBorders>
            <w:vAlign w:val="center"/>
            <w:hideMark/>
          </w:tcPr>
          <w:p w14:paraId="538D8129" w14:textId="77777777" w:rsidR="00D75787" w:rsidRPr="000160C3" w:rsidRDefault="00D75787" w:rsidP="001C47F4">
            <w:pPr>
              <w:keepNext/>
              <w:keepLines/>
              <w:jc w:val="center"/>
              <w:rPr>
                <w:rFonts w:ascii="Arial Narrow" w:hAnsi="Arial Narrow" w:cs="Arial"/>
                <w:color w:val="000000" w:themeColor="text1"/>
                <w:sz w:val="20"/>
                <w:szCs w:val="20"/>
                <w:lang w:eastAsia="en-AU"/>
              </w:rPr>
            </w:pPr>
            <w:r w:rsidRPr="000160C3">
              <w:rPr>
                <w:rFonts w:ascii="Arial Narrow" w:hAnsi="Arial Narrow" w:cs="Arial"/>
                <w:color w:val="000000" w:themeColor="text1"/>
                <w:sz w:val="20"/>
                <w:szCs w:val="20"/>
                <w:lang w:eastAsia="en-AU"/>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14:paraId="76A0E58C" w14:textId="77777777" w:rsidR="00D75787" w:rsidRPr="000160C3" w:rsidRDefault="00D75787" w:rsidP="001C47F4">
            <w:pPr>
              <w:keepNext/>
              <w:keepLines/>
              <w:rPr>
                <w:rFonts w:ascii="Arial Narrow" w:hAnsi="Arial Narrow" w:cs="Arial"/>
                <w:color w:val="000000" w:themeColor="text1"/>
                <w:sz w:val="20"/>
                <w:szCs w:val="20"/>
                <w:lang w:eastAsia="en-AU"/>
              </w:rPr>
            </w:pPr>
            <w:r w:rsidRPr="000160C3">
              <w:rPr>
                <w:rFonts w:ascii="Arial Narrow" w:hAnsi="Arial Narrow" w:cs="Arial"/>
                <w:color w:val="000000" w:themeColor="text1"/>
                <w:sz w:val="20"/>
                <w:szCs w:val="20"/>
                <w:lang w:eastAsia="en-AU"/>
              </w:rPr>
              <w:t>Tecvayli</w:t>
            </w:r>
          </w:p>
        </w:tc>
      </w:tr>
      <w:tr w:rsidR="00D75787" w:rsidRPr="000160C3" w14:paraId="6F0050B4"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7A70F3C" w14:textId="6700CF1F" w:rsidR="00D75787" w:rsidRPr="000160C3" w:rsidRDefault="00D75787" w:rsidP="001C47F4">
            <w:pPr>
              <w:keepNext/>
              <w:keepLines/>
              <w:rPr>
                <w:rFonts w:ascii="Arial Narrow" w:hAnsi="Arial Narrow" w:cs="Arial"/>
                <w:b/>
                <w:color w:val="000000" w:themeColor="text1"/>
                <w:sz w:val="20"/>
                <w:szCs w:val="20"/>
                <w:lang w:eastAsia="en-AU"/>
              </w:rPr>
            </w:pPr>
          </w:p>
        </w:tc>
      </w:tr>
      <w:tr w:rsidR="005638C1" w:rsidRPr="000160C3" w14:paraId="52A6417F" w14:textId="77777777" w:rsidTr="005638C1">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0DFF12" w14:textId="77777777" w:rsidR="005638C1" w:rsidRPr="000160C3" w:rsidRDefault="005638C1" w:rsidP="001C47F4">
            <w:pPr>
              <w:rPr>
                <w:rFonts w:ascii="Arial Narrow" w:hAnsi="Arial Narrow" w:cs="Arial"/>
                <w:bCs/>
                <w:sz w:val="20"/>
                <w:szCs w:val="20"/>
                <w:lang w:eastAsia="en-AU"/>
              </w:rPr>
            </w:pPr>
            <w:r w:rsidRPr="000160C3">
              <w:rPr>
                <w:rFonts w:ascii="Arial Narrow" w:hAnsi="Arial Narrow" w:cs="Arial"/>
                <w:bCs/>
                <w:sz w:val="20"/>
                <w:szCs w:val="20"/>
                <w:lang w:eastAsia="en-AU"/>
              </w:rPr>
              <w:t xml:space="preserve">Category / Program: </w:t>
            </w:r>
          </w:p>
          <w:p w14:paraId="6EFF4927" w14:textId="77777777" w:rsidR="005638C1" w:rsidRPr="000160C3" w:rsidRDefault="005638C1" w:rsidP="001C47F4">
            <w:pPr>
              <w:jc w:val="left"/>
              <w:rPr>
                <w:rFonts w:ascii="Arial Narrow" w:hAnsi="Arial Narrow" w:cs="Arial"/>
                <w:bCs/>
                <w:sz w:val="20"/>
                <w:szCs w:val="20"/>
                <w:lang w:eastAsia="en-AU"/>
              </w:rPr>
            </w:pPr>
            <w:r w:rsidRPr="000160C3">
              <w:rPr>
                <w:rFonts w:ascii="Arial Narrow" w:eastAsia="Calibri" w:hAnsi="Arial Narrow" w:cs="Arial"/>
                <w:bCs/>
                <w:sz w:val="20"/>
                <w:szCs w:val="20"/>
                <w:lang w:eastAsia="en-AU"/>
              </w:rPr>
              <w:fldChar w:fldCharType="begin" w:fldLock="1">
                <w:ffData>
                  <w:name w:val="Check1"/>
                  <w:enabled/>
                  <w:calcOnExit w:val="0"/>
                  <w:checkBox>
                    <w:sizeAuto/>
                    <w:default w:val="1"/>
                  </w:checkBox>
                </w:ffData>
              </w:fldChar>
            </w:r>
            <w:r w:rsidRPr="000160C3">
              <w:rPr>
                <w:rFonts w:ascii="Arial Narrow" w:eastAsia="Calibri" w:hAnsi="Arial Narrow" w:cs="Arial"/>
                <w:bCs/>
                <w:sz w:val="20"/>
                <w:szCs w:val="20"/>
                <w:lang w:eastAsia="en-AU"/>
              </w:rPr>
              <w:instrText xml:space="preserve"> FORMCHECKBOX </w:instrText>
            </w:r>
            <w:r w:rsidRPr="000160C3">
              <w:rPr>
                <w:rFonts w:ascii="Arial Narrow" w:eastAsia="Calibri" w:hAnsi="Arial Narrow" w:cs="Arial"/>
                <w:bCs/>
                <w:sz w:val="20"/>
                <w:szCs w:val="20"/>
                <w:lang w:eastAsia="en-AU"/>
              </w:rPr>
            </w:r>
            <w:r w:rsidRPr="000160C3">
              <w:rPr>
                <w:rFonts w:ascii="Arial Narrow" w:eastAsia="Calibri" w:hAnsi="Arial Narrow" w:cs="Arial"/>
                <w:bCs/>
                <w:sz w:val="20"/>
                <w:szCs w:val="20"/>
                <w:lang w:eastAsia="en-AU"/>
              </w:rPr>
              <w:fldChar w:fldCharType="separate"/>
            </w:r>
            <w:r w:rsidRPr="000160C3">
              <w:rPr>
                <w:rFonts w:ascii="Arial Narrow" w:eastAsia="Calibri" w:hAnsi="Arial Narrow" w:cs="Arial"/>
                <w:bCs/>
                <w:sz w:val="20"/>
                <w:szCs w:val="20"/>
                <w:lang w:eastAsia="en-AU"/>
              </w:rPr>
              <w:fldChar w:fldCharType="end"/>
            </w:r>
            <w:r w:rsidRPr="000160C3">
              <w:rPr>
                <w:rFonts w:ascii="Arial Narrow" w:eastAsia="Calibri" w:hAnsi="Arial Narrow" w:cs="Arial"/>
                <w:bCs/>
                <w:sz w:val="20"/>
                <w:szCs w:val="20"/>
                <w:lang w:eastAsia="en-AU"/>
              </w:rPr>
              <w:t xml:space="preserve"> GENERAL </w:t>
            </w:r>
            <w:r w:rsidRPr="000160C3">
              <w:rPr>
                <w:rFonts w:ascii="Arial Narrow" w:hAnsi="Arial Narrow" w:cs="Arial"/>
                <w:bCs/>
                <w:sz w:val="20"/>
                <w:szCs w:val="20"/>
                <w:lang w:eastAsia="en-AU"/>
              </w:rPr>
              <w:t>–</w:t>
            </w:r>
            <w:r w:rsidRPr="000160C3">
              <w:rPr>
                <w:rFonts w:ascii="Arial Narrow" w:eastAsia="Calibri" w:hAnsi="Arial Narrow" w:cs="Arial"/>
                <w:bCs/>
                <w:sz w:val="20"/>
                <w:szCs w:val="20"/>
                <w:lang w:eastAsia="en-AU"/>
              </w:rPr>
              <w:t xml:space="preserve"> General Schedule (Code GE) </w:t>
            </w:r>
            <w:r w:rsidRPr="000160C3">
              <w:rPr>
                <w:rFonts w:ascii="Arial Narrow" w:eastAsia="Calibri" w:hAnsi="Arial Narrow" w:cs="Arial"/>
                <w:bCs/>
                <w:sz w:val="20"/>
                <w:szCs w:val="20"/>
                <w:lang w:eastAsia="en-AU"/>
              </w:rPr>
              <w:br/>
            </w:r>
            <w:r w:rsidRPr="000160C3">
              <w:rPr>
                <w:rFonts w:ascii="Arial Narrow" w:eastAsia="Calibri" w:hAnsi="Arial Narrow" w:cs="Arial"/>
                <w:bCs/>
                <w:sz w:val="20"/>
                <w:szCs w:val="20"/>
                <w:lang w:eastAsia="en-AU"/>
              </w:rPr>
              <w:fldChar w:fldCharType="begin" w:fldLock="1">
                <w:ffData>
                  <w:name w:val=""/>
                  <w:enabled/>
                  <w:calcOnExit w:val="0"/>
                  <w:checkBox>
                    <w:sizeAuto/>
                    <w:default w:val="1"/>
                  </w:checkBox>
                </w:ffData>
              </w:fldChar>
            </w:r>
            <w:r w:rsidRPr="000160C3">
              <w:rPr>
                <w:rFonts w:ascii="Arial Narrow" w:eastAsia="Calibri" w:hAnsi="Arial Narrow" w:cs="Arial"/>
                <w:bCs/>
                <w:sz w:val="20"/>
                <w:szCs w:val="20"/>
                <w:lang w:eastAsia="en-AU"/>
              </w:rPr>
              <w:instrText xml:space="preserve"> FORMCHECKBOX </w:instrText>
            </w:r>
            <w:r w:rsidRPr="000160C3">
              <w:rPr>
                <w:rFonts w:ascii="Arial Narrow" w:eastAsia="Calibri" w:hAnsi="Arial Narrow" w:cs="Arial"/>
                <w:bCs/>
                <w:sz w:val="20"/>
                <w:szCs w:val="20"/>
                <w:lang w:eastAsia="en-AU"/>
              </w:rPr>
            </w:r>
            <w:r w:rsidRPr="000160C3">
              <w:rPr>
                <w:rFonts w:ascii="Arial Narrow" w:eastAsia="Calibri" w:hAnsi="Arial Narrow" w:cs="Arial"/>
                <w:bCs/>
                <w:sz w:val="20"/>
                <w:szCs w:val="20"/>
                <w:lang w:eastAsia="en-AU"/>
              </w:rPr>
              <w:fldChar w:fldCharType="separate"/>
            </w:r>
            <w:r w:rsidRPr="000160C3">
              <w:rPr>
                <w:rFonts w:ascii="Arial Narrow" w:eastAsia="Calibri" w:hAnsi="Arial Narrow" w:cs="Arial"/>
                <w:bCs/>
                <w:sz w:val="20"/>
                <w:szCs w:val="20"/>
                <w:lang w:eastAsia="en-AU"/>
              </w:rPr>
              <w:fldChar w:fldCharType="end"/>
            </w:r>
            <w:r w:rsidRPr="000160C3">
              <w:rPr>
                <w:rFonts w:ascii="Arial Narrow" w:eastAsia="Calibri" w:hAnsi="Arial Narrow" w:cs="Arial"/>
                <w:bCs/>
                <w:sz w:val="20"/>
                <w:szCs w:val="20"/>
                <w:lang w:eastAsia="en-AU"/>
              </w:rPr>
              <w:t xml:space="preserve"> Section </w:t>
            </w:r>
            <w:r w:rsidRPr="000160C3">
              <w:rPr>
                <w:rFonts w:ascii="Arial Narrow" w:hAnsi="Arial Narrow" w:cs="Arial"/>
                <w:bCs/>
                <w:sz w:val="20"/>
                <w:szCs w:val="20"/>
                <w:lang w:eastAsia="en-AU"/>
              </w:rPr>
              <w:t xml:space="preserve">100 – Efficient Funding of Chemotherapy – Related Benefits (Code CT) </w:t>
            </w:r>
          </w:p>
        </w:tc>
      </w:tr>
      <w:tr w:rsidR="005638C1" w:rsidRPr="000160C3" w14:paraId="790E24EA" w14:textId="77777777" w:rsidTr="005638C1">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3F50002" w14:textId="77777777" w:rsidR="005638C1" w:rsidRPr="000160C3" w:rsidRDefault="005638C1" w:rsidP="001C47F4">
            <w:pPr>
              <w:rPr>
                <w:rFonts w:ascii="Arial Narrow" w:hAnsi="Arial Narrow" w:cs="Arial"/>
                <w:bCs/>
                <w:sz w:val="20"/>
                <w:szCs w:val="20"/>
                <w:lang w:eastAsia="en-AU"/>
              </w:rPr>
            </w:pPr>
            <w:r w:rsidRPr="000160C3">
              <w:rPr>
                <w:rFonts w:ascii="Arial Narrow" w:hAnsi="Arial Narrow" w:cs="Arial"/>
                <w:bCs/>
                <w:sz w:val="20"/>
                <w:szCs w:val="20"/>
                <w:lang w:eastAsia="en-AU"/>
              </w:rPr>
              <w:t xml:space="preserve">Prescriber type: </w:t>
            </w:r>
            <w:r w:rsidRPr="000160C3">
              <w:rPr>
                <w:rFonts w:ascii="Arial Narrow" w:hAnsi="Arial Narrow" w:cs="Arial"/>
                <w:bCs/>
                <w:sz w:val="20"/>
                <w:szCs w:val="20"/>
                <w:lang w:eastAsia="en-AU"/>
              </w:rPr>
              <w:fldChar w:fldCharType="begin" w:fldLock="1">
                <w:ffData>
                  <w:name w:val=""/>
                  <w:enabled/>
                  <w:calcOnExit w:val="0"/>
                  <w:checkBox>
                    <w:sizeAuto/>
                    <w:default w:val="1"/>
                  </w:checkBox>
                </w:ffData>
              </w:fldChar>
            </w:r>
            <w:r w:rsidRPr="000160C3">
              <w:rPr>
                <w:rFonts w:ascii="Arial Narrow" w:hAnsi="Arial Narrow" w:cs="Arial"/>
                <w:bCs/>
                <w:sz w:val="20"/>
                <w:szCs w:val="20"/>
                <w:lang w:eastAsia="en-AU"/>
              </w:rPr>
              <w:instrText xml:space="preserve"> FORMCHECKBOX </w:instrText>
            </w:r>
            <w:r w:rsidRPr="000160C3">
              <w:rPr>
                <w:rFonts w:ascii="Arial Narrow" w:hAnsi="Arial Narrow" w:cs="Arial"/>
                <w:bCs/>
                <w:sz w:val="20"/>
                <w:szCs w:val="20"/>
                <w:lang w:eastAsia="en-AU"/>
              </w:rPr>
            </w:r>
            <w:r w:rsidRPr="000160C3">
              <w:rPr>
                <w:rFonts w:ascii="Arial Narrow" w:hAnsi="Arial Narrow" w:cs="Arial"/>
                <w:bCs/>
                <w:sz w:val="20"/>
                <w:szCs w:val="20"/>
                <w:lang w:eastAsia="en-AU"/>
              </w:rPr>
              <w:fldChar w:fldCharType="separate"/>
            </w:r>
            <w:r w:rsidRPr="000160C3">
              <w:rPr>
                <w:rFonts w:ascii="Arial Narrow" w:hAnsi="Arial Narrow" w:cs="Arial"/>
                <w:bCs/>
                <w:sz w:val="20"/>
                <w:szCs w:val="20"/>
                <w:lang w:eastAsia="en-AU"/>
              </w:rPr>
              <w:fldChar w:fldCharType="end"/>
            </w:r>
            <w:r w:rsidRPr="000160C3">
              <w:rPr>
                <w:rFonts w:ascii="Arial Narrow" w:hAnsi="Arial Narrow" w:cs="Arial"/>
                <w:bCs/>
                <w:sz w:val="20"/>
                <w:szCs w:val="20"/>
                <w:lang w:eastAsia="en-AU"/>
              </w:rPr>
              <w:t xml:space="preserve">Medical Practitioners </w:t>
            </w:r>
          </w:p>
        </w:tc>
      </w:tr>
      <w:tr w:rsidR="005638C1" w:rsidRPr="000160C3" w14:paraId="0E895FFA" w14:textId="77777777" w:rsidTr="005638C1">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58BC820" w14:textId="77777777" w:rsidR="005638C1" w:rsidRPr="000160C3" w:rsidRDefault="005638C1" w:rsidP="001C47F4">
            <w:pPr>
              <w:rPr>
                <w:rFonts w:ascii="Arial Narrow" w:eastAsia="Calibri" w:hAnsi="Arial Narrow" w:cs="Arial"/>
                <w:bCs/>
                <w:sz w:val="20"/>
                <w:szCs w:val="20"/>
                <w:lang w:eastAsia="en-AU"/>
              </w:rPr>
            </w:pPr>
            <w:r w:rsidRPr="000160C3">
              <w:rPr>
                <w:rFonts w:ascii="Arial Narrow" w:hAnsi="Arial Narrow" w:cs="Arial"/>
                <w:bCs/>
                <w:sz w:val="20"/>
                <w:szCs w:val="20"/>
                <w:lang w:eastAsia="en-AU"/>
              </w:rPr>
              <w:t xml:space="preserve">Restriction type: </w:t>
            </w:r>
            <w:r w:rsidRPr="000160C3">
              <w:rPr>
                <w:rFonts w:ascii="Arial Narrow" w:hAnsi="Arial Narrow" w:cs="Arial"/>
                <w:bCs/>
                <w:sz w:val="20"/>
                <w:szCs w:val="20"/>
                <w:lang w:eastAsia="en-AU"/>
              </w:rPr>
              <w:fldChar w:fldCharType="begin" w:fldLock="1">
                <w:ffData>
                  <w:name w:val=""/>
                  <w:enabled/>
                  <w:calcOnExit w:val="0"/>
                  <w:checkBox>
                    <w:sizeAuto/>
                    <w:default w:val="1"/>
                  </w:checkBox>
                </w:ffData>
              </w:fldChar>
            </w:r>
            <w:r w:rsidRPr="000160C3">
              <w:rPr>
                <w:rFonts w:ascii="Arial Narrow" w:hAnsi="Arial Narrow" w:cs="Arial"/>
                <w:bCs/>
                <w:sz w:val="20"/>
                <w:szCs w:val="20"/>
                <w:lang w:eastAsia="en-AU"/>
              </w:rPr>
              <w:instrText xml:space="preserve"> FORMCHECKBOX </w:instrText>
            </w:r>
            <w:r w:rsidRPr="000160C3">
              <w:rPr>
                <w:rFonts w:ascii="Arial Narrow" w:hAnsi="Arial Narrow" w:cs="Arial"/>
                <w:bCs/>
                <w:sz w:val="20"/>
                <w:szCs w:val="20"/>
                <w:lang w:eastAsia="en-AU"/>
              </w:rPr>
            </w:r>
            <w:r w:rsidRPr="000160C3">
              <w:rPr>
                <w:rFonts w:ascii="Arial Narrow" w:hAnsi="Arial Narrow" w:cs="Arial"/>
                <w:bCs/>
                <w:sz w:val="20"/>
                <w:szCs w:val="20"/>
                <w:lang w:eastAsia="en-AU"/>
              </w:rPr>
              <w:fldChar w:fldCharType="separate"/>
            </w:r>
            <w:r w:rsidRPr="000160C3">
              <w:rPr>
                <w:rFonts w:ascii="Arial Narrow" w:hAnsi="Arial Narrow" w:cs="Arial"/>
                <w:bCs/>
                <w:sz w:val="20"/>
                <w:szCs w:val="20"/>
                <w:lang w:eastAsia="en-AU"/>
              </w:rPr>
              <w:fldChar w:fldCharType="end"/>
            </w:r>
            <w:r w:rsidRPr="000160C3">
              <w:rPr>
                <w:rFonts w:ascii="Arial Narrow" w:hAnsi="Arial Narrow" w:cs="Arial"/>
                <w:bCs/>
                <w:sz w:val="20"/>
                <w:szCs w:val="20"/>
                <w:lang w:eastAsia="en-AU"/>
              </w:rPr>
              <w:t>Authority Required (Telephone/Online) – Immediate Assessment</w:t>
            </w:r>
          </w:p>
        </w:tc>
      </w:tr>
      <w:tr w:rsidR="005638C1" w:rsidRPr="000160C3" w14:paraId="5BA3ECCA" w14:textId="77777777" w:rsidTr="005638C1">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92250B" w14:textId="2DBE49C2" w:rsidR="005638C1" w:rsidRPr="000160C3" w:rsidRDefault="005638C1" w:rsidP="001C47F4">
            <w:pPr>
              <w:rPr>
                <w:rFonts w:ascii="Arial Narrow" w:hAnsi="Arial Narrow" w:cs="Arial"/>
                <w:bCs/>
                <w:sz w:val="20"/>
                <w:szCs w:val="20"/>
                <w:lang w:eastAsia="en-AU"/>
              </w:rPr>
            </w:pPr>
            <w:r w:rsidRPr="000160C3">
              <w:rPr>
                <w:rFonts w:ascii="Arial Narrow" w:hAnsi="Arial Narrow" w:cs="Arial"/>
                <w:bCs/>
                <w:sz w:val="20"/>
                <w:szCs w:val="20"/>
                <w:lang w:eastAsia="en-AU"/>
              </w:rPr>
              <w:t xml:space="preserve">Authority type: </w:t>
            </w:r>
            <w:r w:rsidRPr="000160C3">
              <w:rPr>
                <w:rFonts w:ascii="Arial Narrow" w:eastAsia="Calibri" w:hAnsi="Arial Narrow" w:cs="Arial"/>
                <w:bCs/>
                <w:sz w:val="20"/>
                <w:szCs w:val="20"/>
                <w:lang w:eastAsia="en-AU"/>
              </w:rPr>
              <w:fldChar w:fldCharType="begin" w:fldLock="1">
                <w:ffData>
                  <w:name w:val=""/>
                  <w:enabled/>
                  <w:calcOnExit w:val="0"/>
                  <w:checkBox>
                    <w:sizeAuto/>
                    <w:default w:val="1"/>
                  </w:checkBox>
                </w:ffData>
              </w:fldChar>
            </w:r>
            <w:r w:rsidRPr="000160C3">
              <w:rPr>
                <w:rFonts w:ascii="Arial Narrow" w:eastAsia="Calibri" w:hAnsi="Arial Narrow" w:cs="Arial"/>
                <w:bCs/>
                <w:sz w:val="20"/>
                <w:szCs w:val="20"/>
                <w:lang w:eastAsia="en-AU"/>
              </w:rPr>
              <w:instrText xml:space="preserve"> FORMCHECKBOX </w:instrText>
            </w:r>
            <w:r w:rsidRPr="000160C3">
              <w:rPr>
                <w:rFonts w:ascii="Arial Narrow" w:eastAsia="Calibri" w:hAnsi="Arial Narrow" w:cs="Arial"/>
                <w:bCs/>
                <w:sz w:val="20"/>
                <w:szCs w:val="20"/>
                <w:lang w:eastAsia="en-AU"/>
              </w:rPr>
            </w:r>
            <w:r w:rsidRPr="000160C3">
              <w:rPr>
                <w:rFonts w:ascii="Arial Narrow" w:eastAsia="Calibri" w:hAnsi="Arial Narrow" w:cs="Arial"/>
                <w:bCs/>
                <w:sz w:val="20"/>
                <w:szCs w:val="20"/>
                <w:lang w:eastAsia="en-AU"/>
              </w:rPr>
              <w:fldChar w:fldCharType="separate"/>
            </w:r>
            <w:r w:rsidRPr="000160C3">
              <w:rPr>
                <w:rFonts w:ascii="Arial Narrow" w:eastAsia="Calibri" w:hAnsi="Arial Narrow" w:cs="Arial"/>
                <w:bCs/>
                <w:sz w:val="20"/>
                <w:szCs w:val="20"/>
                <w:lang w:eastAsia="en-AU"/>
              </w:rPr>
              <w:fldChar w:fldCharType="end"/>
            </w:r>
            <w:r w:rsidRPr="000160C3">
              <w:rPr>
                <w:rFonts w:ascii="Arial Narrow" w:eastAsia="Calibri" w:hAnsi="Arial Narrow" w:cs="Arial"/>
                <w:bCs/>
                <w:sz w:val="20"/>
                <w:szCs w:val="20"/>
                <w:lang w:eastAsia="en-AU"/>
              </w:rPr>
              <w:t xml:space="preserve"> Non</w:t>
            </w:r>
            <w:r w:rsidR="00EC1990">
              <w:rPr>
                <w:rFonts w:ascii="Arial Narrow" w:eastAsia="Calibri" w:hAnsi="Arial Narrow" w:cs="Arial"/>
                <w:bCs/>
                <w:sz w:val="20"/>
                <w:szCs w:val="20"/>
                <w:lang w:eastAsia="en-AU"/>
              </w:rPr>
              <w:noBreakHyphen/>
            </w:r>
            <w:r w:rsidRPr="000160C3">
              <w:rPr>
                <w:rFonts w:ascii="Arial Narrow" w:eastAsia="Calibri" w:hAnsi="Arial Narrow" w:cs="Arial"/>
                <w:bCs/>
                <w:sz w:val="20"/>
                <w:szCs w:val="20"/>
                <w:lang w:eastAsia="en-AU"/>
              </w:rPr>
              <w:t>complex Authority Required (non</w:t>
            </w:r>
            <w:r w:rsidR="00EC1990">
              <w:rPr>
                <w:rFonts w:ascii="Arial Narrow" w:eastAsia="Calibri" w:hAnsi="Arial Narrow" w:cs="Arial"/>
                <w:bCs/>
                <w:sz w:val="20"/>
                <w:szCs w:val="20"/>
                <w:lang w:eastAsia="en-AU"/>
              </w:rPr>
              <w:noBreakHyphen/>
            </w:r>
            <w:r w:rsidRPr="000160C3">
              <w:rPr>
                <w:rFonts w:ascii="Arial Narrow" w:eastAsia="Calibri" w:hAnsi="Arial Narrow" w:cs="Arial"/>
                <w:bCs/>
                <w:sz w:val="20"/>
                <w:szCs w:val="20"/>
                <w:lang w:eastAsia="en-AU"/>
              </w:rPr>
              <w:t>CAR)</w:t>
            </w:r>
          </w:p>
        </w:tc>
      </w:tr>
      <w:tr w:rsidR="005638C1" w:rsidRPr="000160C3" w14:paraId="0AD134D6"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D2A4CCD" w14:textId="77777777" w:rsidR="005638C1" w:rsidRPr="000160C3" w:rsidRDefault="005638C1" w:rsidP="001C47F4">
            <w:pPr>
              <w:keepNext/>
              <w:keepLines/>
              <w:rPr>
                <w:rFonts w:ascii="Arial Narrow" w:hAnsi="Arial Narrow" w:cs="Arial"/>
                <w:bCs/>
                <w:color w:val="000000" w:themeColor="text1"/>
                <w:sz w:val="20"/>
                <w:szCs w:val="20"/>
                <w:lang w:eastAsia="en-AU"/>
              </w:rPr>
            </w:pPr>
            <w:r w:rsidRPr="000160C3">
              <w:rPr>
                <w:rFonts w:ascii="Arial Narrow" w:hAnsi="Arial Narrow" w:cs="Arial"/>
                <w:b/>
                <w:bCs/>
                <w:color w:val="000000" w:themeColor="text1"/>
                <w:sz w:val="20"/>
                <w:szCs w:val="20"/>
                <w:lang w:eastAsia="en-AU"/>
              </w:rPr>
              <w:t xml:space="preserve">Episodicity: </w:t>
            </w:r>
            <w:r w:rsidRPr="000160C3">
              <w:rPr>
                <w:rFonts w:ascii="Arial Narrow" w:hAnsi="Arial Narrow" w:cs="Arial"/>
                <w:color w:val="000000" w:themeColor="text1"/>
                <w:sz w:val="20"/>
                <w:szCs w:val="20"/>
                <w:lang w:eastAsia="en-AU"/>
              </w:rPr>
              <w:t>[Blank]</w:t>
            </w:r>
          </w:p>
        </w:tc>
      </w:tr>
      <w:tr w:rsidR="005638C1" w:rsidRPr="000160C3" w14:paraId="5FDDB895"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AE6B5EA" w14:textId="77777777" w:rsidR="005638C1" w:rsidRPr="000160C3" w:rsidRDefault="005638C1" w:rsidP="001C47F4">
            <w:pPr>
              <w:rPr>
                <w:rFonts w:ascii="Arial Narrow" w:hAnsi="Arial Narrow" w:cs="Arial"/>
                <w:b/>
                <w:bCs/>
                <w:color w:val="000000" w:themeColor="text1"/>
                <w:sz w:val="20"/>
                <w:szCs w:val="20"/>
                <w:lang w:eastAsia="en-AU"/>
              </w:rPr>
            </w:pPr>
            <w:r w:rsidRPr="000160C3">
              <w:rPr>
                <w:rFonts w:ascii="Arial Narrow" w:hAnsi="Arial Narrow" w:cs="Arial"/>
                <w:b/>
                <w:color w:val="000000" w:themeColor="text1"/>
                <w:sz w:val="20"/>
                <w:szCs w:val="20"/>
                <w:lang w:eastAsia="en-AU"/>
              </w:rPr>
              <w:t>Severity:</w:t>
            </w:r>
            <w:r w:rsidRPr="000160C3">
              <w:rPr>
                <w:rFonts w:ascii="Arial Narrow" w:hAnsi="Arial Narrow" w:cs="Arial"/>
                <w:color w:val="000000" w:themeColor="text1"/>
                <w:sz w:val="20"/>
                <w:szCs w:val="20"/>
                <w:lang w:eastAsia="en-AU"/>
              </w:rPr>
              <w:t xml:space="preserve"> Relapsed or refractory</w:t>
            </w:r>
          </w:p>
        </w:tc>
      </w:tr>
      <w:tr w:rsidR="005638C1" w:rsidRPr="000160C3" w14:paraId="644B614F"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16900AA" w14:textId="77777777" w:rsidR="005638C1" w:rsidRPr="000160C3" w:rsidRDefault="005638C1" w:rsidP="001C47F4">
            <w:pPr>
              <w:rPr>
                <w:rFonts w:ascii="Arial Narrow" w:hAnsi="Arial Narrow" w:cs="Arial"/>
                <w:b/>
                <w:bCs/>
                <w:color w:val="000000" w:themeColor="text1"/>
                <w:sz w:val="20"/>
                <w:szCs w:val="20"/>
                <w:lang w:eastAsia="en-AU"/>
              </w:rPr>
            </w:pPr>
            <w:r w:rsidRPr="000160C3">
              <w:rPr>
                <w:rFonts w:ascii="Arial Narrow" w:hAnsi="Arial Narrow" w:cs="Arial"/>
                <w:b/>
                <w:color w:val="000000" w:themeColor="text1"/>
                <w:sz w:val="20"/>
                <w:szCs w:val="20"/>
                <w:lang w:eastAsia="en-AU"/>
              </w:rPr>
              <w:t>Condition:</w:t>
            </w:r>
            <w:r w:rsidRPr="000160C3">
              <w:rPr>
                <w:rFonts w:ascii="Arial Narrow" w:hAnsi="Arial Narrow" w:cs="Arial"/>
                <w:color w:val="000000" w:themeColor="text1"/>
                <w:sz w:val="20"/>
                <w:szCs w:val="20"/>
                <w:lang w:eastAsia="en-AU"/>
              </w:rPr>
              <w:t xml:space="preserve"> Multiple myeloma</w:t>
            </w:r>
          </w:p>
        </w:tc>
      </w:tr>
      <w:tr w:rsidR="005638C1" w:rsidRPr="000160C3" w14:paraId="702A8E79"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23396BC" w14:textId="77777777" w:rsidR="005638C1" w:rsidRPr="000160C3" w:rsidRDefault="005638C1" w:rsidP="001C47F4">
            <w:pPr>
              <w:rPr>
                <w:rFonts w:ascii="Arial Narrow" w:hAnsi="Arial Narrow" w:cs="Arial"/>
                <w:color w:val="000000" w:themeColor="text1"/>
                <w:sz w:val="20"/>
                <w:szCs w:val="20"/>
                <w:lang w:eastAsia="en-AU"/>
              </w:rPr>
            </w:pPr>
            <w:r w:rsidRPr="000160C3">
              <w:rPr>
                <w:rFonts w:ascii="Arial Narrow" w:hAnsi="Arial Narrow" w:cs="Arial"/>
                <w:b/>
                <w:color w:val="000000" w:themeColor="text1"/>
                <w:sz w:val="20"/>
                <w:szCs w:val="20"/>
                <w:lang w:eastAsia="en-AU"/>
              </w:rPr>
              <w:t>Indication:</w:t>
            </w:r>
            <w:r w:rsidRPr="000160C3">
              <w:rPr>
                <w:rFonts w:ascii="Arial Narrow" w:hAnsi="Arial Narrow" w:cs="Arial"/>
                <w:color w:val="000000" w:themeColor="text1"/>
                <w:sz w:val="20"/>
                <w:szCs w:val="20"/>
                <w:lang w:eastAsia="en-AU"/>
              </w:rPr>
              <w:t xml:space="preserve"> Relapsed or refractory multiple myeloma</w:t>
            </w:r>
          </w:p>
        </w:tc>
      </w:tr>
      <w:tr w:rsidR="005638C1" w:rsidRPr="000160C3" w14:paraId="12396445"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1D63845" w14:textId="77777777" w:rsidR="005638C1" w:rsidRPr="000160C3" w:rsidRDefault="005638C1" w:rsidP="001C47F4">
            <w:pPr>
              <w:rPr>
                <w:rFonts w:ascii="Arial Narrow" w:hAnsi="Arial Narrow" w:cs="Arial"/>
                <w:b/>
                <w:color w:val="000000" w:themeColor="text1"/>
                <w:sz w:val="20"/>
                <w:szCs w:val="20"/>
                <w:lang w:eastAsia="en-AU"/>
              </w:rPr>
            </w:pPr>
            <w:r w:rsidRPr="000160C3">
              <w:rPr>
                <w:rFonts w:ascii="Arial Narrow" w:hAnsi="Arial Narrow" w:cs="Arial"/>
                <w:b/>
                <w:bCs/>
                <w:color w:val="000000" w:themeColor="text1"/>
                <w:sz w:val="20"/>
                <w:szCs w:val="20"/>
                <w:lang w:eastAsia="en-AU"/>
              </w:rPr>
              <w:t>Treatment</w:t>
            </w:r>
            <w:r w:rsidRPr="000160C3">
              <w:rPr>
                <w:rFonts w:ascii="Arial Narrow" w:hAnsi="Arial Narrow" w:cs="Arial"/>
                <w:b/>
                <w:bCs/>
                <w:color w:val="000000" w:themeColor="text1"/>
                <w:spacing w:val="-3"/>
                <w:sz w:val="20"/>
                <w:szCs w:val="20"/>
                <w:lang w:eastAsia="en-AU"/>
              </w:rPr>
              <w:t xml:space="preserve"> </w:t>
            </w:r>
            <w:r w:rsidRPr="000160C3">
              <w:rPr>
                <w:rFonts w:ascii="Arial Narrow" w:hAnsi="Arial Narrow" w:cs="Arial"/>
                <w:b/>
                <w:bCs/>
                <w:color w:val="000000" w:themeColor="text1"/>
                <w:sz w:val="20"/>
                <w:szCs w:val="20"/>
                <w:lang w:eastAsia="en-AU"/>
              </w:rPr>
              <w:t>Phase:</w:t>
            </w:r>
            <w:r w:rsidRPr="000160C3">
              <w:rPr>
                <w:rFonts w:ascii="Arial Narrow" w:hAnsi="Arial Narrow" w:cs="Arial"/>
                <w:b/>
                <w:bCs/>
                <w:color w:val="000000" w:themeColor="text1"/>
                <w:spacing w:val="-1"/>
                <w:sz w:val="20"/>
                <w:szCs w:val="20"/>
                <w:lang w:eastAsia="en-AU"/>
              </w:rPr>
              <w:t xml:space="preserve"> </w:t>
            </w:r>
            <w:r w:rsidRPr="000160C3">
              <w:rPr>
                <w:rFonts w:ascii="Arial Narrow" w:hAnsi="Arial Narrow" w:cs="Arial"/>
                <w:color w:val="000000" w:themeColor="text1"/>
                <w:sz w:val="20"/>
                <w:szCs w:val="20"/>
                <w:lang w:eastAsia="en-AU"/>
              </w:rPr>
              <w:t xml:space="preserve">Continuing treatment </w:t>
            </w:r>
          </w:p>
        </w:tc>
      </w:tr>
      <w:tr w:rsidR="005638C1" w:rsidRPr="000160C3" w14:paraId="12276D47"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7AC2580" w14:textId="77777777" w:rsidR="005638C1" w:rsidRPr="000160C3" w:rsidRDefault="005638C1" w:rsidP="001C47F4">
            <w:pPr>
              <w:rPr>
                <w:rFonts w:ascii="Arial Narrow" w:hAnsi="Arial Narrow" w:cs="Arial"/>
                <w:b/>
                <w:bCs/>
                <w:color w:val="000000" w:themeColor="text1"/>
                <w:sz w:val="20"/>
                <w:szCs w:val="20"/>
                <w:lang w:eastAsia="en-AU"/>
              </w:rPr>
            </w:pPr>
            <w:r w:rsidRPr="000160C3">
              <w:rPr>
                <w:rFonts w:ascii="Arial Narrow" w:hAnsi="Arial Narrow" w:cs="Arial"/>
                <w:b/>
                <w:bCs/>
                <w:color w:val="000000" w:themeColor="text1"/>
                <w:sz w:val="20"/>
                <w:szCs w:val="20"/>
                <w:lang w:eastAsia="en-AU"/>
              </w:rPr>
              <w:t>Clinical</w:t>
            </w:r>
            <w:r w:rsidRPr="000160C3">
              <w:rPr>
                <w:rFonts w:ascii="Arial Narrow" w:hAnsi="Arial Narrow" w:cs="Arial"/>
                <w:b/>
                <w:bCs/>
                <w:color w:val="000000" w:themeColor="text1"/>
                <w:spacing w:val="-4"/>
                <w:sz w:val="20"/>
                <w:szCs w:val="20"/>
                <w:lang w:eastAsia="en-AU"/>
              </w:rPr>
              <w:t xml:space="preserve"> </w:t>
            </w:r>
            <w:r w:rsidRPr="000160C3">
              <w:rPr>
                <w:rFonts w:ascii="Arial Narrow" w:hAnsi="Arial Narrow" w:cs="Arial"/>
                <w:b/>
                <w:bCs/>
                <w:color w:val="000000" w:themeColor="text1"/>
                <w:spacing w:val="-2"/>
                <w:sz w:val="20"/>
                <w:szCs w:val="20"/>
                <w:lang w:eastAsia="en-AU"/>
              </w:rPr>
              <w:t>criteria:</w:t>
            </w:r>
          </w:p>
        </w:tc>
      </w:tr>
      <w:tr w:rsidR="005638C1" w:rsidRPr="000160C3" w14:paraId="0B7521A8"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C0874CA" w14:textId="77777777" w:rsidR="005638C1" w:rsidRPr="000160C3" w:rsidRDefault="005638C1" w:rsidP="001C47F4">
            <w:pPr>
              <w:rPr>
                <w:rFonts w:ascii="Arial Narrow" w:hAnsi="Arial Narrow" w:cs="Arial"/>
                <w:b/>
                <w:bCs/>
                <w:color w:val="000000" w:themeColor="text1"/>
                <w:sz w:val="20"/>
                <w:szCs w:val="20"/>
                <w:lang w:eastAsia="en-AU"/>
              </w:rPr>
            </w:pPr>
            <w:r w:rsidRPr="000160C3">
              <w:rPr>
                <w:rFonts w:ascii="Arial Narrow" w:hAnsi="Arial Narrow" w:cs="Arial"/>
                <w:color w:val="000000" w:themeColor="text1"/>
                <w:spacing w:val="-2"/>
                <w:sz w:val="20"/>
                <w:szCs w:val="20"/>
                <w:lang w:eastAsia="en-AU"/>
              </w:rPr>
              <w:t>Patient must have previously received treatment with this drug for this condition</w:t>
            </w:r>
          </w:p>
        </w:tc>
      </w:tr>
      <w:tr w:rsidR="005638C1" w:rsidRPr="000160C3" w14:paraId="7A6AB8DF"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0D51A9D" w14:textId="77777777" w:rsidR="005638C1" w:rsidRPr="000160C3" w:rsidRDefault="005638C1" w:rsidP="001C47F4">
            <w:pPr>
              <w:rPr>
                <w:rFonts w:ascii="Arial Narrow" w:hAnsi="Arial Narrow" w:cs="Arial"/>
                <w:b/>
                <w:bCs/>
                <w:color w:val="000000" w:themeColor="text1"/>
                <w:sz w:val="20"/>
                <w:szCs w:val="20"/>
                <w:lang w:eastAsia="en-AU"/>
              </w:rPr>
            </w:pPr>
            <w:r w:rsidRPr="000160C3">
              <w:rPr>
                <w:rFonts w:ascii="Arial Narrow" w:hAnsi="Arial Narrow" w:cs="Arial"/>
                <w:b/>
                <w:bCs/>
                <w:color w:val="000000" w:themeColor="text1"/>
                <w:spacing w:val="-5"/>
                <w:sz w:val="20"/>
                <w:szCs w:val="20"/>
                <w:lang w:eastAsia="en-AU"/>
              </w:rPr>
              <w:t>AND</w:t>
            </w:r>
          </w:p>
        </w:tc>
      </w:tr>
      <w:tr w:rsidR="005638C1" w:rsidRPr="000160C3" w14:paraId="05348391"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D11F6C4" w14:textId="77777777" w:rsidR="005638C1" w:rsidRPr="000160C3" w:rsidRDefault="005638C1" w:rsidP="001C47F4">
            <w:pPr>
              <w:rPr>
                <w:rFonts w:ascii="Arial Narrow" w:hAnsi="Arial Narrow" w:cs="Arial"/>
                <w:b/>
                <w:bCs/>
                <w:color w:val="000000" w:themeColor="text1"/>
                <w:spacing w:val="-5"/>
                <w:sz w:val="20"/>
                <w:szCs w:val="20"/>
                <w:lang w:eastAsia="en-AU"/>
              </w:rPr>
            </w:pPr>
            <w:r w:rsidRPr="000160C3">
              <w:rPr>
                <w:rFonts w:ascii="Arial Narrow" w:hAnsi="Arial Narrow" w:cs="Arial"/>
                <w:b/>
                <w:bCs/>
                <w:color w:val="000000" w:themeColor="text1"/>
                <w:sz w:val="20"/>
                <w:szCs w:val="20"/>
                <w:lang w:eastAsia="en-AU"/>
              </w:rPr>
              <w:t>Clinical</w:t>
            </w:r>
            <w:r w:rsidRPr="000160C3">
              <w:rPr>
                <w:rFonts w:ascii="Arial Narrow" w:hAnsi="Arial Narrow" w:cs="Arial"/>
                <w:b/>
                <w:bCs/>
                <w:color w:val="000000" w:themeColor="text1"/>
                <w:spacing w:val="-4"/>
                <w:sz w:val="20"/>
                <w:szCs w:val="20"/>
                <w:lang w:eastAsia="en-AU"/>
              </w:rPr>
              <w:t xml:space="preserve"> </w:t>
            </w:r>
            <w:r w:rsidRPr="000160C3">
              <w:rPr>
                <w:rFonts w:ascii="Arial Narrow" w:hAnsi="Arial Narrow" w:cs="Arial"/>
                <w:b/>
                <w:bCs/>
                <w:color w:val="000000" w:themeColor="text1"/>
                <w:spacing w:val="-2"/>
                <w:sz w:val="20"/>
                <w:szCs w:val="20"/>
                <w:lang w:eastAsia="en-AU"/>
              </w:rPr>
              <w:t>criteria:</w:t>
            </w:r>
          </w:p>
        </w:tc>
      </w:tr>
      <w:tr w:rsidR="005638C1" w:rsidRPr="000160C3" w14:paraId="2EC45219"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853B7F1" w14:textId="0D40DDC7" w:rsidR="005638C1" w:rsidRPr="000160C3" w:rsidRDefault="005638C1" w:rsidP="001C47F4">
            <w:pPr>
              <w:rPr>
                <w:rFonts w:ascii="Arial Narrow" w:hAnsi="Arial Narrow" w:cs="Arial"/>
                <w:b/>
                <w:bCs/>
                <w:color w:val="000000" w:themeColor="text1"/>
                <w:sz w:val="20"/>
                <w:szCs w:val="20"/>
                <w:lang w:eastAsia="en-AU"/>
              </w:rPr>
            </w:pPr>
            <w:r w:rsidRPr="000160C3">
              <w:rPr>
                <w:rFonts w:ascii="Arial Narrow" w:eastAsia="MS Mincho" w:hAnsi="Arial Narrow" w:cs="Arial"/>
                <w:color w:val="000000" w:themeColor="text1"/>
                <w:sz w:val="20"/>
                <w:szCs w:val="20"/>
                <w:lang w:eastAsia="en-AU"/>
              </w:rPr>
              <w:t>Patient must have had progressive disease after receiving at least 3 prior lines of therapy, including each of the following therapies: (i) a proteasome inhibitor, (ii) an immunomodulatory agent, and (iii) an anti</w:t>
            </w:r>
            <w:r w:rsidR="00EC1990">
              <w:rPr>
                <w:rFonts w:ascii="Arial Narrow" w:eastAsia="MS Mincho" w:hAnsi="Arial Narrow" w:cs="Arial"/>
                <w:color w:val="000000" w:themeColor="text1"/>
                <w:sz w:val="20"/>
                <w:szCs w:val="20"/>
                <w:lang w:eastAsia="en-AU"/>
              </w:rPr>
              <w:noBreakHyphen/>
            </w:r>
            <w:r w:rsidRPr="000160C3">
              <w:rPr>
                <w:rFonts w:ascii="Arial Narrow" w:eastAsia="MS Mincho" w:hAnsi="Arial Narrow" w:cs="Arial"/>
                <w:color w:val="000000" w:themeColor="text1"/>
                <w:sz w:val="20"/>
                <w:szCs w:val="20"/>
                <w:lang w:eastAsia="en-AU"/>
              </w:rPr>
              <w:t>CD38 monoclonal antibody; or</w:t>
            </w:r>
          </w:p>
        </w:tc>
      </w:tr>
      <w:tr w:rsidR="005638C1" w:rsidRPr="000160C3" w14:paraId="2452902A"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A95EA84" w14:textId="774EAEC9" w:rsidR="005638C1" w:rsidRPr="000160C3" w:rsidRDefault="005638C1" w:rsidP="001C47F4">
            <w:pPr>
              <w:rPr>
                <w:rFonts w:ascii="Arial Narrow" w:hAnsi="Arial Narrow" w:cs="Arial"/>
                <w:b/>
                <w:bCs/>
                <w:color w:val="000000" w:themeColor="text1"/>
                <w:spacing w:val="-5"/>
                <w:sz w:val="20"/>
                <w:szCs w:val="20"/>
                <w:lang w:eastAsia="en-AU"/>
              </w:rPr>
            </w:pPr>
            <w:r w:rsidRPr="000160C3">
              <w:rPr>
                <w:rFonts w:ascii="Arial Narrow" w:hAnsi="Arial Narrow" w:cs="Arial"/>
                <w:color w:val="000000" w:themeColor="text1"/>
                <w:spacing w:val="-2"/>
                <w:sz w:val="20"/>
                <w:szCs w:val="20"/>
                <w:lang w:eastAsia="en-AU"/>
              </w:rPr>
              <w:t>Patient must have been refractory to, at least 3 prior lines of therapy, including each of the following therapies: (i) a proteasome inhibitor, (ii) an immunomodulatory agent, (iii) an anti</w:t>
            </w:r>
            <w:r w:rsidR="00EC1990">
              <w:rPr>
                <w:rFonts w:ascii="Arial Narrow" w:hAnsi="Arial Narrow" w:cs="Arial"/>
                <w:color w:val="000000" w:themeColor="text1"/>
                <w:spacing w:val="-2"/>
                <w:sz w:val="20"/>
                <w:szCs w:val="20"/>
                <w:lang w:eastAsia="en-AU"/>
              </w:rPr>
              <w:noBreakHyphen/>
            </w:r>
            <w:r w:rsidRPr="000160C3">
              <w:rPr>
                <w:rFonts w:ascii="Arial Narrow" w:hAnsi="Arial Narrow" w:cs="Arial"/>
                <w:color w:val="000000" w:themeColor="text1"/>
                <w:spacing w:val="-2"/>
                <w:sz w:val="20"/>
                <w:szCs w:val="20"/>
                <w:lang w:eastAsia="en-AU"/>
              </w:rPr>
              <w:t>CD38 monoclonal antibody</w:t>
            </w:r>
          </w:p>
        </w:tc>
      </w:tr>
      <w:tr w:rsidR="005638C1" w:rsidRPr="000160C3" w14:paraId="3FF7F171"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D08A6E9" w14:textId="77777777" w:rsidR="005638C1" w:rsidRPr="000160C3" w:rsidRDefault="005638C1" w:rsidP="001C47F4">
            <w:pPr>
              <w:rPr>
                <w:rFonts w:ascii="Arial Narrow" w:hAnsi="Arial Narrow" w:cs="Arial"/>
                <w:b/>
                <w:bCs/>
                <w:color w:val="000000" w:themeColor="text1"/>
                <w:spacing w:val="-5"/>
                <w:sz w:val="20"/>
                <w:szCs w:val="20"/>
                <w:lang w:eastAsia="en-AU"/>
              </w:rPr>
            </w:pPr>
            <w:r w:rsidRPr="000160C3">
              <w:rPr>
                <w:rFonts w:ascii="Arial Narrow" w:hAnsi="Arial Narrow" w:cs="Arial"/>
                <w:b/>
                <w:bCs/>
                <w:color w:val="000000" w:themeColor="text1"/>
                <w:spacing w:val="-5"/>
                <w:sz w:val="20"/>
                <w:szCs w:val="20"/>
                <w:lang w:eastAsia="en-AU"/>
              </w:rPr>
              <w:t>AND</w:t>
            </w:r>
          </w:p>
        </w:tc>
      </w:tr>
      <w:tr w:rsidR="005638C1" w:rsidRPr="000160C3" w14:paraId="42344E9A"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4783273" w14:textId="77777777" w:rsidR="005638C1" w:rsidRPr="000160C3" w:rsidRDefault="005638C1" w:rsidP="001C47F4">
            <w:pPr>
              <w:rPr>
                <w:rFonts w:ascii="Arial Narrow" w:hAnsi="Arial Narrow" w:cs="Arial"/>
                <w:b/>
                <w:bCs/>
                <w:color w:val="000000" w:themeColor="text1"/>
                <w:spacing w:val="-5"/>
                <w:sz w:val="20"/>
                <w:szCs w:val="20"/>
                <w:lang w:eastAsia="en-AU"/>
              </w:rPr>
            </w:pPr>
            <w:r w:rsidRPr="000160C3">
              <w:rPr>
                <w:rFonts w:ascii="Calibri" w:hAnsi="Calibri" w:cs="Arial"/>
                <w:b/>
                <w:bCs/>
                <w:color w:val="000000" w:themeColor="text1"/>
                <w:spacing w:val="-2"/>
                <w:sz w:val="20"/>
                <w:szCs w:val="20"/>
                <w:lang w:eastAsia="en-AU"/>
              </w:rPr>
              <w:t>Clinical criteria:</w:t>
            </w:r>
          </w:p>
        </w:tc>
      </w:tr>
      <w:tr w:rsidR="005638C1" w:rsidRPr="000160C3" w14:paraId="4C04FC48"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7B9BFEF" w14:textId="772E6B16" w:rsidR="005638C1" w:rsidRPr="000160C3" w:rsidRDefault="005638C1" w:rsidP="001C47F4">
            <w:pPr>
              <w:rPr>
                <w:rFonts w:ascii="Arial Narrow" w:hAnsi="Arial Narrow" w:cs="Arial"/>
                <w:b/>
                <w:bCs/>
                <w:color w:val="000000" w:themeColor="text1"/>
                <w:spacing w:val="-5"/>
                <w:sz w:val="20"/>
                <w:szCs w:val="20"/>
                <w:lang w:eastAsia="en-AU"/>
              </w:rPr>
            </w:pPr>
            <w:r w:rsidRPr="000160C3">
              <w:rPr>
                <w:rFonts w:ascii="Arial Narrow" w:hAnsi="Arial Narrow" w:cs="Arial"/>
                <w:color w:val="000000" w:themeColor="text1"/>
                <w:sz w:val="20"/>
                <w:szCs w:val="20"/>
                <w:lang w:eastAsia="en-AU"/>
              </w:rPr>
              <w:t>Patient must not have previously received treatment with another B</w:t>
            </w:r>
            <w:r w:rsidR="00EC1990">
              <w:rPr>
                <w:rFonts w:ascii="Arial Narrow" w:hAnsi="Arial Narrow" w:cs="Arial"/>
                <w:color w:val="000000" w:themeColor="text1"/>
                <w:sz w:val="20"/>
                <w:szCs w:val="20"/>
                <w:lang w:eastAsia="en-AU"/>
              </w:rPr>
              <w:noBreakHyphen/>
            </w:r>
            <w:r w:rsidRPr="000160C3">
              <w:rPr>
                <w:rFonts w:ascii="Arial Narrow" w:hAnsi="Arial Narrow" w:cs="Arial"/>
                <w:color w:val="000000" w:themeColor="text1"/>
                <w:sz w:val="20"/>
                <w:szCs w:val="20"/>
                <w:lang w:eastAsia="en-AU"/>
              </w:rPr>
              <w:t>cell maturation antigen (BCMA) directed therapy for this condition</w:t>
            </w:r>
          </w:p>
        </w:tc>
      </w:tr>
      <w:tr w:rsidR="005638C1" w:rsidRPr="000160C3" w14:paraId="02E8A0F5"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4E8D2B7" w14:textId="77777777" w:rsidR="005638C1" w:rsidRPr="000160C3" w:rsidRDefault="005638C1" w:rsidP="001C47F4">
            <w:pPr>
              <w:rPr>
                <w:rFonts w:ascii="Arial Narrow" w:hAnsi="Arial Narrow" w:cs="Arial"/>
                <w:b/>
                <w:bCs/>
                <w:color w:val="000000" w:themeColor="text1"/>
                <w:spacing w:val="-5"/>
                <w:sz w:val="20"/>
                <w:szCs w:val="20"/>
                <w:lang w:eastAsia="en-AU"/>
              </w:rPr>
            </w:pPr>
            <w:r w:rsidRPr="000160C3">
              <w:rPr>
                <w:rFonts w:ascii="Calibri" w:hAnsi="Calibri" w:cs="Arial"/>
                <w:b/>
                <w:bCs/>
                <w:color w:val="000000" w:themeColor="text1"/>
                <w:spacing w:val="-2"/>
                <w:sz w:val="20"/>
                <w:szCs w:val="20"/>
                <w:lang w:eastAsia="en-AU"/>
              </w:rPr>
              <w:t>AND</w:t>
            </w:r>
          </w:p>
        </w:tc>
      </w:tr>
      <w:tr w:rsidR="005638C1" w:rsidRPr="000160C3" w14:paraId="3D3BC138"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9383AFD" w14:textId="77777777" w:rsidR="005638C1" w:rsidRPr="000160C3" w:rsidRDefault="005638C1" w:rsidP="001C47F4">
            <w:pPr>
              <w:rPr>
                <w:rFonts w:ascii="Arial Narrow" w:hAnsi="Arial Narrow" w:cs="Arial"/>
                <w:b/>
                <w:bCs/>
                <w:color w:val="000000" w:themeColor="text1"/>
                <w:spacing w:val="-5"/>
                <w:sz w:val="20"/>
                <w:szCs w:val="20"/>
                <w:lang w:eastAsia="en-AU"/>
              </w:rPr>
            </w:pPr>
            <w:r w:rsidRPr="000160C3">
              <w:rPr>
                <w:rFonts w:ascii="Arial Narrow" w:hAnsi="Arial Narrow" w:cs="Arial"/>
                <w:b/>
                <w:bCs/>
                <w:color w:val="000000" w:themeColor="text1"/>
                <w:sz w:val="20"/>
                <w:szCs w:val="20"/>
                <w:lang w:eastAsia="en-AU"/>
              </w:rPr>
              <w:t>Clinical</w:t>
            </w:r>
            <w:r w:rsidRPr="000160C3">
              <w:rPr>
                <w:rFonts w:ascii="Arial Narrow" w:hAnsi="Arial Narrow" w:cs="Arial"/>
                <w:b/>
                <w:bCs/>
                <w:color w:val="000000" w:themeColor="text1"/>
                <w:spacing w:val="-4"/>
                <w:sz w:val="20"/>
                <w:szCs w:val="20"/>
                <w:lang w:eastAsia="en-AU"/>
              </w:rPr>
              <w:t xml:space="preserve"> </w:t>
            </w:r>
            <w:r w:rsidRPr="000160C3">
              <w:rPr>
                <w:rFonts w:ascii="Arial Narrow" w:hAnsi="Arial Narrow" w:cs="Arial"/>
                <w:b/>
                <w:bCs/>
                <w:color w:val="000000" w:themeColor="text1"/>
                <w:spacing w:val="-2"/>
                <w:sz w:val="20"/>
                <w:szCs w:val="20"/>
                <w:lang w:eastAsia="en-AU"/>
              </w:rPr>
              <w:t>criteria:</w:t>
            </w:r>
          </w:p>
        </w:tc>
      </w:tr>
      <w:tr w:rsidR="005638C1" w:rsidRPr="000160C3" w14:paraId="6CE890CA"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980CA95" w14:textId="77777777" w:rsidR="005638C1" w:rsidRPr="000160C3" w:rsidRDefault="005638C1" w:rsidP="001C47F4">
            <w:pPr>
              <w:rPr>
                <w:rFonts w:ascii="Arial Narrow" w:hAnsi="Arial Narrow" w:cs="Arial"/>
                <w:b/>
                <w:bCs/>
                <w:color w:val="000000" w:themeColor="text1"/>
                <w:spacing w:val="-5"/>
                <w:sz w:val="20"/>
                <w:szCs w:val="20"/>
                <w:lang w:eastAsia="en-AU"/>
              </w:rPr>
            </w:pPr>
            <w:r w:rsidRPr="000160C3">
              <w:rPr>
                <w:rFonts w:ascii="Arial Narrow" w:hAnsi="Arial Narrow" w:cs="Arial"/>
                <w:color w:val="000000" w:themeColor="text1"/>
                <w:spacing w:val="-2"/>
                <w:sz w:val="20"/>
                <w:szCs w:val="20"/>
                <w:lang w:eastAsia="en-AU"/>
              </w:rPr>
              <w:t>Patient must have a WHO performance status of 2 or less prior to initiating treatment with this drug for this condition</w:t>
            </w:r>
          </w:p>
        </w:tc>
      </w:tr>
      <w:tr w:rsidR="005638C1" w:rsidRPr="000160C3" w14:paraId="14E41D8C"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9C63B78" w14:textId="77777777" w:rsidR="005638C1" w:rsidRPr="000160C3" w:rsidRDefault="005638C1" w:rsidP="001C47F4">
            <w:pPr>
              <w:rPr>
                <w:rFonts w:ascii="Arial Narrow" w:hAnsi="Arial Narrow" w:cs="Arial"/>
                <w:b/>
                <w:bCs/>
                <w:color w:val="000000" w:themeColor="text1"/>
                <w:spacing w:val="-5"/>
                <w:sz w:val="20"/>
                <w:szCs w:val="20"/>
                <w:lang w:eastAsia="en-AU"/>
              </w:rPr>
            </w:pPr>
            <w:r w:rsidRPr="000160C3">
              <w:rPr>
                <w:rFonts w:ascii="Arial Narrow" w:hAnsi="Arial Narrow" w:cs="Arial"/>
                <w:b/>
                <w:bCs/>
                <w:color w:val="000000" w:themeColor="text1"/>
                <w:spacing w:val="-2"/>
                <w:sz w:val="20"/>
                <w:szCs w:val="20"/>
                <w:lang w:eastAsia="en-AU"/>
              </w:rPr>
              <w:t>AND</w:t>
            </w:r>
          </w:p>
        </w:tc>
      </w:tr>
      <w:tr w:rsidR="005638C1" w:rsidRPr="000160C3" w14:paraId="7FDFB087"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CA48DC5" w14:textId="77777777" w:rsidR="005638C1" w:rsidRPr="000160C3" w:rsidRDefault="005638C1" w:rsidP="001C47F4">
            <w:pPr>
              <w:rPr>
                <w:rFonts w:ascii="Arial Narrow" w:hAnsi="Arial Narrow" w:cs="Arial"/>
                <w:b/>
                <w:bCs/>
                <w:color w:val="000000" w:themeColor="text1"/>
                <w:spacing w:val="-5"/>
                <w:sz w:val="20"/>
                <w:szCs w:val="20"/>
                <w:lang w:eastAsia="en-AU"/>
              </w:rPr>
            </w:pPr>
            <w:r w:rsidRPr="000160C3">
              <w:rPr>
                <w:rFonts w:ascii="Arial Narrow" w:hAnsi="Arial Narrow" w:cs="Arial"/>
                <w:b/>
                <w:bCs/>
                <w:color w:val="000000" w:themeColor="text1"/>
                <w:sz w:val="20"/>
                <w:szCs w:val="20"/>
                <w:lang w:eastAsia="en-AU"/>
              </w:rPr>
              <w:t>Clinical</w:t>
            </w:r>
            <w:r w:rsidRPr="000160C3">
              <w:rPr>
                <w:rFonts w:ascii="Arial Narrow" w:hAnsi="Arial Narrow" w:cs="Arial"/>
                <w:b/>
                <w:bCs/>
                <w:color w:val="000000" w:themeColor="text1"/>
                <w:spacing w:val="-4"/>
                <w:sz w:val="20"/>
                <w:szCs w:val="20"/>
                <w:lang w:eastAsia="en-AU"/>
              </w:rPr>
              <w:t xml:space="preserve"> </w:t>
            </w:r>
            <w:r w:rsidRPr="000160C3">
              <w:rPr>
                <w:rFonts w:ascii="Arial Narrow" w:hAnsi="Arial Narrow" w:cs="Arial"/>
                <w:b/>
                <w:bCs/>
                <w:color w:val="000000" w:themeColor="text1"/>
                <w:spacing w:val="-2"/>
                <w:sz w:val="20"/>
                <w:szCs w:val="20"/>
                <w:lang w:eastAsia="en-AU"/>
              </w:rPr>
              <w:t>criteria:</w:t>
            </w:r>
          </w:p>
        </w:tc>
      </w:tr>
      <w:tr w:rsidR="005638C1" w:rsidRPr="000160C3" w14:paraId="169AA0B0"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2140F45" w14:textId="77777777" w:rsidR="005638C1" w:rsidRPr="000160C3" w:rsidRDefault="005638C1" w:rsidP="001C47F4">
            <w:pPr>
              <w:rPr>
                <w:rFonts w:ascii="Arial Narrow" w:hAnsi="Arial Narrow" w:cs="Arial"/>
                <w:b/>
                <w:bCs/>
                <w:color w:val="000000" w:themeColor="text1"/>
                <w:sz w:val="20"/>
                <w:szCs w:val="20"/>
                <w:lang w:eastAsia="en-AU"/>
              </w:rPr>
            </w:pPr>
            <w:r w:rsidRPr="000160C3">
              <w:rPr>
                <w:rFonts w:ascii="Arial Narrow" w:hAnsi="Arial Narrow" w:cs="Arial"/>
                <w:color w:val="000000" w:themeColor="text1"/>
                <w:spacing w:val="-2"/>
                <w:sz w:val="20"/>
                <w:szCs w:val="20"/>
                <w:lang w:eastAsia="en-AU"/>
              </w:rPr>
              <w:t>Patient must not have developed disease progression while receiving treatment with this drug for this condition</w:t>
            </w:r>
          </w:p>
        </w:tc>
      </w:tr>
      <w:tr w:rsidR="005638C1" w:rsidRPr="000160C3" w14:paraId="01A6366B"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C85BCBC" w14:textId="77777777" w:rsidR="005638C1" w:rsidRPr="000160C3" w:rsidRDefault="005638C1" w:rsidP="001C47F4">
            <w:pPr>
              <w:rPr>
                <w:rFonts w:ascii="Arial Narrow" w:hAnsi="Arial Narrow" w:cs="Arial"/>
                <w:color w:val="000000" w:themeColor="text1"/>
                <w:spacing w:val="-2"/>
                <w:sz w:val="20"/>
                <w:szCs w:val="20"/>
                <w:lang w:eastAsia="en-AU"/>
              </w:rPr>
            </w:pPr>
            <w:r w:rsidRPr="000160C3">
              <w:rPr>
                <w:rFonts w:ascii="Arial Narrow" w:hAnsi="Arial Narrow" w:cs="Arial"/>
                <w:b/>
                <w:bCs/>
                <w:color w:val="000000" w:themeColor="text1"/>
                <w:spacing w:val="-5"/>
                <w:sz w:val="20"/>
                <w:szCs w:val="20"/>
                <w:lang w:eastAsia="en-AU"/>
              </w:rPr>
              <w:t>AND</w:t>
            </w:r>
          </w:p>
        </w:tc>
      </w:tr>
      <w:tr w:rsidR="005638C1" w:rsidRPr="000160C3" w14:paraId="61254EB9"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166D5D0" w14:textId="77777777" w:rsidR="005638C1" w:rsidRPr="000160C3" w:rsidRDefault="005638C1" w:rsidP="001C47F4">
            <w:pPr>
              <w:rPr>
                <w:rFonts w:ascii="Arial Narrow" w:hAnsi="Arial Narrow" w:cs="Arial"/>
                <w:b/>
                <w:bCs/>
                <w:color w:val="000000" w:themeColor="text1"/>
                <w:sz w:val="20"/>
                <w:szCs w:val="20"/>
                <w:lang w:eastAsia="en-AU"/>
              </w:rPr>
            </w:pPr>
            <w:r w:rsidRPr="000160C3">
              <w:rPr>
                <w:rFonts w:ascii="Arial Narrow" w:hAnsi="Arial Narrow" w:cs="Arial"/>
                <w:b/>
                <w:bCs/>
                <w:color w:val="000000" w:themeColor="text1"/>
                <w:sz w:val="20"/>
                <w:szCs w:val="20"/>
                <w:lang w:eastAsia="en-AU"/>
              </w:rPr>
              <w:t>Clinical criteria:</w:t>
            </w:r>
          </w:p>
        </w:tc>
      </w:tr>
      <w:tr w:rsidR="005638C1" w:rsidRPr="000160C3" w14:paraId="1E527FE7"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3BA54C3" w14:textId="0A5CAADD" w:rsidR="005638C1" w:rsidRPr="000160C3" w:rsidRDefault="005638C1" w:rsidP="001C47F4">
            <w:pPr>
              <w:rPr>
                <w:rFonts w:ascii="Arial Narrow" w:hAnsi="Arial Narrow" w:cs="Arial"/>
                <w:color w:val="000000" w:themeColor="text1"/>
                <w:sz w:val="20"/>
                <w:szCs w:val="20"/>
                <w:lang w:eastAsia="en-AU"/>
              </w:rPr>
            </w:pPr>
            <w:r w:rsidRPr="000160C3">
              <w:rPr>
                <w:rFonts w:ascii="Arial Narrow" w:hAnsi="Arial Narrow" w:cs="Arial"/>
                <w:color w:val="000000" w:themeColor="text1"/>
                <w:sz w:val="20"/>
                <w:szCs w:val="20"/>
                <w:lang w:eastAsia="en-AU"/>
              </w:rPr>
              <w:t>The treatment must be the sole PBS</w:t>
            </w:r>
            <w:r w:rsidR="00EC1990">
              <w:rPr>
                <w:rFonts w:ascii="Arial Narrow" w:hAnsi="Arial Narrow" w:cs="Arial"/>
                <w:color w:val="000000" w:themeColor="text1"/>
                <w:sz w:val="20"/>
                <w:szCs w:val="20"/>
                <w:lang w:eastAsia="en-AU"/>
              </w:rPr>
              <w:noBreakHyphen/>
            </w:r>
            <w:r w:rsidRPr="000160C3">
              <w:rPr>
                <w:rFonts w:ascii="Arial Narrow" w:hAnsi="Arial Narrow" w:cs="Arial"/>
                <w:color w:val="000000" w:themeColor="text1"/>
                <w:sz w:val="20"/>
                <w:szCs w:val="20"/>
                <w:lang w:eastAsia="en-AU"/>
              </w:rPr>
              <w:t>subsidised systemic anti</w:t>
            </w:r>
            <w:r w:rsidR="00EC1990">
              <w:rPr>
                <w:rFonts w:ascii="Arial Narrow" w:hAnsi="Arial Narrow" w:cs="Arial"/>
                <w:color w:val="000000" w:themeColor="text1"/>
                <w:sz w:val="20"/>
                <w:szCs w:val="20"/>
                <w:lang w:eastAsia="en-AU"/>
              </w:rPr>
              <w:noBreakHyphen/>
            </w:r>
            <w:r w:rsidRPr="000160C3">
              <w:rPr>
                <w:rFonts w:ascii="Arial Narrow" w:hAnsi="Arial Narrow" w:cs="Arial"/>
                <w:color w:val="000000" w:themeColor="text1"/>
                <w:sz w:val="20"/>
                <w:szCs w:val="20"/>
                <w:lang w:eastAsia="en-AU"/>
              </w:rPr>
              <w:t>cancer therapy for this condition</w:t>
            </w:r>
          </w:p>
        </w:tc>
      </w:tr>
      <w:tr w:rsidR="005638C1" w:rsidRPr="000160C3" w14:paraId="3A219494"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C1F92BA"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b/>
                <w:bCs/>
                <w:color w:val="000000" w:themeColor="text1"/>
                <w:spacing w:val="-2"/>
                <w:sz w:val="20"/>
                <w:szCs w:val="20"/>
                <w:lang w:eastAsia="en-AU"/>
              </w:rPr>
            </w:pPr>
            <w:r w:rsidRPr="000160C3">
              <w:rPr>
                <w:rFonts w:ascii="Arial Narrow" w:eastAsia="MS Mincho" w:hAnsi="Arial Narrow" w:cs="Arial Narrow"/>
                <w:b/>
                <w:bCs/>
                <w:color w:val="000000" w:themeColor="text1"/>
                <w:spacing w:val="-2"/>
                <w:sz w:val="20"/>
                <w:szCs w:val="20"/>
                <w:lang w:eastAsia="en-AU"/>
              </w:rPr>
              <w:t>Prescribing Instructions:</w:t>
            </w:r>
          </w:p>
          <w:p w14:paraId="624CDF5B" w14:textId="27AE6D52" w:rsidR="005638C1" w:rsidRPr="000160C3" w:rsidRDefault="005638C1" w:rsidP="001C47F4">
            <w:pPr>
              <w:rPr>
                <w:rFonts w:ascii="Arial Narrow" w:hAnsi="Arial Narrow" w:cs="Arial"/>
                <w:color w:val="000000" w:themeColor="text1"/>
                <w:sz w:val="20"/>
                <w:szCs w:val="20"/>
                <w:lang w:eastAsia="en-AU"/>
              </w:rPr>
            </w:pPr>
            <w:r w:rsidRPr="000160C3">
              <w:rPr>
                <w:rFonts w:ascii="Arial Narrow" w:hAnsi="Arial Narrow" w:cs="Arial"/>
                <w:color w:val="000000" w:themeColor="text1"/>
                <w:sz w:val="20"/>
                <w:szCs w:val="20"/>
                <w:lang w:eastAsia="en-AU"/>
              </w:rPr>
              <w:t>According to the TGA</w:t>
            </w:r>
            <w:r w:rsidR="00EC1990">
              <w:rPr>
                <w:rFonts w:ascii="Arial Narrow" w:hAnsi="Arial Narrow" w:cs="Arial"/>
                <w:color w:val="000000" w:themeColor="text1"/>
                <w:sz w:val="20"/>
                <w:szCs w:val="20"/>
                <w:lang w:eastAsia="en-AU"/>
              </w:rPr>
              <w:noBreakHyphen/>
            </w:r>
            <w:r w:rsidRPr="000160C3">
              <w:rPr>
                <w:rFonts w:ascii="Arial Narrow" w:hAnsi="Arial Narrow" w:cs="Arial"/>
                <w:color w:val="000000" w:themeColor="text1"/>
                <w:sz w:val="20"/>
                <w:szCs w:val="20"/>
                <w:lang w:eastAsia="en-AU"/>
              </w:rPr>
              <w:t>approved Product Information, patients should be instructed to remain within proximity of a healthcare facility for 48 hours after the first full treatment dose in the continuing treatment phase.</w:t>
            </w:r>
          </w:p>
        </w:tc>
      </w:tr>
      <w:tr w:rsidR="005638C1" w:rsidRPr="000160C3" w14:paraId="354B7551"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412F049"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b/>
                <w:bCs/>
                <w:color w:val="000000" w:themeColor="text1"/>
                <w:spacing w:val="-2"/>
                <w:sz w:val="20"/>
                <w:szCs w:val="20"/>
                <w:lang w:eastAsia="en-AU"/>
              </w:rPr>
            </w:pPr>
            <w:r w:rsidRPr="000160C3">
              <w:rPr>
                <w:rFonts w:ascii="Arial Narrow" w:eastAsia="MS Mincho" w:hAnsi="Arial Narrow" w:cs="Arial Narrow"/>
                <w:b/>
                <w:bCs/>
                <w:color w:val="000000" w:themeColor="text1"/>
                <w:spacing w:val="-2"/>
                <w:sz w:val="20"/>
                <w:szCs w:val="20"/>
                <w:lang w:eastAsia="en-AU"/>
              </w:rPr>
              <w:t>Prescribing Instructions:</w:t>
            </w:r>
          </w:p>
          <w:p w14:paraId="6598E30E" w14:textId="187A3EF0" w:rsidR="005638C1" w:rsidRPr="000160C3" w:rsidRDefault="005638C1" w:rsidP="001C47F4">
            <w:pPr>
              <w:rPr>
                <w:rFonts w:ascii="Arial Narrow" w:hAnsi="Arial Narrow" w:cs="Arial"/>
                <w:color w:val="C4BC96" w:themeColor="background2" w:themeShade="BF"/>
                <w:sz w:val="20"/>
                <w:szCs w:val="20"/>
                <w:lang w:eastAsia="en-AU"/>
              </w:rPr>
            </w:pPr>
            <w:r w:rsidRPr="000160C3">
              <w:rPr>
                <w:rFonts w:ascii="Arial Narrow" w:hAnsi="Arial Narrow" w:cs="Arial"/>
                <w:color w:val="000000" w:themeColor="text1"/>
                <w:sz w:val="20"/>
                <w:szCs w:val="20"/>
                <w:lang w:eastAsia="en-AU"/>
              </w:rPr>
              <w:t>Prescribers may request the number of vials in line with the dosing requirement for each stage of treatment with the intention of providing the number of vials for each 4</w:t>
            </w:r>
            <w:r w:rsidR="00EC1990">
              <w:rPr>
                <w:rFonts w:ascii="Arial Narrow" w:hAnsi="Arial Narrow" w:cs="Arial"/>
                <w:color w:val="000000" w:themeColor="text1"/>
                <w:sz w:val="20"/>
                <w:szCs w:val="20"/>
                <w:lang w:eastAsia="en-AU"/>
              </w:rPr>
              <w:noBreakHyphen/>
            </w:r>
            <w:r w:rsidRPr="000160C3">
              <w:rPr>
                <w:rFonts w:ascii="Arial Narrow" w:hAnsi="Arial Narrow" w:cs="Arial"/>
                <w:color w:val="000000" w:themeColor="text1"/>
                <w:sz w:val="20"/>
                <w:szCs w:val="20"/>
                <w:lang w:eastAsia="en-AU"/>
              </w:rPr>
              <w:t>weeks of treatment (24</w:t>
            </w:r>
            <w:r w:rsidR="00EC1990">
              <w:rPr>
                <w:rFonts w:ascii="Arial Narrow" w:hAnsi="Arial Narrow" w:cs="Arial"/>
                <w:color w:val="000000" w:themeColor="text1"/>
                <w:sz w:val="20"/>
                <w:szCs w:val="20"/>
                <w:lang w:eastAsia="en-AU"/>
              </w:rPr>
              <w:noBreakHyphen/>
            </w:r>
            <w:r w:rsidRPr="000160C3">
              <w:rPr>
                <w:rFonts w:ascii="Arial Narrow" w:hAnsi="Arial Narrow" w:cs="Arial"/>
                <w:color w:val="000000" w:themeColor="text1"/>
                <w:sz w:val="20"/>
                <w:szCs w:val="20"/>
                <w:lang w:eastAsia="en-AU"/>
              </w:rPr>
              <w:t>weeks of treatment including repeats). Up to a maximum of 8 vials for each 4</w:t>
            </w:r>
            <w:r w:rsidR="00EC1990">
              <w:rPr>
                <w:rFonts w:ascii="Arial Narrow" w:hAnsi="Arial Narrow" w:cs="Arial"/>
                <w:color w:val="000000" w:themeColor="text1"/>
                <w:sz w:val="20"/>
                <w:szCs w:val="20"/>
                <w:lang w:eastAsia="en-AU"/>
              </w:rPr>
              <w:noBreakHyphen/>
            </w:r>
            <w:r w:rsidRPr="000160C3">
              <w:rPr>
                <w:rFonts w:ascii="Arial Narrow" w:hAnsi="Arial Narrow" w:cs="Arial"/>
                <w:color w:val="000000" w:themeColor="text1"/>
                <w:sz w:val="20"/>
                <w:szCs w:val="20"/>
                <w:lang w:eastAsia="en-AU"/>
              </w:rPr>
              <w:t>weeks of treatment, with 5 repeats, may be requested for a patient undergoing treatment.</w:t>
            </w:r>
          </w:p>
        </w:tc>
      </w:tr>
      <w:tr w:rsidR="005638C1" w:rsidRPr="000160C3" w14:paraId="4A946670" w14:textId="77777777" w:rsidTr="005638C1">
        <w:trPr>
          <w:cantSplit/>
          <w:trHeight w:val="62"/>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DE09055"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b/>
                <w:bCs/>
                <w:i/>
                <w:iCs/>
                <w:spacing w:val="-2"/>
                <w:sz w:val="20"/>
                <w:szCs w:val="20"/>
                <w:lang w:eastAsia="en-AU"/>
              </w:rPr>
            </w:pPr>
            <w:r w:rsidRPr="000160C3">
              <w:rPr>
                <w:rFonts w:ascii="Arial Narrow" w:eastAsia="MS Mincho" w:hAnsi="Arial Narrow" w:cs="Arial Narrow"/>
                <w:b/>
                <w:bCs/>
                <w:i/>
                <w:iCs/>
                <w:spacing w:val="-2"/>
                <w:sz w:val="20"/>
                <w:szCs w:val="20"/>
                <w:lang w:eastAsia="en-AU"/>
              </w:rPr>
              <w:lastRenderedPageBreak/>
              <w:t>Prescribing Instructions:</w:t>
            </w:r>
          </w:p>
          <w:p w14:paraId="2B0E140D"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Progressive disease is defined as at least 1 of the following:</w:t>
            </w:r>
          </w:p>
          <w:p w14:paraId="56240446"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i/>
                <w:iCs/>
                <w:spacing w:val="-2"/>
                <w:sz w:val="20"/>
                <w:szCs w:val="20"/>
                <w:lang w:eastAsia="en-AU"/>
              </w:rPr>
            </w:pPr>
          </w:p>
          <w:p w14:paraId="3EC4CB32"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(a) at least a 25% increase and an absolute increase of at least 5 g per L in serum M protein (monoclonal protein); or</w:t>
            </w:r>
          </w:p>
          <w:p w14:paraId="1EB407DF"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i/>
                <w:iCs/>
                <w:spacing w:val="-2"/>
                <w:sz w:val="20"/>
                <w:szCs w:val="20"/>
                <w:lang w:eastAsia="en-AU"/>
              </w:rPr>
            </w:pPr>
          </w:p>
          <w:p w14:paraId="7B9EAD28" w14:textId="7074688C"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(b) at least a 25% increase in 24</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hour urinary light chain M protein excretion, and an absolute increase of at least 200 mg per 24 hours; or</w:t>
            </w:r>
          </w:p>
          <w:p w14:paraId="1165CBC0"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i/>
                <w:iCs/>
                <w:spacing w:val="-2"/>
                <w:sz w:val="20"/>
                <w:szCs w:val="20"/>
                <w:lang w:eastAsia="en-AU"/>
              </w:rPr>
            </w:pPr>
          </w:p>
          <w:p w14:paraId="09462DBD" w14:textId="15336C9F"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(c) in oligo</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secretory and non</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secretory myeloma patients only, at least a 50% increase in the difference between involved free light chain and uninvolved free light chain; or</w:t>
            </w:r>
          </w:p>
          <w:p w14:paraId="64556CD9"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i/>
                <w:iCs/>
                <w:spacing w:val="-2"/>
                <w:sz w:val="20"/>
                <w:szCs w:val="20"/>
                <w:lang w:eastAsia="en-AU"/>
              </w:rPr>
            </w:pPr>
          </w:p>
          <w:p w14:paraId="3C3D9BB8"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(d) at least a 25% relative increase and at least a 10% absolute increase in plasma cells in a bone marrow aspirate or on biopsy; or</w:t>
            </w:r>
          </w:p>
          <w:p w14:paraId="228BC859"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i/>
                <w:iCs/>
                <w:spacing w:val="-2"/>
                <w:sz w:val="20"/>
                <w:szCs w:val="20"/>
                <w:lang w:eastAsia="en-AU"/>
              </w:rPr>
            </w:pPr>
          </w:p>
          <w:p w14:paraId="6791C463"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(e) an increase in the size or number of lytic bone lesions (not including compression fractures); or</w:t>
            </w:r>
          </w:p>
          <w:p w14:paraId="5E2803CC"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i/>
                <w:iCs/>
                <w:spacing w:val="-2"/>
                <w:sz w:val="20"/>
                <w:szCs w:val="20"/>
                <w:lang w:eastAsia="en-AU"/>
              </w:rPr>
            </w:pPr>
          </w:p>
          <w:p w14:paraId="40269049"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(f) at least a 25% increase in the size of an existing or the development of a new soft tissue plasmacytoma (determined by clinical examination or diagnostic imaging); or</w:t>
            </w:r>
          </w:p>
          <w:p w14:paraId="227A1EEE"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i/>
                <w:iCs/>
                <w:spacing w:val="-2"/>
                <w:sz w:val="20"/>
                <w:szCs w:val="20"/>
                <w:lang w:eastAsia="en-AU"/>
              </w:rPr>
            </w:pPr>
          </w:p>
          <w:p w14:paraId="42016534"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i/>
                <w:iCs/>
                <w:spacing w:val="-2"/>
                <w:sz w:val="20"/>
                <w:szCs w:val="20"/>
                <w:lang w:eastAsia="en-AU"/>
              </w:rPr>
            </w:pPr>
            <w:r w:rsidRPr="000160C3">
              <w:rPr>
                <w:rFonts w:ascii="Arial Narrow" w:eastAsia="MS Mincho" w:hAnsi="Arial Narrow" w:cs="Arial Narrow"/>
                <w:i/>
                <w:iCs/>
                <w:spacing w:val="-2"/>
                <w:sz w:val="20"/>
                <w:szCs w:val="20"/>
                <w:lang w:eastAsia="en-AU"/>
              </w:rPr>
              <w:t>(g) development of hypercalcaemia (corrected serum calcium greater than 2.65 mmol per L not attributable to any other cause).</w:t>
            </w:r>
          </w:p>
        </w:tc>
      </w:tr>
      <w:tr w:rsidR="005638C1" w:rsidRPr="000160C3" w14:paraId="14E824A8"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4722952"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b/>
                <w:bCs/>
                <w:i/>
                <w:iCs/>
                <w:spacing w:val="-2"/>
                <w:sz w:val="20"/>
                <w:szCs w:val="20"/>
                <w:lang w:eastAsia="en-AU"/>
              </w:rPr>
            </w:pPr>
            <w:r w:rsidRPr="000160C3">
              <w:rPr>
                <w:rFonts w:ascii="Arial Narrow" w:eastAsia="MS Mincho" w:hAnsi="Arial Narrow" w:cs="Arial Narrow"/>
                <w:b/>
                <w:bCs/>
                <w:i/>
                <w:iCs/>
                <w:spacing w:val="-2"/>
                <w:sz w:val="20"/>
                <w:szCs w:val="20"/>
                <w:lang w:eastAsia="en-AU"/>
              </w:rPr>
              <w:t>Prescribing instruction:</w:t>
            </w:r>
          </w:p>
          <w:p w14:paraId="7AA7DD77" w14:textId="5A74451E"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b/>
                <w:bCs/>
                <w:i/>
                <w:iCs/>
                <w:spacing w:val="-2"/>
                <w:sz w:val="20"/>
                <w:szCs w:val="20"/>
                <w:lang w:eastAsia="en-AU"/>
              </w:rPr>
            </w:pPr>
            <w:r w:rsidRPr="000160C3">
              <w:rPr>
                <w:rFonts w:ascii="Arial Narrow" w:eastAsia="MS Mincho" w:hAnsi="Arial Narrow" w:cs="Arial Narrow"/>
                <w:i/>
                <w:iCs/>
                <w:spacing w:val="-2"/>
                <w:sz w:val="20"/>
                <w:szCs w:val="20"/>
                <w:lang w:eastAsia="en-AU"/>
              </w:rPr>
              <w:t>This drug is not PBS</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subsidised if it is administered to an in</w:t>
            </w:r>
            <w:r w:rsidR="00EC1990">
              <w:rPr>
                <w:rFonts w:ascii="Arial Narrow" w:eastAsia="MS Mincho" w:hAnsi="Arial Narrow" w:cs="Arial Narrow"/>
                <w:i/>
                <w:iCs/>
                <w:spacing w:val="-2"/>
                <w:sz w:val="20"/>
                <w:szCs w:val="20"/>
                <w:lang w:eastAsia="en-AU"/>
              </w:rPr>
              <w:noBreakHyphen/>
            </w:r>
            <w:r w:rsidRPr="000160C3">
              <w:rPr>
                <w:rFonts w:ascii="Arial Narrow" w:eastAsia="MS Mincho" w:hAnsi="Arial Narrow" w:cs="Arial Narrow"/>
                <w:i/>
                <w:iCs/>
                <w:spacing w:val="-2"/>
                <w:sz w:val="20"/>
                <w:szCs w:val="20"/>
                <w:lang w:eastAsia="en-AU"/>
              </w:rPr>
              <w:t>patient in a public hospital setting.</w:t>
            </w:r>
          </w:p>
        </w:tc>
      </w:tr>
      <w:tr w:rsidR="005638C1" w:rsidRPr="000160C3" w14:paraId="4E446061"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F3779B1"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b/>
                <w:bCs/>
                <w:i/>
                <w:iCs/>
                <w:spacing w:val="-2"/>
                <w:sz w:val="20"/>
                <w:szCs w:val="20"/>
                <w:lang w:eastAsia="en-AU"/>
              </w:rPr>
            </w:pPr>
            <w:r w:rsidRPr="000160C3">
              <w:rPr>
                <w:rFonts w:ascii="Arial Narrow" w:eastAsia="Calibri" w:hAnsi="Arial Narrow" w:cs="Arial"/>
                <w:b/>
                <w:i/>
                <w:iCs/>
                <w:sz w:val="20"/>
                <w:szCs w:val="20"/>
                <w:lang w:eastAsia="en-AU"/>
              </w:rPr>
              <w:t>Administrative advice:</w:t>
            </w:r>
            <w:r w:rsidRPr="000160C3">
              <w:rPr>
                <w:rFonts w:ascii="Arial Narrow" w:eastAsia="Calibri" w:hAnsi="Arial Narrow" w:cs="Arial"/>
                <w:bCs/>
                <w:i/>
                <w:iCs/>
                <w:sz w:val="20"/>
                <w:szCs w:val="20"/>
                <w:lang w:eastAsia="en-AU"/>
              </w:rPr>
              <w:t xml:space="preserve"> No increase in the maximum number of repeats may be authorised</w:t>
            </w:r>
          </w:p>
        </w:tc>
      </w:tr>
      <w:tr w:rsidR="005638C1" w:rsidRPr="000160C3" w14:paraId="0B6A03B9"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37505BE"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160C3">
              <w:rPr>
                <w:rFonts w:ascii="Arial Narrow" w:eastAsia="Calibri" w:hAnsi="Arial Narrow" w:cs="Arial"/>
                <w:b/>
                <w:sz w:val="20"/>
                <w:szCs w:val="20"/>
                <w:lang w:eastAsia="en-AU"/>
              </w:rPr>
              <w:t>Administrative advice:</w:t>
            </w:r>
            <w:r w:rsidRPr="000160C3">
              <w:rPr>
                <w:rFonts w:ascii="Arial Narrow" w:eastAsia="Calibri" w:hAnsi="Arial Narrow" w:cs="Arial"/>
                <w:bCs/>
                <w:sz w:val="20"/>
                <w:szCs w:val="20"/>
                <w:lang w:eastAsia="en-AU"/>
              </w:rPr>
              <w:t xml:space="preserve"> Special pricing arrangements apply</w:t>
            </w:r>
          </w:p>
        </w:tc>
      </w:tr>
      <w:tr w:rsidR="005638C1" w:rsidRPr="000160C3" w14:paraId="5F892FEE" w14:textId="77777777" w:rsidTr="005638C1">
        <w:trPr>
          <w:cantSplit/>
          <w:trHeight w:val="20"/>
        </w:trPr>
        <w:tc>
          <w:tcPr>
            <w:tcW w:w="9214"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F886B4C" w14:textId="77777777" w:rsidR="005638C1" w:rsidRPr="000160C3" w:rsidRDefault="005638C1" w:rsidP="001C47F4">
            <w:pPr>
              <w:kinsoku w:val="0"/>
              <w:overflowPunct w:val="0"/>
              <w:autoSpaceDE w:val="0"/>
              <w:autoSpaceDN w:val="0"/>
              <w:adjustRightInd w:val="0"/>
              <w:spacing w:line="201" w:lineRule="exact"/>
              <w:ind w:left="13"/>
              <w:rPr>
                <w:rFonts w:ascii="Arial Narrow" w:eastAsia="MS Mincho" w:hAnsi="Arial Narrow" w:cs="Arial Narrow"/>
                <w:b/>
                <w:bCs/>
                <w:i/>
                <w:iCs/>
                <w:spacing w:val="-2"/>
                <w:sz w:val="20"/>
                <w:szCs w:val="20"/>
                <w:lang w:eastAsia="en-AU"/>
              </w:rPr>
            </w:pPr>
            <w:r w:rsidRPr="000160C3">
              <w:rPr>
                <w:rFonts w:ascii="Arial Narrow" w:eastAsia="Calibri" w:hAnsi="Arial Narrow" w:cs="Arial"/>
                <w:b/>
                <w:i/>
                <w:iCs/>
                <w:sz w:val="20"/>
                <w:szCs w:val="20"/>
                <w:lang w:eastAsia="en-AU"/>
              </w:rPr>
              <w:t>Administrative Advice:</w:t>
            </w:r>
            <w:r w:rsidRPr="000160C3">
              <w:rPr>
                <w:rFonts w:ascii="Arial Narrow" w:eastAsia="Calibri" w:hAnsi="Arial Narrow" w:cs="Arial"/>
                <w:bCs/>
                <w:i/>
                <w:iCs/>
                <w:sz w:val="20"/>
                <w:szCs w:val="20"/>
                <w:lang w:eastAsia="en-AU"/>
              </w:rPr>
              <w:t xml:space="preserve"> Applications for authorisation under this restriction may be made in real time using the Online PBS Authorities system (see www.servicesaustralia.gov.au/HPOS) or by telephone by contacting Services Australia on 1800 888 333.</w:t>
            </w:r>
          </w:p>
        </w:tc>
      </w:tr>
    </w:tbl>
    <w:p w14:paraId="2D0097E7" w14:textId="77777777" w:rsidR="00D75787" w:rsidRPr="000160C3" w:rsidRDefault="00D75787" w:rsidP="001C47F4">
      <w:pPr>
        <w:rPr>
          <w:rFonts w:cstheme="minorHAnsi"/>
        </w:rPr>
      </w:pPr>
    </w:p>
    <w:bookmarkEnd w:id="11"/>
    <w:p w14:paraId="54CFA3B2" w14:textId="0E4E461D" w:rsidR="00DF0C5B" w:rsidRPr="000160C3" w:rsidRDefault="00DF0C5B" w:rsidP="001C47F4">
      <w:pPr>
        <w:pStyle w:val="3-BodyText"/>
      </w:pPr>
      <w:r w:rsidRPr="000160C3">
        <w:t>The submission requested a dual Section 85 and Section 100 Efficient Funding of Chemotherapy (EFC) – Related Benefits listing for teclistamab. This was consistent with the recommended listing for elranatamab (para</w:t>
      </w:r>
      <w:r w:rsidR="0066483D" w:rsidRPr="000160C3">
        <w:t>graph</w:t>
      </w:r>
      <w:r w:rsidRPr="000160C3">
        <w:t xml:space="preserve"> 7.6, elranatamab </w:t>
      </w:r>
      <w:r w:rsidR="001E2B06" w:rsidRPr="000160C3">
        <w:t xml:space="preserve">public summary document </w:t>
      </w:r>
      <w:r w:rsidR="0063015A">
        <w:t>[</w:t>
      </w:r>
      <w:r w:rsidRPr="000160C3">
        <w:t>PSD</w:t>
      </w:r>
      <w:r w:rsidR="0063015A">
        <w:t>]</w:t>
      </w:r>
      <w:r w:rsidR="0066483D" w:rsidRPr="000160C3">
        <w:t>,</w:t>
      </w:r>
      <w:r w:rsidRPr="000160C3">
        <w:t xml:space="preserve"> March 2025</w:t>
      </w:r>
      <w:r w:rsidR="00452E10" w:rsidRPr="000160C3">
        <w:t xml:space="preserve"> PBAC meeting</w:t>
      </w:r>
      <w:r w:rsidRPr="000160C3">
        <w:t>).</w:t>
      </w:r>
    </w:p>
    <w:p w14:paraId="40D38493" w14:textId="1FFBBC13" w:rsidR="00521900" w:rsidRPr="000160C3" w:rsidRDefault="00521900" w:rsidP="001C47F4">
      <w:pPr>
        <w:pStyle w:val="3-BodyText"/>
      </w:pPr>
      <w:r w:rsidRPr="000160C3">
        <w:t>The submission requested a special pricing arrangement (SPA)</w:t>
      </w:r>
      <w:r w:rsidR="00432DBB" w:rsidRPr="000160C3">
        <w:t>.</w:t>
      </w:r>
      <w:r w:rsidRPr="000160C3">
        <w:t xml:space="preserve"> It was proposed that teclistamab be listed at an effective </w:t>
      </w:r>
      <w:r w:rsidR="00945657" w:rsidRPr="000160C3">
        <w:t>approved ex</w:t>
      </w:r>
      <w:r w:rsidR="00EC1990">
        <w:noBreakHyphen/>
      </w:r>
      <w:r w:rsidR="00945657" w:rsidRPr="000160C3">
        <w:t>manufacturer price (</w:t>
      </w:r>
      <w:r w:rsidRPr="000160C3">
        <w:t>AEMP</w:t>
      </w:r>
      <w:r w:rsidR="00945657" w:rsidRPr="000160C3">
        <w:t>)</w:t>
      </w:r>
      <w:r w:rsidRPr="000160C3">
        <w:t xml:space="preserve"> per vial that reflects the agreed equi</w:t>
      </w:r>
      <w:r w:rsidR="00EC1990">
        <w:noBreakHyphen/>
      </w:r>
      <w:r w:rsidRPr="000160C3">
        <w:t>effective doses for teclistamab and elranatamab for the treatment of RRMM (i.e.</w:t>
      </w:r>
      <w:r w:rsidR="008F180D" w:rsidRPr="000160C3">
        <w:t>,</w:t>
      </w:r>
      <w:r w:rsidRPr="000160C3">
        <w:t xml:space="preserve"> teclistamab reimbursed at the cost</w:t>
      </w:r>
      <w:r w:rsidR="00EC1990">
        <w:noBreakHyphen/>
      </w:r>
      <w:r w:rsidRPr="000160C3">
        <w:t xml:space="preserve">minimised price to elranatamab). </w:t>
      </w:r>
    </w:p>
    <w:p w14:paraId="0D91D698" w14:textId="79FBA766" w:rsidR="00521900" w:rsidRPr="00FB5BFC" w:rsidRDefault="00521900" w:rsidP="001C47F4">
      <w:pPr>
        <w:pStyle w:val="3-BodyText"/>
      </w:pPr>
      <w:r w:rsidRPr="000160C3">
        <w:t>The submission proposed restricting teclistamab to patients with a WHO performance status ≤</w:t>
      </w:r>
      <w:r w:rsidR="00FA44F7" w:rsidRPr="000160C3">
        <w:t xml:space="preserve"> </w:t>
      </w:r>
      <w:r w:rsidRPr="000160C3">
        <w:t xml:space="preserve">2. While this mirrors the </w:t>
      </w:r>
      <w:r w:rsidR="00A45E7E" w:rsidRPr="000160C3">
        <w:t xml:space="preserve">recommended </w:t>
      </w:r>
      <w:r w:rsidRPr="000160C3">
        <w:t xml:space="preserve">restriction </w:t>
      </w:r>
      <w:r w:rsidR="00A45E7E" w:rsidRPr="000160C3">
        <w:t>for</w:t>
      </w:r>
      <w:r w:rsidRPr="000160C3">
        <w:t xml:space="preserve"> elranatamab, this criterion does not reflect the inclusion criteria </w:t>
      </w:r>
      <w:r w:rsidR="00944F64" w:rsidRPr="000160C3">
        <w:t xml:space="preserve">for patients in the </w:t>
      </w:r>
      <w:r w:rsidRPr="000160C3">
        <w:t xml:space="preserve">teclistamab </w:t>
      </w:r>
      <w:r w:rsidR="00854055" w:rsidRPr="000160C3">
        <w:t xml:space="preserve">study </w:t>
      </w:r>
      <w:r w:rsidRPr="000160C3">
        <w:t>MajesTEC</w:t>
      </w:r>
      <w:r w:rsidR="00EC1990">
        <w:noBreakHyphen/>
      </w:r>
      <w:r w:rsidRPr="000160C3">
        <w:t xml:space="preserve">1, which enrolled patients with an WHO ECOG Performance Status of 0–1. </w:t>
      </w:r>
      <w:r w:rsidR="008700A2" w:rsidRPr="00FB5BFC">
        <w:t>The ESC considered that the proposed restriction criterion was reasonable.</w:t>
      </w:r>
    </w:p>
    <w:p w14:paraId="7028EFF1" w14:textId="1DAEA942" w:rsidR="00C916F8" w:rsidRDefault="002A13FB" w:rsidP="001C47F4">
      <w:pPr>
        <w:pStyle w:val="3-BodyText"/>
        <w:rPr>
          <w:i/>
          <w:iCs/>
        </w:rPr>
      </w:pPr>
      <w:r w:rsidRPr="000160C3">
        <w:t>Due to the risk of cytokine release syndrome (CRS)</w:t>
      </w:r>
      <w:r w:rsidR="00485E1D" w:rsidRPr="000160C3">
        <w:t>, t</w:t>
      </w:r>
      <w:r w:rsidR="00521900" w:rsidRPr="000160C3">
        <w:t xml:space="preserve">he </w:t>
      </w:r>
      <w:r w:rsidR="00077F92" w:rsidRPr="000160C3">
        <w:t>proposed</w:t>
      </w:r>
      <w:r w:rsidR="00521900" w:rsidRPr="000160C3">
        <w:t xml:space="preserve"> restriction stated that initiation of teclistamab required patient</w:t>
      </w:r>
      <w:r w:rsidR="004A2B09" w:rsidRPr="000160C3">
        <w:t>s</w:t>
      </w:r>
      <w:r w:rsidR="00521900" w:rsidRPr="000160C3">
        <w:t xml:space="preserve"> to remain in proximity to a healthcare facility during the step</w:t>
      </w:r>
      <w:r w:rsidR="00EC1990">
        <w:noBreakHyphen/>
      </w:r>
      <w:r w:rsidR="00521900" w:rsidRPr="000160C3">
        <w:t xml:space="preserve">up dosing schedule. This restriction is consistent with the approved </w:t>
      </w:r>
      <w:r w:rsidR="002B02A0" w:rsidRPr="000160C3">
        <w:t xml:space="preserve">TGA Product </w:t>
      </w:r>
      <w:r w:rsidR="00682024" w:rsidRPr="000160C3">
        <w:t>Information</w:t>
      </w:r>
      <w:r w:rsidR="00521900" w:rsidRPr="000160C3">
        <w:t xml:space="preserve">, but </w:t>
      </w:r>
      <w:r w:rsidR="00E56ED9" w:rsidRPr="000160C3">
        <w:t xml:space="preserve">does </w:t>
      </w:r>
      <w:r w:rsidR="00521900" w:rsidRPr="000160C3">
        <w:t xml:space="preserve">not align with </w:t>
      </w:r>
      <w:r w:rsidR="00945657" w:rsidRPr="000160C3">
        <w:t xml:space="preserve">the key evidence, the </w:t>
      </w:r>
      <w:r w:rsidR="00521900" w:rsidRPr="000160C3">
        <w:t>MajesTEC</w:t>
      </w:r>
      <w:r w:rsidR="00EC1990">
        <w:noBreakHyphen/>
      </w:r>
      <w:r w:rsidR="00521900" w:rsidRPr="000160C3">
        <w:t>1</w:t>
      </w:r>
      <w:r w:rsidR="00945657" w:rsidRPr="000160C3">
        <w:t xml:space="preserve"> study</w:t>
      </w:r>
      <w:r w:rsidR="00521900" w:rsidRPr="000160C3">
        <w:t xml:space="preserve">, </w:t>
      </w:r>
      <w:r w:rsidR="00945657" w:rsidRPr="000160C3">
        <w:t xml:space="preserve">in which </w:t>
      </w:r>
      <w:r w:rsidR="00521900" w:rsidRPr="000160C3">
        <w:t>all patients were hospitali</w:t>
      </w:r>
      <w:r w:rsidR="00FE21E9" w:rsidRPr="000160C3">
        <w:t>s</w:t>
      </w:r>
      <w:r w:rsidR="00521900" w:rsidRPr="000160C3">
        <w:t>ed for safety monitoring for at least 48 hours after each step</w:t>
      </w:r>
      <w:r w:rsidR="00EC1990">
        <w:noBreakHyphen/>
      </w:r>
      <w:r w:rsidR="00521900" w:rsidRPr="000160C3">
        <w:t>up dose and the first treatment dose</w:t>
      </w:r>
      <w:r w:rsidR="00521900" w:rsidRPr="000160C3">
        <w:rPr>
          <w:i/>
          <w:iCs/>
        </w:rPr>
        <w:t xml:space="preserve">. </w:t>
      </w:r>
    </w:p>
    <w:p w14:paraId="2593ABD5" w14:textId="26E2D74C" w:rsidR="003F2F8F" w:rsidRPr="003B0C90" w:rsidRDefault="00A831DA" w:rsidP="001C47F4">
      <w:pPr>
        <w:pStyle w:val="3-BodyText"/>
      </w:pPr>
      <w:r w:rsidRPr="003B0C90">
        <w:t xml:space="preserve">The submission proposed a grandfathering restriction; however, </w:t>
      </w:r>
      <w:r w:rsidR="003B0C90" w:rsidRPr="003B0C90">
        <w:t>the Secretariat noted it was not ne</w:t>
      </w:r>
      <w:r w:rsidR="003B4F24">
        <w:t>cessary</w:t>
      </w:r>
      <w:r w:rsidR="003B0C90" w:rsidRPr="003B0C90">
        <w:t xml:space="preserve"> as the </w:t>
      </w:r>
      <w:r w:rsidR="00804D50">
        <w:t xml:space="preserve">proposed restriction </w:t>
      </w:r>
      <w:r w:rsidR="00053C16" w:rsidRPr="003B0C90">
        <w:t>criteria allows for patients to transition to PBS</w:t>
      </w:r>
      <w:r w:rsidR="00EC1990">
        <w:noBreakHyphen/>
      </w:r>
      <w:r w:rsidR="00053C16" w:rsidRPr="003B0C90">
        <w:t xml:space="preserve">funded </w:t>
      </w:r>
      <w:r w:rsidR="003B0C90" w:rsidRPr="003B0C90">
        <w:t>teclistamab.</w:t>
      </w:r>
      <w:r w:rsidR="00EC1990">
        <w:t xml:space="preserve"> </w:t>
      </w:r>
    </w:p>
    <w:p w14:paraId="1AD71EC5" w14:textId="39A978C4" w:rsidR="00C916F8" w:rsidRPr="00C916F8" w:rsidRDefault="00C916F8" w:rsidP="001C47F4">
      <w:pPr>
        <w:pStyle w:val="3-BodyText"/>
        <w:numPr>
          <w:ilvl w:val="0"/>
          <w:numId w:val="0"/>
        </w:numPr>
        <w:ind w:left="720"/>
        <w:rPr>
          <w:i/>
          <w:iCs/>
        </w:rPr>
      </w:pPr>
      <w:r w:rsidRPr="00C916F8">
        <w:rPr>
          <w:i/>
          <w:iCs/>
        </w:rPr>
        <w:t>For more detail on PBAC’s view, see section 7 PBAC outcome.</w:t>
      </w:r>
    </w:p>
    <w:p w14:paraId="6F3E7CF4" w14:textId="7F9353B3" w:rsidR="00521900" w:rsidRPr="000160C3" w:rsidDel="00195452" w:rsidRDefault="00521900" w:rsidP="001C47F4">
      <w:pPr>
        <w:pStyle w:val="2-SectionHeading"/>
      </w:pPr>
      <w:bookmarkStart w:id="12" w:name="_Toc219718645"/>
      <w:r w:rsidRPr="000160C3" w:rsidDel="00195452">
        <w:lastRenderedPageBreak/>
        <w:t>Population and disease</w:t>
      </w:r>
      <w:bookmarkEnd w:id="12"/>
    </w:p>
    <w:p w14:paraId="4B4C9BCB" w14:textId="45E346F1" w:rsidR="00521900" w:rsidRPr="000160C3" w:rsidRDefault="00521900" w:rsidP="001C47F4">
      <w:pPr>
        <w:pStyle w:val="3-BodyText"/>
      </w:pPr>
      <w:r w:rsidRPr="000160C3">
        <w:t xml:space="preserve">Multiple myeloma </w:t>
      </w:r>
      <w:r w:rsidR="00A132CE" w:rsidRPr="000160C3">
        <w:t xml:space="preserve">(MM) </w:t>
      </w:r>
      <w:r w:rsidRPr="000160C3">
        <w:t>is a plasma cell malignancy characterised by the abnormal growth of clonal B</w:t>
      </w:r>
      <w:r w:rsidR="00EC1990">
        <w:noBreakHyphen/>
      </w:r>
      <w:r w:rsidRPr="000160C3">
        <w:t xml:space="preserve">cells in the bone marrow leading to bone destruction and </w:t>
      </w:r>
      <w:r w:rsidR="008101BB" w:rsidRPr="000160C3">
        <w:t xml:space="preserve">bone </w:t>
      </w:r>
      <w:r w:rsidRPr="000160C3">
        <w:t xml:space="preserve">marrow failure. Patients experience hypercalcaemia, renal impairment, anaemia, pain, bone fractures, and are susceptible to infections. According to the </w:t>
      </w:r>
      <w:r w:rsidR="007E34AE">
        <w:t>Australia</w:t>
      </w:r>
      <w:r w:rsidR="00B52786">
        <w:t>n</w:t>
      </w:r>
      <w:r w:rsidR="007E34AE">
        <w:t xml:space="preserve"> Institute of Health and Welfare (</w:t>
      </w:r>
      <w:r w:rsidRPr="000160C3">
        <w:t>AIHW</w:t>
      </w:r>
      <w:r w:rsidR="007E34AE">
        <w:t>)</w:t>
      </w:r>
      <w:r w:rsidRPr="000160C3">
        <w:t xml:space="preserve">, an estimated 2,755 new cases of MM </w:t>
      </w:r>
      <w:r w:rsidR="004B29AF" w:rsidRPr="000160C3">
        <w:t>were</w:t>
      </w:r>
      <w:r w:rsidRPr="000160C3">
        <w:t xml:space="preserve"> diagnosed in Australia in 2025. The median age of a patient with MM in Australia </w:t>
      </w:r>
      <w:r w:rsidR="004B29AF" w:rsidRPr="000160C3">
        <w:t xml:space="preserve">is </w:t>
      </w:r>
      <w:r w:rsidRPr="000160C3">
        <w:t xml:space="preserve">68 years </w:t>
      </w:r>
      <w:r w:rsidR="002F0E56" w:rsidRPr="000160C3">
        <w:t xml:space="preserve">and </w:t>
      </w:r>
      <w:r w:rsidR="00C35A48" w:rsidRPr="000160C3">
        <w:t xml:space="preserve">the </w:t>
      </w:r>
      <w:r w:rsidR="005C4CA2" w:rsidRPr="000160C3">
        <w:t>5</w:t>
      </w:r>
      <w:r w:rsidR="00EC1990">
        <w:noBreakHyphen/>
      </w:r>
      <w:r w:rsidR="005C4CA2" w:rsidRPr="000160C3">
        <w:t>year</w:t>
      </w:r>
      <w:r w:rsidR="00C35A48" w:rsidRPr="000160C3">
        <w:t xml:space="preserve"> survival is 57%</w:t>
      </w:r>
      <w:r w:rsidRPr="000160C3">
        <w:t xml:space="preserve">. </w:t>
      </w:r>
    </w:p>
    <w:p w14:paraId="55019E06" w14:textId="1FFEC0B6" w:rsidR="00521900" w:rsidRPr="000160C3" w:rsidRDefault="00730C58" w:rsidP="001C47F4">
      <w:pPr>
        <w:pStyle w:val="3-BodyText"/>
      </w:pPr>
      <w:r w:rsidRPr="000160C3">
        <w:t>As noted above, t</w:t>
      </w:r>
      <w:r w:rsidR="00521900" w:rsidRPr="000160C3">
        <w:t xml:space="preserve">he requested listing is for patients who have been treated with a PI, an </w:t>
      </w:r>
      <w:proofErr w:type="spellStart"/>
      <w:r w:rsidR="00521900" w:rsidRPr="000160C3">
        <w:t>IMiD</w:t>
      </w:r>
      <w:proofErr w:type="spellEnd"/>
      <w:r w:rsidR="00521900" w:rsidRPr="000160C3">
        <w:t>, and a</w:t>
      </w:r>
      <w:r w:rsidR="00930EAA" w:rsidRPr="000160C3">
        <w:t>n anti</w:t>
      </w:r>
      <w:r w:rsidR="00EC1990">
        <w:noBreakHyphen/>
      </w:r>
      <w:r w:rsidR="00521900" w:rsidRPr="000160C3">
        <w:t>CD38 monoclonal antibody, i.e. triple class exposed (TCE). In Maje</w:t>
      </w:r>
      <w:r w:rsidR="004E475F">
        <w:t>s</w:t>
      </w:r>
      <w:r w:rsidR="00521900" w:rsidRPr="000160C3">
        <w:t>TEC</w:t>
      </w:r>
      <w:r w:rsidR="00EC1990">
        <w:noBreakHyphen/>
      </w:r>
      <w:r w:rsidR="00521900" w:rsidRPr="000160C3">
        <w:t xml:space="preserve">1, the pivotal </w:t>
      </w:r>
      <w:r w:rsidR="004B29AF" w:rsidRPr="000160C3">
        <w:t xml:space="preserve">study </w:t>
      </w:r>
      <w:r w:rsidR="00521900" w:rsidRPr="000160C3">
        <w:t>presented in the submission, all patients were TCE, and 68.1% had received 5 prior lines of therapy.</w:t>
      </w:r>
    </w:p>
    <w:p w14:paraId="4F5712DF" w14:textId="1E2F7CB2" w:rsidR="00521900" w:rsidRPr="000160C3" w:rsidRDefault="00521900" w:rsidP="001C47F4">
      <w:pPr>
        <w:pStyle w:val="3-BodyText"/>
      </w:pPr>
      <w:r w:rsidRPr="000160C3">
        <w:t xml:space="preserve">The proposed clinical algorithm placed elranatamab and teclistamab as the only alternative therapies in the 4L+ line. However, there are other therapies </w:t>
      </w:r>
      <w:r w:rsidR="008603DE" w:rsidRPr="000160C3">
        <w:t>that are</w:t>
      </w:r>
      <w:r w:rsidR="0007200A" w:rsidRPr="000160C3">
        <w:t xml:space="preserve"> PBS listed </w:t>
      </w:r>
      <w:r w:rsidR="00DA6EAF" w:rsidRPr="000160C3">
        <w:t xml:space="preserve">for treatment of RRMM </w:t>
      </w:r>
      <w:r w:rsidRPr="000160C3">
        <w:t>in 4L+ (i.e.</w:t>
      </w:r>
      <w:r w:rsidR="00ED6EE1" w:rsidRPr="000160C3">
        <w:t>,</w:t>
      </w:r>
      <w:r w:rsidR="00B161FF" w:rsidRPr="000160C3">
        <w:t xml:space="preserve"> </w:t>
      </w:r>
      <w:r w:rsidRPr="000160C3">
        <w:t>carfilzomib + dexamethasone</w:t>
      </w:r>
      <w:r w:rsidR="00120420" w:rsidRPr="000160C3">
        <w:t xml:space="preserve"> (Cd)</w:t>
      </w:r>
      <w:r w:rsidRPr="000160C3">
        <w:t>, pomalidomide + dexamethasone</w:t>
      </w:r>
      <w:r w:rsidR="00120420" w:rsidRPr="000160C3">
        <w:t xml:space="preserve"> (Pd)</w:t>
      </w:r>
      <w:r w:rsidRPr="000160C3">
        <w:t xml:space="preserve"> and selinexor + dexamethasone</w:t>
      </w:r>
      <w:r w:rsidR="00120420" w:rsidRPr="000160C3">
        <w:t xml:space="preserve"> (Sd)</w:t>
      </w:r>
      <w:r w:rsidRPr="000160C3">
        <w:t>)</w:t>
      </w:r>
      <w:r w:rsidR="00DA6EAF" w:rsidRPr="000160C3">
        <w:t>. These therapies</w:t>
      </w:r>
      <w:r w:rsidRPr="000160C3">
        <w:t xml:space="preserve"> were not included in the proposed clinical management algorithm. </w:t>
      </w:r>
      <w:r w:rsidR="006143A6" w:rsidRPr="000160C3">
        <w:t xml:space="preserve">Further, </w:t>
      </w:r>
      <w:r w:rsidR="00667D41" w:rsidRPr="000160C3">
        <w:t xml:space="preserve">as noted at the </w:t>
      </w:r>
      <w:r w:rsidR="009F4727">
        <w:t xml:space="preserve">clinician and consumer </w:t>
      </w:r>
      <w:r w:rsidR="00667D41" w:rsidRPr="000160C3">
        <w:t>Multiple Myeloma Stakeholder meeting</w:t>
      </w:r>
      <w:r w:rsidR="00354DCC">
        <w:t xml:space="preserve"> (</w:t>
      </w:r>
      <w:r w:rsidR="00667D41" w:rsidRPr="000160C3">
        <w:t>July 2025</w:t>
      </w:r>
      <w:r w:rsidR="00354DCC">
        <w:t>)</w:t>
      </w:r>
      <w:r w:rsidR="00667D41" w:rsidRPr="000160C3">
        <w:t xml:space="preserve"> </w:t>
      </w:r>
      <w:r w:rsidR="006143A6" w:rsidRPr="000160C3">
        <w:t xml:space="preserve">the </w:t>
      </w:r>
      <w:r w:rsidR="00667D41" w:rsidRPr="000160C3">
        <w:t xml:space="preserve">current treatment algorithm does </w:t>
      </w:r>
      <w:r w:rsidR="00042445" w:rsidRPr="000160C3">
        <w:t>not accommodate flexibility as the categoris</w:t>
      </w:r>
      <w:r w:rsidR="00DB1887" w:rsidRPr="000160C3">
        <w:t>a</w:t>
      </w:r>
      <w:r w:rsidR="00042445" w:rsidRPr="000160C3">
        <w:t>tion of medicin</w:t>
      </w:r>
      <w:r w:rsidR="00DB1887" w:rsidRPr="000160C3">
        <w:t>e</w:t>
      </w:r>
      <w:r w:rsidR="00042445" w:rsidRPr="000160C3">
        <w:t xml:space="preserve">s by line </w:t>
      </w:r>
      <w:r w:rsidR="00DB1887" w:rsidRPr="000160C3">
        <w:t>of therapy</w:t>
      </w:r>
      <w:r w:rsidR="00F03287" w:rsidRPr="000160C3">
        <w:t xml:space="preserve"> reduces clinical discretion and may delay access to optimal regimens. </w:t>
      </w:r>
      <w:r w:rsidR="006D54EE" w:rsidRPr="000160C3">
        <w:t>At the Stakeholder meeting clinicians agreed that treatment sequencing could be improved if determined by prior drug exposure, rather than lines of therapy.</w:t>
      </w:r>
      <w:r w:rsidR="003E6AE4" w:rsidRPr="000160C3">
        <w:rPr>
          <w:rStyle w:val="FootnoteReference"/>
        </w:rPr>
        <w:footnoteReference w:id="3"/>
      </w:r>
      <w:r w:rsidR="006D54EE" w:rsidRPr="000160C3">
        <w:t xml:space="preserve"> </w:t>
      </w:r>
    </w:p>
    <w:p w14:paraId="6B0EAFC5" w14:textId="7FA23FD4" w:rsidR="00C916F8" w:rsidRDefault="00C67077" w:rsidP="001C47F4">
      <w:pPr>
        <w:pStyle w:val="3-BodyText"/>
      </w:pPr>
      <w:r w:rsidRPr="000160C3">
        <w:t>Teclistamab and elranatamab have a similar mechanism of action, as both are bispecific T</w:t>
      </w:r>
      <w:r w:rsidR="00EC1990">
        <w:noBreakHyphen/>
      </w:r>
      <w:r w:rsidRPr="000160C3">
        <w:t>cell engager antibodies engaging B</w:t>
      </w:r>
      <w:r w:rsidR="00EC1990">
        <w:noBreakHyphen/>
      </w:r>
      <w:r w:rsidRPr="000160C3">
        <w:t>cell maturation antigen (BCMA), thereby redirecting T</w:t>
      </w:r>
      <w:r w:rsidR="00EC1990">
        <w:noBreakHyphen/>
      </w:r>
      <w:r w:rsidRPr="000160C3">
        <w:t>cell–mediated cytotoxicity against malignant cells. Both treatments are</w:t>
      </w:r>
      <w:r w:rsidR="00C459DB" w:rsidRPr="000160C3">
        <w:t xml:space="preserve"> included</w:t>
      </w:r>
      <w:r w:rsidRPr="000160C3">
        <w:t xml:space="preserve"> in the NCCN guidelines</w:t>
      </w:r>
      <w:r w:rsidRPr="000160C3">
        <w:rPr>
          <w:rStyle w:val="FootnoteReference"/>
        </w:rPr>
        <w:footnoteReference w:id="4"/>
      </w:r>
      <w:r w:rsidRPr="000160C3">
        <w:t xml:space="preserve"> as </w:t>
      </w:r>
      <w:r w:rsidR="00C459DB" w:rsidRPr="000160C3">
        <w:t xml:space="preserve">preferred </w:t>
      </w:r>
      <w:r w:rsidRPr="000160C3">
        <w:t xml:space="preserve">treatment options for patients with RRMM following </w:t>
      </w:r>
      <w:r w:rsidR="002C630F" w:rsidRPr="000160C3">
        <w:t>3</w:t>
      </w:r>
      <w:r w:rsidR="008A104D" w:rsidRPr="000160C3">
        <w:t xml:space="preserve"> prior lines of therapy and </w:t>
      </w:r>
      <w:r w:rsidRPr="000160C3">
        <w:t>at least 4 prior</w:t>
      </w:r>
      <w:r w:rsidR="008A104D" w:rsidRPr="000160C3">
        <w:t xml:space="preserve"> therapies</w:t>
      </w:r>
      <w:r w:rsidRPr="000160C3">
        <w:t>.</w:t>
      </w:r>
    </w:p>
    <w:p w14:paraId="261B6BDB" w14:textId="5641EA18" w:rsidR="00C916F8" w:rsidRPr="00C916F8" w:rsidRDefault="00C916F8" w:rsidP="001C47F4">
      <w:pPr>
        <w:pStyle w:val="3-BodyText"/>
        <w:numPr>
          <w:ilvl w:val="0"/>
          <w:numId w:val="0"/>
        </w:numPr>
        <w:ind w:left="720"/>
        <w:rPr>
          <w:i/>
          <w:iCs/>
        </w:rPr>
      </w:pPr>
      <w:r w:rsidRPr="00C916F8">
        <w:rPr>
          <w:i/>
          <w:iCs/>
        </w:rPr>
        <w:t>For more detail on PBAC’s view, see section 7 PBAC outcome.</w:t>
      </w:r>
    </w:p>
    <w:p w14:paraId="5A7BCC14" w14:textId="77777777" w:rsidR="00521900" w:rsidRPr="000160C3" w:rsidRDefault="00521900" w:rsidP="001C47F4">
      <w:pPr>
        <w:pStyle w:val="2-SectionHeading"/>
      </w:pPr>
      <w:bookmarkStart w:id="13" w:name="_Toc219718646"/>
      <w:r w:rsidRPr="000160C3">
        <w:t>Comparator</w:t>
      </w:r>
      <w:bookmarkEnd w:id="13"/>
    </w:p>
    <w:p w14:paraId="5A50F7A7" w14:textId="6E2B5154" w:rsidR="00521900" w:rsidRPr="00FB5BFC" w:rsidRDefault="00521900" w:rsidP="001C47F4">
      <w:pPr>
        <w:pStyle w:val="3-BodyText"/>
      </w:pPr>
      <w:bookmarkStart w:id="14" w:name="_Ref107305379"/>
      <w:r w:rsidRPr="00FB5BFC">
        <w:t>The submission nominated elranatamab as the main comparator. The main arguments provided in support of this nomination were:</w:t>
      </w:r>
    </w:p>
    <w:p w14:paraId="6F399A15" w14:textId="0380F2E6" w:rsidR="00521900" w:rsidRPr="00FB5BFC" w:rsidRDefault="00521900" w:rsidP="001C47F4">
      <w:pPr>
        <w:pStyle w:val="ListParagraph"/>
        <w:ind w:left="1077" w:hanging="357"/>
        <w:jc w:val="both"/>
      </w:pPr>
      <w:r w:rsidRPr="00FB5BFC">
        <w:t>Elranatamab was recommended in March 2025 by the PBAC for the same population as targeted in the submission</w:t>
      </w:r>
      <w:r w:rsidR="00A519BB" w:rsidRPr="00FB5BFC">
        <w:t>.</w:t>
      </w:r>
      <w:r w:rsidRPr="00FB5BFC">
        <w:t xml:space="preserve"> </w:t>
      </w:r>
    </w:p>
    <w:p w14:paraId="0FD8FE5C" w14:textId="1F40E0E2" w:rsidR="00521900" w:rsidRPr="00FB5BFC" w:rsidRDefault="00521900" w:rsidP="001C47F4">
      <w:pPr>
        <w:pStyle w:val="ListParagraph"/>
        <w:ind w:left="1077" w:hanging="357"/>
        <w:jc w:val="both"/>
      </w:pPr>
      <w:r w:rsidRPr="00FB5BFC">
        <w:t>Once PBS listed, BCMA targeting bi</w:t>
      </w:r>
      <w:r w:rsidR="00EC1990">
        <w:noBreakHyphen/>
      </w:r>
      <w:r w:rsidRPr="00FB5BFC">
        <w:t>specific therapies such as elranatamab are expected to be the standard of care in 4L+ MM given their superior benefits in PFS and OS over currently available therapies in this setting (i.e. Cd, Pd and Sd).</w:t>
      </w:r>
    </w:p>
    <w:p w14:paraId="4F30DC6A" w14:textId="718316FA" w:rsidR="00105708" w:rsidRPr="00FB5BFC" w:rsidRDefault="00521900" w:rsidP="001C47F4">
      <w:pPr>
        <w:pStyle w:val="3-BodyText"/>
      </w:pPr>
      <w:r w:rsidRPr="00FB5BFC">
        <w:lastRenderedPageBreak/>
        <w:t xml:space="preserve">Elranatamab was recommended by the PBAC </w:t>
      </w:r>
      <w:r w:rsidR="00A31830" w:rsidRPr="00FB5BFC">
        <w:t xml:space="preserve">at the March 2025 meeting </w:t>
      </w:r>
      <w:r w:rsidR="00E446F0" w:rsidRPr="00FB5BFC">
        <w:t>based on</w:t>
      </w:r>
      <w:r w:rsidRPr="00FB5BFC">
        <w:t xml:space="preserve"> a cost</w:t>
      </w:r>
      <w:r w:rsidR="00EC1990">
        <w:noBreakHyphen/>
      </w:r>
      <w:r w:rsidRPr="00FB5BFC">
        <w:t>effectiveness analysis versus standard of care, represented by Cd</w:t>
      </w:r>
      <w:r w:rsidR="005974B3" w:rsidRPr="00FB5BFC">
        <w:t xml:space="preserve"> (</w:t>
      </w:r>
      <w:r w:rsidRPr="00FB5BFC">
        <w:t>51.0%), Pd</w:t>
      </w:r>
      <w:r w:rsidR="005974B3" w:rsidRPr="00FB5BFC">
        <w:t xml:space="preserve"> (</w:t>
      </w:r>
      <w:r w:rsidRPr="00FB5BFC">
        <w:t xml:space="preserve">46.5%) and Sd </w:t>
      </w:r>
      <w:r w:rsidR="005974B3" w:rsidRPr="00FB5BFC">
        <w:t>(</w:t>
      </w:r>
      <w:r w:rsidRPr="00FB5BFC">
        <w:t>2.5%) (para</w:t>
      </w:r>
      <w:r w:rsidR="005974B3" w:rsidRPr="00FB5BFC">
        <w:t>graph</w:t>
      </w:r>
      <w:r w:rsidRPr="00FB5BFC">
        <w:t xml:space="preserve"> </w:t>
      </w:r>
      <w:r w:rsidR="00905FD6" w:rsidRPr="00FB5BFC">
        <w:t>7.7</w:t>
      </w:r>
      <w:r w:rsidRPr="00FB5BFC">
        <w:t>, elranatamab PSD, March 2025 PBAC meeting)</w:t>
      </w:r>
      <w:r w:rsidR="00105708" w:rsidRPr="00FB5BFC">
        <w:t>.</w:t>
      </w:r>
      <w:r w:rsidR="00EC1990">
        <w:t xml:space="preserve"> </w:t>
      </w:r>
    </w:p>
    <w:p w14:paraId="0949C129" w14:textId="0DBD2632" w:rsidR="00521900" w:rsidRPr="00FB5BFC" w:rsidRDefault="004F6930" w:rsidP="001C47F4">
      <w:pPr>
        <w:pStyle w:val="3-BodyText"/>
      </w:pPr>
      <w:r w:rsidRPr="00FB5BFC">
        <w:t xml:space="preserve">Cd, Pd and Sd </w:t>
      </w:r>
      <w:r w:rsidR="00C279A4" w:rsidRPr="00FB5BFC">
        <w:t xml:space="preserve">are current standard of care and </w:t>
      </w:r>
      <w:r w:rsidRPr="00FB5BFC">
        <w:t xml:space="preserve">may also be considered relevant </w:t>
      </w:r>
      <w:r w:rsidR="00C279A4" w:rsidRPr="00FB5BFC">
        <w:t>comparators</w:t>
      </w:r>
      <w:r w:rsidR="00105708" w:rsidRPr="00FB5BFC">
        <w:t xml:space="preserve">; however, the </w:t>
      </w:r>
      <w:r w:rsidR="00521900" w:rsidRPr="00FB5BFC">
        <w:t>submission</w:t>
      </w:r>
      <w:r w:rsidR="00802C9C" w:rsidRPr="00FB5BFC">
        <w:t xml:space="preserve"> </w:t>
      </w:r>
      <w:r w:rsidR="00395259" w:rsidRPr="00FB5BFC">
        <w:t>did not provide any additional comparative evidence</w:t>
      </w:r>
      <w:r w:rsidR="009E6EBB" w:rsidRPr="00FB5BFC">
        <w:t xml:space="preserve"> for teclistamab relative to the current standard of care. </w:t>
      </w:r>
    </w:p>
    <w:p w14:paraId="50D342F4" w14:textId="2C35BA67" w:rsidR="00C916F8" w:rsidRDefault="0045715A" w:rsidP="001C47F4">
      <w:pPr>
        <w:pStyle w:val="3-BodyText"/>
      </w:pPr>
      <w:r w:rsidRPr="00FB5BFC">
        <w:t xml:space="preserve">Overall, noting that elranatamab was </w:t>
      </w:r>
      <w:r w:rsidR="008B75FE" w:rsidRPr="00FB5BFC">
        <w:t xml:space="preserve">likely </w:t>
      </w:r>
      <w:r w:rsidRPr="00FB5BFC">
        <w:t xml:space="preserve">progressing to PBS listing (see paragraph </w:t>
      </w:r>
      <w:r w:rsidR="002D21F1" w:rsidRPr="00FB5BFC">
        <w:fldChar w:fldCharType="begin"/>
      </w:r>
      <w:r w:rsidR="002D21F1" w:rsidRPr="00FB5BFC">
        <w:instrText xml:space="preserve"> REF _Ref221179172 \r \h  \* MERGEFORMAT </w:instrText>
      </w:r>
      <w:r w:rsidR="002D21F1" w:rsidRPr="00FB5BFC">
        <w:fldChar w:fldCharType="separate"/>
      </w:r>
      <w:r w:rsidR="00D44478">
        <w:t>2.3</w:t>
      </w:r>
      <w:r w:rsidR="002D21F1" w:rsidRPr="00FB5BFC">
        <w:fldChar w:fldCharType="end"/>
      </w:r>
      <w:r w:rsidR="002D21F1" w:rsidRPr="00FB5BFC">
        <w:t>), the ESC considered that it was a reasonable comparator.</w:t>
      </w:r>
    </w:p>
    <w:p w14:paraId="5DE2FD15" w14:textId="443757A6" w:rsidR="00C916F8" w:rsidRPr="00C916F8" w:rsidRDefault="00C916F8" w:rsidP="001C47F4">
      <w:pPr>
        <w:pStyle w:val="3-BodyText"/>
        <w:numPr>
          <w:ilvl w:val="0"/>
          <w:numId w:val="0"/>
        </w:numPr>
        <w:ind w:left="720"/>
        <w:rPr>
          <w:i/>
          <w:iCs/>
        </w:rPr>
      </w:pPr>
      <w:r w:rsidRPr="00C916F8">
        <w:rPr>
          <w:i/>
          <w:iCs/>
        </w:rPr>
        <w:t>For more detail on PBAC’s view, see section 7 PBAC outcome.</w:t>
      </w:r>
    </w:p>
    <w:p w14:paraId="1D6D6C61" w14:textId="35A9EF08" w:rsidR="00521900" w:rsidRPr="000160C3" w:rsidRDefault="00521900" w:rsidP="001C47F4">
      <w:pPr>
        <w:pStyle w:val="2-SectionHeading"/>
        <w:numPr>
          <w:ilvl w:val="0"/>
          <w:numId w:val="1"/>
        </w:numPr>
      </w:pPr>
      <w:bookmarkStart w:id="15" w:name="_Toc219718647"/>
      <w:bookmarkStart w:id="16" w:name="_Toc22897640"/>
      <w:bookmarkEnd w:id="14"/>
      <w:r w:rsidRPr="000160C3">
        <w:t>Consideration of the evidence</w:t>
      </w:r>
      <w:bookmarkEnd w:id="15"/>
    </w:p>
    <w:p w14:paraId="20D12B19" w14:textId="77777777" w:rsidR="00FF02EE" w:rsidRPr="006E1229" w:rsidRDefault="00FF02EE" w:rsidP="001C47F4">
      <w:pPr>
        <w:pStyle w:val="4-SubsectionHeading"/>
      </w:pPr>
      <w:bookmarkStart w:id="17" w:name="_Hlk76375935"/>
      <w:bookmarkStart w:id="18" w:name="_Toc219718648"/>
      <w:r w:rsidRPr="006E1229">
        <w:t>Sponsor hearing</w:t>
      </w:r>
    </w:p>
    <w:p w14:paraId="644BC57C" w14:textId="69855D0D" w:rsidR="00FF02EE" w:rsidRPr="00F91542" w:rsidRDefault="00FF02EE" w:rsidP="001C47F4">
      <w:pPr>
        <w:numPr>
          <w:ilvl w:val="1"/>
          <w:numId w:val="1"/>
        </w:numPr>
        <w:spacing w:after="120"/>
        <w:rPr>
          <w:rFonts w:ascii="Calibri" w:hAnsi="Calibri" w:cs="Calibri"/>
          <w:bCs/>
          <w:snapToGrid w:val="0"/>
        </w:rPr>
      </w:pPr>
      <w:r w:rsidRPr="00F91542">
        <w:rPr>
          <w:rFonts w:ascii="Calibri" w:hAnsi="Calibri" w:cs="Calibri"/>
          <w:bCs/>
          <w:snapToGrid w:val="0"/>
        </w:rPr>
        <w:t>There was no hearing for this item.</w:t>
      </w:r>
    </w:p>
    <w:p w14:paraId="49E4056E" w14:textId="3B750A42" w:rsidR="00FF02EE" w:rsidRPr="006E1229" w:rsidRDefault="00FF02EE" w:rsidP="001C47F4">
      <w:pPr>
        <w:pStyle w:val="4-SubsectionHeading"/>
      </w:pPr>
      <w:r w:rsidRPr="006E1229">
        <w:t xml:space="preserve">Consumer </w:t>
      </w:r>
      <w:r>
        <w:t>input</w:t>
      </w:r>
    </w:p>
    <w:p w14:paraId="7E933D11" w14:textId="4BF7D056" w:rsidR="00740D63" w:rsidRDefault="00FF02EE" w:rsidP="001C47F4">
      <w:pPr>
        <w:numPr>
          <w:ilvl w:val="1"/>
          <w:numId w:val="1"/>
        </w:numPr>
        <w:spacing w:after="120"/>
        <w:rPr>
          <w:rFonts w:cs="Arial"/>
          <w:bCs/>
          <w:snapToGrid w:val="0"/>
        </w:rPr>
      </w:pPr>
      <w:bookmarkStart w:id="19" w:name="_Hlk76382618"/>
      <w:r w:rsidRPr="00836F75">
        <w:rPr>
          <w:rFonts w:cs="Arial"/>
          <w:bCs/>
          <w:snapToGrid w:val="0"/>
        </w:rPr>
        <w:t>The PBAC noted and welcomed the input from individuals (</w:t>
      </w:r>
      <w:r w:rsidR="000D7FD0">
        <w:rPr>
          <w:rFonts w:cs="Arial"/>
          <w:bCs/>
          <w:snapToGrid w:val="0"/>
        </w:rPr>
        <w:t>257</w:t>
      </w:r>
      <w:r w:rsidRPr="00836F75">
        <w:rPr>
          <w:rFonts w:cs="Arial"/>
          <w:bCs/>
          <w:snapToGrid w:val="0"/>
        </w:rPr>
        <w:t>), health care professionals (</w:t>
      </w:r>
      <w:r w:rsidR="000D7FD0">
        <w:rPr>
          <w:rFonts w:cs="Arial"/>
          <w:bCs/>
          <w:snapToGrid w:val="0"/>
        </w:rPr>
        <w:t>11</w:t>
      </w:r>
      <w:r w:rsidRPr="00836F75">
        <w:rPr>
          <w:rFonts w:cs="Arial"/>
          <w:bCs/>
          <w:snapToGrid w:val="0"/>
        </w:rPr>
        <w:t>) and organisations (</w:t>
      </w:r>
      <w:r w:rsidR="000D7FD0">
        <w:rPr>
          <w:rFonts w:cs="Arial"/>
          <w:bCs/>
          <w:snapToGrid w:val="0"/>
        </w:rPr>
        <w:t>6</w:t>
      </w:r>
      <w:r w:rsidRPr="00836F75">
        <w:rPr>
          <w:rFonts w:cs="Arial"/>
          <w:bCs/>
          <w:snapToGrid w:val="0"/>
        </w:rPr>
        <w:t xml:space="preserve">) via the </w:t>
      </w:r>
      <w:r w:rsidRPr="00A46D6F">
        <w:rPr>
          <w:rFonts w:cs="Arial"/>
          <w:bCs/>
          <w:snapToGrid w:val="0"/>
        </w:rPr>
        <w:t>Office of Health Technology Assessment Consultation Hub</w:t>
      </w:r>
      <w:r w:rsidRPr="00836F75">
        <w:rPr>
          <w:rFonts w:cs="Arial"/>
          <w:bCs/>
          <w:snapToGrid w:val="0"/>
        </w:rPr>
        <w:t>.</w:t>
      </w:r>
      <w:r w:rsidR="00EC1990">
        <w:rPr>
          <w:rFonts w:cs="Arial"/>
          <w:bCs/>
          <w:snapToGrid w:val="0"/>
        </w:rPr>
        <w:t xml:space="preserve"> </w:t>
      </w:r>
      <w:r w:rsidRPr="00836F75">
        <w:rPr>
          <w:rFonts w:cs="Arial"/>
          <w:bCs/>
          <w:snapToGrid w:val="0"/>
        </w:rPr>
        <w:t xml:space="preserve">The </w:t>
      </w:r>
      <w:r>
        <w:rPr>
          <w:rFonts w:cs="Arial"/>
          <w:bCs/>
          <w:snapToGrid w:val="0"/>
        </w:rPr>
        <w:t>inputs</w:t>
      </w:r>
      <w:r w:rsidRPr="00836F75">
        <w:rPr>
          <w:rFonts w:cs="Arial"/>
          <w:bCs/>
          <w:snapToGrid w:val="0"/>
        </w:rPr>
        <w:t xml:space="preserve"> </w:t>
      </w:r>
      <w:r w:rsidR="00166224">
        <w:rPr>
          <w:rFonts w:cs="Arial"/>
          <w:bCs/>
          <w:snapToGrid w:val="0"/>
        </w:rPr>
        <w:t xml:space="preserve">from individuals </w:t>
      </w:r>
      <w:r w:rsidR="00C95462">
        <w:rPr>
          <w:rFonts w:cs="Arial"/>
          <w:bCs/>
          <w:snapToGrid w:val="0"/>
        </w:rPr>
        <w:t xml:space="preserve">who have received the drug </w:t>
      </w:r>
      <w:r w:rsidRPr="00836F75">
        <w:rPr>
          <w:rFonts w:cs="Arial"/>
          <w:bCs/>
          <w:snapToGrid w:val="0"/>
        </w:rPr>
        <w:t xml:space="preserve">described a range of benefits of treatment with </w:t>
      </w:r>
      <w:r w:rsidR="00D67A91">
        <w:rPr>
          <w:rFonts w:cs="Arial"/>
          <w:bCs/>
          <w:snapToGrid w:val="0"/>
        </w:rPr>
        <w:t>teclistam</w:t>
      </w:r>
      <w:r w:rsidR="00852117">
        <w:rPr>
          <w:rFonts w:cs="Arial"/>
          <w:bCs/>
          <w:snapToGrid w:val="0"/>
        </w:rPr>
        <w:t xml:space="preserve">ab </w:t>
      </w:r>
      <w:r w:rsidRPr="00836F75">
        <w:rPr>
          <w:rFonts w:cs="Arial"/>
          <w:bCs/>
          <w:snapToGrid w:val="0"/>
        </w:rPr>
        <w:t xml:space="preserve">including </w:t>
      </w:r>
      <w:r w:rsidR="00743ADB">
        <w:rPr>
          <w:rFonts w:cs="Arial"/>
          <w:bCs/>
          <w:snapToGrid w:val="0"/>
        </w:rPr>
        <w:t>rapid and profound reductions in myeloma markers</w:t>
      </w:r>
      <w:r w:rsidR="009F6541">
        <w:rPr>
          <w:rFonts w:cs="Arial"/>
          <w:bCs/>
          <w:snapToGrid w:val="0"/>
        </w:rPr>
        <w:t xml:space="preserve"> and restored disease control. </w:t>
      </w:r>
      <w:r w:rsidR="004F370B">
        <w:rPr>
          <w:rFonts w:cs="Arial"/>
          <w:bCs/>
          <w:snapToGrid w:val="0"/>
        </w:rPr>
        <w:t>The comments described</w:t>
      </w:r>
      <w:r w:rsidR="00743ADB">
        <w:rPr>
          <w:rFonts w:cs="Arial"/>
          <w:bCs/>
          <w:snapToGrid w:val="0"/>
        </w:rPr>
        <w:t xml:space="preserve"> </w:t>
      </w:r>
      <w:r w:rsidRPr="00836F75">
        <w:rPr>
          <w:rFonts w:cs="Arial"/>
          <w:bCs/>
          <w:snapToGrid w:val="0"/>
        </w:rPr>
        <w:t xml:space="preserve">the ability to return to work, fewer </w:t>
      </w:r>
      <w:r w:rsidR="00683C44">
        <w:rPr>
          <w:rFonts w:cs="Arial"/>
          <w:bCs/>
          <w:snapToGrid w:val="0"/>
        </w:rPr>
        <w:t xml:space="preserve">and manageable </w:t>
      </w:r>
      <w:r w:rsidRPr="00836F75">
        <w:rPr>
          <w:rFonts w:cs="Arial"/>
          <w:bCs/>
          <w:snapToGrid w:val="0"/>
        </w:rPr>
        <w:t xml:space="preserve">side effects, </w:t>
      </w:r>
      <w:r w:rsidR="00D85E8A">
        <w:rPr>
          <w:rFonts w:cs="Arial"/>
          <w:bCs/>
          <w:snapToGrid w:val="0"/>
        </w:rPr>
        <w:t xml:space="preserve">and improved quality of life. </w:t>
      </w:r>
      <w:proofErr w:type="gramStart"/>
      <w:r w:rsidR="00D971A4">
        <w:rPr>
          <w:rFonts w:cs="Arial"/>
          <w:bCs/>
          <w:snapToGrid w:val="0"/>
        </w:rPr>
        <w:t>A number of</w:t>
      </w:r>
      <w:proofErr w:type="gramEnd"/>
      <w:r w:rsidR="00D971A4">
        <w:rPr>
          <w:rFonts w:cs="Arial"/>
          <w:bCs/>
          <w:snapToGrid w:val="0"/>
        </w:rPr>
        <w:t xml:space="preserve"> individuals who have received teclistamab </w:t>
      </w:r>
      <w:r w:rsidR="00FA129E">
        <w:rPr>
          <w:rFonts w:cs="Arial"/>
          <w:bCs/>
          <w:snapToGrid w:val="0"/>
        </w:rPr>
        <w:t xml:space="preserve">through clinical trials </w:t>
      </w:r>
      <w:r w:rsidR="00D971A4">
        <w:rPr>
          <w:rFonts w:cs="Arial"/>
          <w:bCs/>
          <w:snapToGrid w:val="0"/>
        </w:rPr>
        <w:t>described the rapid and dramatic improvements in their day</w:t>
      </w:r>
      <w:r w:rsidR="00EC1990">
        <w:rPr>
          <w:rFonts w:cs="Arial"/>
          <w:bCs/>
          <w:snapToGrid w:val="0"/>
        </w:rPr>
        <w:noBreakHyphen/>
      </w:r>
      <w:r w:rsidR="00D971A4">
        <w:rPr>
          <w:rFonts w:cs="Arial"/>
          <w:bCs/>
          <w:snapToGrid w:val="0"/>
        </w:rPr>
        <w:t>to</w:t>
      </w:r>
      <w:r w:rsidR="00EC1990">
        <w:rPr>
          <w:rFonts w:cs="Arial"/>
          <w:bCs/>
          <w:snapToGrid w:val="0"/>
        </w:rPr>
        <w:noBreakHyphen/>
      </w:r>
      <w:r w:rsidR="00D971A4">
        <w:rPr>
          <w:rFonts w:cs="Arial"/>
          <w:bCs/>
          <w:snapToGrid w:val="0"/>
        </w:rPr>
        <w:t>day wellbeing</w:t>
      </w:r>
      <w:r w:rsidR="00FA129E">
        <w:rPr>
          <w:rFonts w:cs="Arial"/>
          <w:bCs/>
          <w:snapToGrid w:val="0"/>
        </w:rPr>
        <w:t xml:space="preserve">. </w:t>
      </w:r>
      <w:r w:rsidR="004A3E48">
        <w:rPr>
          <w:rFonts w:cs="Arial"/>
          <w:bCs/>
          <w:snapToGrid w:val="0"/>
        </w:rPr>
        <w:t>P</w:t>
      </w:r>
      <w:r w:rsidR="00FA129E">
        <w:rPr>
          <w:rFonts w:cs="Arial"/>
          <w:bCs/>
          <w:snapToGrid w:val="0"/>
        </w:rPr>
        <w:t xml:space="preserve">atients also </w:t>
      </w:r>
      <w:r w:rsidR="00C02499">
        <w:rPr>
          <w:rFonts w:cs="Arial"/>
          <w:bCs/>
          <w:snapToGrid w:val="0"/>
        </w:rPr>
        <w:t>highlighted concerns regarding equitable access</w:t>
      </w:r>
      <w:r w:rsidR="00C81FC4">
        <w:rPr>
          <w:rFonts w:cs="Arial"/>
          <w:bCs/>
          <w:snapToGrid w:val="0"/>
        </w:rPr>
        <w:t xml:space="preserve"> to teclistamab</w:t>
      </w:r>
      <w:r w:rsidR="004A3E48">
        <w:rPr>
          <w:rFonts w:cs="Arial"/>
          <w:bCs/>
          <w:snapToGrid w:val="0"/>
        </w:rPr>
        <w:t xml:space="preserve">, noting </w:t>
      </w:r>
      <w:r w:rsidR="00C81FC4">
        <w:rPr>
          <w:rFonts w:cs="Arial"/>
          <w:bCs/>
          <w:snapToGrid w:val="0"/>
        </w:rPr>
        <w:t>the high cost of treatment.</w:t>
      </w:r>
      <w:r w:rsidR="00C95462">
        <w:rPr>
          <w:rFonts w:cs="Arial"/>
          <w:bCs/>
          <w:snapToGrid w:val="0"/>
        </w:rPr>
        <w:t xml:space="preserve"> Individuals who would like access to teclistamab </w:t>
      </w:r>
      <w:r w:rsidR="00DC6929">
        <w:rPr>
          <w:rFonts w:cs="Arial"/>
          <w:bCs/>
          <w:snapToGrid w:val="0"/>
        </w:rPr>
        <w:t xml:space="preserve">described the need for new RRMM drugs, stating that </w:t>
      </w:r>
      <w:r w:rsidR="00B85268">
        <w:rPr>
          <w:rFonts w:cs="Arial"/>
          <w:bCs/>
          <w:snapToGrid w:val="0"/>
        </w:rPr>
        <w:t>new drugs</w:t>
      </w:r>
      <w:r w:rsidR="00740D63">
        <w:rPr>
          <w:rFonts w:cs="Arial"/>
          <w:bCs/>
          <w:snapToGrid w:val="0"/>
        </w:rPr>
        <w:t xml:space="preserve"> like teclistamab represented hope, reassurance and the possibility of more time with loved ones.</w:t>
      </w:r>
    </w:p>
    <w:p w14:paraId="295C7623" w14:textId="60A9D340" w:rsidR="00377D6A" w:rsidRDefault="00740D63" w:rsidP="001C47F4">
      <w:pPr>
        <w:numPr>
          <w:ilvl w:val="1"/>
          <w:numId w:val="1"/>
        </w:numPr>
        <w:spacing w:after="120"/>
        <w:rPr>
          <w:rFonts w:cs="Arial"/>
          <w:bCs/>
          <w:snapToGrid w:val="0"/>
        </w:rPr>
      </w:pPr>
      <w:r>
        <w:rPr>
          <w:rFonts w:cs="Arial"/>
          <w:bCs/>
          <w:snapToGrid w:val="0"/>
        </w:rPr>
        <w:t xml:space="preserve">The comments from health professionals </w:t>
      </w:r>
      <w:r w:rsidR="00FD7DAF">
        <w:rPr>
          <w:rFonts w:cs="Arial"/>
          <w:bCs/>
          <w:snapToGrid w:val="0"/>
        </w:rPr>
        <w:t>described teclistamab as a highly effective therapy</w:t>
      </w:r>
      <w:r w:rsidR="00CE546A">
        <w:rPr>
          <w:rFonts w:cs="Arial"/>
          <w:bCs/>
          <w:snapToGrid w:val="0"/>
        </w:rPr>
        <w:t xml:space="preserve"> that offers clinical benefits for patients with RRMM</w:t>
      </w:r>
      <w:r w:rsidR="004A3E48">
        <w:rPr>
          <w:rFonts w:cs="Arial"/>
          <w:bCs/>
          <w:snapToGrid w:val="0"/>
        </w:rPr>
        <w:t>. Health professionals</w:t>
      </w:r>
      <w:r w:rsidR="00CE546A">
        <w:rPr>
          <w:rFonts w:cs="Arial"/>
          <w:bCs/>
          <w:snapToGrid w:val="0"/>
        </w:rPr>
        <w:t xml:space="preserve"> reported higher response rates and more durable outcomes than currently available option</w:t>
      </w:r>
      <w:r w:rsidR="00B141F2">
        <w:rPr>
          <w:rFonts w:cs="Arial"/>
          <w:bCs/>
          <w:snapToGrid w:val="0"/>
        </w:rPr>
        <w:t>s for patients that are triple class exposed</w:t>
      </w:r>
      <w:r w:rsidR="00E11257">
        <w:rPr>
          <w:rFonts w:cs="Arial"/>
          <w:bCs/>
          <w:snapToGrid w:val="0"/>
        </w:rPr>
        <w:t xml:space="preserve">. The health professionals </w:t>
      </w:r>
      <w:r w:rsidR="00441302">
        <w:rPr>
          <w:rFonts w:cs="Arial"/>
          <w:bCs/>
          <w:snapToGrid w:val="0"/>
        </w:rPr>
        <w:t xml:space="preserve">also </w:t>
      </w:r>
      <w:r w:rsidR="00E11257">
        <w:rPr>
          <w:rFonts w:cs="Arial"/>
          <w:bCs/>
          <w:snapToGrid w:val="0"/>
        </w:rPr>
        <w:t xml:space="preserve">stated that </w:t>
      </w:r>
      <w:r w:rsidR="00472EFD">
        <w:rPr>
          <w:rFonts w:cs="Arial"/>
          <w:bCs/>
          <w:snapToGrid w:val="0"/>
        </w:rPr>
        <w:t>the side effects associated with teclistamab were known and manageable</w:t>
      </w:r>
      <w:r w:rsidR="003C65E5">
        <w:rPr>
          <w:rFonts w:cs="Arial"/>
          <w:bCs/>
          <w:snapToGrid w:val="0"/>
        </w:rPr>
        <w:t xml:space="preserve"> and highlighted that quality of life improvements experienced by patients.</w:t>
      </w:r>
    </w:p>
    <w:p w14:paraId="677AA903" w14:textId="0C45C4E7" w:rsidR="00FF02EE" w:rsidRDefault="00FF02EE" w:rsidP="001C47F4">
      <w:pPr>
        <w:numPr>
          <w:ilvl w:val="1"/>
          <w:numId w:val="1"/>
        </w:numPr>
        <w:spacing w:after="120"/>
        <w:rPr>
          <w:rFonts w:cs="Arial"/>
          <w:bCs/>
          <w:snapToGrid w:val="0"/>
        </w:rPr>
      </w:pPr>
      <w:r w:rsidRPr="00836F75">
        <w:rPr>
          <w:rFonts w:cs="Arial"/>
          <w:bCs/>
          <w:snapToGrid w:val="0"/>
        </w:rPr>
        <w:t xml:space="preserve">The PBAC noted the advice received from </w:t>
      </w:r>
      <w:r w:rsidR="004F77EF">
        <w:rPr>
          <w:rFonts w:cs="Arial"/>
          <w:bCs/>
          <w:snapToGrid w:val="0"/>
        </w:rPr>
        <w:t xml:space="preserve">Myeloma Australia and </w:t>
      </w:r>
      <w:r w:rsidR="0005235B">
        <w:rPr>
          <w:rFonts w:cs="Arial"/>
          <w:bCs/>
          <w:snapToGrid w:val="0"/>
        </w:rPr>
        <w:t>its</w:t>
      </w:r>
      <w:r w:rsidR="004F77EF">
        <w:rPr>
          <w:rFonts w:cs="Arial"/>
          <w:bCs/>
          <w:snapToGrid w:val="0"/>
        </w:rPr>
        <w:t xml:space="preserve"> </w:t>
      </w:r>
      <w:r w:rsidR="0005235B">
        <w:rPr>
          <w:rFonts w:cs="Arial"/>
          <w:bCs/>
          <w:snapToGrid w:val="0"/>
        </w:rPr>
        <w:t>M</w:t>
      </w:r>
      <w:r w:rsidR="004F77EF">
        <w:rPr>
          <w:rFonts w:cs="Arial"/>
          <w:bCs/>
          <w:snapToGrid w:val="0"/>
        </w:rPr>
        <w:t>edical and Scientific Advisory Group (MSAG)</w:t>
      </w:r>
      <w:r w:rsidR="00EC1990">
        <w:rPr>
          <w:rFonts w:cs="Arial"/>
          <w:bCs/>
          <w:snapToGrid w:val="0"/>
        </w:rPr>
        <w:t xml:space="preserve"> </w:t>
      </w:r>
      <w:r w:rsidR="008C54DE">
        <w:rPr>
          <w:rFonts w:cs="Arial"/>
          <w:bCs/>
          <w:snapToGrid w:val="0"/>
        </w:rPr>
        <w:t>which strongly supported the submission, but noted that</w:t>
      </w:r>
      <w:r w:rsidR="00676698">
        <w:rPr>
          <w:rFonts w:cs="Arial"/>
          <w:bCs/>
          <w:snapToGrid w:val="0"/>
        </w:rPr>
        <w:t xml:space="preserve">, as per their recently updated guidelines, </w:t>
      </w:r>
      <w:r w:rsidR="00F60FDF">
        <w:rPr>
          <w:rFonts w:cs="Arial"/>
          <w:bCs/>
          <w:snapToGrid w:val="0"/>
        </w:rPr>
        <w:t>treatment should no longer be based</w:t>
      </w:r>
      <w:r w:rsidR="00EC1990">
        <w:rPr>
          <w:rFonts w:cs="Arial"/>
          <w:bCs/>
          <w:snapToGrid w:val="0"/>
        </w:rPr>
        <w:t xml:space="preserve"> </w:t>
      </w:r>
      <w:r w:rsidR="00F60FDF">
        <w:rPr>
          <w:rFonts w:cs="Arial"/>
          <w:bCs/>
          <w:snapToGrid w:val="0"/>
        </w:rPr>
        <w:t>on lines of therapy, instead it should focus on drug class refractory criteria</w:t>
      </w:r>
      <w:r w:rsidR="00571039">
        <w:rPr>
          <w:rFonts w:cs="Arial"/>
          <w:bCs/>
          <w:snapToGrid w:val="0"/>
        </w:rPr>
        <w:t xml:space="preserve">. </w:t>
      </w:r>
      <w:r w:rsidR="00974BF6">
        <w:rPr>
          <w:rFonts w:cs="Arial"/>
          <w:bCs/>
          <w:snapToGrid w:val="0"/>
        </w:rPr>
        <w:t>The Myeloma &amp; Related Diseases Registry (MRDR)</w:t>
      </w:r>
      <w:r w:rsidR="00E321F6">
        <w:rPr>
          <w:rFonts w:cs="Arial"/>
          <w:bCs/>
          <w:snapToGrid w:val="0"/>
        </w:rPr>
        <w:t>, Rare Cancers Australia</w:t>
      </w:r>
      <w:r w:rsidR="00974BF6">
        <w:rPr>
          <w:rFonts w:cs="Arial"/>
          <w:bCs/>
          <w:snapToGrid w:val="0"/>
        </w:rPr>
        <w:t xml:space="preserve"> </w:t>
      </w:r>
      <w:r w:rsidR="00DF4DF3">
        <w:rPr>
          <w:rFonts w:cs="Arial"/>
          <w:bCs/>
          <w:snapToGrid w:val="0"/>
        </w:rPr>
        <w:t xml:space="preserve">and the Leukaemia Foundation </w:t>
      </w:r>
      <w:r w:rsidR="00C120A4">
        <w:rPr>
          <w:rFonts w:cs="Arial"/>
          <w:bCs/>
          <w:snapToGrid w:val="0"/>
        </w:rPr>
        <w:t>also supported the submission, stating that teclistamab is a potentially effective therapy with a novel mechanism of action</w:t>
      </w:r>
      <w:r w:rsidR="006037C5">
        <w:rPr>
          <w:rFonts w:cs="Arial"/>
          <w:bCs/>
          <w:snapToGrid w:val="0"/>
        </w:rPr>
        <w:t xml:space="preserve"> which could </w:t>
      </w:r>
      <w:r w:rsidR="001C227B">
        <w:rPr>
          <w:rFonts w:cs="Arial"/>
          <w:bCs/>
          <w:snapToGrid w:val="0"/>
        </w:rPr>
        <w:t>provide substantial benefits</w:t>
      </w:r>
      <w:r w:rsidR="006037C5">
        <w:rPr>
          <w:rFonts w:cs="Arial"/>
          <w:bCs/>
          <w:snapToGrid w:val="0"/>
        </w:rPr>
        <w:t xml:space="preserve"> for patients with limited treatment options.</w:t>
      </w:r>
      <w:r w:rsidR="00F4009B">
        <w:rPr>
          <w:rFonts w:cs="Arial"/>
          <w:bCs/>
          <w:snapToGrid w:val="0"/>
        </w:rPr>
        <w:t xml:space="preserve"> </w:t>
      </w:r>
      <w:r w:rsidR="00EB493B">
        <w:rPr>
          <w:rFonts w:cs="Arial"/>
          <w:bCs/>
          <w:snapToGrid w:val="0"/>
        </w:rPr>
        <w:t xml:space="preserve">These organisations also highlighted the high cost of </w:t>
      </w:r>
      <w:r w:rsidR="00441302">
        <w:rPr>
          <w:rFonts w:cs="Arial"/>
          <w:bCs/>
          <w:snapToGrid w:val="0"/>
        </w:rPr>
        <w:t xml:space="preserve">RRMM </w:t>
      </w:r>
      <w:r w:rsidR="00EB493B">
        <w:rPr>
          <w:rFonts w:cs="Arial"/>
          <w:bCs/>
          <w:snapToGrid w:val="0"/>
        </w:rPr>
        <w:t>treatments that are not subsidised on the PBS</w:t>
      </w:r>
      <w:r w:rsidR="0090254B">
        <w:rPr>
          <w:rFonts w:cs="Arial"/>
          <w:bCs/>
          <w:snapToGrid w:val="0"/>
        </w:rPr>
        <w:t>.</w:t>
      </w:r>
    </w:p>
    <w:p w14:paraId="4844F1A1" w14:textId="635FB341" w:rsidR="001C227B" w:rsidRDefault="001C227B" w:rsidP="001C47F4">
      <w:pPr>
        <w:numPr>
          <w:ilvl w:val="1"/>
          <w:numId w:val="1"/>
        </w:numPr>
        <w:spacing w:after="120"/>
        <w:rPr>
          <w:rFonts w:cs="Arial"/>
          <w:bCs/>
          <w:snapToGrid w:val="0"/>
        </w:rPr>
      </w:pPr>
      <w:r>
        <w:rPr>
          <w:rFonts w:cs="Arial"/>
          <w:bCs/>
          <w:snapToGrid w:val="0"/>
        </w:rPr>
        <w:lastRenderedPageBreak/>
        <w:t xml:space="preserve">The PBAC noted the advice from </w:t>
      </w:r>
      <w:r w:rsidR="0090254B">
        <w:rPr>
          <w:rFonts w:cs="Arial"/>
          <w:bCs/>
          <w:snapToGrid w:val="0"/>
        </w:rPr>
        <w:t xml:space="preserve">the Integrated Clinical Oncology Network (ICON) </w:t>
      </w:r>
      <w:r w:rsidR="00DD57E9">
        <w:rPr>
          <w:rFonts w:cs="Arial"/>
          <w:bCs/>
          <w:snapToGrid w:val="0"/>
        </w:rPr>
        <w:t>and Licensed Sterile Compounders of Australia</w:t>
      </w:r>
      <w:r w:rsidR="00C13184">
        <w:rPr>
          <w:rFonts w:cs="Arial"/>
          <w:bCs/>
          <w:snapToGrid w:val="0"/>
        </w:rPr>
        <w:t xml:space="preserve"> who </w:t>
      </w:r>
      <w:r w:rsidR="00202B4F">
        <w:rPr>
          <w:rFonts w:cs="Arial"/>
          <w:bCs/>
          <w:snapToGrid w:val="0"/>
        </w:rPr>
        <w:t>highlighted</w:t>
      </w:r>
      <w:r w:rsidR="00645D73">
        <w:rPr>
          <w:rFonts w:cs="Arial"/>
          <w:bCs/>
          <w:snapToGrid w:val="0"/>
        </w:rPr>
        <w:t xml:space="preserve"> that the </w:t>
      </w:r>
      <w:r w:rsidR="00202B4F">
        <w:rPr>
          <w:rFonts w:cs="Arial"/>
          <w:bCs/>
          <w:snapToGrid w:val="0"/>
        </w:rPr>
        <w:t xml:space="preserve">proposed </w:t>
      </w:r>
      <w:r w:rsidR="00645D73">
        <w:rPr>
          <w:rFonts w:cs="Arial"/>
          <w:bCs/>
          <w:snapToGrid w:val="0"/>
        </w:rPr>
        <w:t>dual</w:t>
      </w:r>
      <w:r w:rsidR="006C39D5">
        <w:rPr>
          <w:rFonts w:cs="Arial"/>
          <w:bCs/>
          <w:snapToGrid w:val="0"/>
        </w:rPr>
        <w:t xml:space="preserve"> </w:t>
      </w:r>
      <w:r w:rsidR="00202B4F">
        <w:rPr>
          <w:rFonts w:cs="Arial"/>
          <w:bCs/>
          <w:snapToGrid w:val="0"/>
        </w:rPr>
        <w:t xml:space="preserve">listing </w:t>
      </w:r>
      <w:r w:rsidR="006C39D5">
        <w:rPr>
          <w:rFonts w:cs="Arial"/>
          <w:bCs/>
          <w:snapToGrid w:val="0"/>
        </w:rPr>
        <w:t xml:space="preserve">would mean that patients who </w:t>
      </w:r>
      <w:r w:rsidR="00C5720C">
        <w:rPr>
          <w:rFonts w:cs="Arial"/>
          <w:bCs/>
          <w:snapToGrid w:val="0"/>
        </w:rPr>
        <w:t>accessed teclistamab via the General Schedule</w:t>
      </w:r>
      <w:r w:rsidR="00EC1990">
        <w:rPr>
          <w:rFonts w:cs="Arial"/>
          <w:bCs/>
          <w:snapToGrid w:val="0"/>
        </w:rPr>
        <w:t xml:space="preserve"> </w:t>
      </w:r>
      <w:r w:rsidR="00712237">
        <w:rPr>
          <w:rFonts w:cs="Arial"/>
          <w:bCs/>
          <w:snapToGrid w:val="0"/>
        </w:rPr>
        <w:t xml:space="preserve">and Section 100 </w:t>
      </w:r>
      <w:r w:rsidR="005D73F2">
        <w:rPr>
          <w:rFonts w:cs="Arial"/>
          <w:bCs/>
          <w:snapToGrid w:val="0"/>
        </w:rPr>
        <w:t xml:space="preserve">Efficient Funding of Chemotherapy (Related Benefits) </w:t>
      </w:r>
      <w:r w:rsidR="00C5720C">
        <w:rPr>
          <w:rFonts w:cs="Arial"/>
          <w:bCs/>
          <w:snapToGrid w:val="0"/>
        </w:rPr>
        <w:t xml:space="preserve">would be required to pay </w:t>
      </w:r>
      <w:r w:rsidR="005E585A">
        <w:rPr>
          <w:rFonts w:cs="Arial"/>
          <w:bCs/>
          <w:snapToGrid w:val="0"/>
        </w:rPr>
        <w:t>additional co</w:t>
      </w:r>
      <w:r w:rsidR="00EC1990">
        <w:rPr>
          <w:rFonts w:cs="Arial"/>
          <w:bCs/>
          <w:snapToGrid w:val="0"/>
        </w:rPr>
        <w:noBreakHyphen/>
      </w:r>
      <w:r w:rsidR="005E585A">
        <w:rPr>
          <w:rFonts w:cs="Arial"/>
          <w:bCs/>
          <w:snapToGrid w:val="0"/>
        </w:rPr>
        <w:t>payments</w:t>
      </w:r>
      <w:r w:rsidR="00202B4F">
        <w:rPr>
          <w:rFonts w:cs="Arial"/>
          <w:bCs/>
          <w:snapToGrid w:val="0"/>
        </w:rPr>
        <w:t>.</w:t>
      </w:r>
      <w:r w:rsidR="00FE6329">
        <w:rPr>
          <w:rFonts w:cs="Arial"/>
          <w:bCs/>
          <w:snapToGrid w:val="0"/>
        </w:rPr>
        <w:t xml:space="preserve"> Patients would not be required to pay additional co</w:t>
      </w:r>
      <w:r w:rsidR="00EC1990">
        <w:rPr>
          <w:rFonts w:cs="Arial"/>
          <w:bCs/>
          <w:snapToGrid w:val="0"/>
        </w:rPr>
        <w:noBreakHyphen/>
      </w:r>
      <w:r w:rsidR="00FE6329">
        <w:rPr>
          <w:rFonts w:cs="Arial"/>
          <w:bCs/>
          <w:snapToGrid w:val="0"/>
        </w:rPr>
        <w:t>payments if teclistamab was listed on Section 100 – Efficient Funding of Chemotherapy (Public and Private Hospital)</w:t>
      </w:r>
      <w:r w:rsidR="00713F37">
        <w:rPr>
          <w:rFonts w:cs="Arial"/>
          <w:bCs/>
          <w:snapToGrid w:val="0"/>
        </w:rPr>
        <w:t>.</w:t>
      </w:r>
      <w:r w:rsidR="00202B4F">
        <w:rPr>
          <w:rFonts w:cs="Arial"/>
          <w:bCs/>
          <w:snapToGrid w:val="0"/>
        </w:rPr>
        <w:t xml:space="preserve"> Further, the</w:t>
      </w:r>
      <w:r w:rsidR="007F3893">
        <w:rPr>
          <w:rFonts w:cs="Arial"/>
          <w:bCs/>
          <w:snapToGrid w:val="0"/>
        </w:rPr>
        <w:t xml:space="preserve">se organisations noted that </w:t>
      </w:r>
      <w:r w:rsidR="002B108C">
        <w:rPr>
          <w:rFonts w:cs="Arial"/>
          <w:bCs/>
          <w:snapToGrid w:val="0"/>
        </w:rPr>
        <w:t xml:space="preserve">a </w:t>
      </w:r>
      <w:r w:rsidR="007F3893">
        <w:rPr>
          <w:rFonts w:cs="Arial"/>
          <w:bCs/>
          <w:snapToGrid w:val="0"/>
        </w:rPr>
        <w:t xml:space="preserve">Section 100 – Efficient Funding of Chemotherapy </w:t>
      </w:r>
      <w:r w:rsidR="002B108C">
        <w:rPr>
          <w:rFonts w:cs="Arial"/>
          <w:bCs/>
          <w:snapToGrid w:val="0"/>
        </w:rPr>
        <w:t xml:space="preserve">(Public and Private Hospital) </w:t>
      </w:r>
      <w:r w:rsidR="007F3893">
        <w:rPr>
          <w:rFonts w:cs="Arial"/>
          <w:bCs/>
          <w:snapToGrid w:val="0"/>
        </w:rPr>
        <w:t xml:space="preserve">listing </w:t>
      </w:r>
      <w:r w:rsidR="002B108C">
        <w:rPr>
          <w:rFonts w:cs="Arial"/>
          <w:bCs/>
          <w:snapToGrid w:val="0"/>
        </w:rPr>
        <w:t xml:space="preserve">would </w:t>
      </w:r>
      <w:r w:rsidR="007F3893">
        <w:rPr>
          <w:rFonts w:cs="Arial"/>
          <w:bCs/>
          <w:snapToGrid w:val="0"/>
        </w:rPr>
        <w:t>provide</w:t>
      </w:r>
      <w:r w:rsidR="000C1F75">
        <w:rPr>
          <w:rFonts w:cs="Arial"/>
          <w:bCs/>
          <w:snapToGrid w:val="0"/>
        </w:rPr>
        <w:t xml:space="preserve"> </w:t>
      </w:r>
      <w:r w:rsidR="007F3893">
        <w:rPr>
          <w:rFonts w:cs="Arial"/>
          <w:bCs/>
          <w:snapToGrid w:val="0"/>
        </w:rPr>
        <w:t xml:space="preserve">specific fees to pharmacies </w:t>
      </w:r>
      <w:r w:rsidR="00EB063A">
        <w:rPr>
          <w:rFonts w:cs="Arial"/>
          <w:bCs/>
          <w:snapToGrid w:val="0"/>
        </w:rPr>
        <w:t xml:space="preserve">for preparing and dispensing </w:t>
      </w:r>
      <w:r w:rsidR="00774ADD">
        <w:rPr>
          <w:rFonts w:cs="Arial"/>
          <w:bCs/>
          <w:snapToGrid w:val="0"/>
        </w:rPr>
        <w:t xml:space="preserve">drugs such as teclistamab based on the most efficient combination of vials to maximise efficiency and </w:t>
      </w:r>
      <w:r w:rsidR="0005235B">
        <w:rPr>
          <w:rFonts w:cs="Arial"/>
          <w:bCs/>
          <w:snapToGrid w:val="0"/>
        </w:rPr>
        <w:t>minimise wastage.</w:t>
      </w:r>
    </w:p>
    <w:bookmarkEnd w:id="17"/>
    <w:bookmarkEnd w:id="19"/>
    <w:p w14:paraId="09E37A84" w14:textId="77777777" w:rsidR="00521900" w:rsidRPr="000160C3" w:rsidRDefault="00521900" w:rsidP="001C47F4">
      <w:pPr>
        <w:pStyle w:val="4-SubsectionHeading"/>
      </w:pPr>
      <w:r w:rsidRPr="000160C3">
        <w:t>Clinical trials</w:t>
      </w:r>
      <w:bookmarkEnd w:id="16"/>
      <w:bookmarkEnd w:id="18"/>
    </w:p>
    <w:p w14:paraId="05B30F99" w14:textId="0CE8460F" w:rsidR="0018655A" w:rsidRPr="000160C3" w:rsidRDefault="00FD22DB" w:rsidP="001C47F4">
      <w:pPr>
        <w:pStyle w:val="3-BodyText"/>
      </w:pPr>
      <w:r w:rsidRPr="000160C3">
        <w:t>The submission was based on one phase 1/2, single</w:t>
      </w:r>
      <w:r w:rsidR="00EC1990">
        <w:noBreakHyphen/>
      </w:r>
      <w:r w:rsidRPr="000160C3">
        <w:t xml:space="preserve">arm, open label, multicentre clinical study evaluating </w:t>
      </w:r>
      <w:r w:rsidR="00E75515" w:rsidRPr="000160C3">
        <w:t>teclistamab</w:t>
      </w:r>
      <w:r w:rsidRPr="000160C3">
        <w:t xml:space="preserve"> (MajesTEC</w:t>
      </w:r>
      <w:r w:rsidR="00EC1990">
        <w:noBreakHyphen/>
      </w:r>
      <w:r w:rsidRPr="000160C3">
        <w:t xml:space="preserve">1). </w:t>
      </w:r>
      <w:r w:rsidR="00D11B40" w:rsidRPr="000160C3">
        <w:t xml:space="preserve">The study included </w:t>
      </w:r>
      <w:proofErr w:type="gramStart"/>
      <w:r w:rsidR="00D11B40" w:rsidRPr="000160C3">
        <w:t>a number</w:t>
      </w:r>
      <w:r w:rsidR="006B554B" w:rsidRPr="000160C3">
        <w:t xml:space="preserve"> </w:t>
      </w:r>
      <w:r w:rsidR="00D11B40" w:rsidRPr="000160C3">
        <w:t>of</w:t>
      </w:r>
      <w:proofErr w:type="gramEnd"/>
      <w:r w:rsidR="00D11B40" w:rsidRPr="000160C3">
        <w:t xml:space="preserve"> </w:t>
      </w:r>
      <w:r w:rsidR="00E67687" w:rsidRPr="000160C3">
        <w:t>cohorts</w:t>
      </w:r>
      <w:r w:rsidR="001C0916" w:rsidRPr="000160C3">
        <w:t>, two of which were presented in the submission.</w:t>
      </w:r>
      <w:r w:rsidR="00EC1990">
        <w:t xml:space="preserve"> </w:t>
      </w:r>
      <w:r w:rsidR="00587DC7" w:rsidRPr="000160C3">
        <w:t>The</w:t>
      </w:r>
      <w:r w:rsidR="006F0EB7" w:rsidRPr="000160C3">
        <w:t xml:space="preserve"> ‘Recommended Phase 2 Dose</w:t>
      </w:r>
      <w:r w:rsidR="00F1415A" w:rsidRPr="000160C3">
        <w:t xml:space="preserve"> (RP2D)</w:t>
      </w:r>
      <w:r w:rsidR="008F7C0A" w:rsidRPr="000160C3">
        <w:t xml:space="preserve"> population</w:t>
      </w:r>
      <w:r w:rsidR="00F1415A" w:rsidRPr="000160C3">
        <w:t xml:space="preserve"> (n=165</w:t>
      </w:r>
      <w:r w:rsidR="008050C8" w:rsidRPr="000160C3">
        <w:rPr>
          <w:rStyle w:val="FootnoteReference"/>
        </w:rPr>
        <w:footnoteReference w:id="5"/>
      </w:r>
      <w:r w:rsidR="00F1415A" w:rsidRPr="000160C3">
        <w:t xml:space="preserve">) </w:t>
      </w:r>
      <w:r w:rsidR="0081660E" w:rsidRPr="000160C3">
        <w:t xml:space="preserve">and the China Cohort (n=26) </w:t>
      </w:r>
      <w:r w:rsidR="009552E6" w:rsidRPr="000160C3">
        <w:t xml:space="preserve">included patients </w:t>
      </w:r>
      <w:r w:rsidR="006410B8" w:rsidRPr="000160C3">
        <w:t>with RRMM after at least 3 therapy lines, including triple</w:t>
      </w:r>
      <w:r w:rsidR="00EC1990">
        <w:noBreakHyphen/>
      </w:r>
      <w:r w:rsidR="006410B8" w:rsidRPr="000160C3">
        <w:t>class exposure to a</w:t>
      </w:r>
      <w:r w:rsidR="00576D4B" w:rsidRPr="000160C3">
        <w:t xml:space="preserve"> PI, an </w:t>
      </w:r>
      <w:proofErr w:type="spellStart"/>
      <w:r w:rsidR="00576D4B" w:rsidRPr="000160C3">
        <w:t>IMiD</w:t>
      </w:r>
      <w:proofErr w:type="spellEnd"/>
      <w:r w:rsidR="006410B8" w:rsidRPr="000160C3">
        <w:t>, and an anti</w:t>
      </w:r>
      <w:r w:rsidR="00EC1990">
        <w:noBreakHyphen/>
      </w:r>
      <w:r w:rsidR="006410B8" w:rsidRPr="000160C3">
        <w:t>CD38 antibody</w:t>
      </w:r>
      <w:r w:rsidR="0081660E" w:rsidRPr="000160C3">
        <w:t xml:space="preserve"> and no prior exposure to a BCMA</w:t>
      </w:r>
      <w:r w:rsidR="00EC1990">
        <w:noBreakHyphen/>
      </w:r>
      <w:r w:rsidR="0081660E" w:rsidRPr="000160C3">
        <w:t>targeted therapy.</w:t>
      </w:r>
      <w:r w:rsidR="00EC1990">
        <w:t xml:space="preserve"> </w:t>
      </w:r>
    </w:p>
    <w:p w14:paraId="76DFD30C" w14:textId="2073C2DC" w:rsidR="00521900" w:rsidRPr="000160C3" w:rsidRDefault="00100397" w:rsidP="001C47F4">
      <w:pPr>
        <w:pStyle w:val="3-BodyText"/>
        <w:rPr>
          <w:color w:val="0066FF"/>
        </w:rPr>
      </w:pPr>
      <w:r w:rsidRPr="000160C3">
        <w:t>O</w:t>
      </w:r>
      <w:r w:rsidR="00521900" w:rsidRPr="000160C3">
        <w:t xml:space="preserve">ne single arm, open label, multicentre clinical </w:t>
      </w:r>
      <w:r w:rsidR="001B2864" w:rsidRPr="000160C3">
        <w:t xml:space="preserve">study </w:t>
      </w:r>
      <w:r w:rsidR="00521900" w:rsidRPr="000160C3">
        <w:t>evaluat</w:t>
      </w:r>
      <w:r w:rsidRPr="000160C3">
        <w:t>ed</w:t>
      </w:r>
      <w:r w:rsidR="00521900" w:rsidRPr="000160C3">
        <w:t xml:space="preserve"> elranatamab (MagnetisMM</w:t>
      </w:r>
      <w:r w:rsidR="00EC1990">
        <w:noBreakHyphen/>
      </w:r>
      <w:r w:rsidR="00521900" w:rsidRPr="000160C3">
        <w:t>3</w:t>
      </w:r>
      <w:r w:rsidR="002603C8" w:rsidRPr="000160C3">
        <w:t>)</w:t>
      </w:r>
      <w:r w:rsidR="00521900" w:rsidRPr="000160C3">
        <w:t xml:space="preserve">, which included </w:t>
      </w:r>
      <w:r w:rsidR="001945D4" w:rsidRPr="000160C3">
        <w:t>one</w:t>
      </w:r>
      <w:r w:rsidR="00521900" w:rsidRPr="000160C3">
        <w:t xml:space="preserve"> population </w:t>
      </w:r>
      <w:r w:rsidR="00F54ACD" w:rsidRPr="000160C3">
        <w:t xml:space="preserve">relevant </w:t>
      </w:r>
      <w:r w:rsidR="00521900" w:rsidRPr="000160C3">
        <w:t>to the submission: Cohort A, n= 123</w:t>
      </w:r>
      <w:r w:rsidR="0043173E" w:rsidRPr="000160C3">
        <w:t xml:space="preserve">. </w:t>
      </w:r>
      <w:r w:rsidR="00C94CE5" w:rsidRPr="000160C3">
        <w:t>Cohort A of the MagnetisMM</w:t>
      </w:r>
      <w:r w:rsidR="00EC1990">
        <w:noBreakHyphen/>
      </w:r>
      <w:r w:rsidR="00C94CE5" w:rsidRPr="000160C3">
        <w:t xml:space="preserve">3 </w:t>
      </w:r>
      <w:r w:rsidR="0043173E" w:rsidRPr="000160C3">
        <w:t>w</w:t>
      </w:r>
      <w:r w:rsidR="001E316D" w:rsidRPr="000160C3">
        <w:t>a</w:t>
      </w:r>
      <w:r w:rsidR="0043173E" w:rsidRPr="000160C3">
        <w:t xml:space="preserve">s </w:t>
      </w:r>
      <w:r w:rsidR="00C94CE5" w:rsidRPr="000160C3">
        <w:t>considered by PBAC</w:t>
      </w:r>
      <w:r w:rsidR="00F84A64" w:rsidRPr="000160C3">
        <w:t xml:space="preserve"> in March 2025</w:t>
      </w:r>
      <w:r w:rsidR="00521900" w:rsidRPr="000160C3">
        <w:t>.</w:t>
      </w:r>
    </w:p>
    <w:p w14:paraId="75A3A439" w14:textId="6B6FB104" w:rsidR="009A0BBA" w:rsidRPr="000160C3" w:rsidRDefault="009A0BBA" w:rsidP="001C47F4">
      <w:pPr>
        <w:pStyle w:val="3-BodyText"/>
      </w:pPr>
      <w:r w:rsidRPr="000160C3">
        <w:t xml:space="preserve">The </w:t>
      </w:r>
      <w:r w:rsidR="00100397" w:rsidRPr="000160C3">
        <w:t xml:space="preserve">efficacy </w:t>
      </w:r>
      <w:r w:rsidRPr="000160C3">
        <w:t>claim in the submission was based on an unanchored</w:t>
      </w:r>
      <w:r w:rsidR="005B0C61" w:rsidRPr="000160C3">
        <w:t>,</w:t>
      </w:r>
      <w:r w:rsidRPr="000160C3">
        <w:t xml:space="preserve"> matched adjusted indirect comparison (MAIC) between </w:t>
      </w:r>
      <w:r w:rsidR="00C8250C" w:rsidRPr="000160C3">
        <w:t xml:space="preserve">results from the </w:t>
      </w:r>
      <w:r w:rsidRPr="000160C3">
        <w:t>MajesTEC</w:t>
      </w:r>
      <w:r w:rsidR="00EC1990">
        <w:noBreakHyphen/>
      </w:r>
      <w:r w:rsidRPr="000160C3">
        <w:t>1 and MagnetisMM</w:t>
      </w:r>
      <w:r w:rsidR="00EC1990">
        <w:noBreakHyphen/>
      </w:r>
      <w:r w:rsidRPr="000160C3">
        <w:t>3</w:t>
      </w:r>
      <w:r w:rsidR="00C8250C" w:rsidRPr="000160C3">
        <w:t xml:space="preserve"> studies</w:t>
      </w:r>
      <w:r w:rsidR="0061614C" w:rsidRPr="000160C3">
        <w:t xml:space="preserve">. </w:t>
      </w:r>
      <w:r w:rsidR="00E847DB" w:rsidRPr="000160C3">
        <w:t>T</w:t>
      </w:r>
      <w:r w:rsidRPr="000160C3">
        <w:t xml:space="preserve">he claim for safety was based on an unanchored, unadjusted indirect treatment comparison (ITC) of adverse events </w:t>
      </w:r>
      <w:r w:rsidR="00C8250C" w:rsidRPr="000160C3">
        <w:t xml:space="preserve">from </w:t>
      </w:r>
      <w:r w:rsidRPr="000160C3">
        <w:t>MajesTEC</w:t>
      </w:r>
      <w:r w:rsidR="00EC1990">
        <w:noBreakHyphen/>
      </w:r>
      <w:r w:rsidRPr="000160C3">
        <w:t>1 and MagnetisMM</w:t>
      </w:r>
      <w:r w:rsidR="00EC1990">
        <w:noBreakHyphen/>
      </w:r>
      <w:r w:rsidRPr="000160C3">
        <w:t>3.</w:t>
      </w:r>
    </w:p>
    <w:p w14:paraId="4B479504" w14:textId="77777777" w:rsidR="00A91562" w:rsidRPr="000160C3" w:rsidRDefault="00A91562" w:rsidP="001C47F4">
      <w:pPr>
        <w:rPr>
          <w:rFonts w:cstheme="minorHAnsi"/>
          <w:u w:val="single"/>
        </w:rPr>
      </w:pPr>
      <w:bookmarkStart w:id="20" w:name="_Hlk216430542"/>
      <w:r w:rsidRPr="000160C3">
        <w:rPr>
          <w:rFonts w:cstheme="minorHAnsi"/>
          <w:u w:val="single"/>
        </w:rPr>
        <w:t xml:space="preserve">China Cohort </w:t>
      </w:r>
    </w:p>
    <w:bookmarkEnd w:id="20"/>
    <w:p w14:paraId="142C9532" w14:textId="0199BEA0" w:rsidR="00A91562" w:rsidRPr="000160C3" w:rsidRDefault="00A91562" w:rsidP="001C47F4">
      <w:pPr>
        <w:pStyle w:val="3-BodyText"/>
        <w:rPr>
          <w:i/>
          <w:iCs/>
        </w:rPr>
      </w:pPr>
      <w:r w:rsidRPr="000160C3">
        <w:t xml:space="preserve">The </w:t>
      </w:r>
      <w:r w:rsidR="006F7F5C" w:rsidRPr="000160C3">
        <w:t>submission pooled the RP2D population from Ma</w:t>
      </w:r>
      <w:r w:rsidR="00F51532" w:rsidRPr="000160C3">
        <w:t>j</w:t>
      </w:r>
      <w:r w:rsidR="006F7F5C" w:rsidRPr="000160C3">
        <w:t>esTEC</w:t>
      </w:r>
      <w:r w:rsidR="00EC1990">
        <w:noBreakHyphen/>
      </w:r>
      <w:r w:rsidR="006F7F5C" w:rsidRPr="000160C3">
        <w:t xml:space="preserve">1 with those enrolled in the </w:t>
      </w:r>
      <w:r w:rsidRPr="000160C3">
        <w:t>China Cohort</w:t>
      </w:r>
      <w:r w:rsidR="006F7F5C" w:rsidRPr="000160C3">
        <w:t xml:space="preserve">. However, the China Cohort </w:t>
      </w:r>
      <w:r w:rsidRPr="000160C3">
        <w:t>patients had different baseline characteristics compared to those enrolled in the RP2D</w:t>
      </w:r>
      <w:r w:rsidR="00E03512">
        <w:t>:</w:t>
      </w:r>
      <w:r w:rsidR="00EC1990">
        <w:t xml:space="preserve"> </w:t>
      </w:r>
    </w:p>
    <w:p w14:paraId="0D64515F" w14:textId="0AB10908" w:rsidR="00A91562" w:rsidRPr="000160C3" w:rsidRDefault="00A91562" w:rsidP="001C47F4">
      <w:pPr>
        <w:pStyle w:val="3-BodyText"/>
        <w:numPr>
          <w:ilvl w:val="0"/>
          <w:numId w:val="12"/>
        </w:numPr>
        <w:ind w:left="1077" w:hanging="357"/>
      </w:pPr>
      <w:r w:rsidRPr="000160C3">
        <w:t>Aggressive disease features: High</w:t>
      </w:r>
      <w:r w:rsidR="00EC1990">
        <w:noBreakHyphen/>
      </w:r>
      <w:r w:rsidRPr="000160C3">
        <w:t>risk cytogenetics: 57.7% in the China cohort versus 25.7% in the RP2D.</w:t>
      </w:r>
    </w:p>
    <w:p w14:paraId="5C925172" w14:textId="40BAE2F7" w:rsidR="00A91562" w:rsidRPr="000160C3" w:rsidRDefault="00A91562" w:rsidP="001C47F4">
      <w:pPr>
        <w:pStyle w:val="3-BodyText"/>
        <w:numPr>
          <w:ilvl w:val="0"/>
          <w:numId w:val="12"/>
        </w:numPr>
        <w:ind w:left="1077" w:hanging="357"/>
      </w:pPr>
      <w:r w:rsidRPr="000160C3">
        <w:t xml:space="preserve">Extramedullary plasmacytomas: 34.6% in the China Cohort versus 17.0% in the RP2D. </w:t>
      </w:r>
    </w:p>
    <w:p w14:paraId="744B7B7F" w14:textId="77777777" w:rsidR="00A91562" w:rsidRPr="000160C3" w:rsidRDefault="00A91562" w:rsidP="001C47F4">
      <w:pPr>
        <w:pStyle w:val="3-BodyText"/>
        <w:numPr>
          <w:ilvl w:val="0"/>
          <w:numId w:val="12"/>
        </w:numPr>
        <w:ind w:left="1077" w:hanging="357"/>
      </w:pPr>
      <w:r w:rsidRPr="000160C3">
        <w:t>ISS stage III disease: 26.9% in the China Cohort versus 12.3% in the RP2D.</w:t>
      </w:r>
    </w:p>
    <w:p w14:paraId="0ECDA55C" w14:textId="6B847B5D" w:rsidR="00A91562" w:rsidRPr="000160C3" w:rsidRDefault="00A91562" w:rsidP="001C47F4">
      <w:pPr>
        <w:pStyle w:val="3-BodyText"/>
        <w:numPr>
          <w:ilvl w:val="0"/>
          <w:numId w:val="12"/>
        </w:numPr>
        <w:ind w:left="1077" w:hanging="357"/>
      </w:pPr>
      <w:r w:rsidRPr="000160C3">
        <w:t xml:space="preserve">Penta class exposed: 26.9% </w:t>
      </w:r>
      <w:r w:rsidR="00523B38" w:rsidRPr="000160C3">
        <w:t xml:space="preserve">in the </w:t>
      </w:r>
      <w:r w:rsidRPr="000160C3">
        <w:t xml:space="preserve">China Cohort compared to 20.6% </w:t>
      </w:r>
      <w:r w:rsidR="00E052A5" w:rsidRPr="000160C3">
        <w:t xml:space="preserve">the </w:t>
      </w:r>
      <w:r w:rsidRPr="000160C3">
        <w:t xml:space="preserve">in RP2D. </w:t>
      </w:r>
    </w:p>
    <w:p w14:paraId="024D7565" w14:textId="511BE750" w:rsidR="00A91562" w:rsidRPr="00FB5BFC" w:rsidRDefault="00E03512" w:rsidP="001C47F4">
      <w:pPr>
        <w:pStyle w:val="3-BodyText"/>
        <w:rPr>
          <w:rFonts w:eastAsia="Calibri"/>
          <w:lang w:eastAsia="en-US"/>
        </w:rPr>
      </w:pPr>
      <w:r>
        <w:t xml:space="preserve">Although the above </w:t>
      </w:r>
      <w:r w:rsidRPr="000160C3">
        <w:t>differences might suggest lower response rates in this population compared to RP2D</w:t>
      </w:r>
      <w:r w:rsidR="002E7BCE">
        <w:t>, the</w:t>
      </w:r>
      <w:r w:rsidR="001608EE" w:rsidRPr="000160C3">
        <w:t xml:space="preserve"> r</w:t>
      </w:r>
      <w:r w:rsidR="00A91562" w:rsidRPr="000160C3">
        <w:t>esults for the China Cohort study</w:t>
      </w:r>
      <w:r w:rsidR="001608EE" w:rsidRPr="000160C3">
        <w:t>,</w:t>
      </w:r>
      <w:r w:rsidR="00A91562" w:rsidRPr="000160C3">
        <w:t xml:space="preserve"> </w:t>
      </w:r>
      <w:r w:rsidR="001608EE" w:rsidRPr="000160C3">
        <w:t xml:space="preserve">reported in </w:t>
      </w:r>
      <w:r w:rsidR="00A91562" w:rsidRPr="000160C3">
        <w:t>Cai 2025</w:t>
      </w:r>
      <w:r w:rsidR="001608EE" w:rsidRPr="000160C3">
        <w:t>,</w:t>
      </w:r>
      <w:r w:rsidR="00A91562" w:rsidRPr="000160C3">
        <w:t xml:space="preserve"> showed an overall response rate (ORR) and median PFS </w:t>
      </w:r>
      <w:r w:rsidR="00765BEE" w:rsidRPr="000160C3">
        <w:t xml:space="preserve">that </w:t>
      </w:r>
      <w:r w:rsidR="00A57289" w:rsidRPr="000160C3">
        <w:t>were better</w:t>
      </w:r>
      <w:r w:rsidR="00A91562" w:rsidRPr="000160C3">
        <w:t xml:space="preserve"> compared to RP2D population. The authors of the China Cohort study (Cai 2025) </w:t>
      </w:r>
      <w:r w:rsidR="00617246" w:rsidRPr="000160C3">
        <w:t xml:space="preserve">stated </w:t>
      </w:r>
      <w:r w:rsidR="00A91562" w:rsidRPr="000160C3">
        <w:t>that while the</w:t>
      </w:r>
      <w:r w:rsidR="002E7BCE">
        <w:t xml:space="preserve"> </w:t>
      </w:r>
      <w:r w:rsidR="00617246" w:rsidRPr="000160C3">
        <w:t>O</w:t>
      </w:r>
      <w:r w:rsidR="00A91562" w:rsidRPr="000160C3">
        <w:t xml:space="preserve">RR was above the upper limit of the RP2D cohort's confidence interval, the overall </w:t>
      </w:r>
      <w:r w:rsidR="00A91562" w:rsidRPr="00FB5BFC">
        <w:t xml:space="preserve">efficacy profile was consistent with the pivotal cohort. However, the authors cautioned </w:t>
      </w:r>
      <w:r w:rsidR="00A91562" w:rsidRPr="00FB5BFC">
        <w:lastRenderedPageBreak/>
        <w:t xml:space="preserve">that the </w:t>
      </w:r>
      <w:r w:rsidR="00AA27D1" w:rsidRPr="00FB5BFC">
        <w:t xml:space="preserve">improved </w:t>
      </w:r>
      <w:r w:rsidR="00A91562" w:rsidRPr="00FB5BFC">
        <w:t>response rates observed in the poorer</w:t>
      </w:r>
      <w:r w:rsidR="00EC1990">
        <w:noBreakHyphen/>
      </w:r>
      <w:r w:rsidR="00A91562" w:rsidRPr="00FB5BFC">
        <w:t xml:space="preserve">performing subgroups should be interpreted with care due to the small sample size of the China cohort. </w:t>
      </w:r>
      <w:r w:rsidR="00D048F0" w:rsidRPr="00FB5BFC">
        <w:t>T</w:t>
      </w:r>
      <w:r w:rsidR="00A91562" w:rsidRPr="00FB5BFC">
        <w:t xml:space="preserve">he </w:t>
      </w:r>
      <w:r w:rsidR="009B64B5" w:rsidRPr="00FB5BFC">
        <w:t xml:space="preserve">ESC noted that the </w:t>
      </w:r>
      <w:r w:rsidR="00A91562" w:rsidRPr="00FB5BFC">
        <w:t>small sample size of the China Cohort (N=26)</w:t>
      </w:r>
      <w:r w:rsidR="00D048F0" w:rsidRPr="00FB5BFC">
        <w:t xml:space="preserve"> also</w:t>
      </w:r>
      <w:r w:rsidR="00A91562" w:rsidRPr="00FB5BFC">
        <w:t xml:space="preserve"> increase</w:t>
      </w:r>
      <w:r w:rsidR="00B246C7" w:rsidRPr="00FB5BFC">
        <w:t>d</w:t>
      </w:r>
      <w:r w:rsidR="00A91562" w:rsidRPr="00FB5BFC">
        <w:t xml:space="preserve"> susceptibility to confounding and limits the reliability and generalisability of the findings.</w:t>
      </w:r>
    </w:p>
    <w:p w14:paraId="709D554B" w14:textId="70EFEF47" w:rsidR="00A91562" w:rsidRPr="00FB5BFC" w:rsidRDefault="009B64B5" w:rsidP="001C47F4">
      <w:pPr>
        <w:pStyle w:val="3-BodyText"/>
        <w:rPr>
          <w:rFonts w:eastAsia="Calibri"/>
          <w:lang w:eastAsia="en-US"/>
        </w:rPr>
      </w:pPr>
      <w:bookmarkStart w:id="21" w:name="_Ref219715191"/>
      <w:r w:rsidRPr="00FB5BFC">
        <w:rPr>
          <w:rFonts w:eastAsia="Calibri"/>
          <w:lang w:eastAsia="en-US"/>
        </w:rPr>
        <w:t>The ESC considered that d</w:t>
      </w:r>
      <w:r w:rsidR="00A91562" w:rsidRPr="00FB5BFC">
        <w:rPr>
          <w:rFonts w:eastAsia="Calibri"/>
          <w:lang w:eastAsia="en-US"/>
        </w:rPr>
        <w:t>ifferences in clinical practice, treatment availability, use of post</w:t>
      </w:r>
      <w:r w:rsidR="00EC1990">
        <w:rPr>
          <w:rFonts w:eastAsia="Calibri"/>
          <w:lang w:eastAsia="en-US"/>
        </w:rPr>
        <w:noBreakHyphen/>
      </w:r>
      <w:r w:rsidR="00A91562" w:rsidRPr="00FB5BFC">
        <w:rPr>
          <w:rFonts w:eastAsia="Calibri"/>
          <w:lang w:eastAsia="en-US"/>
        </w:rPr>
        <w:t>progression therapies and healthcare settings in China</w:t>
      </w:r>
      <w:r w:rsidR="00EC1990">
        <w:rPr>
          <w:rFonts w:eastAsia="Calibri"/>
          <w:lang w:eastAsia="en-US"/>
        </w:rPr>
        <w:t xml:space="preserve"> </w:t>
      </w:r>
      <w:r w:rsidR="00A91562" w:rsidRPr="00FB5BFC">
        <w:rPr>
          <w:rFonts w:eastAsia="Calibri"/>
          <w:lang w:eastAsia="en-US"/>
        </w:rPr>
        <w:t>may also limit the comparability of the China Cohort with the MajesTEC</w:t>
      </w:r>
      <w:r w:rsidR="00EC1990">
        <w:rPr>
          <w:rFonts w:eastAsia="Calibri"/>
          <w:lang w:eastAsia="en-US"/>
        </w:rPr>
        <w:noBreakHyphen/>
      </w:r>
      <w:r w:rsidR="00A91562" w:rsidRPr="00FB5BFC">
        <w:rPr>
          <w:rFonts w:eastAsia="Calibri"/>
          <w:lang w:eastAsia="en-US"/>
        </w:rPr>
        <w:t xml:space="preserve">1 RP2D population and reduce the validity of pooling these populations in the analysis. Moreover, </w:t>
      </w:r>
      <w:r w:rsidR="00D81C7A" w:rsidRPr="00FB5BFC">
        <w:rPr>
          <w:rFonts w:eastAsia="Calibri"/>
          <w:lang w:eastAsia="en-US"/>
        </w:rPr>
        <w:t xml:space="preserve">unlike the RP2D analysis, </w:t>
      </w:r>
      <w:r w:rsidR="00A91562" w:rsidRPr="00FB5BFC">
        <w:rPr>
          <w:rFonts w:eastAsia="Calibri"/>
          <w:lang w:eastAsia="en-US"/>
        </w:rPr>
        <w:t xml:space="preserve">response assessments for the China Cohort were conducted by unblinded investigators rather than an independent blinded review committee, increasing the risk of selection and assessment bias. Collectively, these factors, suggest the </w:t>
      </w:r>
      <w:r w:rsidR="00C34096" w:rsidRPr="00FB5BFC">
        <w:rPr>
          <w:rFonts w:eastAsia="Calibri"/>
          <w:lang w:eastAsia="en-US"/>
        </w:rPr>
        <w:t>two</w:t>
      </w:r>
      <w:r w:rsidR="00A91562" w:rsidRPr="00FB5BFC">
        <w:rPr>
          <w:rFonts w:eastAsia="Calibri"/>
          <w:lang w:eastAsia="en-US"/>
        </w:rPr>
        <w:t xml:space="preserve"> cohorts represent distinct patient populations and clinical environments, reducing the reliability of the China Cohort as evidence to support comparative effectiveness. Therefore, </w:t>
      </w:r>
      <w:r w:rsidR="004E65DC" w:rsidRPr="00FB5BFC">
        <w:rPr>
          <w:rFonts w:eastAsia="Calibri"/>
          <w:lang w:eastAsia="en-US"/>
        </w:rPr>
        <w:t>comparative results from the MAIC that included</w:t>
      </w:r>
      <w:r w:rsidR="00C569BD" w:rsidRPr="00FB5BFC">
        <w:rPr>
          <w:rFonts w:eastAsia="Calibri"/>
          <w:lang w:eastAsia="en-US"/>
        </w:rPr>
        <w:t>/excluded</w:t>
      </w:r>
      <w:r w:rsidR="004E65DC" w:rsidRPr="00FB5BFC">
        <w:rPr>
          <w:rFonts w:eastAsia="Calibri"/>
          <w:lang w:eastAsia="en-US"/>
        </w:rPr>
        <w:t xml:space="preserve"> the China Cohort are presented</w:t>
      </w:r>
      <w:r w:rsidR="00A91562" w:rsidRPr="00FB5BFC">
        <w:rPr>
          <w:rFonts w:eastAsia="Calibri"/>
          <w:lang w:eastAsia="en-US"/>
        </w:rPr>
        <w:t>.</w:t>
      </w:r>
      <w:bookmarkEnd w:id="21"/>
      <w:r w:rsidR="00E60E72" w:rsidRPr="00FB5BFC">
        <w:rPr>
          <w:rFonts w:eastAsia="Calibri"/>
          <w:lang w:eastAsia="en-US"/>
        </w:rPr>
        <w:t xml:space="preserve"> The </w:t>
      </w:r>
      <w:r w:rsidR="0063015A">
        <w:rPr>
          <w:rFonts w:eastAsia="Calibri"/>
          <w:lang w:eastAsia="en-US"/>
        </w:rPr>
        <w:t>Pre-Sub-Committee Response (</w:t>
      </w:r>
      <w:r w:rsidR="00E60E72" w:rsidRPr="00FB5BFC">
        <w:rPr>
          <w:rFonts w:eastAsia="Calibri"/>
          <w:lang w:eastAsia="en-US"/>
        </w:rPr>
        <w:t>PSCR</w:t>
      </w:r>
      <w:r w:rsidR="0063015A">
        <w:rPr>
          <w:rFonts w:eastAsia="Calibri"/>
          <w:lang w:eastAsia="en-US"/>
        </w:rPr>
        <w:t>)</w:t>
      </w:r>
      <w:r w:rsidR="00E60E72" w:rsidRPr="00FB5BFC">
        <w:rPr>
          <w:rFonts w:eastAsia="Calibri"/>
          <w:lang w:eastAsia="en-US"/>
        </w:rPr>
        <w:t xml:space="preserve"> </w:t>
      </w:r>
      <w:r w:rsidR="001217C0">
        <w:rPr>
          <w:rFonts w:eastAsia="Calibri"/>
          <w:lang w:eastAsia="en-US"/>
        </w:rPr>
        <w:t>and pre</w:t>
      </w:r>
      <w:r w:rsidR="00EC1990">
        <w:rPr>
          <w:rFonts w:eastAsia="Calibri"/>
          <w:lang w:eastAsia="en-US"/>
        </w:rPr>
        <w:noBreakHyphen/>
      </w:r>
      <w:r w:rsidR="001217C0">
        <w:rPr>
          <w:rFonts w:eastAsia="Calibri"/>
          <w:lang w:eastAsia="en-US"/>
        </w:rPr>
        <w:t xml:space="preserve">PBAC response </w:t>
      </w:r>
      <w:r w:rsidR="00E60E72" w:rsidRPr="00FB5BFC">
        <w:rPr>
          <w:rFonts w:eastAsia="Calibri"/>
          <w:lang w:eastAsia="en-US"/>
        </w:rPr>
        <w:t xml:space="preserve">disagreed with this approach, stating that </w:t>
      </w:r>
      <w:r w:rsidR="003520F6" w:rsidRPr="00FB5BFC">
        <w:rPr>
          <w:rFonts w:eastAsia="Calibri"/>
          <w:lang w:eastAsia="en-US"/>
        </w:rPr>
        <w:t xml:space="preserve">patients in the China cohort followed the same </w:t>
      </w:r>
      <w:r w:rsidR="00F6514A" w:rsidRPr="00FB5BFC">
        <w:rPr>
          <w:rFonts w:eastAsia="Calibri"/>
          <w:lang w:eastAsia="en-US"/>
        </w:rPr>
        <w:t>study</w:t>
      </w:r>
      <w:r w:rsidR="003520F6" w:rsidRPr="00FB5BFC">
        <w:rPr>
          <w:rFonts w:eastAsia="Calibri"/>
          <w:lang w:eastAsia="en-US"/>
        </w:rPr>
        <w:t xml:space="preserve"> protocol</w:t>
      </w:r>
      <w:r w:rsidR="009C1ECF" w:rsidRPr="00FB5BFC">
        <w:rPr>
          <w:rFonts w:eastAsia="Calibri"/>
          <w:lang w:eastAsia="en-US"/>
        </w:rPr>
        <w:t xml:space="preserve">, </w:t>
      </w:r>
      <w:r w:rsidR="003520F6" w:rsidRPr="00FB5BFC">
        <w:rPr>
          <w:rFonts w:eastAsia="Calibri"/>
          <w:lang w:eastAsia="en-US"/>
        </w:rPr>
        <w:t>were subject to the same eligibility criteria</w:t>
      </w:r>
      <w:r w:rsidR="00070A3D" w:rsidRPr="00FB5BFC">
        <w:rPr>
          <w:rFonts w:eastAsia="Calibri"/>
          <w:lang w:eastAsia="en-US"/>
        </w:rPr>
        <w:t xml:space="preserve"> </w:t>
      </w:r>
      <w:r w:rsidR="009C1ECF" w:rsidRPr="00FB5BFC">
        <w:rPr>
          <w:rFonts w:eastAsia="Calibri"/>
          <w:lang w:eastAsia="en-US"/>
        </w:rPr>
        <w:t>and had</w:t>
      </w:r>
      <w:r w:rsidR="0021428E" w:rsidRPr="00FB5BFC">
        <w:rPr>
          <w:rFonts w:eastAsia="Calibri"/>
          <w:lang w:eastAsia="en-US"/>
        </w:rPr>
        <w:t xml:space="preserve"> a similar duration of follow</w:t>
      </w:r>
      <w:r w:rsidR="00EC1990">
        <w:rPr>
          <w:rFonts w:eastAsia="Calibri"/>
          <w:lang w:eastAsia="en-US"/>
        </w:rPr>
        <w:noBreakHyphen/>
      </w:r>
      <w:r w:rsidR="0021428E" w:rsidRPr="00FB5BFC">
        <w:rPr>
          <w:rFonts w:eastAsia="Calibri"/>
          <w:lang w:eastAsia="en-US"/>
        </w:rPr>
        <w:t>up as the RP2D population.</w:t>
      </w:r>
      <w:r w:rsidR="00620A01" w:rsidRPr="00FB5BFC">
        <w:rPr>
          <w:rFonts w:eastAsia="Calibri"/>
          <w:lang w:eastAsia="en-US"/>
        </w:rPr>
        <w:t xml:space="preserve"> </w:t>
      </w:r>
      <w:r w:rsidR="00620A01" w:rsidRPr="00FB5BFC">
        <w:t xml:space="preserve">Furthermore, the </w:t>
      </w:r>
      <w:r w:rsidR="00F668E2">
        <w:t>responses</w:t>
      </w:r>
      <w:r w:rsidR="00F668E2" w:rsidRPr="00FB5BFC">
        <w:t xml:space="preserve"> </w:t>
      </w:r>
      <w:r w:rsidR="00620A01" w:rsidRPr="00FB5BFC">
        <w:t>stated that the clinical management and treatment pathways c</w:t>
      </w:r>
      <w:r w:rsidR="000C02D1" w:rsidRPr="00FB5BFC">
        <w:t>ould</w:t>
      </w:r>
      <w:r w:rsidR="00620A01" w:rsidRPr="00FB5BFC">
        <w:t xml:space="preserve"> also be considered similar</w:t>
      </w:r>
      <w:r w:rsidR="00676DEC" w:rsidRPr="00FB5BFC">
        <w:t xml:space="preserve"> and both po</w:t>
      </w:r>
      <w:r w:rsidR="00620A01" w:rsidRPr="00FB5BFC">
        <w:t xml:space="preserve">pulations </w:t>
      </w:r>
      <w:r w:rsidR="00676DEC" w:rsidRPr="00FB5BFC">
        <w:t xml:space="preserve">consisted of patients </w:t>
      </w:r>
      <w:r w:rsidR="00620A01" w:rsidRPr="00FB5BFC">
        <w:t>with late line MM who had previous exposure to the same classes of MM therapies, and both populations had the same median number of prior lines of therapies (n=5). Thus, the RP2D population and China Cohort should not be considered different populations.</w:t>
      </w:r>
    </w:p>
    <w:p w14:paraId="7F7921E5" w14:textId="19A9E7C9" w:rsidR="000E794E" w:rsidRPr="000160C3" w:rsidRDefault="000E794E" w:rsidP="001C47F4">
      <w:pPr>
        <w:pStyle w:val="3-BodyText"/>
        <w:keepNext/>
        <w:numPr>
          <w:ilvl w:val="0"/>
          <w:numId w:val="0"/>
        </w:numPr>
        <w:rPr>
          <w:u w:val="single"/>
        </w:rPr>
      </w:pPr>
      <w:r w:rsidRPr="000160C3">
        <w:rPr>
          <w:u w:val="single"/>
        </w:rPr>
        <w:t>Published MAIC</w:t>
      </w:r>
    </w:p>
    <w:p w14:paraId="1FEA141E" w14:textId="0F1C8B80" w:rsidR="00521900" w:rsidRPr="00FB5BFC" w:rsidRDefault="00521900" w:rsidP="001C47F4">
      <w:pPr>
        <w:pStyle w:val="3-BodyText"/>
        <w:keepNext/>
      </w:pPr>
      <w:r w:rsidRPr="00FB5BFC">
        <w:t xml:space="preserve">A </w:t>
      </w:r>
      <w:r w:rsidR="00A20A40" w:rsidRPr="00FB5BFC">
        <w:t xml:space="preserve">published </w:t>
      </w:r>
      <w:r w:rsidR="0027455A" w:rsidRPr="00FB5BFC">
        <w:t xml:space="preserve">unanchored </w:t>
      </w:r>
      <w:r w:rsidR="00A20A40" w:rsidRPr="00FB5BFC">
        <w:t>MAIC</w:t>
      </w:r>
      <w:r w:rsidRPr="00FB5BFC">
        <w:t>, initially reported in 2024 (Mol 2024</w:t>
      </w:r>
      <w:r w:rsidR="009D0AD2" w:rsidRPr="00FB5BFC">
        <w:rPr>
          <w:rStyle w:val="FootnoteReference"/>
        </w:rPr>
        <w:footnoteReference w:id="6"/>
      </w:r>
      <w:r w:rsidRPr="00FB5BFC">
        <w:t>) and updated in 2025 (Mol 2025</w:t>
      </w:r>
      <w:r w:rsidR="009D0AD2" w:rsidRPr="00FB5BFC">
        <w:rPr>
          <w:rStyle w:val="FootnoteReference"/>
        </w:rPr>
        <w:footnoteReference w:id="7"/>
      </w:r>
      <w:r w:rsidRPr="00FB5BFC">
        <w:t xml:space="preserve">), </w:t>
      </w:r>
      <w:r w:rsidR="00A20A40" w:rsidRPr="00FB5BFC">
        <w:t xml:space="preserve">was </w:t>
      </w:r>
      <w:r w:rsidR="00655385" w:rsidRPr="00FB5BFC">
        <w:t xml:space="preserve">identified </w:t>
      </w:r>
      <w:r w:rsidRPr="00FB5BFC">
        <w:t>during the evaluation. The unanchored MAIC compared elranatamab and teclistamab in the target population. Th</w:t>
      </w:r>
      <w:r w:rsidR="00BD3C4F" w:rsidRPr="00FB5BFC">
        <w:t>e</w:t>
      </w:r>
      <w:r w:rsidRPr="00FB5BFC">
        <w:t xml:space="preserve"> methodology utilised </w:t>
      </w:r>
      <w:r w:rsidR="005624E2" w:rsidRPr="00FB5BFC">
        <w:t>i</w:t>
      </w:r>
      <w:r w:rsidRPr="00FB5BFC">
        <w:t xml:space="preserve">ndividual </w:t>
      </w:r>
      <w:r w:rsidR="005624E2" w:rsidRPr="00FB5BFC">
        <w:t>p</w:t>
      </w:r>
      <w:r w:rsidRPr="00FB5BFC">
        <w:t xml:space="preserve">atient </w:t>
      </w:r>
      <w:r w:rsidR="005624E2" w:rsidRPr="00FB5BFC">
        <w:t>d</w:t>
      </w:r>
      <w:r w:rsidRPr="00FB5BFC">
        <w:t>ata from the elranatamab MagnetisMM</w:t>
      </w:r>
      <w:r w:rsidR="00EC1990">
        <w:noBreakHyphen/>
      </w:r>
      <w:r w:rsidRPr="00FB5BFC">
        <w:t xml:space="preserve">3 </w:t>
      </w:r>
      <w:r w:rsidR="000429E5" w:rsidRPr="00FB5BFC">
        <w:t xml:space="preserve">study </w:t>
      </w:r>
      <w:r w:rsidRPr="00FB5BFC">
        <w:t>Cohort A (BCMA</w:t>
      </w:r>
      <w:r w:rsidR="00EC1990">
        <w:noBreakHyphen/>
      </w:r>
      <w:r w:rsidRPr="00FB5BFC">
        <w:t xml:space="preserve">naïve, </w:t>
      </w:r>
      <w:r w:rsidR="00AF336B" w:rsidRPr="00FB5BFC">
        <w:t xml:space="preserve">n </w:t>
      </w:r>
      <w:r w:rsidRPr="00FB5BFC">
        <w:t>=</w:t>
      </w:r>
      <w:r w:rsidR="00AF336B" w:rsidRPr="00FB5BFC">
        <w:t xml:space="preserve"> </w:t>
      </w:r>
      <w:r w:rsidRPr="00FB5BFC">
        <w:t>123), which was re</w:t>
      </w:r>
      <w:r w:rsidR="00EC1990">
        <w:noBreakHyphen/>
      </w:r>
      <w:r w:rsidRPr="00FB5BFC">
        <w:t xml:space="preserve">weighted to match the aggregated baseline characteristics reported </w:t>
      </w:r>
      <w:r w:rsidR="00D3563A" w:rsidRPr="00FB5BFC">
        <w:t xml:space="preserve">in </w:t>
      </w:r>
      <w:r w:rsidRPr="00FB5BFC">
        <w:t>the teclistamab MajesTEC</w:t>
      </w:r>
      <w:r w:rsidR="00EC1990">
        <w:noBreakHyphen/>
      </w:r>
      <w:r w:rsidRPr="00FB5BFC">
        <w:t xml:space="preserve">1 </w:t>
      </w:r>
      <w:r w:rsidR="000429E5" w:rsidRPr="00FB5BFC">
        <w:t xml:space="preserve">study </w:t>
      </w:r>
      <w:r w:rsidRPr="00FB5BFC">
        <w:t>(RP2D population</w:t>
      </w:r>
      <w:r w:rsidR="00F66FDC" w:rsidRPr="00FB5BFC">
        <w:t>, n</w:t>
      </w:r>
      <w:r w:rsidR="00AF336B" w:rsidRPr="00FB5BFC">
        <w:t xml:space="preserve"> </w:t>
      </w:r>
      <w:r w:rsidR="00F66FDC" w:rsidRPr="00FB5BFC">
        <w:t>=</w:t>
      </w:r>
      <w:r w:rsidR="00AF336B" w:rsidRPr="00FB5BFC">
        <w:t xml:space="preserve"> 165</w:t>
      </w:r>
      <w:r w:rsidRPr="00FB5BFC">
        <w:t>)</w:t>
      </w:r>
      <w:r w:rsidR="000429E5" w:rsidRPr="00FB5BFC">
        <w:t xml:space="preserve">. </w:t>
      </w:r>
      <w:r w:rsidR="0069638C" w:rsidRPr="00FB5BFC">
        <w:t xml:space="preserve">The </w:t>
      </w:r>
      <w:r w:rsidR="000429E5" w:rsidRPr="00FB5BFC">
        <w:t>China Cohort was not included in Mol 2024</w:t>
      </w:r>
      <w:r w:rsidR="00EC1990">
        <w:noBreakHyphen/>
      </w:r>
      <w:r w:rsidR="00833067" w:rsidRPr="00FB5BFC">
        <w:t>2025</w:t>
      </w:r>
      <w:r w:rsidRPr="00FB5BFC">
        <w:t>.</w:t>
      </w:r>
      <w:r w:rsidR="001224CD" w:rsidRPr="00FB5BFC">
        <w:t xml:space="preserve"> The PSCR stated that the Mol 2024</w:t>
      </w:r>
      <w:r w:rsidR="00EC1990">
        <w:noBreakHyphen/>
      </w:r>
      <w:r w:rsidR="001224CD" w:rsidRPr="00FB5BFC">
        <w:t xml:space="preserve">2025 </w:t>
      </w:r>
      <w:r w:rsidR="00871B53" w:rsidRPr="00FB5BFC">
        <w:t xml:space="preserve">paper </w:t>
      </w:r>
      <w:r w:rsidR="001B1C3A" w:rsidRPr="00FB5BFC">
        <w:t xml:space="preserve">was excluded as </w:t>
      </w:r>
      <w:r w:rsidR="00D712CF" w:rsidRPr="00FB5BFC">
        <w:t xml:space="preserve">the MAICs presented </w:t>
      </w:r>
      <w:r w:rsidR="001B1C3A" w:rsidRPr="00FB5BFC">
        <w:t xml:space="preserve">did not include </w:t>
      </w:r>
      <w:r w:rsidR="00433AF9" w:rsidRPr="00FB5BFC">
        <w:t>all the relevant teclistamab data to inform the comparisons (i.e. the China cohort)</w:t>
      </w:r>
      <w:r w:rsidR="000D030F" w:rsidRPr="00FB5BFC">
        <w:t xml:space="preserve"> and did not adjust for COVID</w:t>
      </w:r>
      <w:r w:rsidR="00EC1990">
        <w:noBreakHyphen/>
      </w:r>
      <w:r w:rsidR="000D030F" w:rsidRPr="00FB5BFC">
        <w:t>19 deaths in the MajesTEC</w:t>
      </w:r>
      <w:r w:rsidR="00EC1990">
        <w:noBreakHyphen/>
      </w:r>
      <w:r w:rsidR="000D030F" w:rsidRPr="00FB5BFC">
        <w:t>1 study</w:t>
      </w:r>
      <w:r w:rsidR="00D712CF" w:rsidRPr="00FB5BFC">
        <w:t>.</w:t>
      </w:r>
    </w:p>
    <w:p w14:paraId="72128DD3" w14:textId="0CF82051" w:rsidR="00521900" w:rsidRPr="000160C3" w:rsidRDefault="00521900" w:rsidP="001C47F4">
      <w:pPr>
        <w:pStyle w:val="3-BodyText"/>
      </w:pPr>
      <w:r w:rsidRPr="000160C3">
        <w:t xml:space="preserve">Details of the </w:t>
      </w:r>
      <w:r w:rsidR="005D5D0C" w:rsidRPr="000160C3">
        <w:t>studies</w:t>
      </w:r>
      <w:r w:rsidRPr="000160C3">
        <w:t xml:space="preserve"> presented in the submission are provided in </w:t>
      </w:r>
      <w:r w:rsidRPr="000160C3">
        <w:fldChar w:fldCharType="begin"/>
      </w:r>
      <w:r w:rsidRPr="000160C3">
        <w:instrText xml:space="preserve"> REF _Ref104803956 \h </w:instrText>
      </w:r>
      <w:r w:rsidRPr="000160C3">
        <w:fldChar w:fldCharType="separate"/>
      </w:r>
      <w:r w:rsidR="001C47F4" w:rsidRPr="000160C3">
        <w:t xml:space="preserve">Table </w:t>
      </w:r>
      <w:r w:rsidR="001C47F4">
        <w:rPr>
          <w:noProof/>
        </w:rPr>
        <w:t>2</w:t>
      </w:r>
      <w:r w:rsidRPr="000160C3">
        <w:fldChar w:fldCharType="end"/>
      </w:r>
      <w:r w:rsidRPr="000160C3">
        <w:t>.</w:t>
      </w:r>
    </w:p>
    <w:p w14:paraId="4CD7CA11" w14:textId="166DC0B0" w:rsidR="00521900" w:rsidRPr="000160C3" w:rsidRDefault="00521900" w:rsidP="001C47F4">
      <w:pPr>
        <w:pStyle w:val="TableFigureHeading"/>
        <w:rPr>
          <w:rStyle w:val="CommentReference"/>
          <w:b/>
          <w:szCs w:val="24"/>
        </w:rPr>
      </w:pPr>
      <w:bookmarkStart w:id="22" w:name="_Ref104803956"/>
      <w:r w:rsidRPr="000160C3">
        <w:lastRenderedPageBreak/>
        <w:t xml:space="preserve">Table </w:t>
      </w:r>
      <w:r>
        <w:fldChar w:fldCharType="begin"/>
      </w:r>
      <w:r>
        <w:instrText>SEQ Table \* ARABIC</w:instrText>
      </w:r>
      <w:r>
        <w:fldChar w:fldCharType="separate"/>
      </w:r>
      <w:r w:rsidR="001C47F4">
        <w:rPr>
          <w:noProof/>
        </w:rPr>
        <w:t>2</w:t>
      </w:r>
      <w:r>
        <w:fldChar w:fldCharType="end"/>
      </w:r>
      <w:bookmarkEnd w:id="22"/>
      <w:r w:rsidRPr="000160C3">
        <w:t>:</w:t>
      </w:r>
      <w:r w:rsidRPr="000160C3">
        <w:rPr>
          <w:rStyle w:val="CommentReference"/>
          <w:b/>
          <w:szCs w:val="24"/>
        </w:rPr>
        <w:t xml:space="preserve"> </w:t>
      </w:r>
      <w:r w:rsidR="005D5D0C" w:rsidRPr="000160C3">
        <w:rPr>
          <w:rStyle w:val="CommentReference"/>
          <w:b/>
          <w:szCs w:val="24"/>
        </w:rPr>
        <w:t>Studies</w:t>
      </w:r>
      <w:r w:rsidRPr="000160C3">
        <w:rPr>
          <w:rStyle w:val="CommentReference"/>
          <w:b/>
          <w:szCs w:val="24"/>
        </w:rPr>
        <w:t xml:space="preserve"> and associated reports presented in the submission</w:t>
      </w:r>
    </w:p>
    <w:tbl>
      <w:tblPr>
        <w:tblStyle w:val="newstyle17"/>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tudies and associated reports presented in the submission"/>
      </w:tblPr>
      <w:tblGrid>
        <w:gridCol w:w="1275"/>
        <w:gridCol w:w="5315"/>
        <w:gridCol w:w="2482"/>
      </w:tblGrid>
      <w:tr w:rsidR="00521900" w:rsidRPr="000160C3" w14:paraId="64F629CC" w14:textId="77777777" w:rsidTr="00CF4C8F">
        <w:trPr>
          <w:cantSplit/>
          <w:tblHeader/>
        </w:trPr>
        <w:tc>
          <w:tcPr>
            <w:tcW w:w="1276" w:type="dxa"/>
            <w:tcMar>
              <w:left w:w="28" w:type="dxa"/>
              <w:right w:w="28" w:type="dxa"/>
            </w:tcMar>
            <w:vAlign w:val="center"/>
          </w:tcPr>
          <w:p w14:paraId="0D6FD61B" w14:textId="703C6C82" w:rsidR="00521900" w:rsidRPr="000160C3" w:rsidRDefault="00F6514A" w:rsidP="001C47F4">
            <w:pPr>
              <w:pStyle w:val="TableHeading"/>
              <w:jc w:val="left"/>
              <w:rPr>
                <w:rFonts w:ascii="Arial" w:hAnsi="Arial"/>
                <w:iCs/>
              </w:rPr>
            </w:pPr>
            <w:r w:rsidRPr="000160C3">
              <w:t>Study</w:t>
            </w:r>
            <w:r w:rsidR="00521900" w:rsidRPr="000160C3">
              <w:t xml:space="preserve"> name</w:t>
            </w:r>
            <w:r w:rsidR="0009511D">
              <w:t xml:space="preserve"> </w:t>
            </w:r>
            <w:r w:rsidR="00521900" w:rsidRPr="000160C3">
              <w:t>/ NCT ID</w:t>
            </w:r>
          </w:p>
        </w:tc>
        <w:tc>
          <w:tcPr>
            <w:tcW w:w="5446" w:type="dxa"/>
            <w:tcMar>
              <w:left w:w="28" w:type="dxa"/>
              <w:right w:w="28" w:type="dxa"/>
            </w:tcMar>
            <w:vAlign w:val="center"/>
          </w:tcPr>
          <w:p w14:paraId="16757AD1" w14:textId="77777777" w:rsidR="00521900" w:rsidRPr="000160C3" w:rsidRDefault="00521900" w:rsidP="001C47F4">
            <w:pPr>
              <w:pStyle w:val="TableHeading"/>
              <w:ind w:right="169"/>
              <w:rPr>
                <w:rFonts w:ascii="Arial" w:hAnsi="Arial"/>
                <w:iCs/>
              </w:rPr>
            </w:pPr>
            <w:r w:rsidRPr="000160C3">
              <w:t>Protocol title/ Publication title</w:t>
            </w:r>
          </w:p>
        </w:tc>
        <w:tc>
          <w:tcPr>
            <w:tcW w:w="2350" w:type="dxa"/>
            <w:tcMar>
              <w:left w:w="28" w:type="dxa"/>
              <w:right w:w="28" w:type="dxa"/>
            </w:tcMar>
            <w:vAlign w:val="center"/>
          </w:tcPr>
          <w:p w14:paraId="33F54F76" w14:textId="77777777" w:rsidR="00521900" w:rsidRPr="000160C3" w:rsidRDefault="00521900" w:rsidP="001C47F4">
            <w:pPr>
              <w:pStyle w:val="TableHeading"/>
              <w:rPr>
                <w:rFonts w:ascii="Arial" w:hAnsi="Arial"/>
                <w:iCs/>
              </w:rPr>
            </w:pPr>
            <w:r w:rsidRPr="000160C3">
              <w:t>Publication citation</w:t>
            </w:r>
          </w:p>
        </w:tc>
      </w:tr>
      <w:tr w:rsidR="008D44BB" w:rsidRPr="000160C3" w14:paraId="710B8801" w14:textId="77777777" w:rsidTr="00CF4C8F">
        <w:trPr>
          <w:cantSplit/>
          <w:trHeight w:val="603"/>
        </w:trPr>
        <w:tc>
          <w:tcPr>
            <w:tcW w:w="1276" w:type="dxa"/>
            <w:vMerge w:val="restart"/>
            <w:tcMar>
              <w:left w:w="28" w:type="dxa"/>
              <w:right w:w="28" w:type="dxa"/>
            </w:tcMar>
            <w:vAlign w:val="center"/>
          </w:tcPr>
          <w:p w14:paraId="52AE5F55" w14:textId="5816A2D4" w:rsidR="008D44BB" w:rsidRPr="000160C3" w:rsidRDefault="008D44BB" w:rsidP="001C47F4">
            <w:pPr>
              <w:rPr>
                <w:rFonts w:ascii="Arial Narrow" w:hAnsi="Arial Narrow" w:cs="Calibri"/>
                <w:sz w:val="20"/>
                <w:szCs w:val="20"/>
              </w:rPr>
            </w:pPr>
            <w:r w:rsidRPr="000160C3">
              <w:rPr>
                <w:rFonts w:ascii="Arial Narrow" w:hAnsi="Arial Narrow" w:cs="Calibri"/>
                <w:sz w:val="20"/>
                <w:szCs w:val="20"/>
              </w:rPr>
              <w:t>MajesTEC</w:t>
            </w:r>
            <w:r w:rsidR="00EC1990">
              <w:rPr>
                <w:rFonts w:ascii="Arial Narrow" w:hAnsi="Arial Narrow" w:cs="Calibri"/>
                <w:sz w:val="20"/>
                <w:szCs w:val="20"/>
              </w:rPr>
              <w:noBreakHyphen/>
            </w:r>
            <w:r w:rsidRPr="000160C3">
              <w:rPr>
                <w:rFonts w:ascii="Arial Narrow" w:hAnsi="Arial Narrow" w:cs="Calibri"/>
                <w:sz w:val="20"/>
                <w:szCs w:val="20"/>
              </w:rPr>
              <w:t>1</w:t>
            </w:r>
          </w:p>
          <w:p w14:paraId="068C331F" w14:textId="77777777" w:rsidR="008D44BB" w:rsidRPr="000160C3" w:rsidRDefault="008D44BB" w:rsidP="001C47F4">
            <w:pPr>
              <w:rPr>
                <w:rFonts w:ascii="Arial Narrow" w:hAnsi="Arial Narrow" w:cs="Calibri"/>
                <w:sz w:val="20"/>
                <w:szCs w:val="20"/>
              </w:rPr>
            </w:pPr>
            <w:r w:rsidRPr="000160C3">
              <w:rPr>
                <w:rFonts w:ascii="Arial Narrow" w:hAnsi="Arial Narrow" w:cs="Calibri"/>
                <w:sz w:val="20"/>
                <w:szCs w:val="20"/>
              </w:rPr>
              <w:t>(NCT03145181; NCT04557098)</w:t>
            </w:r>
          </w:p>
        </w:tc>
        <w:tc>
          <w:tcPr>
            <w:tcW w:w="5446" w:type="dxa"/>
            <w:tcMar>
              <w:left w:w="28" w:type="dxa"/>
              <w:right w:w="28" w:type="dxa"/>
            </w:tcMar>
            <w:vAlign w:val="center"/>
          </w:tcPr>
          <w:p w14:paraId="3857CF47" w14:textId="10353EB7" w:rsidR="008D44BB" w:rsidRPr="000160C3" w:rsidRDefault="008D44BB" w:rsidP="001C47F4">
            <w:pPr>
              <w:ind w:right="169"/>
              <w:rPr>
                <w:rFonts w:ascii="Arial Narrow" w:hAnsi="Arial Narrow" w:cs="Calibri"/>
                <w:sz w:val="20"/>
                <w:szCs w:val="20"/>
              </w:rPr>
            </w:pPr>
            <w:r w:rsidRPr="000160C3">
              <w:rPr>
                <w:rFonts w:ascii="Arial Narrow" w:hAnsi="Arial Narrow" w:cs="Calibri"/>
                <w:sz w:val="20"/>
                <w:szCs w:val="20"/>
              </w:rPr>
              <w:t>Primary Analysis Clinical Study Report. Data Cutoff Date 07 September 2021.A Phase 1/2, First</w:t>
            </w:r>
            <w:r w:rsidR="00EC1990">
              <w:rPr>
                <w:rFonts w:ascii="Arial Narrow" w:hAnsi="Arial Narrow" w:cs="Calibri"/>
                <w:sz w:val="20"/>
                <w:szCs w:val="20"/>
              </w:rPr>
              <w:noBreakHyphen/>
            </w:r>
            <w:r w:rsidRPr="000160C3">
              <w:rPr>
                <w:rFonts w:ascii="Arial Narrow" w:hAnsi="Arial Narrow" w:cs="Calibri"/>
                <w:sz w:val="20"/>
                <w:szCs w:val="20"/>
              </w:rPr>
              <w:t>in</w:t>
            </w:r>
            <w:r w:rsidR="00EC1990">
              <w:rPr>
                <w:rFonts w:ascii="Arial Narrow" w:hAnsi="Arial Narrow" w:cs="Calibri"/>
                <w:sz w:val="20"/>
                <w:szCs w:val="20"/>
              </w:rPr>
              <w:noBreakHyphen/>
            </w:r>
            <w:r w:rsidRPr="000160C3">
              <w:rPr>
                <w:rFonts w:ascii="Arial Narrow" w:hAnsi="Arial Narrow" w:cs="Calibri"/>
                <w:sz w:val="20"/>
                <w:szCs w:val="20"/>
              </w:rPr>
              <w:t>Human, Open</w:t>
            </w:r>
            <w:r w:rsidR="00EC1990">
              <w:rPr>
                <w:rFonts w:ascii="Arial Narrow" w:hAnsi="Arial Narrow" w:cs="Calibri"/>
                <w:sz w:val="20"/>
                <w:szCs w:val="20"/>
              </w:rPr>
              <w:noBreakHyphen/>
            </w:r>
            <w:r w:rsidRPr="000160C3">
              <w:rPr>
                <w:rFonts w:ascii="Arial Narrow" w:hAnsi="Arial Narrow" w:cs="Calibri"/>
                <w:sz w:val="20"/>
                <w:szCs w:val="20"/>
              </w:rPr>
              <w:t>Label, Dose Escalation Study of Teclistamab, a Humanized BCMA x CD3 Bispecific Antibody, in Subjects with Relapsed or Refractory Multiple Myeloma. MajesTEC</w:t>
            </w:r>
            <w:r w:rsidR="00EC1990">
              <w:rPr>
                <w:rFonts w:ascii="Arial Narrow" w:hAnsi="Arial Narrow" w:cs="Calibri"/>
                <w:sz w:val="20"/>
                <w:szCs w:val="20"/>
              </w:rPr>
              <w:noBreakHyphen/>
            </w:r>
            <w:r w:rsidRPr="000160C3">
              <w:rPr>
                <w:rFonts w:ascii="Arial Narrow" w:hAnsi="Arial Narrow" w:cs="Calibri"/>
                <w:sz w:val="20"/>
                <w:szCs w:val="20"/>
              </w:rPr>
              <w:t>1.</w:t>
            </w:r>
          </w:p>
        </w:tc>
        <w:tc>
          <w:tcPr>
            <w:tcW w:w="2350" w:type="dxa"/>
            <w:tcMar>
              <w:left w:w="28" w:type="dxa"/>
              <w:right w:w="28" w:type="dxa"/>
            </w:tcMar>
            <w:vAlign w:val="center"/>
          </w:tcPr>
          <w:p w14:paraId="1BB7B0EF" w14:textId="60FDA9B9" w:rsidR="008D44BB" w:rsidRPr="000160C3" w:rsidRDefault="008D44BB" w:rsidP="001C47F4">
            <w:pPr>
              <w:rPr>
                <w:rFonts w:ascii="Arial Narrow" w:hAnsi="Arial Narrow" w:cs="Calibri"/>
                <w:sz w:val="20"/>
                <w:szCs w:val="20"/>
              </w:rPr>
            </w:pPr>
            <w:r w:rsidRPr="000160C3">
              <w:rPr>
                <w:rFonts w:ascii="Arial Narrow" w:hAnsi="Arial Narrow" w:cs="Calibri"/>
                <w:sz w:val="20"/>
                <w:szCs w:val="20"/>
              </w:rPr>
              <w:t>6 December 2021</w:t>
            </w:r>
          </w:p>
        </w:tc>
      </w:tr>
      <w:tr w:rsidR="00521900" w:rsidRPr="000160C3" w14:paraId="033A294E" w14:textId="77777777" w:rsidTr="00CF4C8F">
        <w:trPr>
          <w:cantSplit/>
        </w:trPr>
        <w:tc>
          <w:tcPr>
            <w:tcW w:w="1276" w:type="dxa"/>
            <w:vMerge/>
            <w:tcMar>
              <w:left w:w="28" w:type="dxa"/>
              <w:right w:w="28" w:type="dxa"/>
            </w:tcMar>
            <w:vAlign w:val="center"/>
          </w:tcPr>
          <w:p w14:paraId="162957A4" w14:textId="77777777" w:rsidR="00521900" w:rsidRPr="000160C3" w:rsidRDefault="00521900" w:rsidP="001C47F4">
            <w:pPr>
              <w:rPr>
                <w:rFonts w:ascii="Arial Narrow" w:hAnsi="Arial Narrow" w:cs="Calibri"/>
                <w:sz w:val="20"/>
                <w:szCs w:val="20"/>
              </w:rPr>
            </w:pPr>
          </w:p>
        </w:tc>
        <w:tc>
          <w:tcPr>
            <w:tcW w:w="5446" w:type="dxa"/>
            <w:tcMar>
              <w:left w:w="28" w:type="dxa"/>
              <w:right w:w="28" w:type="dxa"/>
            </w:tcMar>
            <w:vAlign w:val="center"/>
          </w:tcPr>
          <w:p w14:paraId="4B13DD68" w14:textId="77777777" w:rsidR="00521900" w:rsidRPr="000160C3" w:rsidRDefault="00521900" w:rsidP="001C47F4">
            <w:pPr>
              <w:ind w:right="169"/>
              <w:rPr>
                <w:rFonts w:ascii="Arial Narrow" w:hAnsi="Arial Narrow" w:cs="Calibri"/>
                <w:sz w:val="20"/>
                <w:szCs w:val="20"/>
              </w:rPr>
            </w:pPr>
            <w:r w:rsidRPr="000160C3">
              <w:rPr>
                <w:rFonts w:ascii="Arial Narrow" w:hAnsi="Arial Narrow" w:cs="Calibri"/>
                <w:sz w:val="20"/>
                <w:szCs w:val="20"/>
              </w:rPr>
              <w:t>Ad Hoc Analysis for Publication. Data Cutoff Date 16 March 2022.</w:t>
            </w:r>
          </w:p>
          <w:p w14:paraId="5421CCC6" w14:textId="3ADB05D6" w:rsidR="00521900" w:rsidRPr="000160C3" w:rsidRDefault="00521900" w:rsidP="001C47F4">
            <w:pPr>
              <w:ind w:right="169"/>
              <w:rPr>
                <w:rFonts w:ascii="Arial Narrow" w:hAnsi="Arial Narrow" w:cs="Calibri"/>
                <w:sz w:val="20"/>
                <w:szCs w:val="20"/>
              </w:rPr>
            </w:pPr>
            <w:r w:rsidRPr="000160C3">
              <w:rPr>
                <w:rFonts w:ascii="Arial Narrow" w:hAnsi="Arial Narrow" w:cs="Calibri"/>
                <w:sz w:val="20"/>
                <w:szCs w:val="20"/>
              </w:rPr>
              <w:t>TECVAYLI ®. JNJ</w:t>
            </w:r>
            <w:r w:rsidR="00EC1990">
              <w:rPr>
                <w:rFonts w:ascii="Arial Narrow" w:hAnsi="Arial Narrow" w:cs="Calibri"/>
                <w:sz w:val="20"/>
                <w:szCs w:val="20"/>
              </w:rPr>
              <w:noBreakHyphen/>
            </w:r>
            <w:r w:rsidRPr="000160C3">
              <w:rPr>
                <w:rFonts w:ascii="Arial Narrow" w:hAnsi="Arial Narrow" w:cs="Calibri"/>
                <w:sz w:val="20"/>
                <w:szCs w:val="20"/>
              </w:rPr>
              <w:t>64007957 (teclistamab)</w:t>
            </w:r>
          </w:p>
        </w:tc>
        <w:tc>
          <w:tcPr>
            <w:tcW w:w="2350" w:type="dxa"/>
            <w:tcMar>
              <w:left w:w="28" w:type="dxa"/>
              <w:right w:w="28" w:type="dxa"/>
            </w:tcMar>
            <w:vAlign w:val="center"/>
          </w:tcPr>
          <w:p w14:paraId="2FB9BAA5" w14:textId="77777777" w:rsidR="00521900" w:rsidRPr="000160C3" w:rsidRDefault="00521900" w:rsidP="001C47F4">
            <w:pPr>
              <w:rPr>
                <w:rFonts w:ascii="Arial Narrow" w:hAnsi="Arial Narrow" w:cs="Calibri"/>
                <w:sz w:val="20"/>
                <w:szCs w:val="20"/>
              </w:rPr>
            </w:pPr>
            <w:r w:rsidRPr="000160C3">
              <w:rPr>
                <w:rFonts w:ascii="Arial Narrow" w:hAnsi="Arial Narrow" w:cs="Calibri"/>
                <w:sz w:val="20"/>
                <w:szCs w:val="20"/>
              </w:rPr>
              <w:t>7 July 2022</w:t>
            </w:r>
          </w:p>
        </w:tc>
      </w:tr>
      <w:tr w:rsidR="00521900" w:rsidRPr="000160C3" w14:paraId="0D171447" w14:textId="77777777" w:rsidTr="00CF4C8F">
        <w:trPr>
          <w:cantSplit/>
        </w:trPr>
        <w:tc>
          <w:tcPr>
            <w:tcW w:w="1276" w:type="dxa"/>
            <w:vMerge/>
            <w:tcMar>
              <w:left w:w="28" w:type="dxa"/>
              <w:right w:w="28" w:type="dxa"/>
            </w:tcMar>
            <w:vAlign w:val="center"/>
          </w:tcPr>
          <w:p w14:paraId="694F553F" w14:textId="77777777" w:rsidR="00521900" w:rsidRPr="000160C3" w:rsidRDefault="00521900" w:rsidP="001C47F4">
            <w:pPr>
              <w:rPr>
                <w:rFonts w:ascii="Arial Narrow" w:hAnsi="Arial Narrow" w:cs="Calibri"/>
                <w:sz w:val="20"/>
                <w:szCs w:val="20"/>
              </w:rPr>
            </w:pPr>
          </w:p>
        </w:tc>
        <w:tc>
          <w:tcPr>
            <w:tcW w:w="5446" w:type="dxa"/>
            <w:tcMar>
              <w:left w:w="28" w:type="dxa"/>
              <w:right w:w="28" w:type="dxa"/>
            </w:tcMar>
            <w:vAlign w:val="center"/>
          </w:tcPr>
          <w:p w14:paraId="23864FC5" w14:textId="0AB6748B" w:rsidR="00521900" w:rsidRPr="000160C3" w:rsidRDefault="00521900" w:rsidP="001C47F4">
            <w:pPr>
              <w:ind w:right="169"/>
              <w:rPr>
                <w:rFonts w:ascii="Arial Narrow" w:hAnsi="Arial Narrow" w:cs="Calibri"/>
                <w:sz w:val="20"/>
                <w:szCs w:val="20"/>
              </w:rPr>
            </w:pPr>
            <w:r w:rsidRPr="000160C3">
              <w:rPr>
                <w:rFonts w:ascii="Arial Narrow" w:hAnsi="Arial Narrow" w:cs="Calibri"/>
                <w:sz w:val="20"/>
                <w:szCs w:val="20"/>
              </w:rPr>
              <w:t>Clinical Study Report (2</w:t>
            </w:r>
            <w:r w:rsidR="00EC1990">
              <w:rPr>
                <w:rFonts w:ascii="Arial Narrow" w:hAnsi="Arial Narrow" w:cs="Calibri"/>
                <w:sz w:val="20"/>
                <w:szCs w:val="20"/>
              </w:rPr>
              <w:noBreakHyphen/>
            </w:r>
            <w:r w:rsidRPr="000160C3">
              <w:rPr>
                <w:rFonts w:ascii="Arial Narrow" w:hAnsi="Arial Narrow" w:cs="Calibri"/>
                <w:sz w:val="20"/>
                <w:szCs w:val="20"/>
              </w:rPr>
              <w:t>year Follow</w:t>
            </w:r>
            <w:r w:rsidR="00EC1990">
              <w:rPr>
                <w:rFonts w:ascii="Arial Narrow" w:hAnsi="Arial Narrow" w:cs="Calibri"/>
                <w:sz w:val="20"/>
                <w:szCs w:val="20"/>
              </w:rPr>
              <w:noBreakHyphen/>
            </w:r>
            <w:r w:rsidRPr="000160C3">
              <w:rPr>
                <w:rFonts w:ascii="Arial Narrow" w:hAnsi="Arial Narrow" w:cs="Calibri"/>
                <w:sz w:val="20"/>
                <w:szCs w:val="20"/>
              </w:rPr>
              <w:t>up Analysis for the Pivotal RP2D Population). Data Cutoff Date 22 August 2023.</w:t>
            </w:r>
          </w:p>
          <w:p w14:paraId="72AF0909" w14:textId="7DD4810F" w:rsidR="00521900" w:rsidRPr="000160C3" w:rsidRDefault="00521900" w:rsidP="001C47F4">
            <w:pPr>
              <w:ind w:right="169"/>
              <w:rPr>
                <w:rFonts w:ascii="Arial Narrow" w:hAnsi="Arial Narrow" w:cs="Calibri"/>
                <w:sz w:val="20"/>
                <w:szCs w:val="20"/>
              </w:rPr>
            </w:pPr>
            <w:r w:rsidRPr="000160C3">
              <w:rPr>
                <w:rFonts w:ascii="Arial Narrow" w:hAnsi="Arial Narrow" w:cs="Calibri"/>
                <w:sz w:val="20"/>
                <w:szCs w:val="20"/>
              </w:rPr>
              <w:t>A Phase 1/2, First</w:t>
            </w:r>
            <w:r w:rsidR="00EC1990">
              <w:rPr>
                <w:rFonts w:ascii="Arial Narrow" w:hAnsi="Arial Narrow" w:cs="Calibri"/>
                <w:sz w:val="20"/>
                <w:szCs w:val="20"/>
              </w:rPr>
              <w:noBreakHyphen/>
            </w:r>
            <w:r w:rsidRPr="000160C3">
              <w:rPr>
                <w:rFonts w:ascii="Arial Narrow" w:hAnsi="Arial Narrow" w:cs="Calibri"/>
                <w:sz w:val="20"/>
                <w:szCs w:val="20"/>
              </w:rPr>
              <w:t>in</w:t>
            </w:r>
            <w:r w:rsidR="00EC1990">
              <w:rPr>
                <w:rFonts w:ascii="Arial Narrow" w:hAnsi="Arial Narrow" w:cs="Calibri"/>
                <w:sz w:val="20"/>
                <w:szCs w:val="20"/>
              </w:rPr>
              <w:noBreakHyphen/>
            </w:r>
            <w:r w:rsidRPr="000160C3">
              <w:rPr>
                <w:rFonts w:ascii="Arial Narrow" w:hAnsi="Arial Narrow" w:cs="Calibri"/>
                <w:sz w:val="20"/>
                <w:szCs w:val="20"/>
              </w:rPr>
              <w:t>Human, Open</w:t>
            </w:r>
            <w:r w:rsidR="00EC1990">
              <w:rPr>
                <w:rFonts w:ascii="Arial Narrow" w:hAnsi="Arial Narrow" w:cs="Calibri"/>
                <w:sz w:val="20"/>
                <w:szCs w:val="20"/>
              </w:rPr>
              <w:noBreakHyphen/>
            </w:r>
            <w:r w:rsidRPr="000160C3">
              <w:rPr>
                <w:rFonts w:ascii="Arial Narrow" w:hAnsi="Arial Narrow" w:cs="Calibri"/>
                <w:sz w:val="20"/>
                <w:szCs w:val="20"/>
              </w:rPr>
              <w:t>Label, Dose Escalation Study of Teclistamab, a Humanized BCMA x CD3 Bispecific Antibody, in Subjects with Relapsed or Refractory Multiple Myeloma. MajesTEC</w:t>
            </w:r>
            <w:r w:rsidR="00EC1990">
              <w:rPr>
                <w:rFonts w:ascii="Arial Narrow" w:hAnsi="Arial Narrow" w:cs="Calibri"/>
                <w:sz w:val="20"/>
                <w:szCs w:val="20"/>
              </w:rPr>
              <w:noBreakHyphen/>
            </w:r>
            <w:r w:rsidRPr="000160C3">
              <w:rPr>
                <w:rFonts w:ascii="Arial Narrow" w:hAnsi="Arial Narrow" w:cs="Calibri"/>
                <w:sz w:val="20"/>
                <w:szCs w:val="20"/>
              </w:rPr>
              <w:t>1.</w:t>
            </w:r>
          </w:p>
        </w:tc>
        <w:tc>
          <w:tcPr>
            <w:tcW w:w="2350" w:type="dxa"/>
            <w:tcMar>
              <w:left w:w="28" w:type="dxa"/>
              <w:right w:w="28" w:type="dxa"/>
            </w:tcMar>
            <w:vAlign w:val="center"/>
          </w:tcPr>
          <w:p w14:paraId="3FFAA19F" w14:textId="77777777" w:rsidR="00521900" w:rsidRPr="000160C3" w:rsidRDefault="00521900" w:rsidP="001C47F4">
            <w:pPr>
              <w:rPr>
                <w:rFonts w:ascii="Arial Narrow" w:hAnsi="Arial Narrow" w:cs="Calibri"/>
                <w:sz w:val="20"/>
                <w:szCs w:val="20"/>
              </w:rPr>
            </w:pPr>
            <w:r w:rsidRPr="000160C3">
              <w:rPr>
                <w:rFonts w:ascii="Arial Narrow" w:hAnsi="Arial Narrow" w:cs="Calibri"/>
                <w:sz w:val="20"/>
                <w:szCs w:val="20"/>
              </w:rPr>
              <w:t>29 January 2024</w:t>
            </w:r>
          </w:p>
        </w:tc>
      </w:tr>
      <w:tr w:rsidR="00521900" w:rsidRPr="000160C3" w14:paraId="46B99B75" w14:textId="77777777" w:rsidTr="00CF4C8F">
        <w:trPr>
          <w:cantSplit/>
        </w:trPr>
        <w:tc>
          <w:tcPr>
            <w:tcW w:w="1276" w:type="dxa"/>
            <w:vMerge/>
            <w:tcMar>
              <w:left w:w="28" w:type="dxa"/>
              <w:right w:w="28" w:type="dxa"/>
            </w:tcMar>
            <w:vAlign w:val="center"/>
          </w:tcPr>
          <w:p w14:paraId="49718E28" w14:textId="77777777" w:rsidR="00521900" w:rsidRPr="000160C3" w:rsidRDefault="00521900" w:rsidP="001C47F4">
            <w:pPr>
              <w:rPr>
                <w:rFonts w:ascii="Arial Narrow" w:hAnsi="Arial Narrow" w:cs="Calibri"/>
                <w:sz w:val="20"/>
                <w:szCs w:val="20"/>
              </w:rPr>
            </w:pPr>
          </w:p>
        </w:tc>
        <w:tc>
          <w:tcPr>
            <w:tcW w:w="5446" w:type="dxa"/>
            <w:tcMar>
              <w:left w:w="28" w:type="dxa"/>
              <w:right w:w="28" w:type="dxa"/>
            </w:tcMar>
            <w:vAlign w:val="center"/>
          </w:tcPr>
          <w:p w14:paraId="24676E5F" w14:textId="77777777" w:rsidR="00521900" w:rsidRPr="000160C3" w:rsidRDefault="00521900" w:rsidP="001C47F4">
            <w:pPr>
              <w:ind w:right="169"/>
              <w:rPr>
                <w:rFonts w:ascii="Arial Narrow" w:hAnsi="Arial Narrow" w:cs="Calibri"/>
                <w:sz w:val="20"/>
                <w:szCs w:val="20"/>
              </w:rPr>
            </w:pPr>
            <w:r w:rsidRPr="000160C3">
              <w:rPr>
                <w:rFonts w:ascii="Arial Narrow" w:hAnsi="Arial Narrow" w:cs="Calibri"/>
                <w:sz w:val="20"/>
                <w:szCs w:val="20"/>
              </w:rPr>
              <w:t>Primary Analysis Clinical Study Report for China Cohort. Data Cutoff Date 27 March 2023.</w:t>
            </w:r>
          </w:p>
          <w:p w14:paraId="2F02042F" w14:textId="17AAB596" w:rsidR="00521900" w:rsidRPr="000160C3" w:rsidRDefault="00521900" w:rsidP="001C47F4">
            <w:pPr>
              <w:ind w:right="169"/>
              <w:rPr>
                <w:rFonts w:ascii="Arial Narrow" w:hAnsi="Arial Narrow" w:cs="Calibri"/>
                <w:sz w:val="20"/>
                <w:szCs w:val="20"/>
              </w:rPr>
            </w:pPr>
            <w:r w:rsidRPr="000160C3">
              <w:rPr>
                <w:rFonts w:ascii="Arial Narrow" w:hAnsi="Arial Narrow" w:cs="Calibri"/>
                <w:sz w:val="20"/>
                <w:szCs w:val="20"/>
              </w:rPr>
              <w:t>A Phase 1/2, First</w:t>
            </w:r>
            <w:r w:rsidR="00EC1990">
              <w:rPr>
                <w:rFonts w:ascii="Arial Narrow" w:hAnsi="Arial Narrow" w:cs="Calibri"/>
                <w:sz w:val="20"/>
                <w:szCs w:val="20"/>
              </w:rPr>
              <w:noBreakHyphen/>
            </w:r>
            <w:r w:rsidRPr="000160C3">
              <w:rPr>
                <w:rFonts w:ascii="Arial Narrow" w:hAnsi="Arial Narrow" w:cs="Calibri"/>
                <w:sz w:val="20"/>
                <w:szCs w:val="20"/>
              </w:rPr>
              <w:t>in</w:t>
            </w:r>
            <w:r w:rsidR="00EC1990">
              <w:rPr>
                <w:rFonts w:ascii="Arial Narrow" w:hAnsi="Arial Narrow" w:cs="Calibri"/>
                <w:sz w:val="20"/>
                <w:szCs w:val="20"/>
              </w:rPr>
              <w:noBreakHyphen/>
            </w:r>
            <w:r w:rsidRPr="000160C3">
              <w:rPr>
                <w:rFonts w:ascii="Arial Narrow" w:hAnsi="Arial Narrow" w:cs="Calibri"/>
                <w:sz w:val="20"/>
                <w:szCs w:val="20"/>
              </w:rPr>
              <w:t>Human, Open</w:t>
            </w:r>
            <w:r w:rsidR="00EC1990">
              <w:rPr>
                <w:rFonts w:ascii="Arial Narrow" w:hAnsi="Arial Narrow" w:cs="Calibri"/>
                <w:sz w:val="20"/>
                <w:szCs w:val="20"/>
              </w:rPr>
              <w:noBreakHyphen/>
            </w:r>
            <w:r w:rsidRPr="000160C3">
              <w:rPr>
                <w:rFonts w:ascii="Arial Narrow" w:hAnsi="Arial Narrow" w:cs="Calibri"/>
                <w:sz w:val="20"/>
                <w:szCs w:val="20"/>
              </w:rPr>
              <w:t>Label, Dose Escalation Study of Teclistamab, a Humanized BCMA x CD3 Bispecific Antibody, in Subjects with Relapsed or Refractory Multiple Myeloma. MajesTEC</w:t>
            </w:r>
            <w:r w:rsidR="00EC1990">
              <w:rPr>
                <w:rFonts w:ascii="Arial Narrow" w:hAnsi="Arial Narrow" w:cs="Calibri"/>
                <w:sz w:val="20"/>
                <w:szCs w:val="20"/>
              </w:rPr>
              <w:noBreakHyphen/>
            </w:r>
            <w:r w:rsidRPr="000160C3">
              <w:rPr>
                <w:rFonts w:ascii="Arial Narrow" w:hAnsi="Arial Narrow" w:cs="Calibri"/>
                <w:sz w:val="20"/>
                <w:szCs w:val="20"/>
              </w:rPr>
              <w:t>1.</w:t>
            </w:r>
          </w:p>
        </w:tc>
        <w:tc>
          <w:tcPr>
            <w:tcW w:w="2350" w:type="dxa"/>
            <w:tcMar>
              <w:left w:w="28" w:type="dxa"/>
              <w:right w:w="28" w:type="dxa"/>
            </w:tcMar>
            <w:vAlign w:val="center"/>
          </w:tcPr>
          <w:p w14:paraId="7B675876" w14:textId="77777777" w:rsidR="00521900" w:rsidRPr="000160C3" w:rsidRDefault="00521900" w:rsidP="001C47F4">
            <w:pPr>
              <w:rPr>
                <w:rFonts w:ascii="Arial Narrow" w:hAnsi="Arial Narrow" w:cs="Calibri"/>
                <w:sz w:val="20"/>
                <w:szCs w:val="20"/>
              </w:rPr>
            </w:pPr>
            <w:r w:rsidRPr="000160C3">
              <w:rPr>
                <w:rFonts w:ascii="Arial Narrow" w:hAnsi="Arial Narrow" w:cs="Calibri"/>
                <w:sz w:val="20"/>
                <w:szCs w:val="20"/>
              </w:rPr>
              <w:t>25 July 2023</w:t>
            </w:r>
          </w:p>
        </w:tc>
      </w:tr>
      <w:tr w:rsidR="00521900" w:rsidRPr="000160C3" w14:paraId="783E562B" w14:textId="77777777" w:rsidTr="00CF4C8F">
        <w:trPr>
          <w:cantSplit/>
        </w:trPr>
        <w:tc>
          <w:tcPr>
            <w:tcW w:w="1276" w:type="dxa"/>
            <w:vMerge/>
            <w:tcMar>
              <w:left w:w="28" w:type="dxa"/>
              <w:right w:w="28" w:type="dxa"/>
            </w:tcMar>
            <w:vAlign w:val="center"/>
          </w:tcPr>
          <w:p w14:paraId="598DA341" w14:textId="77777777" w:rsidR="00521900" w:rsidRPr="000160C3" w:rsidRDefault="00521900" w:rsidP="001C47F4">
            <w:pPr>
              <w:rPr>
                <w:rFonts w:ascii="Arial Narrow" w:hAnsi="Arial Narrow" w:cs="Calibri"/>
                <w:sz w:val="20"/>
                <w:szCs w:val="20"/>
              </w:rPr>
            </w:pPr>
          </w:p>
        </w:tc>
        <w:tc>
          <w:tcPr>
            <w:tcW w:w="5446" w:type="dxa"/>
            <w:tcMar>
              <w:left w:w="28" w:type="dxa"/>
              <w:right w:w="28" w:type="dxa"/>
            </w:tcMar>
            <w:vAlign w:val="center"/>
          </w:tcPr>
          <w:p w14:paraId="29BCE6F5" w14:textId="59ECFB8D" w:rsidR="00521900" w:rsidRPr="000160C3" w:rsidRDefault="00521900" w:rsidP="001C47F4">
            <w:pPr>
              <w:ind w:right="169"/>
              <w:rPr>
                <w:rFonts w:ascii="Arial Narrow" w:hAnsi="Arial Narrow" w:cs="Calibri"/>
                <w:sz w:val="20"/>
                <w:szCs w:val="20"/>
              </w:rPr>
            </w:pPr>
            <w:r w:rsidRPr="000160C3">
              <w:rPr>
                <w:rFonts w:ascii="Arial Narrow" w:hAnsi="Arial Narrow" w:cs="Calibri"/>
                <w:sz w:val="20"/>
                <w:szCs w:val="20"/>
              </w:rPr>
              <w:t>Final Clinical Study Report for China Cohort (2</w:t>
            </w:r>
            <w:r w:rsidR="00EC1990">
              <w:rPr>
                <w:rFonts w:ascii="Arial Narrow" w:hAnsi="Arial Narrow" w:cs="Calibri"/>
                <w:sz w:val="20"/>
                <w:szCs w:val="20"/>
              </w:rPr>
              <w:noBreakHyphen/>
            </w:r>
            <w:r w:rsidRPr="000160C3">
              <w:rPr>
                <w:rFonts w:ascii="Arial Narrow" w:hAnsi="Arial Narrow" w:cs="Calibri"/>
                <w:sz w:val="20"/>
                <w:szCs w:val="20"/>
              </w:rPr>
              <w:t>year follow</w:t>
            </w:r>
            <w:r w:rsidR="00EC1990">
              <w:rPr>
                <w:rFonts w:ascii="Arial Narrow" w:hAnsi="Arial Narrow" w:cs="Calibri"/>
                <w:sz w:val="20"/>
                <w:szCs w:val="20"/>
              </w:rPr>
              <w:noBreakHyphen/>
            </w:r>
            <w:r w:rsidRPr="000160C3">
              <w:rPr>
                <w:rFonts w:ascii="Arial Narrow" w:hAnsi="Arial Narrow" w:cs="Calibri"/>
                <w:sz w:val="20"/>
                <w:szCs w:val="20"/>
              </w:rPr>
              <w:t>up analysis for China Cohort). Data Cutoff Date 27 September 2024.</w:t>
            </w:r>
          </w:p>
          <w:p w14:paraId="4EF4FF86" w14:textId="493D28E7" w:rsidR="00521900" w:rsidRPr="000160C3" w:rsidRDefault="00521900" w:rsidP="001C47F4">
            <w:pPr>
              <w:ind w:right="169"/>
              <w:rPr>
                <w:rFonts w:ascii="Arial Narrow" w:hAnsi="Arial Narrow" w:cs="Calibri"/>
                <w:sz w:val="20"/>
                <w:szCs w:val="20"/>
              </w:rPr>
            </w:pPr>
            <w:r w:rsidRPr="000160C3">
              <w:rPr>
                <w:rFonts w:ascii="Arial Narrow" w:hAnsi="Arial Narrow" w:cs="Calibri"/>
                <w:sz w:val="20"/>
                <w:szCs w:val="20"/>
              </w:rPr>
              <w:t>A Phase 1/2, First</w:t>
            </w:r>
            <w:r w:rsidR="00EC1990">
              <w:rPr>
                <w:rFonts w:ascii="Arial Narrow" w:hAnsi="Arial Narrow" w:cs="Calibri"/>
                <w:sz w:val="20"/>
                <w:szCs w:val="20"/>
              </w:rPr>
              <w:noBreakHyphen/>
            </w:r>
            <w:r w:rsidRPr="000160C3">
              <w:rPr>
                <w:rFonts w:ascii="Arial Narrow" w:hAnsi="Arial Narrow" w:cs="Calibri"/>
                <w:sz w:val="20"/>
                <w:szCs w:val="20"/>
              </w:rPr>
              <w:t>in</w:t>
            </w:r>
            <w:r w:rsidR="00EC1990">
              <w:rPr>
                <w:rFonts w:ascii="Arial Narrow" w:hAnsi="Arial Narrow" w:cs="Calibri"/>
                <w:sz w:val="20"/>
                <w:szCs w:val="20"/>
              </w:rPr>
              <w:noBreakHyphen/>
            </w:r>
            <w:r w:rsidRPr="000160C3">
              <w:rPr>
                <w:rFonts w:ascii="Arial Narrow" w:hAnsi="Arial Narrow" w:cs="Calibri"/>
                <w:sz w:val="20"/>
                <w:szCs w:val="20"/>
              </w:rPr>
              <w:t>Human, Open</w:t>
            </w:r>
            <w:r w:rsidR="00EC1990">
              <w:rPr>
                <w:rFonts w:ascii="Arial Narrow" w:hAnsi="Arial Narrow" w:cs="Calibri"/>
                <w:sz w:val="20"/>
                <w:szCs w:val="20"/>
              </w:rPr>
              <w:noBreakHyphen/>
            </w:r>
            <w:r w:rsidRPr="000160C3">
              <w:rPr>
                <w:rFonts w:ascii="Arial Narrow" w:hAnsi="Arial Narrow" w:cs="Calibri"/>
                <w:sz w:val="20"/>
                <w:szCs w:val="20"/>
              </w:rPr>
              <w:t>Label, Dose Escalation Study of Teclistamab, a Humanized BCMA x CD3 Bispecific Antibody, in Subjects with Relapsed or Refractory Multiple Myeloma. MajesTEC</w:t>
            </w:r>
            <w:r w:rsidR="00EC1990">
              <w:rPr>
                <w:rFonts w:ascii="Arial Narrow" w:hAnsi="Arial Narrow" w:cs="Calibri"/>
                <w:sz w:val="20"/>
                <w:szCs w:val="20"/>
              </w:rPr>
              <w:noBreakHyphen/>
            </w:r>
            <w:r w:rsidRPr="000160C3">
              <w:rPr>
                <w:rFonts w:ascii="Arial Narrow" w:hAnsi="Arial Narrow" w:cs="Calibri"/>
                <w:sz w:val="20"/>
                <w:szCs w:val="20"/>
              </w:rPr>
              <w:t>1.</w:t>
            </w:r>
          </w:p>
        </w:tc>
        <w:tc>
          <w:tcPr>
            <w:tcW w:w="2350" w:type="dxa"/>
            <w:tcMar>
              <w:left w:w="28" w:type="dxa"/>
              <w:right w:w="28" w:type="dxa"/>
            </w:tcMar>
            <w:vAlign w:val="center"/>
          </w:tcPr>
          <w:p w14:paraId="27FB8C33" w14:textId="77777777" w:rsidR="00521900" w:rsidRPr="000160C3" w:rsidRDefault="00521900" w:rsidP="001C47F4">
            <w:pPr>
              <w:jc w:val="left"/>
              <w:rPr>
                <w:rFonts w:ascii="Arial Narrow" w:hAnsi="Arial Narrow" w:cs="Calibri"/>
                <w:sz w:val="20"/>
                <w:szCs w:val="20"/>
              </w:rPr>
            </w:pPr>
            <w:r w:rsidRPr="000160C3">
              <w:rPr>
                <w:rFonts w:ascii="Arial Narrow" w:hAnsi="Arial Narrow" w:cs="Calibri"/>
                <w:sz w:val="20"/>
                <w:szCs w:val="20"/>
              </w:rPr>
              <w:t xml:space="preserve">23 April 2025 </w:t>
            </w:r>
          </w:p>
        </w:tc>
      </w:tr>
      <w:tr w:rsidR="00521900" w:rsidRPr="000160C3" w14:paraId="3928CAC7" w14:textId="77777777" w:rsidTr="00CF4C8F">
        <w:trPr>
          <w:cantSplit/>
        </w:trPr>
        <w:tc>
          <w:tcPr>
            <w:tcW w:w="1276" w:type="dxa"/>
            <w:vMerge/>
            <w:tcMar>
              <w:left w:w="28" w:type="dxa"/>
              <w:right w:w="28" w:type="dxa"/>
            </w:tcMar>
            <w:vAlign w:val="center"/>
          </w:tcPr>
          <w:p w14:paraId="0A7CA111" w14:textId="77777777" w:rsidR="00521900" w:rsidRPr="000160C3" w:rsidRDefault="00521900" w:rsidP="001C47F4">
            <w:pPr>
              <w:rPr>
                <w:rFonts w:ascii="Arial Narrow" w:hAnsi="Arial Narrow" w:cs="Calibri"/>
                <w:sz w:val="20"/>
                <w:szCs w:val="20"/>
              </w:rPr>
            </w:pPr>
          </w:p>
        </w:tc>
        <w:tc>
          <w:tcPr>
            <w:tcW w:w="5446" w:type="dxa"/>
            <w:tcMar>
              <w:left w:w="28" w:type="dxa"/>
              <w:right w:w="28" w:type="dxa"/>
            </w:tcMar>
            <w:vAlign w:val="center"/>
          </w:tcPr>
          <w:p w14:paraId="6A3BBCCD" w14:textId="77777777" w:rsidR="00521900" w:rsidRPr="000160C3" w:rsidRDefault="00521900" w:rsidP="001C47F4">
            <w:pPr>
              <w:ind w:right="169"/>
              <w:rPr>
                <w:rFonts w:ascii="Arial Narrow" w:hAnsi="Arial Narrow" w:cs="Calibri"/>
                <w:sz w:val="20"/>
                <w:szCs w:val="20"/>
              </w:rPr>
            </w:pPr>
            <w:r w:rsidRPr="000160C3">
              <w:rPr>
                <w:rFonts w:ascii="Arial Narrow" w:hAnsi="Arial Narrow" w:cs="Calibri"/>
                <w:sz w:val="20"/>
                <w:szCs w:val="20"/>
              </w:rPr>
              <w:t xml:space="preserve">Moreau, P., </w:t>
            </w:r>
            <w:proofErr w:type="spellStart"/>
            <w:r w:rsidRPr="000160C3">
              <w:rPr>
                <w:rFonts w:ascii="Arial Narrow" w:hAnsi="Arial Narrow" w:cs="Calibri"/>
                <w:sz w:val="20"/>
                <w:szCs w:val="20"/>
              </w:rPr>
              <w:t>Garfall</w:t>
            </w:r>
            <w:proofErr w:type="spellEnd"/>
            <w:r w:rsidRPr="000160C3">
              <w:rPr>
                <w:rFonts w:ascii="Arial Narrow" w:hAnsi="Arial Narrow" w:cs="Calibri"/>
                <w:sz w:val="20"/>
                <w:szCs w:val="20"/>
              </w:rPr>
              <w:t xml:space="preserve"> A.L, et al. Teclistamab in Relapsed or Refractory Multiple Myeloma. </w:t>
            </w:r>
          </w:p>
        </w:tc>
        <w:tc>
          <w:tcPr>
            <w:tcW w:w="2350" w:type="dxa"/>
            <w:tcMar>
              <w:left w:w="28" w:type="dxa"/>
              <w:right w:w="28" w:type="dxa"/>
            </w:tcMar>
            <w:vAlign w:val="center"/>
          </w:tcPr>
          <w:p w14:paraId="10C6E416" w14:textId="0698C769" w:rsidR="00521900" w:rsidRPr="000160C3" w:rsidRDefault="00521900" w:rsidP="001C47F4">
            <w:pPr>
              <w:jc w:val="left"/>
              <w:rPr>
                <w:rFonts w:ascii="Arial Narrow" w:hAnsi="Arial Narrow" w:cs="Calibri"/>
                <w:sz w:val="20"/>
                <w:szCs w:val="20"/>
              </w:rPr>
            </w:pPr>
            <w:r w:rsidRPr="000160C3">
              <w:rPr>
                <w:rFonts w:ascii="Arial Narrow" w:hAnsi="Arial Narrow" w:cs="Calibri"/>
                <w:sz w:val="20"/>
                <w:szCs w:val="20"/>
              </w:rPr>
              <w:t>The New England Journal of Medicine. 2022; 387:495</w:t>
            </w:r>
            <w:r w:rsidR="00EC1990">
              <w:rPr>
                <w:rFonts w:ascii="Arial Narrow" w:hAnsi="Arial Narrow" w:cs="Calibri"/>
                <w:sz w:val="20"/>
                <w:szCs w:val="20"/>
              </w:rPr>
              <w:noBreakHyphen/>
            </w:r>
            <w:r w:rsidRPr="000160C3">
              <w:rPr>
                <w:rFonts w:ascii="Arial Narrow" w:hAnsi="Arial Narrow" w:cs="Calibri"/>
                <w:sz w:val="20"/>
                <w:szCs w:val="20"/>
              </w:rPr>
              <w:t>505</w:t>
            </w:r>
          </w:p>
        </w:tc>
      </w:tr>
      <w:tr w:rsidR="00521900" w:rsidRPr="000160C3" w14:paraId="21DF84BD" w14:textId="77777777" w:rsidTr="00CF4C8F">
        <w:trPr>
          <w:cantSplit/>
        </w:trPr>
        <w:tc>
          <w:tcPr>
            <w:tcW w:w="1276" w:type="dxa"/>
            <w:vMerge/>
            <w:tcMar>
              <w:left w:w="28" w:type="dxa"/>
              <w:right w:w="28" w:type="dxa"/>
            </w:tcMar>
            <w:vAlign w:val="center"/>
          </w:tcPr>
          <w:p w14:paraId="6CF80344" w14:textId="77777777" w:rsidR="00521900" w:rsidRPr="000160C3" w:rsidRDefault="00521900" w:rsidP="001C47F4">
            <w:pPr>
              <w:rPr>
                <w:rFonts w:ascii="Arial Narrow" w:hAnsi="Arial Narrow" w:cs="Calibri"/>
                <w:sz w:val="20"/>
                <w:szCs w:val="20"/>
              </w:rPr>
            </w:pPr>
          </w:p>
        </w:tc>
        <w:tc>
          <w:tcPr>
            <w:tcW w:w="5446" w:type="dxa"/>
            <w:tcMar>
              <w:left w:w="28" w:type="dxa"/>
              <w:right w:w="28" w:type="dxa"/>
            </w:tcMar>
            <w:vAlign w:val="center"/>
          </w:tcPr>
          <w:p w14:paraId="01A232C8" w14:textId="1AC8ADCC" w:rsidR="00521900" w:rsidRPr="000160C3" w:rsidRDefault="00521900" w:rsidP="001C47F4">
            <w:pPr>
              <w:ind w:right="169"/>
              <w:rPr>
                <w:rFonts w:ascii="Arial Narrow" w:hAnsi="Arial Narrow" w:cs="Calibri"/>
                <w:sz w:val="20"/>
                <w:szCs w:val="20"/>
              </w:rPr>
            </w:pPr>
            <w:r w:rsidRPr="000160C3">
              <w:rPr>
                <w:rFonts w:ascii="Arial Narrow" w:hAnsi="Arial Narrow" w:cs="Calibri"/>
                <w:sz w:val="20"/>
                <w:szCs w:val="20"/>
              </w:rPr>
              <w:t>Cai Z., Xia Z., He A.</w:t>
            </w:r>
            <w:r w:rsidR="00EC1990">
              <w:rPr>
                <w:rFonts w:ascii="Arial Narrow" w:hAnsi="Arial Narrow" w:cs="Calibri"/>
                <w:sz w:val="20"/>
                <w:szCs w:val="20"/>
              </w:rPr>
              <w:noBreakHyphen/>
            </w:r>
            <w:r w:rsidRPr="000160C3">
              <w:rPr>
                <w:rFonts w:ascii="Arial Narrow" w:hAnsi="Arial Narrow" w:cs="Calibri"/>
                <w:sz w:val="20"/>
                <w:szCs w:val="20"/>
              </w:rPr>
              <w:t>L., et al Efficacy, safety, and pharmacokinetics of teclistamab in Chinese patients with relapsed/refractory multiple myeloma from the China cohort of MajesTEC</w:t>
            </w:r>
            <w:r w:rsidR="00EC1990">
              <w:rPr>
                <w:rFonts w:ascii="Arial Narrow" w:hAnsi="Arial Narrow" w:cs="Calibri"/>
                <w:sz w:val="20"/>
                <w:szCs w:val="20"/>
              </w:rPr>
              <w:noBreakHyphen/>
            </w:r>
            <w:r w:rsidRPr="000160C3">
              <w:rPr>
                <w:rFonts w:ascii="Arial Narrow" w:hAnsi="Arial Narrow" w:cs="Calibri"/>
                <w:sz w:val="20"/>
                <w:szCs w:val="20"/>
              </w:rPr>
              <w:t xml:space="preserve">1. </w:t>
            </w:r>
          </w:p>
        </w:tc>
        <w:tc>
          <w:tcPr>
            <w:tcW w:w="2350" w:type="dxa"/>
            <w:tcMar>
              <w:left w:w="28" w:type="dxa"/>
              <w:right w:w="28" w:type="dxa"/>
            </w:tcMar>
            <w:vAlign w:val="center"/>
          </w:tcPr>
          <w:p w14:paraId="4682C57F" w14:textId="77777777" w:rsidR="00521900" w:rsidRPr="000160C3" w:rsidRDefault="00521900" w:rsidP="001C47F4">
            <w:pPr>
              <w:jc w:val="left"/>
              <w:rPr>
                <w:rFonts w:ascii="Arial Narrow" w:hAnsi="Arial Narrow" w:cs="Calibri"/>
                <w:sz w:val="20"/>
                <w:szCs w:val="20"/>
              </w:rPr>
            </w:pPr>
            <w:r w:rsidRPr="000160C3">
              <w:rPr>
                <w:rFonts w:ascii="Arial Narrow" w:hAnsi="Arial Narrow" w:cs="Calibri"/>
                <w:sz w:val="20"/>
                <w:szCs w:val="20"/>
              </w:rPr>
              <w:t>Cancer 2025;131(1):no pagination. doi:10.1002/cncr.35665</w:t>
            </w:r>
          </w:p>
        </w:tc>
      </w:tr>
      <w:tr w:rsidR="00521900" w:rsidRPr="000160C3" w14:paraId="16C71447" w14:textId="77777777" w:rsidTr="00CF4C8F">
        <w:trPr>
          <w:cantSplit/>
        </w:trPr>
        <w:tc>
          <w:tcPr>
            <w:tcW w:w="1276" w:type="dxa"/>
            <w:vMerge/>
            <w:tcMar>
              <w:left w:w="28" w:type="dxa"/>
              <w:right w:w="28" w:type="dxa"/>
            </w:tcMar>
            <w:vAlign w:val="center"/>
          </w:tcPr>
          <w:p w14:paraId="16F3FF4F" w14:textId="77777777" w:rsidR="00521900" w:rsidRPr="000160C3" w:rsidRDefault="00521900" w:rsidP="001C47F4">
            <w:pPr>
              <w:rPr>
                <w:rFonts w:ascii="Arial Narrow" w:hAnsi="Arial Narrow" w:cs="Calibri"/>
                <w:sz w:val="20"/>
                <w:szCs w:val="20"/>
              </w:rPr>
            </w:pPr>
          </w:p>
        </w:tc>
        <w:tc>
          <w:tcPr>
            <w:tcW w:w="5446" w:type="dxa"/>
            <w:tcMar>
              <w:left w:w="28" w:type="dxa"/>
              <w:right w:w="28" w:type="dxa"/>
            </w:tcMar>
            <w:vAlign w:val="center"/>
          </w:tcPr>
          <w:p w14:paraId="29963977" w14:textId="28E0AC7A" w:rsidR="00521900" w:rsidRPr="000160C3" w:rsidRDefault="00521900" w:rsidP="001C47F4">
            <w:pPr>
              <w:ind w:right="169"/>
              <w:rPr>
                <w:rFonts w:ascii="Arial Narrow" w:hAnsi="Arial Narrow" w:cs="Calibri"/>
                <w:sz w:val="20"/>
                <w:szCs w:val="20"/>
              </w:rPr>
            </w:pPr>
            <w:proofErr w:type="spellStart"/>
            <w:r w:rsidRPr="000160C3">
              <w:rPr>
                <w:rFonts w:ascii="Arial Narrow" w:hAnsi="Arial Narrow" w:cs="Calibri"/>
                <w:sz w:val="20"/>
                <w:szCs w:val="20"/>
              </w:rPr>
              <w:t>Nooka</w:t>
            </w:r>
            <w:proofErr w:type="spellEnd"/>
            <w:r w:rsidRPr="000160C3">
              <w:rPr>
                <w:rFonts w:ascii="Arial Narrow" w:hAnsi="Arial Narrow" w:cs="Calibri"/>
                <w:sz w:val="20"/>
                <w:szCs w:val="20"/>
              </w:rPr>
              <w:t xml:space="preserve"> A.K., Rodriguez C., Mateos M.V., et al Incidence, timing, and management of infections in patients receiving teclistamab for the treatment of relapsed/refractory multiple myeloma in the MajesTEC</w:t>
            </w:r>
            <w:r w:rsidR="00EC1990">
              <w:rPr>
                <w:rFonts w:ascii="Arial Narrow" w:hAnsi="Arial Narrow" w:cs="Calibri"/>
                <w:sz w:val="20"/>
                <w:szCs w:val="20"/>
              </w:rPr>
              <w:noBreakHyphen/>
            </w:r>
            <w:r w:rsidRPr="000160C3">
              <w:rPr>
                <w:rFonts w:ascii="Arial Narrow" w:hAnsi="Arial Narrow" w:cs="Calibri"/>
                <w:sz w:val="20"/>
                <w:szCs w:val="20"/>
              </w:rPr>
              <w:t xml:space="preserve">1 study. </w:t>
            </w:r>
          </w:p>
        </w:tc>
        <w:tc>
          <w:tcPr>
            <w:tcW w:w="2350" w:type="dxa"/>
            <w:tcMar>
              <w:left w:w="28" w:type="dxa"/>
              <w:right w:w="28" w:type="dxa"/>
            </w:tcMar>
            <w:vAlign w:val="center"/>
          </w:tcPr>
          <w:p w14:paraId="032753D0" w14:textId="5B92CD73" w:rsidR="00521900" w:rsidRPr="000160C3" w:rsidRDefault="00521900" w:rsidP="001C47F4">
            <w:pPr>
              <w:jc w:val="left"/>
              <w:rPr>
                <w:rFonts w:ascii="Arial Narrow" w:hAnsi="Arial Narrow" w:cs="Calibri"/>
                <w:sz w:val="20"/>
                <w:szCs w:val="20"/>
              </w:rPr>
            </w:pPr>
            <w:r w:rsidRPr="000160C3">
              <w:rPr>
                <w:rFonts w:ascii="Arial Narrow" w:hAnsi="Arial Narrow" w:cs="Calibri"/>
                <w:sz w:val="20"/>
                <w:szCs w:val="20"/>
              </w:rPr>
              <w:t>Cancer 2024;130(6):886</w:t>
            </w:r>
            <w:r w:rsidR="00EC1990">
              <w:rPr>
                <w:rFonts w:ascii="Arial Narrow" w:hAnsi="Arial Narrow" w:cs="Calibri"/>
                <w:sz w:val="20"/>
                <w:szCs w:val="20"/>
              </w:rPr>
              <w:noBreakHyphen/>
            </w:r>
            <w:r w:rsidRPr="000160C3">
              <w:rPr>
                <w:rFonts w:ascii="Arial Narrow" w:hAnsi="Arial Narrow" w:cs="Calibri"/>
                <w:sz w:val="20"/>
                <w:szCs w:val="20"/>
              </w:rPr>
              <w:t>900. doi:10.1002/cncr.35107</w:t>
            </w:r>
          </w:p>
        </w:tc>
      </w:tr>
      <w:tr w:rsidR="00521900" w:rsidRPr="000160C3" w14:paraId="2C4F1768" w14:textId="77777777" w:rsidTr="00CF4C8F">
        <w:trPr>
          <w:cantSplit/>
        </w:trPr>
        <w:tc>
          <w:tcPr>
            <w:tcW w:w="1276" w:type="dxa"/>
            <w:vMerge/>
            <w:tcMar>
              <w:left w:w="28" w:type="dxa"/>
              <w:right w:w="28" w:type="dxa"/>
            </w:tcMar>
            <w:vAlign w:val="center"/>
          </w:tcPr>
          <w:p w14:paraId="6E61A6BC" w14:textId="77777777" w:rsidR="00521900" w:rsidRPr="000160C3" w:rsidRDefault="00521900" w:rsidP="001C47F4">
            <w:pPr>
              <w:rPr>
                <w:rFonts w:ascii="Arial Narrow" w:hAnsi="Arial Narrow" w:cs="Calibri"/>
                <w:sz w:val="20"/>
                <w:szCs w:val="20"/>
              </w:rPr>
            </w:pPr>
          </w:p>
        </w:tc>
        <w:tc>
          <w:tcPr>
            <w:tcW w:w="5446" w:type="dxa"/>
            <w:tcMar>
              <w:left w:w="28" w:type="dxa"/>
              <w:right w:w="28" w:type="dxa"/>
            </w:tcMar>
            <w:vAlign w:val="center"/>
          </w:tcPr>
          <w:p w14:paraId="33465AF5" w14:textId="75D4B253" w:rsidR="00521900" w:rsidRPr="000160C3" w:rsidRDefault="00521900" w:rsidP="001C47F4">
            <w:pPr>
              <w:ind w:right="169"/>
              <w:rPr>
                <w:rFonts w:ascii="Arial Narrow" w:hAnsi="Arial Narrow" w:cs="Calibri"/>
                <w:sz w:val="20"/>
                <w:szCs w:val="20"/>
              </w:rPr>
            </w:pPr>
            <w:r w:rsidRPr="000160C3">
              <w:rPr>
                <w:rFonts w:ascii="Arial Narrow" w:hAnsi="Arial Narrow" w:cs="Calibri"/>
                <w:sz w:val="20"/>
                <w:szCs w:val="20"/>
              </w:rPr>
              <w:t xml:space="preserve">van de Donk N.W.C.J., </w:t>
            </w:r>
            <w:proofErr w:type="spellStart"/>
            <w:r w:rsidRPr="000160C3">
              <w:rPr>
                <w:rFonts w:ascii="Arial Narrow" w:hAnsi="Arial Narrow" w:cs="Calibri"/>
                <w:sz w:val="20"/>
                <w:szCs w:val="20"/>
              </w:rPr>
              <w:t>Bahlis</w:t>
            </w:r>
            <w:proofErr w:type="spellEnd"/>
            <w:r w:rsidRPr="000160C3">
              <w:rPr>
                <w:rFonts w:ascii="Arial Narrow" w:hAnsi="Arial Narrow" w:cs="Calibri"/>
                <w:sz w:val="20"/>
                <w:szCs w:val="20"/>
              </w:rPr>
              <w:t xml:space="preserve"> N., Costa L.J., et al Impact of COVID</w:t>
            </w:r>
            <w:r w:rsidR="00EC1990">
              <w:rPr>
                <w:rFonts w:ascii="Arial Narrow" w:hAnsi="Arial Narrow" w:cs="Calibri"/>
                <w:sz w:val="20"/>
                <w:szCs w:val="20"/>
              </w:rPr>
              <w:noBreakHyphen/>
            </w:r>
            <w:r w:rsidRPr="000160C3">
              <w:rPr>
                <w:rFonts w:ascii="Arial Narrow" w:hAnsi="Arial Narrow" w:cs="Calibri"/>
                <w:sz w:val="20"/>
                <w:szCs w:val="20"/>
              </w:rPr>
              <w:t>19 on outcomes with teclistamab in patients with relapsed/refractory multiple myeloma in the phase 1/2 MajesTEC</w:t>
            </w:r>
            <w:r w:rsidR="00EC1990">
              <w:rPr>
                <w:rFonts w:ascii="Arial Narrow" w:hAnsi="Arial Narrow" w:cs="Calibri"/>
                <w:sz w:val="20"/>
                <w:szCs w:val="20"/>
              </w:rPr>
              <w:noBreakHyphen/>
            </w:r>
            <w:r w:rsidRPr="000160C3">
              <w:rPr>
                <w:rFonts w:ascii="Arial Narrow" w:hAnsi="Arial Narrow" w:cs="Calibri"/>
                <w:sz w:val="20"/>
                <w:szCs w:val="20"/>
              </w:rPr>
              <w:t xml:space="preserve">1 study. </w:t>
            </w:r>
          </w:p>
        </w:tc>
        <w:tc>
          <w:tcPr>
            <w:tcW w:w="2350" w:type="dxa"/>
            <w:tcMar>
              <w:left w:w="28" w:type="dxa"/>
              <w:right w:w="28" w:type="dxa"/>
            </w:tcMar>
            <w:vAlign w:val="center"/>
          </w:tcPr>
          <w:p w14:paraId="2D1C289F" w14:textId="59ABBFEB" w:rsidR="00521900" w:rsidRPr="000160C3" w:rsidRDefault="00521900" w:rsidP="001C47F4">
            <w:pPr>
              <w:jc w:val="left"/>
              <w:rPr>
                <w:rFonts w:ascii="Arial Narrow" w:hAnsi="Arial Narrow" w:cs="Calibri"/>
                <w:sz w:val="20"/>
                <w:szCs w:val="20"/>
              </w:rPr>
            </w:pPr>
            <w:r w:rsidRPr="000160C3">
              <w:rPr>
                <w:rFonts w:ascii="Arial Narrow" w:hAnsi="Arial Narrow" w:cs="Calibri"/>
                <w:sz w:val="20"/>
                <w:szCs w:val="20"/>
              </w:rPr>
              <w:t>Blood Cancer J. 2024;14(1):no pagination. doi:10.1038/s41408</w:t>
            </w:r>
            <w:r w:rsidR="00EC1990">
              <w:rPr>
                <w:rFonts w:ascii="Arial Narrow" w:hAnsi="Arial Narrow" w:cs="Calibri"/>
                <w:sz w:val="20"/>
                <w:szCs w:val="20"/>
              </w:rPr>
              <w:noBreakHyphen/>
            </w:r>
            <w:r w:rsidRPr="000160C3">
              <w:rPr>
                <w:rFonts w:ascii="Arial Narrow" w:hAnsi="Arial Narrow" w:cs="Calibri"/>
                <w:sz w:val="20"/>
                <w:szCs w:val="20"/>
              </w:rPr>
              <w:t>024</w:t>
            </w:r>
            <w:r w:rsidR="00EC1990">
              <w:rPr>
                <w:rFonts w:ascii="Arial Narrow" w:hAnsi="Arial Narrow" w:cs="Calibri"/>
                <w:sz w:val="20"/>
                <w:szCs w:val="20"/>
              </w:rPr>
              <w:noBreakHyphen/>
            </w:r>
            <w:r w:rsidRPr="000160C3">
              <w:rPr>
                <w:rFonts w:ascii="Arial Narrow" w:hAnsi="Arial Narrow" w:cs="Calibri"/>
                <w:sz w:val="20"/>
                <w:szCs w:val="20"/>
              </w:rPr>
              <w:t>01160</w:t>
            </w:r>
            <w:r w:rsidR="00EC1990">
              <w:rPr>
                <w:rFonts w:ascii="Arial Narrow" w:hAnsi="Arial Narrow" w:cs="Calibri"/>
                <w:sz w:val="20"/>
                <w:szCs w:val="20"/>
              </w:rPr>
              <w:noBreakHyphen/>
            </w:r>
            <w:r w:rsidRPr="000160C3">
              <w:rPr>
                <w:rFonts w:ascii="Arial Narrow" w:hAnsi="Arial Narrow" w:cs="Calibri"/>
                <w:sz w:val="20"/>
                <w:szCs w:val="20"/>
              </w:rPr>
              <w:t>1</w:t>
            </w:r>
          </w:p>
        </w:tc>
      </w:tr>
      <w:tr w:rsidR="00521900" w:rsidRPr="000160C3" w14:paraId="2C9CFDB9" w14:textId="77777777" w:rsidTr="00CF4C8F">
        <w:trPr>
          <w:cantSplit/>
        </w:trPr>
        <w:tc>
          <w:tcPr>
            <w:tcW w:w="1276" w:type="dxa"/>
            <w:vMerge/>
            <w:tcMar>
              <w:left w:w="28" w:type="dxa"/>
              <w:right w:w="28" w:type="dxa"/>
            </w:tcMar>
            <w:vAlign w:val="center"/>
          </w:tcPr>
          <w:p w14:paraId="7141BABC" w14:textId="77777777" w:rsidR="00521900" w:rsidRPr="000160C3" w:rsidRDefault="00521900" w:rsidP="001C47F4">
            <w:pPr>
              <w:rPr>
                <w:rFonts w:ascii="Arial Narrow" w:hAnsi="Arial Narrow" w:cs="Calibri"/>
                <w:sz w:val="20"/>
                <w:szCs w:val="20"/>
              </w:rPr>
            </w:pPr>
          </w:p>
        </w:tc>
        <w:tc>
          <w:tcPr>
            <w:tcW w:w="5446" w:type="dxa"/>
            <w:tcMar>
              <w:left w:w="28" w:type="dxa"/>
              <w:right w:w="28" w:type="dxa"/>
            </w:tcMar>
            <w:vAlign w:val="center"/>
          </w:tcPr>
          <w:p w14:paraId="01A5A2DB" w14:textId="0FD4FB47" w:rsidR="00521900" w:rsidRPr="000160C3" w:rsidRDefault="00521900" w:rsidP="001C47F4">
            <w:pPr>
              <w:ind w:right="169"/>
              <w:jc w:val="left"/>
              <w:rPr>
                <w:rFonts w:ascii="Arial Narrow" w:hAnsi="Arial Narrow" w:cs="Calibri"/>
                <w:sz w:val="20"/>
                <w:szCs w:val="20"/>
              </w:rPr>
            </w:pPr>
            <w:r w:rsidRPr="000160C3">
              <w:rPr>
                <w:rFonts w:ascii="Arial Narrow" w:hAnsi="Arial Narrow" w:cs="Calibri"/>
                <w:sz w:val="20"/>
                <w:szCs w:val="20"/>
              </w:rPr>
              <w:t xml:space="preserve">Van De Donk N.W.C.J., </w:t>
            </w:r>
            <w:proofErr w:type="spellStart"/>
            <w:r w:rsidRPr="000160C3">
              <w:rPr>
                <w:rFonts w:ascii="Arial Narrow" w:hAnsi="Arial Narrow" w:cs="Calibri"/>
                <w:sz w:val="20"/>
                <w:szCs w:val="20"/>
              </w:rPr>
              <w:t>Bahlis</w:t>
            </w:r>
            <w:proofErr w:type="spellEnd"/>
            <w:r w:rsidRPr="000160C3">
              <w:rPr>
                <w:rFonts w:ascii="Arial Narrow" w:hAnsi="Arial Narrow" w:cs="Calibri"/>
                <w:sz w:val="20"/>
                <w:szCs w:val="20"/>
              </w:rPr>
              <w:t xml:space="preserve"> N., Costa L.J., et al I</w:t>
            </w:r>
            <w:r w:rsidR="0050210C" w:rsidRPr="000160C3">
              <w:rPr>
                <w:rFonts w:ascii="Arial Narrow" w:hAnsi="Arial Narrow" w:cs="Calibri"/>
                <w:sz w:val="20"/>
                <w:szCs w:val="20"/>
              </w:rPr>
              <w:t>mpact of COVID</w:t>
            </w:r>
            <w:r w:rsidR="00EC1990">
              <w:rPr>
                <w:rFonts w:ascii="Arial Narrow" w:hAnsi="Arial Narrow" w:cs="Calibri"/>
                <w:sz w:val="20"/>
                <w:szCs w:val="20"/>
              </w:rPr>
              <w:noBreakHyphen/>
            </w:r>
            <w:r w:rsidR="0050210C" w:rsidRPr="000160C3">
              <w:rPr>
                <w:rFonts w:ascii="Arial Narrow" w:hAnsi="Arial Narrow" w:cs="Calibri"/>
                <w:sz w:val="20"/>
                <w:szCs w:val="20"/>
              </w:rPr>
              <w:t xml:space="preserve">19 on outcomes with teclistamab in the Phase </w:t>
            </w:r>
            <w:r w:rsidR="00F67F77" w:rsidRPr="000160C3">
              <w:rPr>
                <w:rFonts w:ascii="Arial Narrow" w:hAnsi="Arial Narrow" w:cs="Calibri"/>
                <w:sz w:val="20"/>
                <w:szCs w:val="20"/>
              </w:rPr>
              <w:t>1/2</w:t>
            </w:r>
            <w:r w:rsidR="0050210C" w:rsidRPr="000160C3">
              <w:rPr>
                <w:rFonts w:ascii="Arial Narrow" w:hAnsi="Arial Narrow" w:cs="Calibri"/>
                <w:sz w:val="20"/>
                <w:szCs w:val="20"/>
              </w:rPr>
              <w:t xml:space="preserve"> MajesTEC</w:t>
            </w:r>
            <w:r w:rsidR="00EC1990">
              <w:rPr>
                <w:rFonts w:ascii="Arial Narrow" w:hAnsi="Arial Narrow" w:cs="Calibri"/>
                <w:sz w:val="20"/>
                <w:szCs w:val="20"/>
              </w:rPr>
              <w:noBreakHyphen/>
            </w:r>
            <w:r w:rsidR="0050210C" w:rsidRPr="000160C3">
              <w:rPr>
                <w:rFonts w:ascii="Arial Narrow" w:hAnsi="Arial Narrow" w:cs="Calibri"/>
                <w:sz w:val="20"/>
                <w:szCs w:val="20"/>
              </w:rPr>
              <w:t xml:space="preserve">1 study in </w:t>
            </w:r>
            <w:r w:rsidR="00F67F77" w:rsidRPr="000160C3">
              <w:rPr>
                <w:rFonts w:ascii="Arial Narrow" w:hAnsi="Arial Narrow" w:cs="Calibri"/>
                <w:sz w:val="20"/>
                <w:szCs w:val="20"/>
              </w:rPr>
              <w:t>patients with relapsed/refractory multiple melanoma.</w:t>
            </w:r>
          </w:p>
        </w:tc>
        <w:tc>
          <w:tcPr>
            <w:tcW w:w="2350" w:type="dxa"/>
            <w:tcMar>
              <w:left w:w="28" w:type="dxa"/>
              <w:right w:w="28" w:type="dxa"/>
            </w:tcMar>
            <w:vAlign w:val="center"/>
          </w:tcPr>
          <w:p w14:paraId="4A6555E5" w14:textId="77777777" w:rsidR="00521900" w:rsidRPr="000160C3" w:rsidRDefault="00521900" w:rsidP="001C47F4">
            <w:pPr>
              <w:jc w:val="left"/>
              <w:rPr>
                <w:rFonts w:ascii="Arial Narrow" w:hAnsi="Arial Narrow" w:cs="Calibri"/>
                <w:sz w:val="20"/>
                <w:szCs w:val="20"/>
              </w:rPr>
            </w:pPr>
            <w:r w:rsidRPr="000160C3">
              <w:rPr>
                <w:rFonts w:ascii="Arial Narrow" w:hAnsi="Arial Narrow" w:cs="Calibri"/>
                <w:sz w:val="20"/>
                <w:szCs w:val="20"/>
              </w:rPr>
              <w:t>Haematologica 2024;109(Supplement 2):31.</w:t>
            </w:r>
          </w:p>
        </w:tc>
      </w:tr>
      <w:tr w:rsidR="00521900" w:rsidRPr="000160C3" w14:paraId="07FD98C7" w14:textId="77777777" w:rsidTr="00CF4C8F">
        <w:trPr>
          <w:cantSplit/>
        </w:trPr>
        <w:tc>
          <w:tcPr>
            <w:tcW w:w="1276" w:type="dxa"/>
            <w:vMerge/>
            <w:tcMar>
              <w:left w:w="28" w:type="dxa"/>
              <w:right w:w="28" w:type="dxa"/>
            </w:tcMar>
            <w:vAlign w:val="center"/>
          </w:tcPr>
          <w:p w14:paraId="1DBE64BF" w14:textId="77777777" w:rsidR="00521900" w:rsidRPr="000160C3" w:rsidRDefault="00521900" w:rsidP="001C47F4">
            <w:pPr>
              <w:rPr>
                <w:rFonts w:ascii="Arial Narrow" w:hAnsi="Arial Narrow" w:cs="Calibri"/>
                <w:sz w:val="20"/>
                <w:szCs w:val="20"/>
              </w:rPr>
            </w:pPr>
          </w:p>
        </w:tc>
        <w:tc>
          <w:tcPr>
            <w:tcW w:w="5446" w:type="dxa"/>
            <w:tcMar>
              <w:left w:w="28" w:type="dxa"/>
              <w:right w:w="28" w:type="dxa"/>
            </w:tcMar>
            <w:vAlign w:val="center"/>
          </w:tcPr>
          <w:p w14:paraId="2C2BB241" w14:textId="72EDB266" w:rsidR="00521900" w:rsidRPr="000160C3" w:rsidRDefault="00521900" w:rsidP="001C47F4">
            <w:pPr>
              <w:ind w:right="169"/>
              <w:rPr>
                <w:rFonts w:ascii="Arial Narrow" w:hAnsi="Arial Narrow" w:cs="Calibri"/>
                <w:sz w:val="20"/>
                <w:szCs w:val="20"/>
              </w:rPr>
            </w:pPr>
            <w:proofErr w:type="spellStart"/>
            <w:r w:rsidRPr="000160C3">
              <w:rPr>
                <w:rFonts w:ascii="Arial Narrow" w:hAnsi="Arial Narrow" w:cs="Calibri"/>
                <w:sz w:val="20"/>
                <w:szCs w:val="20"/>
              </w:rPr>
              <w:t>Garfall</w:t>
            </w:r>
            <w:proofErr w:type="spellEnd"/>
            <w:r w:rsidRPr="000160C3">
              <w:rPr>
                <w:rFonts w:ascii="Arial Narrow" w:hAnsi="Arial Narrow" w:cs="Calibri"/>
                <w:sz w:val="20"/>
                <w:szCs w:val="20"/>
              </w:rPr>
              <w:t xml:space="preserve"> A.L., </w:t>
            </w:r>
            <w:proofErr w:type="spellStart"/>
            <w:r w:rsidRPr="000160C3">
              <w:rPr>
                <w:rFonts w:ascii="Arial Narrow" w:hAnsi="Arial Narrow" w:cs="Calibri"/>
                <w:sz w:val="20"/>
                <w:szCs w:val="20"/>
              </w:rPr>
              <w:t>Nooka</w:t>
            </w:r>
            <w:proofErr w:type="spellEnd"/>
            <w:r w:rsidRPr="000160C3">
              <w:rPr>
                <w:rFonts w:ascii="Arial Narrow" w:hAnsi="Arial Narrow" w:cs="Calibri"/>
                <w:sz w:val="20"/>
                <w:szCs w:val="20"/>
              </w:rPr>
              <w:t xml:space="preserve"> A.K., Van De Donk N.W.C.J., et al Long</w:t>
            </w:r>
            <w:r w:rsidR="00EC1990">
              <w:rPr>
                <w:rFonts w:ascii="Arial Narrow" w:hAnsi="Arial Narrow" w:cs="Calibri"/>
                <w:sz w:val="20"/>
                <w:szCs w:val="20"/>
              </w:rPr>
              <w:noBreakHyphen/>
            </w:r>
            <w:r w:rsidRPr="000160C3">
              <w:rPr>
                <w:rFonts w:ascii="Arial Narrow" w:hAnsi="Arial Narrow" w:cs="Calibri"/>
                <w:sz w:val="20"/>
                <w:szCs w:val="20"/>
              </w:rPr>
              <w:t>term follow</w:t>
            </w:r>
            <w:r w:rsidR="00EC1990">
              <w:rPr>
                <w:rFonts w:ascii="Arial Narrow" w:hAnsi="Arial Narrow" w:cs="Calibri"/>
                <w:sz w:val="20"/>
                <w:szCs w:val="20"/>
              </w:rPr>
              <w:noBreakHyphen/>
            </w:r>
            <w:r w:rsidRPr="000160C3">
              <w:rPr>
                <w:rFonts w:ascii="Arial Narrow" w:hAnsi="Arial Narrow" w:cs="Calibri"/>
                <w:sz w:val="20"/>
                <w:szCs w:val="20"/>
              </w:rPr>
              <w:t>up from the phase 1/2 MajesTEC</w:t>
            </w:r>
            <w:r w:rsidR="00EC1990">
              <w:rPr>
                <w:rFonts w:ascii="Arial Narrow" w:hAnsi="Arial Narrow" w:cs="Calibri"/>
                <w:sz w:val="20"/>
                <w:szCs w:val="20"/>
              </w:rPr>
              <w:noBreakHyphen/>
            </w:r>
            <w:r w:rsidRPr="000160C3">
              <w:rPr>
                <w:rFonts w:ascii="Arial Narrow" w:hAnsi="Arial Narrow" w:cs="Calibri"/>
                <w:sz w:val="20"/>
                <w:szCs w:val="20"/>
              </w:rPr>
              <w:t xml:space="preserve">1 trial of teclistamab in patients with relapsed/refractory multiple myeloma. </w:t>
            </w:r>
          </w:p>
        </w:tc>
        <w:tc>
          <w:tcPr>
            <w:tcW w:w="2350" w:type="dxa"/>
            <w:tcMar>
              <w:left w:w="28" w:type="dxa"/>
              <w:right w:w="28" w:type="dxa"/>
            </w:tcMar>
            <w:vAlign w:val="center"/>
          </w:tcPr>
          <w:p w14:paraId="23622A4D" w14:textId="77777777" w:rsidR="00521900" w:rsidRPr="000160C3" w:rsidRDefault="00521900" w:rsidP="001C47F4">
            <w:pPr>
              <w:jc w:val="left"/>
              <w:rPr>
                <w:rFonts w:ascii="Arial" w:hAnsi="Arial"/>
                <w:bCs/>
                <w:iCs/>
                <w:sz w:val="20"/>
                <w:szCs w:val="18"/>
              </w:rPr>
            </w:pPr>
            <w:r w:rsidRPr="000160C3">
              <w:rPr>
                <w:rFonts w:ascii="Arial Narrow" w:hAnsi="Arial Narrow" w:cs="Calibri"/>
                <w:sz w:val="20"/>
                <w:szCs w:val="20"/>
              </w:rPr>
              <w:t>J. Clin. Oncol. 2024;42(16 Supplement):no pagination.</w:t>
            </w:r>
          </w:p>
        </w:tc>
      </w:tr>
      <w:tr w:rsidR="008D44BB" w:rsidRPr="000160C3" w14:paraId="47469EAF" w14:textId="77777777" w:rsidTr="00CF4C8F">
        <w:trPr>
          <w:cantSplit/>
          <w:trHeight w:val="111"/>
        </w:trPr>
        <w:tc>
          <w:tcPr>
            <w:tcW w:w="1276" w:type="dxa"/>
            <w:vMerge w:val="restart"/>
            <w:tcMar>
              <w:left w:w="28" w:type="dxa"/>
              <w:right w:w="28" w:type="dxa"/>
            </w:tcMar>
            <w:vAlign w:val="center"/>
          </w:tcPr>
          <w:p w14:paraId="26DAC4BD" w14:textId="2A27ABCD" w:rsidR="008D44BB" w:rsidRPr="000160C3" w:rsidRDefault="008D44BB" w:rsidP="001C47F4">
            <w:pPr>
              <w:rPr>
                <w:rFonts w:ascii="Arial Narrow" w:hAnsi="Arial Narrow" w:cs="Calibri"/>
                <w:sz w:val="20"/>
                <w:szCs w:val="20"/>
              </w:rPr>
            </w:pPr>
            <w:r w:rsidRPr="000160C3">
              <w:rPr>
                <w:rFonts w:ascii="Arial Narrow" w:hAnsi="Arial Narrow" w:cs="Calibri"/>
                <w:sz w:val="20"/>
                <w:szCs w:val="20"/>
              </w:rPr>
              <w:t>MagnetisMM</w:t>
            </w:r>
            <w:r w:rsidR="00EC1990">
              <w:rPr>
                <w:rFonts w:ascii="Arial Narrow" w:hAnsi="Arial Narrow" w:cs="Calibri"/>
                <w:sz w:val="20"/>
                <w:szCs w:val="20"/>
              </w:rPr>
              <w:noBreakHyphen/>
            </w:r>
            <w:r w:rsidRPr="000160C3">
              <w:rPr>
                <w:rFonts w:ascii="Arial Narrow" w:hAnsi="Arial Narrow" w:cs="Calibri"/>
                <w:sz w:val="20"/>
                <w:szCs w:val="20"/>
              </w:rPr>
              <w:t>3</w:t>
            </w:r>
          </w:p>
          <w:p w14:paraId="31BA5436" w14:textId="77777777" w:rsidR="008D44BB" w:rsidRPr="000160C3" w:rsidRDefault="008D44BB" w:rsidP="001C47F4">
            <w:pPr>
              <w:rPr>
                <w:rFonts w:ascii="Arial Narrow" w:hAnsi="Arial Narrow" w:cs="Calibri"/>
                <w:sz w:val="20"/>
                <w:szCs w:val="20"/>
              </w:rPr>
            </w:pPr>
            <w:r w:rsidRPr="000160C3">
              <w:rPr>
                <w:rFonts w:ascii="Arial Narrow" w:hAnsi="Arial Narrow" w:cs="Calibri"/>
                <w:sz w:val="20"/>
                <w:szCs w:val="20"/>
              </w:rPr>
              <w:t>(NCT04649359)</w:t>
            </w:r>
          </w:p>
        </w:tc>
        <w:tc>
          <w:tcPr>
            <w:tcW w:w="5446" w:type="dxa"/>
            <w:tcMar>
              <w:left w:w="28" w:type="dxa"/>
              <w:right w:w="28" w:type="dxa"/>
            </w:tcMar>
            <w:vAlign w:val="center"/>
          </w:tcPr>
          <w:p w14:paraId="54CCFB4E" w14:textId="64CCEBF9" w:rsidR="008D44BB" w:rsidRPr="000160C3" w:rsidRDefault="008D44BB" w:rsidP="001C47F4">
            <w:pPr>
              <w:ind w:right="169"/>
              <w:rPr>
                <w:rFonts w:ascii="Arial Narrow" w:hAnsi="Arial Narrow" w:cs="Calibri"/>
                <w:sz w:val="20"/>
                <w:szCs w:val="20"/>
              </w:rPr>
            </w:pPr>
            <w:proofErr w:type="spellStart"/>
            <w:r w:rsidRPr="000160C3">
              <w:rPr>
                <w:rFonts w:ascii="Arial Narrow" w:hAnsi="Arial Narrow" w:cs="Calibri"/>
                <w:sz w:val="20"/>
                <w:szCs w:val="20"/>
              </w:rPr>
              <w:t>Lesokhin</w:t>
            </w:r>
            <w:proofErr w:type="spellEnd"/>
            <w:r w:rsidRPr="000160C3">
              <w:rPr>
                <w:rFonts w:ascii="Arial Narrow" w:hAnsi="Arial Narrow" w:cs="Calibri"/>
                <w:sz w:val="20"/>
                <w:szCs w:val="20"/>
              </w:rPr>
              <w:t xml:space="preserve"> A.M., Tomasson M.H., Arnulf B., et al Elranatamab in relapsed or refractory multiple myeloma: phase 2 MagnetisMM</w:t>
            </w:r>
            <w:r w:rsidR="00EC1990">
              <w:rPr>
                <w:rFonts w:ascii="Arial Narrow" w:hAnsi="Arial Narrow" w:cs="Calibri"/>
                <w:sz w:val="20"/>
                <w:szCs w:val="20"/>
              </w:rPr>
              <w:noBreakHyphen/>
            </w:r>
            <w:r w:rsidRPr="000160C3">
              <w:rPr>
                <w:rFonts w:ascii="Arial Narrow" w:hAnsi="Arial Narrow" w:cs="Calibri"/>
                <w:sz w:val="20"/>
                <w:szCs w:val="20"/>
              </w:rPr>
              <w:t xml:space="preserve">3 trial results. </w:t>
            </w:r>
          </w:p>
        </w:tc>
        <w:tc>
          <w:tcPr>
            <w:tcW w:w="2350" w:type="dxa"/>
            <w:tcMar>
              <w:left w:w="28" w:type="dxa"/>
              <w:right w:w="28" w:type="dxa"/>
            </w:tcMar>
            <w:vAlign w:val="center"/>
          </w:tcPr>
          <w:p w14:paraId="56D1BCD8" w14:textId="0DC0E1BD" w:rsidR="008D44BB" w:rsidRPr="000160C3" w:rsidRDefault="008D44BB" w:rsidP="001C47F4">
            <w:pPr>
              <w:jc w:val="left"/>
              <w:rPr>
                <w:rFonts w:ascii="Arial" w:hAnsi="Arial"/>
                <w:bCs/>
                <w:iCs/>
                <w:sz w:val="20"/>
                <w:szCs w:val="18"/>
              </w:rPr>
            </w:pPr>
            <w:r w:rsidRPr="000160C3">
              <w:rPr>
                <w:rFonts w:ascii="Arial Narrow" w:hAnsi="Arial Narrow" w:cs="Calibri"/>
                <w:sz w:val="20"/>
                <w:szCs w:val="20"/>
              </w:rPr>
              <w:t>Nat. Med. 2023;29(9):2259</w:t>
            </w:r>
            <w:r w:rsidR="00EC1990">
              <w:rPr>
                <w:rFonts w:ascii="Arial Narrow" w:hAnsi="Arial Narrow" w:cs="Calibri"/>
                <w:sz w:val="20"/>
                <w:szCs w:val="20"/>
              </w:rPr>
              <w:noBreakHyphen/>
            </w:r>
            <w:r w:rsidRPr="000160C3">
              <w:rPr>
                <w:rFonts w:ascii="Arial Narrow" w:hAnsi="Arial Narrow" w:cs="Calibri"/>
                <w:sz w:val="20"/>
                <w:szCs w:val="20"/>
              </w:rPr>
              <w:t>2267. doi:10.1038/s41591</w:t>
            </w:r>
            <w:r w:rsidR="00EC1990">
              <w:rPr>
                <w:rFonts w:ascii="Arial Narrow" w:hAnsi="Arial Narrow" w:cs="Calibri"/>
                <w:sz w:val="20"/>
                <w:szCs w:val="20"/>
              </w:rPr>
              <w:noBreakHyphen/>
            </w:r>
            <w:r w:rsidRPr="000160C3">
              <w:rPr>
                <w:rFonts w:ascii="Arial Narrow" w:hAnsi="Arial Narrow" w:cs="Calibri"/>
                <w:sz w:val="20"/>
                <w:szCs w:val="20"/>
              </w:rPr>
              <w:t>023</w:t>
            </w:r>
            <w:r w:rsidR="00EC1990">
              <w:rPr>
                <w:rFonts w:ascii="Arial Narrow" w:hAnsi="Arial Narrow" w:cs="Calibri"/>
                <w:sz w:val="20"/>
                <w:szCs w:val="20"/>
              </w:rPr>
              <w:noBreakHyphen/>
            </w:r>
            <w:r w:rsidRPr="000160C3">
              <w:rPr>
                <w:rFonts w:ascii="Arial Narrow" w:hAnsi="Arial Narrow" w:cs="Calibri"/>
                <w:sz w:val="20"/>
                <w:szCs w:val="20"/>
              </w:rPr>
              <w:t>02528</w:t>
            </w:r>
            <w:r w:rsidR="00EC1990">
              <w:rPr>
                <w:rFonts w:ascii="Arial Narrow" w:hAnsi="Arial Narrow" w:cs="Calibri"/>
                <w:sz w:val="20"/>
                <w:szCs w:val="20"/>
              </w:rPr>
              <w:noBreakHyphen/>
            </w:r>
            <w:r w:rsidRPr="000160C3">
              <w:rPr>
                <w:rFonts w:ascii="Arial Narrow" w:hAnsi="Arial Narrow" w:cs="Calibri"/>
                <w:sz w:val="20"/>
                <w:szCs w:val="20"/>
              </w:rPr>
              <w:t>9</w:t>
            </w:r>
          </w:p>
        </w:tc>
      </w:tr>
      <w:tr w:rsidR="00521900" w:rsidRPr="000160C3" w14:paraId="1FBF3120" w14:textId="77777777" w:rsidTr="00CF4C8F">
        <w:trPr>
          <w:cantSplit/>
        </w:trPr>
        <w:tc>
          <w:tcPr>
            <w:tcW w:w="1276" w:type="dxa"/>
            <w:vMerge/>
            <w:tcMar>
              <w:left w:w="28" w:type="dxa"/>
              <w:right w:w="28" w:type="dxa"/>
            </w:tcMar>
            <w:vAlign w:val="center"/>
          </w:tcPr>
          <w:p w14:paraId="41B8A9B1" w14:textId="77777777" w:rsidR="00521900" w:rsidRPr="000160C3" w:rsidRDefault="00521900" w:rsidP="001C47F4">
            <w:pPr>
              <w:rPr>
                <w:rFonts w:ascii="Arial Narrow" w:hAnsi="Arial Narrow" w:cs="Calibri"/>
                <w:sz w:val="20"/>
                <w:szCs w:val="20"/>
              </w:rPr>
            </w:pPr>
          </w:p>
        </w:tc>
        <w:tc>
          <w:tcPr>
            <w:tcW w:w="5446" w:type="dxa"/>
            <w:tcMar>
              <w:left w:w="28" w:type="dxa"/>
              <w:right w:w="28" w:type="dxa"/>
            </w:tcMar>
            <w:vAlign w:val="center"/>
          </w:tcPr>
          <w:p w14:paraId="6452C477" w14:textId="30E38A70" w:rsidR="00521900" w:rsidRPr="000160C3" w:rsidRDefault="00521900" w:rsidP="001C47F4">
            <w:pPr>
              <w:ind w:right="169"/>
              <w:rPr>
                <w:rFonts w:ascii="Arial Narrow" w:hAnsi="Arial Narrow" w:cs="Calibri"/>
                <w:sz w:val="20"/>
                <w:szCs w:val="20"/>
              </w:rPr>
            </w:pPr>
            <w:r w:rsidRPr="000160C3">
              <w:rPr>
                <w:rFonts w:ascii="Arial Narrow" w:hAnsi="Arial Narrow" w:cs="Calibri"/>
                <w:sz w:val="20"/>
                <w:szCs w:val="20"/>
              </w:rPr>
              <w:t xml:space="preserve">Prince H.M., </w:t>
            </w:r>
            <w:proofErr w:type="spellStart"/>
            <w:r w:rsidRPr="000160C3">
              <w:rPr>
                <w:rFonts w:ascii="Arial Narrow" w:hAnsi="Arial Narrow" w:cs="Calibri"/>
                <w:sz w:val="20"/>
                <w:szCs w:val="20"/>
              </w:rPr>
              <w:t>Bahlis</w:t>
            </w:r>
            <w:proofErr w:type="spellEnd"/>
            <w:r w:rsidRPr="000160C3">
              <w:rPr>
                <w:rFonts w:ascii="Arial Narrow" w:hAnsi="Arial Narrow" w:cs="Calibri"/>
                <w:sz w:val="20"/>
                <w:szCs w:val="20"/>
              </w:rPr>
              <w:t xml:space="preserve"> N.J., Rodriguez</w:t>
            </w:r>
            <w:r w:rsidR="00EC1990">
              <w:rPr>
                <w:rFonts w:ascii="Arial Narrow" w:hAnsi="Arial Narrow" w:cs="Calibri"/>
                <w:sz w:val="20"/>
                <w:szCs w:val="20"/>
              </w:rPr>
              <w:noBreakHyphen/>
            </w:r>
            <w:r w:rsidRPr="000160C3">
              <w:rPr>
                <w:rFonts w:ascii="Arial Narrow" w:hAnsi="Arial Narrow" w:cs="Calibri"/>
                <w:sz w:val="20"/>
                <w:szCs w:val="20"/>
              </w:rPr>
              <w:t>Otero P., et al MagnetisMM</w:t>
            </w:r>
            <w:r w:rsidR="00EC1990">
              <w:rPr>
                <w:rFonts w:ascii="Arial Narrow" w:hAnsi="Arial Narrow" w:cs="Calibri"/>
                <w:sz w:val="20"/>
                <w:szCs w:val="20"/>
              </w:rPr>
              <w:noBreakHyphen/>
            </w:r>
            <w:r w:rsidRPr="000160C3">
              <w:rPr>
                <w:rFonts w:ascii="Arial Narrow" w:hAnsi="Arial Narrow" w:cs="Calibri"/>
                <w:sz w:val="20"/>
                <w:szCs w:val="20"/>
              </w:rPr>
              <w:t>3: Long</w:t>
            </w:r>
            <w:r w:rsidR="00EC1990">
              <w:rPr>
                <w:rFonts w:ascii="Arial Narrow" w:hAnsi="Arial Narrow" w:cs="Calibri"/>
                <w:sz w:val="20"/>
                <w:szCs w:val="20"/>
              </w:rPr>
              <w:noBreakHyphen/>
            </w:r>
            <w:r w:rsidRPr="000160C3">
              <w:rPr>
                <w:rFonts w:ascii="Arial Narrow" w:hAnsi="Arial Narrow" w:cs="Calibri"/>
                <w:sz w:val="20"/>
                <w:szCs w:val="20"/>
              </w:rPr>
              <w:t xml:space="preserve">Term Update and Efficacy and Safety of Less Frequent Dosing of Elranatamab in Patients with Relapsed or Refractory Multiple Myeloma. </w:t>
            </w:r>
          </w:p>
        </w:tc>
        <w:tc>
          <w:tcPr>
            <w:tcW w:w="2350" w:type="dxa"/>
            <w:tcMar>
              <w:left w:w="28" w:type="dxa"/>
              <w:right w:w="28" w:type="dxa"/>
            </w:tcMar>
            <w:vAlign w:val="center"/>
          </w:tcPr>
          <w:p w14:paraId="5647E8EA" w14:textId="525BD7F3" w:rsidR="00521900" w:rsidRPr="000160C3" w:rsidRDefault="00521900" w:rsidP="001C47F4">
            <w:pPr>
              <w:jc w:val="left"/>
              <w:rPr>
                <w:rFonts w:ascii="Arial Narrow" w:hAnsi="Arial Narrow" w:cs="Calibri"/>
                <w:sz w:val="20"/>
                <w:szCs w:val="20"/>
              </w:rPr>
            </w:pPr>
            <w:r w:rsidRPr="000160C3">
              <w:rPr>
                <w:rFonts w:ascii="Arial Narrow" w:hAnsi="Arial Narrow" w:cs="Calibri"/>
                <w:sz w:val="20"/>
                <w:szCs w:val="20"/>
              </w:rPr>
              <w:t>Blood 2024;144(Supplement 1):4738. doi:10.1182/blood</w:t>
            </w:r>
            <w:r w:rsidR="00EC1990">
              <w:rPr>
                <w:rFonts w:ascii="Arial Narrow" w:hAnsi="Arial Narrow" w:cs="Calibri"/>
                <w:sz w:val="20"/>
                <w:szCs w:val="20"/>
              </w:rPr>
              <w:noBreakHyphen/>
            </w:r>
            <w:r w:rsidRPr="000160C3">
              <w:rPr>
                <w:rFonts w:ascii="Arial Narrow" w:hAnsi="Arial Narrow" w:cs="Calibri"/>
                <w:sz w:val="20"/>
                <w:szCs w:val="20"/>
              </w:rPr>
              <w:t>2024</w:t>
            </w:r>
            <w:r w:rsidR="00EC1990">
              <w:rPr>
                <w:rFonts w:ascii="Arial Narrow" w:hAnsi="Arial Narrow" w:cs="Calibri"/>
                <w:sz w:val="20"/>
                <w:szCs w:val="20"/>
              </w:rPr>
              <w:noBreakHyphen/>
            </w:r>
            <w:r w:rsidRPr="000160C3">
              <w:rPr>
                <w:rFonts w:ascii="Arial Narrow" w:hAnsi="Arial Narrow" w:cs="Calibri"/>
                <w:sz w:val="20"/>
                <w:szCs w:val="20"/>
              </w:rPr>
              <w:t>208192</w:t>
            </w:r>
          </w:p>
        </w:tc>
      </w:tr>
      <w:tr w:rsidR="00521900" w:rsidRPr="000160C3" w14:paraId="000EC760" w14:textId="77777777" w:rsidTr="00CF4C8F">
        <w:trPr>
          <w:cantSplit/>
        </w:trPr>
        <w:tc>
          <w:tcPr>
            <w:tcW w:w="1276" w:type="dxa"/>
            <w:vMerge/>
            <w:tcMar>
              <w:left w:w="28" w:type="dxa"/>
              <w:right w:w="28" w:type="dxa"/>
            </w:tcMar>
            <w:vAlign w:val="center"/>
          </w:tcPr>
          <w:p w14:paraId="04CC637B" w14:textId="77777777" w:rsidR="00521900" w:rsidRPr="000160C3" w:rsidRDefault="00521900" w:rsidP="001C47F4">
            <w:pPr>
              <w:rPr>
                <w:rFonts w:ascii="Arial Narrow" w:hAnsi="Arial Narrow" w:cs="Calibri"/>
                <w:sz w:val="20"/>
                <w:szCs w:val="20"/>
              </w:rPr>
            </w:pPr>
          </w:p>
        </w:tc>
        <w:tc>
          <w:tcPr>
            <w:tcW w:w="5446" w:type="dxa"/>
            <w:tcMar>
              <w:left w:w="28" w:type="dxa"/>
              <w:right w:w="28" w:type="dxa"/>
            </w:tcMar>
            <w:vAlign w:val="center"/>
          </w:tcPr>
          <w:p w14:paraId="30112AC5" w14:textId="1960708E" w:rsidR="00521900" w:rsidRPr="000160C3" w:rsidRDefault="00521900" w:rsidP="001C47F4">
            <w:pPr>
              <w:ind w:right="169"/>
              <w:rPr>
                <w:rFonts w:ascii="Arial Narrow" w:hAnsi="Arial Narrow" w:cs="Calibri"/>
                <w:sz w:val="20"/>
                <w:szCs w:val="20"/>
              </w:rPr>
            </w:pPr>
            <w:r w:rsidRPr="000160C3">
              <w:rPr>
                <w:rFonts w:ascii="Arial Narrow" w:hAnsi="Arial Narrow" w:cs="Calibri"/>
                <w:sz w:val="20"/>
                <w:szCs w:val="20"/>
              </w:rPr>
              <w:t xml:space="preserve">Tomasson M.H., Iida S., </w:t>
            </w:r>
            <w:proofErr w:type="spellStart"/>
            <w:r w:rsidRPr="000160C3">
              <w:rPr>
                <w:rFonts w:ascii="Arial Narrow" w:hAnsi="Arial Narrow" w:cs="Calibri"/>
                <w:sz w:val="20"/>
                <w:szCs w:val="20"/>
              </w:rPr>
              <w:t>Niesvizky</w:t>
            </w:r>
            <w:proofErr w:type="spellEnd"/>
            <w:r w:rsidRPr="000160C3">
              <w:rPr>
                <w:rFonts w:ascii="Arial Narrow" w:hAnsi="Arial Narrow" w:cs="Calibri"/>
                <w:sz w:val="20"/>
                <w:szCs w:val="20"/>
              </w:rPr>
              <w:t xml:space="preserve"> R., et al Long</w:t>
            </w:r>
            <w:r w:rsidR="00EC1990">
              <w:rPr>
                <w:rFonts w:ascii="Arial Narrow" w:hAnsi="Arial Narrow" w:cs="Calibri"/>
                <w:sz w:val="20"/>
                <w:szCs w:val="20"/>
              </w:rPr>
              <w:noBreakHyphen/>
            </w:r>
            <w:r w:rsidRPr="000160C3">
              <w:rPr>
                <w:rFonts w:ascii="Arial Narrow" w:hAnsi="Arial Narrow" w:cs="Calibri"/>
                <w:sz w:val="20"/>
                <w:szCs w:val="20"/>
              </w:rPr>
              <w:t>term survival and safety of elranatamab in patients with relapsed or refractory multiple myeloma: Update from the MagnetisMM</w:t>
            </w:r>
            <w:r w:rsidR="00EC1990">
              <w:rPr>
                <w:rFonts w:ascii="Arial Narrow" w:hAnsi="Arial Narrow" w:cs="Calibri"/>
                <w:sz w:val="20"/>
                <w:szCs w:val="20"/>
              </w:rPr>
              <w:noBreakHyphen/>
            </w:r>
            <w:r w:rsidRPr="000160C3">
              <w:rPr>
                <w:rFonts w:ascii="Arial Narrow" w:hAnsi="Arial Narrow" w:cs="Calibri"/>
                <w:sz w:val="20"/>
                <w:szCs w:val="20"/>
              </w:rPr>
              <w:t xml:space="preserve">3 study. </w:t>
            </w:r>
          </w:p>
        </w:tc>
        <w:tc>
          <w:tcPr>
            <w:tcW w:w="2350" w:type="dxa"/>
            <w:tcMar>
              <w:left w:w="28" w:type="dxa"/>
              <w:right w:w="28" w:type="dxa"/>
            </w:tcMar>
            <w:vAlign w:val="center"/>
          </w:tcPr>
          <w:p w14:paraId="1DA28D2D" w14:textId="77777777" w:rsidR="00521900" w:rsidRPr="000160C3" w:rsidRDefault="00521900" w:rsidP="001C47F4">
            <w:pPr>
              <w:jc w:val="left"/>
              <w:rPr>
                <w:rFonts w:ascii="Arial Narrow" w:hAnsi="Arial Narrow" w:cs="Calibri"/>
                <w:sz w:val="20"/>
                <w:szCs w:val="20"/>
              </w:rPr>
            </w:pPr>
            <w:proofErr w:type="spellStart"/>
            <w:r w:rsidRPr="000160C3">
              <w:rPr>
                <w:rFonts w:ascii="Arial Narrow" w:hAnsi="Arial Narrow" w:cs="Calibri"/>
                <w:sz w:val="20"/>
                <w:szCs w:val="20"/>
              </w:rPr>
              <w:t>HemaSphere</w:t>
            </w:r>
            <w:proofErr w:type="spellEnd"/>
            <w:r w:rsidRPr="000160C3">
              <w:rPr>
                <w:rFonts w:ascii="Arial Narrow" w:hAnsi="Arial Narrow" w:cs="Calibri"/>
                <w:sz w:val="20"/>
                <w:szCs w:val="20"/>
              </w:rPr>
              <w:t xml:space="preserve"> 2024;8(7):no pagination. doi:10.1002/hem3.136</w:t>
            </w:r>
          </w:p>
        </w:tc>
      </w:tr>
      <w:tr w:rsidR="00521900" w:rsidRPr="000160C3" w14:paraId="7E545A02" w14:textId="77777777" w:rsidTr="00CF4C8F">
        <w:trPr>
          <w:cantSplit/>
        </w:trPr>
        <w:tc>
          <w:tcPr>
            <w:tcW w:w="1276" w:type="dxa"/>
            <w:vMerge/>
            <w:tcMar>
              <w:left w:w="28" w:type="dxa"/>
              <w:right w:w="28" w:type="dxa"/>
            </w:tcMar>
            <w:vAlign w:val="center"/>
          </w:tcPr>
          <w:p w14:paraId="5203610D" w14:textId="77777777" w:rsidR="00521900" w:rsidRPr="000160C3" w:rsidRDefault="00521900" w:rsidP="001C47F4">
            <w:pPr>
              <w:rPr>
                <w:rFonts w:ascii="Arial Narrow" w:hAnsi="Arial Narrow" w:cs="Calibri"/>
                <w:sz w:val="20"/>
                <w:szCs w:val="20"/>
              </w:rPr>
            </w:pPr>
          </w:p>
        </w:tc>
        <w:tc>
          <w:tcPr>
            <w:tcW w:w="5446" w:type="dxa"/>
            <w:tcMar>
              <w:left w:w="28" w:type="dxa"/>
              <w:right w:w="28" w:type="dxa"/>
            </w:tcMar>
            <w:vAlign w:val="center"/>
          </w:tcPr>
          <w:p w14:paraId="66AF0BE2" w14:textId="7EA8092D" w:rsidR="00521900" w:rsidRPr="000160C3" w:rsidRDefault="00521900" w:rsidP="001C47F4">
            <w:pPr>
              <w:ind w:right="169"/>
              <w:rPr>
                <w:rFonts w:ascii="Arial Narrow" w:hAnsi="Arial Narrow" w:cs="Calibri"/>
                <w:sz w:val="20"/>
                <w:szCs w:val="20"/>
              </w:rPr>
            </w:pPr>
            <w:r w:rsidRPr="000160C3">
              <w:rPr>
                <w:rFonts w:ascii="Arial Narrow" w:hAnsi="Arial Narrow" w:cs="Calibri"/>
                <w:sz w:val="20"/>
                <w:szCs w:val="20"/>
              </w:rPr>
              <w:t xml:space="preserve">Raab M., </w:t>
            </w:r>
            <w:proofErr w:type="spellStart"/>
            <w:r w:rsidRPr="000160C3">
              <w:rPr>
                <w:rFonts w:ascii="Arial Narrow" w:hAnsi="Arial Narrow" w:cs="Calibri"/>
                <w:sz w:val="20"/>
                <w:szCs w:val="20"/>
              </w:rPr>
              <w:t>Mohty</w:t>
            </w:r>
            <w:proofErr w:type="spellEnd"/>
            <w:r w:rsidRPr="000160C3">
              <w:rPr>
                <w:rFonts w:ascii="Arial Narrow" w:hAnsi="Arial Narrow" w:cs="Calibri"/>
                <w:sz w:val="20"/>
                <w:szCs w:val="20"/>
              </w:rPr>
              <w:t xml:space="preserve"> M., Iida S., et al Long</w:t>
            </w:r>
            <w:r w:rsidR="00EC1990">
              <w:rPr>
                <w:rFonts w:ascii="Arial Narrow" w:hAnsi="Arial Narrow" w:cs="Calibri"/>
                <w:sz w:val="20"/>
                <w:szCs w:val="20"/>
              </w:rPr>
              <w:noBreakHyphen/>
            </w:r>
            <w:r w:rsidRPr="000160C3">
              <w:rPr>
                <w:rFonts w:ascii="Arial Narrow" w:hAnsi="Arial Narrow" w:cs="Calibri"/>
                <w:sz w:val="20"/>
                <w:szCs w:val="20"/>
              </w:rPr>
              <w:t>term survival after elranatamab (ELRA) monotherapy in patients (pts) with relapsed or refractory multiple myeloma (RRMM): MagnetisMM</w:t>
            </w:r>
            <w:r w:rsidR="00EC1990">
              <w:rPr>
                <w:rFonts w:ascii="Arial Narrow" w:hAnsi="Arial Narrow" w:cs="Calibri"/>
                <w:sz w:val="20"/>
                <w:szCs w:val="20"/>
              </w:rPr>
              <w:noBreakHyphen/>
            </w:r>
            <w:r w:rsidRPr="000160C3">
              <w:rPr>
                <w:rFonts w:ascii="Arial Narrow" w:hAnsi="Arial Narrow" w:cs="Calibri"/>
                <w:sz w:val="20"/>
                <w:szCs w:val="20"/>
              </w:rPr>
              <w:t xml:space="preserve">3. </w:t>
            </w:r>
          </w:p>
        </w:tc>
        <w:tc>
          <w:tcPr>
            <w:tcW w:w="2350" w:type="dxa"/>
            <w:tcMar>
              <w:left w:w="28" w:type="dxa"/>
              <w:right w:w="28" w:type="dxa"/>
            </w:tcMar>
            <w:vAlign w:val="center"/>
          </w:tcPr>
          <w:p w14:paraId="6467D49C" w14:textId="77777777" w:rsidR="00521900" w:rsidRPr="000160C3" w:rsidRDefault="00521900" w:rsidP="001C47F4">
            <w:pPr>
              <w:jc w:val="left"/>
              <w:rPr>
                <w:rFonts w:ascii="Arial Narrow" w:hAnsi="Arial Narrow" w:cs="Calibri"/>
                <w:sz w:val="20"/>
                <w:szCs w:val="20"/>
              </w:rPr>
            </w:pPr>
            <w:r w:rsidRPr="000160C3">
              <w:rPr>
                <w:rFonts w:ascii="Arial Narrow" w:hAnsi="Arial Narrow" w:cs="Calibri"/>
                <w:sz w:val="20"/>
                <w:szCs w:val="20"/>
              </w:rPr>
              <w:t>Oncol. Res. Treat. 2024;47(Supplement 2):242. doi:10.1159/000540557</w:t>
            </w:r>
          </w:p>
        </w:tc>
      </w:tr>
      <w:tr w:rsidR="00521900" w:rsidRPr="000160C3" w14:paraId="70FD36F5" w14:textId="77777777" w:rsidTr="00CF4C8F">
        <w:trPr>
          <w:cantSplit/>
        </w:trPr>
        <w:tc>
          <w:tcPr>
            <w:tcW w:w="1276" w:type="dxa"/>
            <w:vMerge/>
            <w:tcMar>
              <w:left w:w="28" w:type="dxa"/>
              <w:right w:w="28" w:type="dxa"/>
            </w:tcMar>
            <w:vAlign w:val="center"/>
          </w:tcPr>
          <w:p w14:paraId="050DE9CE" w14:textId="77777777" w:rsidR="00521900" w:rsidRPr="000160C3" w:rsidRDefault="00521900" w:rsidP="001C47F4">
            <w:pPr>
              <w:rPr>
                <w:rFonts w:ascii="Arial Narrow" w:hAnsi="Arial Narrow" w:cs="Calibri"/>
                <w:sz w:val="20"/>
                <w:szCs w:val="20"/>
              </w:rPr>
            </w:pPr>
          </w:p>
        </w:tc>
        <w:tc>
          <w:tcPr>
            <w:tcW w:w="5446" w:type="dxa"/>
            <w:tcMar>
              <w:left w:w="28" w:type="dxa"/>
              <w:right w:w="28" w:type="dxa"/>
            </w:tcMar>
            <w:vAlign w:val="center"/>
          </w:tcPr>
          <w:p w14:paraId="01CF26AF" w14:textId="47B0234D" w:rsidR="00521900" w:rsidRPr="000160C3" w:rsidRDefault="00521900" w:rsidP="001C47F4">
            <w:pPr>
              <w:ind w:right="169"/>
              <w:rPr>
                <w:rFonts w:ascii="Arial Narrow" w:hAnsi="Arial Narrow" w:cs="Calibri"/>
                <w:sz w:val="20"/>
                <w:szCs w:val="20"/>
              </w:rPr>
            </w:pPr>
            <w:proofErr w:type="spellStart"/>
            <w:r w:rsidRPr="000160C3">
              <w:rPr>
                <w:rFonts w:ascii="Arial Narrow" w:hAnsi="Arial Narrow" w:cs="Calibri"/>
                <w:sz w:val="20"/>
                <w:szCs w:val="20"/>
              </w:rPr>
              <w:t>Mohty</w:t>
            </w:r>
            <w:proofErr w:type="spellEnd"/>
            <w:r w:rsidRPr="000160C3">
              <w:rPr>
                <w:rFonts w:ascii="Arial Narrow" w:hAnsi="Arial Narrow" w:cs="Calibri"/>
                <w:sz w:val="20"/>
                <w:szCs w:val="20"/>
              </w:rPr>
              <w:t xml:space="preserve"> M., </w:t>
            </w:r>
            <w:proofErr w:type="spellStart"/>
            <w:r w:rsidRPr="000160C3">
              <w:rPr>
                <w:rFonts w:ascii="Arial Narrow" w:hAnsi="Arial Narrow" w:cs="Calibri"/>
                <w:sz w:val="20"/>
                <w:szCs w:val="20"/>
              </w:rPr>
              <w:t>Bahlis</w:t>
            </w:r>
            <w:proofErr w:type="spellEnd"/>
            <w:r w:rsidRPr="000160C3">
              <w:rPr>
                <w:rFonts w:ascii="Arial Narrow" w:hAnsi="Arial Narrow" w:cs="Calibri"/>
                <w:sz w:val="20"/>
                <w:szCs w:val="20"/>
              </w:rPr>
              <w:t xml:space="preserve"> N.J., </w:t>
            </w:r>
            <w:proofErr w:type="spellStart"/>
            <w:r w:rsidRPr="000160C3">
              <w:rPr>
                <w:rFonts w:ascii="Arial Narrow" w:hAnsi="Arial Narrow" w:cs="Calibri"/>
                <w:sz w:val="20"/>
                <w:szCs w:val="20"/>
              </w:rPr>
              <w:t>Nooka</w:t>
            </w:r>
            <w:proofErr w:type="spellEnd"/>
            <w:r w:rsidRPr="000160C3">
              <w:rPr>
                <w:rFonts w:ascii="Arial Narrow" w:hAnsi="Arial Narrow" w:cs="Calibri"/>
                <w:sz w:val="20"/>
                <w:szCs w:val="20"/>
              </w:rPr>
              <w:t xml:space="preserve"> A.K., DiBonaventura M., Ren J., Conte U. Impact of elranatamab on quality of life: Patient</w:t>
            </w:r>
            <w:r w:rsidR="00EC1990">
              <w:rPr>
                <w:rFonts w:ascii="Arial Narrow" w:hAnsi="Arial Narrow" w:cs="Calibri"/>
                <w:sz w:val="20"/>
                <w:szCs w:val="20"/>
              </w:rPr>
              <w:noBreakHyphen/>
            </w:r>
            <w:r w:rsidRPr="000160C3">
              <w:rPr>
                <w:rFonts w:ascii="Arial Narrow" w:hAnsi="Arial Narrow" w:cs="Calibri"/>
                <w:sz w:val="20"/>
                <w:szCs w:val="20"/>
              </w:rPr>
              <w:t>reported outcomes from MagnetisMM</w:t>
            </w:r>
            <w:r w:rsidR="00EC1990">
              <w:rPr>
                <w:rFonts w:ascii="Arial Narrow" w:hAnsi="Arial Narrow" w:cs="Calibri"/>
                <w:sz w:val="20"/>
                <w:szCs w:val="20"/>
              </w:rPr>
              <w:noBreakHyphen/>
            </w:r>
            <w:r w:rsidRPr="000160C3">
              <w:rPr>
                <w:rFonts w:ascii="Arial Narrow" w:hAnsi="Arial Narrow" w:cs="Calibri"/>
                <w:sz w:val="20"/>
                <w:szCs w:val="20"/>
              </w:rPr>
              <w:t xml:space="preserve">3. </w:t>
            </w:r>
          </w:p>
        </w:tc>
        <w:tc>
          <w:tcPr>
            <w:tcW w:w="2350" w:type="dxa"/>
            <w:tcMar>
              <w:left w:w="28" w:type="dxa"/>
              <w:right w:w="28" w:type="dxa"/>
            </w:tcMar>
            <w:vAlign w:val="center"/>
          </w:tcPr>
          <w:p w14:paraId="030BA673" w14:textId="00BFDC0B" w:rsidR="00521900" w:rsidRPr="000160C3" w:rsidRDefault="00521900" w:rsidP="001C47F4">
            <w:pPr>
              <w:jc w:val="left"/>
              <w:rPr>
                <w:rFonts w:ascii="Arial Narrow" w:hAnsi="Arial Narrow" w:cs="Calibri"/>
                <w:sz w:val="20"/>
                <w:szCs w:val="20"/>
              </w:rPr>
            </w:pPr>
            <w:r w:rsidRPr="000160C3">
              <w:rPr>
                <w:rFonts w:ascii="Arial Narrow" w:hAnsi="Arial Narrow" w:cs="Calibri"/>
                <w:sz w:val="20"/>
                <w:szCs w:val="20"/>
              </w:rPr>
              <w:t xml:space="preserve">Br. J. </w:t>
            </w:r>
            <w:proofErr w:type="spellStart"/>
            <w:r w:rsidRPr="000160C3">
              <w:rPr>
                <w:rFonts w:ascii="Arial Narrow" w:hAnsi="Arial Narrow" w:cs="Calibri"/>
                <w:sz w:val="20"/>
                <w:szCs w:val="20"/>
              </w:rPr>
              <w:t>Haematol</w:t>
            </w:r>
            <w:proofErr w:type="spellEnd"/>
            <w:r w:rsidRPr="000160C3">
              <w:rPr>
                <w:rFonts w:ascii="Arial Narrow" w:hAnsi="Arial Narrow" w:cs="Calibri"/>
                <w:sz w:val="20"/>
                <w:szCs w:val="20"/>
              </w:rPr>
              <w:t>. 2024;204(5):1801</w:t>
            </w:r>
            <w:r w:rsidR="00EC1990">
              <w:rPr>
                <w:rFonts w:ascii="Arial Narrow" w:hAnsi="Arial Narrow" w:cs="Calibri"/>
                <w:sz w:val="20"/>
                <w:szCs w:val="20"/>
              </w:rPr>
              <w:noBreakHyphen/>
            </w:r>
            <w:r w:rsidRPr="000160C3">
              <w:rPr>
                <w:rFonts w:ascii="Arial Narrow" w:hAnsi="Arial Narrow" w:cs="Calibri"/>
                <w:sz w:val="20"/>
                <w:szCs w:val="20"/>
              </w:rPr>
              <w:t>1810. doi:10.1111/bjh.19346</w:t>
            </w:r>
          </w:p>
        </w:tc>
      </w:tr>
    </w:tbl>
    <w:p w14:paraId="3D325A26" w14:textId="77777777" w:rsidR="00521900" w:rsidRPr="000160C3" w:rsidRDefault="00521900" w:rsidP="001C47F4">
      <w:pPr>
        <w:pStyle w:val="FooterTableFigure"/>
      </w:pPr>
      <w:r w:rsidRPr="000160C3">
        <w:lastRenderedPageBreak/>
        <w:t>Source: Table 2.7, p64 of the submission.</w:t>
      </w:r>
    </w:p>
    <w:p w14:paraId="4FB92D75" w14:textId="77777777" w:rsidR="00521900" w:rsidRPr="000160C3" w:rsidRDefault="00521900" w:rsidP="001C47F4">
      <w:pPr>
        <w:pStyle w:val="FooterTableFigure"/>
      </w:pPr>
    </w:p>
    <w:p w14:paraId="0E11D08D" w14:textId="788115FF" w:rsidR="00521900" w:rsidRPr="000160C3" w:rsidRDefault="00521900" w:rsidP="001C47F4">
      <w:pPr>
        <w:pStyle w:val="3-BodyText"/>
      </w:pPr>
      <w:r w:rsidRPr="000160C3">
        <w:t xml:space="preserve">The overall risk of bias in </w:t>
      </w:r>
      <w:r w:rsidR="00F8465A" w:rsidRPr="000160C3">
        <w:t xml:space="preserve">both </w:t>
      </w:r>
      <w:r w:rsidRPr="000160C3">
        <w:t>MajesTEC</w:t>
      </w:r>
      <w:r w:rsidR="00EC1990">
        <w:noBreakHyphen/>
      </w:r>
      <w:r w:rsidRPr="000160C3">
        <w:t>1 and Magn</w:t>
      </w:r>
      <w:r w:rsidR="00C66A71" w:rsidRPr="000160C3">
        <w:t>e</w:t>
      </w:r>
      <w:r w:rsidRPr="000160C3">
        <w:t>tisMM</w:t>
      </w:r>
      <w:r w:rsidR="00EC1990">
        <w:noBreakHyphen/>
      </w:r>
      <w:r w:rsidRPr="000160C3">
        <w:t xml:space="preserve">3 was high due to </w:t>
      </w:r>
      <w:r w:rsidR="00FB3DDC" w:rsidRPr="000160C3">
        <w:t xml:space="preserve">the </w:t>
      </w:r>
      <w:r w:rsidR="00AF2B48" w:rsidRPr="000160C3">
        <w:t>study</w:t>
      </w:r>
      <w:r w:rsidR="00FB3DDC" w:rsidRPr="000160C3">
        <w:t xml:space="preserve"> design</w:t>
      </w:r>
      <w:r w:rsidR="002C0D85" w:rsidRPr="000160C3">
        <w:t>s</w:t>
      </w:r>
      <w:r w:rsidR="00FB3DDC" w:rsidRPr="000160C3">
        <w:t xml:space="preserve"> (</w:t>
      </w:r>
      <w:r w:rsidRPr="000160C3">
        <w:t>open</w:t>
      </w:r>
      <w:r w:rsidR="00EC1990">
        <w:noBreakHyphen/>
      </w:r>
      <w:r w:rsidRPr="000160C3">
        <w:t>label, single</w:t>
      </w:r>
      <w:r w:rsidR="00EC1990">
        <w:noBreakHyphen/>
      </w:r>
      <w:r w:rsidRPr="000160C3">
        <w:t>arm</w:t>
      </w:r>
      <w:r w:rsidR="00FB3DDC" w:rsidRPr="000160C3">
        <w:t>)</w:t>
      </w:r>
      <w:r w:rsidRPr="000160C3">
        <w:t>.</w:t>
      </w:r>
      <w:r w:rsidR="00EC1990">
        <w:t xml:space="preserve"> </w:t>
      </w:r>
    </w:p>
    <w:p w14:paraId="38096933" w14:textId="5F20E236" w:rsidR="002C0D85" w:rsidRPr="000160C3" w:rsidRDefault="00521900" w:rsidP="001C47F4">
      <w:pPr>
        <w:pStyle w:val="3-BodyText"/>
      </w:pPr>
      <w:r w:rsidRPr="000160C3">
        <w:t>The submission presented results from MajesTEC</w:t>
      </w:r>
      <w:r w:rsidR="00EC1990">
        <w:noBreakHyphen/>
      </w:r>
      <w:r w:rsidRPr="000160C3">
        <w:t>1 from the final analysis for both the RP2D population (clinical cut</w:t>
      </w:r>
      <w:r w:rsidR="00EC1990">
        <w:noBreakHyphen/>
      </w:r>
      <w:r w:rsidRPr="000160C3">
        <w:t>off [CCO] 22 August 2023, median follow</w:t>
      </w:r>
      <w:r w:rsidR="00EC1990">
        <w:noBreakHyphen/>
      </w:r>
      <w:r w:rsidRPr="000160C3">
        <w:t>up 30.4 months) and the China Cohort (CCO 27 September 2024, median follow</w:t>
      </w:r>
      <w:r w:rsidR="00EC1990">
        <w:noBreakHyphen/>
      </w:r>
      <w:r w:rsidRPr="000160C3">
        <w:t>up 27.2 months). These data were</w:t>
      </w:r>
      <w:r w:rsidR="00B1248D" w:rsidRPr="000160C3">
        <w:t xml:space="preserve"> </w:t>
      </w:r>
      <w:r w:rsidRPr="000160C3">
        <w:t xml:space="preserve">included in the </w:t>
      </w:r>
      <w:r w:rsidR="007A68C9" w:rsidRPr="000160C3">
        <w:t xml:space="preserve">submission's </w:t>
      </w:r>
      <w:r w:rsidRPr="000160C3">
        <w:t xml:space="preserve">MAIC versus elranatamab. </w:t>
      </w:r>
    </w:p>
    <w:p w14:paraId="69FCBEF7" w14:textId="17B35190" w:rsidR="00521900" w:rsidRPr="000160C3" w:rsidRDefault="00521900" w:rsidP="001C47F4">
      <w:pPr>
        <w:pStyle w:val="3-BodyText"/>
      </w:pPr>
      <w:r w:rsidRPr="000160C3">
        <w:t>For Magn</w:t>
      </w:r>
      <w:r w:rsidR="00C66A71" w:rsidRPr="000160C3">
        <w:t>e</w:t>
      </w:r>
      <w:r w:rsidRPr="000160C3">
        <w:t>t</w:t>
      </w:r>
      <w:r w:rsidR="00C66A71" w:rsidRPr="000160C3">
        <w:t>i</w:t>
      </w:r>
      <w:r w:rsidRPr="000160C3">
        <w:t>sMM</w:t>
      </w:r>
      <w:r w:rsidR="00EC1990">
        <w:noBreakHyphen/>
      </w:r>
      <w:r w:rsidRPr="000160C3">
        <w:t xml:space="preserve">3, the efficacy results used in the unanchored MAIC </w:t>
      </w:r>
      <w:r w:rsidR="00B1248D" w:rsidRPr="000160C3">
        <w:t>were informed by</w:t>
      </w:r>
      <w:r w:rsidRPr="000160C3">
        <w:t xml:space="preserve"> Prince 2024 (data cut</w:t>
      </w:r>
      <w:r w:rsidR="00EC1990">
        <w:noBreakHyphen/>
      </w:r>
      <w:r w:rsidRPr="000160C3">
        <w:t>off September 10</w:t>
      </w:r>
      <w:r w:rsidR="006E771D" w:rsidRPr="000160C3">
        <w:t>, 2024</w:t>
      </w:r>
      <w:r w:rsidR="00C145B5" w:rsidRPr="000160C3">
        <w:t>, median follow</w:t>
      </w:r>
      <w:r w:rsidR="00EC1990">
        <w:noBreakHyphen/>
      </w:r>
      <w:r w:rsidR="00C145B5" w:rsidRPr="000160C3">
        <w:t>up of 33.9 months</w:t>
      </w:r>
      <w:r w:rsidRPr="000160C3">
        <w:t xml:space="preserve">). </w:t>
      </w:r>
      <w:r w:rsidR="00D57D27" w:rsidRPr="000160C3">
        <w:t>T</w:t>
      </w:r>
      <w:r w:rsidRPr="000160C3">
        <w:t xml:space="preserve">hese results were presented only in an abstract </w:t>
      </w:r>
      <w:r w:rsidR="00D57D27" w:rsidRPr="000160C3">
        <w:t>with</w:t>
      </w:r>
      <w:r w:rsidRPr="000160C3">
        <w:t xml:space="preserve"> limited </w:t>
      </w:r>
      <w:r w:rsidR="00D57D27" w:rsidRPr="000160C3">
        <w:t xml:space="preserve">information. </w:t>
      </w:r>
      <w:r w:rsidR="001A769E" w:rsidRPr="000160C3">
        <w:t>S</w:t>
      </w:r>
      <w:r w:rsidRPr="000160C3">
        <w:t xml:space="preserve">afety results </w:t>
      </w:r>
      <w:r w:rsidR="00D57D27" w:rsidRPr="000160C3">
        <w:t xml:space="preserve">for elranatamab </w:t>
      </w:r>
      <w:r w:rsidRPr="000160C3">
        <w:t xml:space="preserve">were sourced from an earlier CCO, </w:t>
      </w:r>
      <w:proofErr w:type="spellStart"/>
      <w:r w:rsidRPr="000160C3">
        <w:t>Lesokhin</w:t>
      </w:r>
      <w:proofErr w:type="spellEnd"/>
      <w:r w:rsidRPr="000160C3">
        <w:t xml:space="preserve"> 2023</w:t>
      </w:r>
      <w:r w:rsidR="00394681" w:rsidRPr="000160C3">
        <w:t xml:space="preserve"> </w:t>
      </w:r>
      <w:r w:rsidR="001A769E" w:rsidRPr="000160C3">
        <w:t>with a shorter follow</w:t>
      </w:r>
      <w:r w:rsidR="00EC1990">
        <w:noBreakHyphen/>
      </w:r>
      <w:r w:rsidR="001A769E" w:rsidRPr="000160C3">
        <w:t>up time (</w:t>
      </w:r>
      <w:r w:rsidR="00394681" w:rsidRPr="000160C3">
        <w:t>median follow</w:t>
      </w:r>
      <w:r w:rsidR="00EC1990">
        <w:noBreakHyphen/>
      </w:r>
      <w:r w:rsidR="00394681" w:rsidRPr="000160C3">
        <w:t>up of 14.7 months</w:t>
      </w:r>
      <w:r w:rsidR="001A769E" w:rsidRPr="000160C3">
        <w:t>)</w:t>
      </w:r>
      <w:r w:rsidRPr="000160C3">
        <w:t>.</w:t>
      </w:r>
      <w:r w:rsidR="00A54768" w:rsidRPr="000160C3">
        <w:t xml:space="preserve"> A short median follow</w:t>
      </w:r>
      <w:r w:rsidR="00EC1990">
        <w:noBreakHyphen/>
      </w:r>
      <w:r w:rsidR="00A54768" w:rsidRPr="000160C3">
        <w:t>up limits the ability to fully characterise the safety profile, as late</w:t>
      </w:r>
      <w:r w:rsidR="00EC1990">
        <w:noBreakHyphen/>
      </w:r>
      <w:r w:rsidR="00A54768" w:rsidRPr="000160C3">
        <w:t>onset, cumulative, and rare adverse events may be under</w:t>
      </w:r>
      <w:r w:rsidR="00EC1990">
        <w:noBreakHyphen/>
      </w:r>
      <w:r w:rsidR="00A54768" w:rsidRPr="000160C3">
        <w:t>reported.</w:t>
      </w:r>
    </w:p>
    <w:p w14:paraId="532EDE9A" w14:textId="42F0E4D6" w:rsidR="00521900" w:rsidRPr="000160C3" w:rsidRDefault="00521900" w:rsidP="001C47F4">
      <w:pPr>
        <w:pStyle w:val="3-BodyText"/>
        <w:rPr>
          <w:color w:val="0066FF"/>
        </w:rPr>
      </w:pPr>
      <w:r w:rsidRPr="000160C3">
        <w:t xml:space="preserve">The key features of the single arm </w:t>
      </w:r>
      <w:r w:rsidR="005D5D0C" w:rsidRPr="000160C3">
        <w:t>studies</w:t>
      </w:r>
      <w:r w:rsidRPr="000160C3">
        <w:t xml:space="preserve"> are summarised in </w:t>
      </w:r>
      <w:r w:rsidRPr="000160C3">
        <w:fldChar w:fldCharType="begin"/>
      </w:r>
      <w:r w:rsidRPr="000160C3">
        <w:instrText xml:space="preserve"> REF _Ref104804098 \h  \* MERGEFORMAT </w:instrText>
      </w:r>
      <w:r w:rsidRPr="000160C3">
        <w:fldChar w:fldCharType="separate"/>
      </w:r>
      <w:r w:rsidR="001C47F4" w:rsidRPr="001C47F4">
        <w:t>Table 3</w:t>
      </w:r>
      <w:r w:rsidRPr="000160C3">
        <w:fldChar w:fldCharType="end"/>
      </w:r>
      <w:r w:rsidRPr="000160C3">
        <w:t xml:space="preserve">. </w:t>
      </w:r>
    </w:p>
    <w:p w14:paraId="481EA9C7" w14:textId="038AA338" w:rsidR="00521900" w:rsidRPr="000160C3" w:rsidRDefault="00521900" w:rsidP="001C47F4">
      <w:pPr>
        <w:pStyle w:val="Caption"/>
        <w:rPr>
          <w:rStyle w:val="CommentReference"/>
          <w:rFonts w:eastAsiaTheme="majorEastAsia" w:cstheme="majorBidi"/>
          <w:b/>
          <w:szCs w:val="24"/>
        </w:rPr>
      </w:pPr>
      <w:bookmarkStart w:id="23" w:name="_Ref104804098"/>
      <w:r w:rsidRPr="000160C3">
        <w:rPr>
          <w:rStyle w:val="CommentReference"/>
          <w:rFonts w:eastAsiaTheme="majorEastAsia" w:cstheme="majorBidi"/>
          <w:b/>
          <w:szCs w:val="24"/>
        </w:rPr>
        <w:t xml:space="preserve">Table </w:t>
      </w:r>
      <w:r w:rsidRPr="000160C3">
        <w:rPr>
          <w:rStyle w:val="CommentReference"/>
          <w:rFonts w:eastAsiaTheme="majorEastAsia" w:cstheme="majorBidi"/>
          <w:b/>
          <w:szCs w:val="24"/>
        </w:rPr>
        <w:fldChar w:fldCharType="begin"/>
      </w:r>
      <w:r w:rsidRPr="000160C3">
        <w:rPr>
          <w:rStyle w:val="CommentReference"/>
          <w:rFonts w:eastAsiaTheme="majorEastAsia" w:cstheme="majorBidi"/>
          <w:b/>
          <w:szCs w:val="24"/>
        </w:rPr>
        <w:instrText xml:space="preserve"> SEQ Table \* ARABIC </w:instrText>
      </w:r>
      <w:r w:rsidRPr="000160C3">
        <w:rPr>
          <w:rStyle w:val="CommentReference"/>
          <w:rFonts w:eastAsiaTheme="majorEastAsia" w:cstheme="majorBidi"/>
          <w:b/>
          <w:szCs w:val="24"/>
        </w:rPr>
        <w:fldChar w:fldCharType="separate"/>
      </w:r>
      <w:r w:rsidR="001C47F4">
        <w:rPr>
          <w:rStyle w:val="CommentReference"/>
          <w:rFonts w:eastAsiaTheme="majorEastAsia" w:cstheme="majorBidi"/>
          <w:b/>
          <w:noProof/>
          <w:szCs w:val="24"/>
        </w:rPr>
        <w:t>3</w:t>
      </w:r>
      <w:r w:rsidRPr="000160C3">
        <w:rPr>
          <w:rStyle w:val="CommentReference"/>
          <w:rFonts w:eastAsiaTheme="majorEastAsia" w:cstheme="majorBidi"/>
          <w:b/>
          <w:szCs w:val="24"/>
        </w:rPr>
        <w:fldChar w:fldCharType="end"/>
      </w:r>
      <w:bookmarkEnd w:id="23"/>
      <w:r w:rsidRPr="000160C3">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included evidence"/>
      </w:tblPr>
      <w:tblGrid>
        <w:gridCol w:w="1271"/>
        <w:gridCol w:w="1417"/>
        <w:gridCol w:w="2410"/>
        <w:gridCol w:w="709"/>
        <w:gridCol w:w="1843"/>
        <w:gridCol w:w="1412"/>
      </w:tblGrid>
      <w:tr w:rsidR="0005477A" w:rsidRPr="000160C3" w14:paraId="21E199F6" w14:textId="77777777" w:rsidTr="0005477A">
        <w:trPr>
          <w:cantSplit/>
          <w:tblHeader/>
        </w:trPr>
        <w:tc>
          <w:tcPr>
            <w:tcW w:w="701" w:type="pct"/>
            <w:vAlign w:val="center"/>
          </w:tcPr>
          <w:p w14:paraId="5B6401C5" w14:textId="571929C2" w:rsidR="0005477A" w:rsidRPr="000160C3" w:rsidRDefault="0005477A" w:rsidP="001C47F4">
            <w:pPr>
              <w:pStyle w:val="In-tableHeading"/>
            </w:pPr>
            <w:r w:rsidRPr="000160C3">
              <w:t>Study</w:t>
            </w:r>
          </w:p>
        </w:tc>
        <w:tc>
          <w:tcPr>
            <w:tcW w:w="782" w:type="pct"/>
            <w:vAlign w:val="center"/>
          </w:tcPr>
          <w:p w14:paraId="26A4D189" w14:textId="77777777" w:rsidR="0005477A" w:rsidRPr="000160C3" w:rsidRDefault="0005477A" w:rsidP="001C47F4">
            <w:pPr>
              <w:pStyle w:val="In-tableHeading"/>
            </w:pPr>
            <w:r w:rsidRPr="000160C3">
              <w:t>N</w:t>
            </w:r>
          </w:p>
        </w:tc>
        <w:tc>
          <w:tcPr>
            <w:tcW w:w="1330" w:type="pct"/>
            <w:vAlign w:val="center"/>
          </w:tcPr>
          <w:p w14:paraId="1C074EFC" w14:textId="77777777" w:rsidR="0005477A" w:rsidRPr="000160C3" w:rsidRDefault="0005477A" w:rsidP="001C47F4">
            <w:pPr>
              <w:pStyle w:val="In-tableHeading"/>
            </w:pPr>
            <w:r w:rsidRPr="000160C3">
              <w:t>Design/ duration</w:t>
            </w:r>
          </w:p>
        </w:tc>
        <w:tc>
          <w:tcPr>
            <w:tcW w:w="391" w:type="pct"/>
            <w:vAlign w:val="center"/>
          </w:tcPr>
          <w:p w14:paraId="5F6DE7B2" w14:textId="77777777" w:rsidR="0005477A" w:rsidRPr="000160C3" w:rsidRDefault="0005477A" w:rsidP="001C47F4">
            <w:pPr>
              <w:pStyle w:val="In-tableHeading"/>
            </w:pPr>
            <w:r w:rsidRPr="000160C3">
              <w:t>Risk of bias</w:t>
            </w:r>
          </w:p>
        </w:tc>
        <w:tc>
          <w:tcPr>
            <w:tcW w:w="1017" w:type="pct"/>
            <w:vAlign w:val="center"/>
          </w:tcPr>
          <w:p w14:paraId="165E82D0" w14:textId="77777777" w:rsidR="0005477A" w:rsidRPr="000160C3" w:rsidRDefault="0005477A" w:rsidP="001C47F4">
            <w:pPr>
              <w:pStyle w:val="In-tableHeading"/>
            </w:pPr>
            <w:r w:rsidRPr="000160C3">
              <w:t>Patient population</w:t>
            </w:r>
          </w:p>
        </w:tc>
        <w:tc>
          <w:tcPr>
            <w:tcW w:w="779" w:type="pct"/>
            <w:vAlign w:val="center"/>
          </w:tcPr>
          <w:p w14:paraId="559074E7" w14:textId="075556BD" w:rsidR="0005477A" w:rsidRPr="000160C3" w:rsidRDefault="0005477A" w:rsidP="001C47F4">
            <w:pPr>
              <w:pStyle w:val="In-tableHeading"/>
            </w:pPr>
            <w:r w:rsidRPr="000160C3">
              <w:t>Outcome(s)</w:t>
            </w:r>
          </w:p>
        </w:tc>
      </w:tr>
      <w:tr w:rsidR="00521900" w:rsidRPr="000160C3" w14:paraId="291A24D2" w14:textId="77777777" w:rsidTr="002C2D44">
        <w:trPr>
          <w:cantSplit/>
        </w:trPr>
        <w:tc>
          <w:tcPr>
            <w:tcW w:w="5000" w:type="pct"/>
            <w:gridSpan w:val="6"/>
            <w:vAlign w:val="center"/>
          </w:tcPr>
          <w:p w14:paraId="66DC3640" w14:textId="77777777" w:rsidR="00521900" w:rsidRPr="000160C3" w:rsidRDefault="00521900" w:rsidP="001C47F4">
            <w:pPr>
              <w:pStyle w:val="In-tableHeading"/>
            </w:pPr>
            <w:r w:rsidRPr="000160C3">
              <w:t>Teclistamab</w:t>
            </w:r>
          </w:p>
        </w:tc>
      </w:tr>
      <w:tr w:rsidR="0005477A" w:rsidRPr="000160C3" w14:paraId="099D9122" w14:textId="77777777" w:rsidTr="0005477A">
        <w:trPr>
          <w:cantSplit/>
          <w:trHeight w:val="406"/>
        </w:trPr>
        <w:tc>
          <w:tcPr>
            <w:tcW w:w="701" w:type="pct"/>
            <w:vAlign w:val="center"/>
          </w:tcPr>
          <w:p w14:paraId="6B035185" w14:textId="7EB44D87" w:rsidR="0005477A" w:rsidRPr="000160C3" w:rsidRDefault="0005477A" w:rsidP="001C47F4">
            <w:pPr>
              <w:pStyle w:val="TableText0"/>
              <w:keepNext/>
              <w:keepLines/>
              <w:spacing w:line="240" w:lineRule="auto"/>
            </w:pPr>
            <w:r w:rsidRPr="000160C3">
              <w:t>MajesTEC</w:t>
            </w:r>
            <w:r w:rsidR="00EC1990">
              <w:noBreakHyphen/>
            </w:r>
            <w:r w:rsidRPr="000160C3">
              <w:t>1</w:t>
            </w:r>
          </w:p>
        </w:tc>
        <w:tc>
          <w:tcPr>
            <w:tcW w:w="782" w:type="pct"/>
            <w:vAlign w:val="center"/>
          </w:tcPr>
          <w:p w14:paraId="3224FD9F" w14:textId="1676F86F" w:rsidR="0005477A" w:rsidRPr="000160C3" w:rsidRDefault="0005477A" w:rsidP="001C47F4">
            <w:pPr>
              <w:pStyle w:val="TableText0"/>
              <w:keepNext/>
              <w:keepLines/>
              <w:spacing w:line="240" w:lineRule="auto"/>
            </w:pPr>
            <w:r w:rsidRPr="000160C3">
              <w:t>RP2D: 165</w:t>
            </w:r>
          </w:p>
          <w:p w14:paraId="3FE159ED" w14:textId="7E9069BE" w:rsidR="0005477A" w:rsidRPr="000160C3" w:rsidRDefault="0005477A" w:rsidP="001C47F4">
            <w:pPr>
              <w:pStyle w:val="TableText0"/>
              <w:keepNext/>
              <w:keepLines/>
              <w:spacing w:line="240" w:lineRule="auto"/>
            </w:pPr>
            <w:r w:rsidRPr="000160C3">
              <w:t>China Cohort: 26</w:t>
            </w:r>
          </w:p>
        </w:tc>
        <w:tc>
          <w:tcPr>
            <w:tcW w:w="1330" w:type="pct"/>
            <w:vAlign w:val="center"/>
          </w:tcPr>
          <w:p w14:paraId="773B1032" w14:textId="77777777" w:rsidR="0005477A" w:rsidRPr="000160C3" w:rsidRDefault="0005477A" w:rsidP="001C47F4">
            <w:pPr>
              <w:pStyle w:val="TableText0"/>
              <w:keepNext/>
              <w:keepLines/>
              <w:spacing w:line="240" w:lineRule="auto"/>
            </w:pPr>
            <w:r w:rsidRPr="000160C3">
              <w:t>Phase II, single arm, OL</w:t>
            </w:r>
            <w:r w:rsidRPr="000160C3">
              <w:br/>
              <w:t xml:space="preserve">RP2D: 30.4 months FU </w:t>
            </w:r>
          </w:p>
          <w:p w14:paraId="1853E5EE" w14:textId="1BE95902" w:rsidR="0005477A" w:rsidRPr="000160C3" w:rsidRDefault="0005477A" w:rsidP="001C47F4">
            <w:pPr>
              <w:pStyle w:val="TableText0"/>
              <w:keepNext/>
              <w:keepLines/>
              <w:spacing w:line="240" w:lineRule="auto"/>
            </w:pPr>
            <w:r w:rsidRPr="000160C3">
              <w:t>China Cohort: 27.2 months FU</w:t>
            </w:r>
          </w:p>
        </w:tc>
        <w:tc>
          <w:tcPr>
            <w:tcW w:w="391" w:type="pct"/>
            <w:vAlign w:val="center"/>
          </w:tcPr>
          <w:p w14:paraId="65A89860" w14:textId="77777777" w:rsidR="0005477A" w:rsidRPr="000160C3" w:rsidRDefault="0005477A" w:rsidP="001C47F4">
            <w:pPr>
              <w:pStyle w:val="TableText0"/>
              <w:keepNext/>
              <w:keepLines/>
              <w:spacing w:line="240" w:lineRule="auto"/>
            </w:pPr>
            <w:r w:rsidRPr="000160C3">
              <w:t>High</w:t>
            </w:r>
          </w:p>
        </w:tc>
        <w:tc>
          <w:tcPr>
            <w:tcW w:w="1017" w:type="pct"/>
            <w:vAlign w:val="center"/>
          </w:tcPr>
          <w:p w14:paraId="0FEA8E91" w14:textId="77777777" w:rsidR="0005477A" w:rsidRPr="000160C3" w:rsidRDefault="0005477A" w:rsidP="001C47F4">
            <w:pPr>
              <w:pStyle w:val="TableText0"/>
              <w:keepNext/>
              <w:keepLines/>
              <w:spacing w:line="240" w:lineRule="auto"/>
            </w:pPr>
            <w:r w:rsidRPr="000160C3">
              <w:t>TCE RRMM</w:t>
            </w:r>
          </w:p>
        </w:tc>
        <w:tc>
          <w:tcPr>
            <w:tcW w:w="779" w:type="pct"/>
            <w:vAlign w:val="center"/>
          </w:tcPr>
          <w:p w14:paraId="3182FFD6" w14:textId="378ADA70" w:rsidR="0005477A" w:rsidRPr="000160C3" w:rsidRDefault="0005477A" w:rsidP="001C47F4">
            <w:pPr>
              <w:pStyle w:val="TableText0"/>
              <w:keepNext/>
              <w:keepLines/>
              <w:spacing w:line="240" w:lineRule="auto"/>
            </w:pPr>
            <w:r w:rsidRPr="000160C3">
              <w:t>ORR, PFS, OS, DoR; QoL</w:t>
            </w:r>
          </w:p>
        </w:tc>
      </w:tr>
      <w:tr w:rsidR="00521900" w:rsidRPr="000160C3" w14:paraId="24529126" w14:textId="77777777" w:rsidTr="002C2D44">
        <w:trPr>
          <w:cantSplit/>
        </w:trPr>
        <w:tc>
          <w:tcPr>
            <w:tcW w:w="5000" w:type="pct"/>
            <w:gridSpan w:val="6"/>
            <w:vAlign w:val="center"/>
          </w:tcPr>
          <w:p w14:paraId="7CD57766" w14:textId="77777777" w:rsidR="00521900" w:rsidRPr="000160C3" w:rsidRDefault="00521900" w:rsidP="001C47F4">
            <w:pPr>
              <w:pStyle w:val="TableText0"/>
              <w:keepNext/>
              <w:keepLines/>
              <w:spacing w:line="240" w:lineRule="auto"/>
              <w:rPr>
                <w:b/>
                <w:bCs w:val="0"/>
              </w:rPr>
            </w:pPr>
            <w:r w:rsidRPr="000160C3">
              <w:rPr>
                <w:b/>
                <w:bCs w:val="0"/>
              </w:rPr>
              <w:t>Elranatamab</w:t>
            </w:r>
          </w:p>
        </w:tc>
      </w:tr>
      <w:tr w:rsidR="0005477A" w:rsidRPr="000160C3" w14:paraId="07F3B416" w14:textId="77777777" w:rsidTr="0005477A">
        <w:trPr>
          <w:cantSplit/>
        </w:trPr>
        <w:tc>
          <w:tcPr>
            <w:tcW w:w="701" w:type="pct"/>
            <w:vAlign w:val="center"/>
          </w:tcPr>
          <w:p w14:paraId="0E97137C" w14:textId="7156DAFE" w:rsidR="0005477A" w:rsidRPr="000160C3" w:rsidRDefault="0005477A" w:rsidP="001C47F4">
            <w:pPr>
              <w:pStyle w:val="TableText0"/>
              <w:keepNext/>
              <w:keepLines/>
              <w:spacing w:line="240" w:lineRule="auto"/>
            </w:pPr>
            <w:r w:rsidRPr="000160C3">
              <w:t>MagnetisMM</w:t>
            </w:r>
            <w:r w:rsidR="00EC1990">
              <w:noBreakHyphen/>
            </w:r>
            <w:r w:rsidRPr="000160C3">
              <w:t xml:space="preserve">3 </w:t>
            </w:r>
          </w:p>
        </w:tc>
        <w:tc>
          <w:tcPr>
            <w:tcW w:w="782" w:type="pct"/>
            <w:vAlign w:val="center"/>
          </w:tcPr>
          <w:p w14:paraId="54D323C2" w14:textId="77777777" w:rsidR="0005477A" w:rsidRPr="000160C3" w:rsidRDefault="0005477A" w:rsidP="001C47F4">
            <w:pPr>
              <w:pStyle w:val="TableText0"/>
              <w:keepNext/>
              <w:keepLines/>
              <w:spacing w:line="240" w:lineRule="auto"/>
            </w:pPr>
            <w:r w:rsidRPr="000160C3">
              <w:t>Cohort A: 123</w:t>
            </w:r>
          </w:p>
        </w:tc>
        <w:tc>
          <w:tcPr>
            <w:tcW w:w="1330" w:type="pct"/>
            <w:vAlign w:val="center"/>
          </w:tcPr>
          <w:p w14:paraId="430FADA8" w14:textId="505214F8" w:rsidR="0005477A" w:rsidRPr="000160C3" w:rsidRDefault="0005477A" w:rsidP="001C47F4">
            <w:pPr>
              <w:pStyle w:val="TableText0"/>
              <w:keepNext/>
              <w:keepLines/>
              <w:spacing w:line="240" w:lineRule="auto"/>
            </w:pPr>
            <w:r w:rsidRPr="000160C3">
              <w:t>Phase II, single arm, OL</w:t>
            </w:r>
            <w:r w:rsidRPr="000160C3">
              <w:br/>
              <w:t>33.9 months follow</w:t>
            </w:r>
            <w:r w:rsidR="00EC1990">
              <w:noBreakHyphen/>
            </w:r>
            <w:r w:rsidRPr="000160C3">
              <w:t>up</w:t>
            </w:r>
          </w:p>
        </w:tc>
        <w:tc>
          <w:tcPr>
            <w:tcW w:w="391" w:type="pct"/>
            <w:vAlign w:val="center"/>
          </w:tcPr>
          <w:p w14:paraId="4B85DA40" w14:textId="77777777" w:rsidR="0005477A" w:rsidRPr="000160C3" w:rsidRDefault="0005477A" w:rsidP="001C47F4">
            <w:pPr>
              <w:pStyle w:val="TableText0"/>
              <w:keepNext/>
              <w:keepLines/>
              <w:spacing w:line="240" w:lineRule="auto"/>
            </w:pPr>
            <w:r w:rsidRPr="000160C3">
              <w:t>High</w:t>
            </w:r>
          </w:p>
        </w:tc>
        <w:tc>
          <w:tcPr>
            <w:tcW w:w="1017" w:type="pct"/>
            <w:vAlign w:val="center"/>
          </w:tcPr>
          <w:p w14:paraId="6912A961" w14:textId="0033F448" w:rsidR="0005477A" w:rsidRPr="000160C3" w:rsidRDefault="0005477A" w:rsidP="001C47F4">
            <w:pPr>
              <w:pStyle w:val="TableText0"/>
              <w:keepNext/>
              <w:keepLines/>
              <w:spacing w:line="240" w:lineRule="auto"/>
            </w:pPr>
            <w:r w:rsidRPr="000160C3">
              <w:t xml:space="preserve">Refractory to at least one </w:t>
            </w:r>
            <w:proofErr w:type="spellStart"/>
            <w:r w:rsidRPr="000160C3">
              <w:t>IMiD</w:t>
            </w:r>
            <w:proofErr w:type="spellEnd"/>
            <w:r w:rsidRPr="000160C3">
              <w:t>, one PI, and one anti</w:t>
            </w:r>
            <w:r w:rsidR="00EC1990">
              <w:noBreakHyphen/>
            </w:r>
            <w:r w:rsidRPr="000160C3">
              <w:t>CD38 antibody</w:t>
            </w:r>
          </w:p>
        </w:tc>
        <w:tc>
          <w:tcPr>
            <w:tcW w:w="779" w:type="pct"/>
            <w:vAlign w:val="center"/>
          </w:tcPr>
          <w:p w14:paraId="682253BF" w14:textId="57C20B05" w:rsidR="0005477A" w:rsidRPr="000160C3" w:rsidRDefault="0005477A" w:rsidP="001C47F4">
            <w:pPr>
              <w:pStyle w:val="TableText0"/>
              <w:keepNext/>
              <w:keepLines/>
              <w:spacing w:line="240" w:lineRule="auto"/>
            </w:pPr>
            <w:r w:rsidRPr="000160C3">
              <w:t>ORR, PFS, DoR; OS.</w:t>
            </w:r>
          </w:p>
        </w:tc>
      </w:tr>
    </w:tbl>
    <w:p w14:paraId="2B506079" w14:textId="2AD6AA38" w:rsidR="00521900" w:rsidRPr="000160C3" w:rsidRDefault="00521900" w:rsidP="001C47F4">
      <w:pPr>
        <w:pStyle w:val="FooterTableFigure"/>
      </w:pPr>
      <w:r w:rsidRPr="000160C3">
        <w:t>Source: Table 2.</w:t>
      </w:r>
      <w:r w:rsidR="002443B2" w:rsidRPr="000160C3">
        <w:t>10</w:t>
      </w:r>
      <w:r w:rsidRPr="000160C3">
        <w:t>, p74, of the submission.</w:t>
      </w:r>
    </w:p>
    <w:p w14:paraId="4591C970" w14:textId="2E49F4A1" w:rsidR="00521900" w:rsidRPr="000160C3" w:rsidRDefault="00521900" w:rsidP="001C47F4">
      <w:pPr>
        <w:pStyle w:val="FooterTableFigure"/>
      </w:pPr>
      <w:r w:rsidRPr="000160C3">
        <w:t>CMA = cost</w:t>
      </w:r>
      <w:r w:rsidR="00EC1990">
        <w:noBreakHyphen/>
      </w:r>
      <w:r w:rsidRPr="000160C3">
        <w:t>minimisation approach; DoR = duration of response; FU = follow</w:t>
      </w:r>
      <w:r w:rsidR="00EC1990">
        <w:noBreakHyphen/>
      </w:r>
      <w:r w:rsidRPr="000160C3">
        <w:t xml:space="preserve">up; II = phase 2; </w:t>
      </w:r>
      <w:proofErr w:type="spellStart"/>
      <w:r w:rsidRPr="000160C3">
        <w:t>IMiD</w:t>
      </w:r>
      <w:proofErr w:type="spellEnd"/>
      <w:r w:rsidRPr="000160C3">
        <w:t xml:space="preserve"> = immunomodulatory drug; OL = open</w:t>
      </w:r>
      <w:r w:rsidR="00EC1990">
        <w:noBreakHyphen/>
      </w:r>
      <w:r w:rsidRPr="000160C3">
        <w:t>label; ORR = overall response rate; OS = overall survival; PFS = progression</w:t>
      </w:r>
      <w:r w:rsidR="00EC1990">
        <w:noBreakHyphen/>
      </w:r>
      <w:r w:rsidRPr="000160C3">
        <w:t xml:space="preserve">free survival; PI = proteasome inhibitor; QoL = quality of life; </w:t>
      </w:r>
      <w:r w:rsidR="00121D89" w:rsidRPr="000160C3">
        <w:t xml:space="preserve">RDI = relative dose intensity; </w:t>
      </w:r>
      <w:r w:rsidRPr="000160C3">
        <w:t>RP2D = recommended phase 2 dose; RRMM = relapsed or refractory multiple myeloma; TCE = triple</w:t>
      </w:r>
      <w:r w:rsidR="00EC1990">
        <w:noBreakHyphen/>
      </w:r>
      <w:r w:rsidRPr="000160C3">
        <w:t>class exposed</w:t>
      </w:r>
      <w:r w:rsidR="004E713F" w:rsidRPr="000160C3">
        <w:t>; TTD = time to treatment discontinuation</w:t>
      </w:r>
    </w:p>
    <w:p w14:paraId="2916194A" w14:textId="77777777" w:rsidR="0085482C" w:rsidRPr="000160C3" w:rsidRDefault="0085482C" w:rsidP="001C47F4">
      <w:pPr>
        <w:pStyle w:val="FooterTableFigure"/>
      </w:pPr>
    </w:p>
    <w:p w14:paraId="038A2B91" w14:textId="14763B33" w:rsidR="00AC782C" w:rsidRPr="000160C3" w:rsidRDefault="001C2F2E" w:rsidP="001C47F4">
      <w:pPr>
        <w:rPr>
          <w:rFonts w:cstheme="minorHAnsi"/>
          <w:sz w:val="20"/>
          <w:u w:val="single"/>
        </w:rPr>
      </w:pPr>
      <w:r w:rsidRPr="000160C3">
        <w:rPr>
          <w:rFonts w:cstheme="minorHAnsi"/>
          <w:u w:val="single"/>
        </w:rPr>
        <w:t>Indirect treatment comparison</w:t>
      </w:r>
    </w:p>
    <w:p w14:paraId="24AD91E7" w14:textId="6D7A90AA" w:rsidR="009636E3" w:rsidRPr="00FB5BFC" w:rsidRDefault="009636E3" w:rsidP="001C47F4">
      <w:pPr>
        <w:numPr>
          <w:ilvl w:val="1"/>
          <w:numId w:val="6"/>
        </w:numPr>
        <w:spacing w:before="60" w:after="60"/>
        <w:rPr>
          <w:rFonts w:eastAsiaTheme="minorHAnsi" w:cstheme="minorBidi"/>
          <w:szCs w:val="22"/>
          <w:lang w:eastAsia="en-AU"/>
        </w:rPr>
      </w:pPr>
      <w:bookmarkStart w:id="24" w:name="_Ref221530046"/>
      <w:r w:rsidRPr="00FB5BFC">
        <w:t>The submission stated that overall, the study enrolment criteria between MajesTEC</w:t>
      </w:r>
      <w:r w:rsidR="00EC1990">
        <w:noBreakHyphen/>
      </w:r>
      <w:r w:rsidRPr="00FB5BFC">
        <w:t>1 and MagnetisMM</w:t>
      </w:r>
      <w:r w:rsidR="00EC1990">
        <w:noBreakHyphen/>
      </w:r>
      <w:r w:rsidRPr="00FB5BFC">
        <w:t>3 were similar and thus, did not prevent the inclusion of these studies in a MAIC. T</w:t>
      </w:r>
      <w:r w:rsidRPr="00FB5BFC" w:rsidDel="008E0D94">
        <w:t>here were differences in baseline characteristics between MajesTEC</w:t>
      </w:r>
      <w:r w:rsidR="00EC1990">
        <w:noBreakHyphen/>
      </w:r>
      <w:r w:rsidRPr="00FB5BFC" w:rsidDel="008E0D94">
        <w:t xml:space="preserve">1 </w:t>
      </w:r>
      <w:r w:rsidRPr="00FB5BFC">
        <w:t xml:space="preserve">and </w:t>
      </w:r>
      <w:r w:rsidRPr="00FB5BFC" w:rsidDel="008E0D94">
        <w:t>MagnetisMM</w:t>
      </w:r>
      <w:r w:rsidR="00EC1990">
        <w:noBreakHyphen/>
      </w:r>
      <w:r w:rsidRPr="00FB5BFC" w:rsidDel="008E0D94">
        <w:t>3</w:t>
      </w:r>
      <w:r w:rsidRPr="00FB5BFC">
        <w:t xml:space="preserve"> relating to</w:t>
      </w:r>
      <w:r w:rsidRPr="00FB5BFC" w:rsidDel="008E0D94">
        <w:t xml:space="preserve"> patient fitness, disease risk, previous lines of therapies and age</w:t>
      </w:r>
      <w:r w:rsidRPr="00FB5BFC">
        <w:t xml:space="preserve"> demographics.</w:t>
      </w:r>
      <w:r w:rsidRPr="00FB5BFC">
        <w:rPr>
          <w:lang w:eastAsia="zh-TW"/>
        </w:rPr>
        <w:t xml:space="preserve"> Overall, MajesTEC</w:t>
      </w:r>
      <w:r w:rsidR="00EC1990">
        <w:rPr>
          <w:lang w:eastAsia="zh-TW"/>
        </w:rPr>
        <w:noBreakHyphen/>
      </w:r>
      <w:r w:rsidRPr="00FB5BFC">
        <w:rPr>
          <w:lang w:eastAsia="zh-TW"/>
        </w:rPr>
        <w:t>1 included a younger and clinically fitter patient population compared with MagnetisMM</w:t>
      </w:r>
      <w:r w:rsidR="00EC1990">
        <w:rPr>
          <w:lang w:eastAsia="zh-TW"/>
        </w:rPr>
        <w:noBreakHyphen/>
      </w:r>
      <w:r w:rsidRPr="00FB5BFC">
        <w:rPr>
          <w:lang w:eastAsia="zh-TW"/>
        </w:rPr>
        <w:t>3, which could bias outcomes in favour of teclistamab.</w:t>
      </w:r>
      <w:bookmarkEnd w:id="24"/>
    </w:p>
    <w:p w14:paraId="2CE1728D" w14:textId="6F546EF8" w:rsidR="001C2F2E" w:rsidRPr="00FB5BFC" w:rsidRDefault="001C2F2E" w:rsidP="001C47F4">
      <w:pPr>
        <w:numPr>
          <w:ilvl w:val="1"/>
          <w:numId w:val="6"/>
        </w:numPr>
        <w:spacing w:before="60" w:after="60"/>
        <w:rPr>
          <w:rFonts w:eastAsiaTheme="minorHAnsi" w:cstheme="minorBidi"/>
          <w:szCs w:val="22"/>
          <w:lang w:eastAsia="en-AU"/>
        </w:rPr>
      </w:pPr>
      <w:r w:rsidRPr="00FB5BFC">
        <w:rPr>
          <w:rFonts w:eastAsiaTheme="minorHAnsi" w:cstheme="minorBidi"/>
          <w:szCs w:val="22"/>
          <w:lang w:eastAsia="en-AU"/>
        </w:rPr>
        <w:t>The base</w:t>
      </w:r>
      <w:r w:rsidR="00EC1990">
        <w:rPr>
          <w:rFonts w:eastAsiaTheme="minorHAnsi" w:cstheme="minorBidi"/>
          <w:szCs w:val="22"/>
          <w:lang w:eastAsia="en-AU"/>
        </w:rPr>
        <w:noBreakHyphen/>
      </w:r>
      <w:r w:rsidRPr="00FB5BFC">
        <w:rPr>
          <w:rFonts w:eastAsiaTheme="minorHAnsi" w:cstheme="minorBidi"/>
          <w:szCs w:val="22"/>
          <w:lang w:eastAsia="en-AU"/>
        </w:rPr>
        <w:t xml:space="preserve">case for the unanchored MAIC excluded the 19 </w:t>
      </w:r>
      <w:r w:rsidR="000A7B52">
        <w:rPr>
          <w:rFonts w:eastAsiaTheme="minorHAnsi" w:cstheme="minorBidi"/>
          <w:szCs w:val="22"/>
          <w:lang w:eastAsia="en-AU"/>
        </w:rPr>
        <w:t xml:space="preserve">patients in </w:t>
      </w:r>
      <w:r w:rsidRPr="00FB5BFC">
        <w:rPr>
          <w:rFonts w:eastAsiaTheme="minorHAnsi" w:cstheme="minorBidi"/>
          <w:szCs w:val="22"/>
          <w:lang w:eastAsia="en-AU"/>
        </w:rPr>
        <w:t>MajesTEC</w:t>
      </w:r>
      <w:r w:rsidR="00EC1990">
        <w:rPr>
          <w:rFonts w:eastAsiaTheme="minorHAnsi" w:cstheme="minorBidi"/>
          <w:szCs w:val="22"/>
          <w:lang w:eastAsia="en-AU"/>
        </w:rPr>
        <w:noBreakHyphen/>
      </w:r>
      <w:r w:rsidRPr="00FB5BFC">
        <w:rPr>
          <w:rFonts w:eastAsiaTheme="minorHAnsi" w:cstheme="minorBidi"/>
          <w:szCs w:val="22"/>
          <w:lang w:eastAsia="en-AU"/>
        </w:rPr>
        <w:t>1 RP2D who died due to COVID</w:t>
      </w:r>
      <w:r w:rsidR="00EC1990">
        <w:rPr>
          <w:rFonts w:eastAsiaTheme="minorHAnsi" w:cstheme="minorBidi"/>
          <w:szCs w:val="22"/>
          <w:lang w:eastAsia="en-AU"/>
        </w:rPr>
        <w:noBreakHyphen/>
      </w:r>
      <w:r w:rsidRPr="00FB5BFC">
        <w:rPr>
          <w:rFonts w:eastAsiaTheme="minorHAnsi" w:cstheme="minorBidi"/>
          <w:szCs w:val="22"/>
          <w:lang w:eastAsia="en-AU"/>
        </w:rPr>
        <w:t>19</w:t>
      </w:r>
      <w:r w:rsidR="00693B53" w:rsidRPr="00FB5BFC">
        <w:rPr>
          <w:rFonts w:eastAsiaTheme="minorHAnsi" w:cstheme="minorBidi"/>
          <w:szCs w:val="22"/>
          <w:lang w:eastAsia="en-AU"/>
        </w:rPr>
        <w:t xml:space="preserve"> for all outcomes </w:t>
      </w:r>
      <w:r w:rsidR="00F50953" w:rsidRPr="00FB5BFC">
        <w:rPr>
          <w:rFonts w:eastAsiaTheme="minorHAnsi" w:cstheme="minorBidi"/>
          <w:szCs w:val="22"/>
          <w:lang w:eastAsia="en-AU"/>
        </w:rPr>
        <w:t>that were compared</w:t>
      </w:r>
      <w:r w:rsidRPr="00FB5BFC">
        <w:rPr>
          <w:rFonts w:eastAsiaTheme="minorHAnsi" w:cstheme="minorBidi"/>
          <w:szCs w:val="22"/>
          <w:lang w:eastAsia="en-AU"/>
        </w:rPr>
        <w:t xml:space="preserve">. The submission acknowledged that </w:t>
      </w:r>
      <w:r w:rsidR="00FD0E29" w:rsidRPr="00FB5BFC">
        <w:rPr>
          <w:rFonts w:eastAsiaTheme="minorHAnsi" w:cstheme="minorBidi"/>
          <w:szCs w:val="22"/>
          <w:lang w:eastAsia="en-AU"/>
        </w:rPr>
        <w:t xml:space="preserve">the </w:t>
      </w:r>
      <w:r w:rsidR="00F31BBD" w:rsidRPr="00FB5BFC">
        <w:rPr>
          <w:rFonts w:eastAsiaTheme="minorHAnsi" w:cstheme="minorBidi"/>
          <w:szCs w:val="22"/>
          <w:lang w:eastAsia="en-AU"/>
        </w:rPr>
        <w:t>M</w:t>
      </w:r>
      <w:r w:rsidR="00CD5F89" w:rsidRPr="00FB5BFC">
        <w:rPr>
          <w:rFonts w:eastAsiaTheme="minorHAnsi" w:cstheme="minorBidi"/>
          <w:szCs w:val="22"/>
          <w:lang w:eastAsia="en-AU"/>
        </w:rPr>
        <w:t>A</w:t>
      </w:r>
      <w:r w:rsidR="00F31BBD" w:rsidRPr="00FB5BFC">
        <w:rPr>
          <w:rFonts w:eastAsiaTheme="minorHAnsi" w:cstheme="minorBidi"/>
          <w:szCs w:val="22"/>
          <w:lang w:eastAsia="en-AU"/>
        </w:rPr>
        <w:t>IC</w:t>
      </w:r>
      <w:r w:rsidRPr="00FB5BFC">
        <w:rPr>
          <w:rFonts w:eastAsiaTheme="minorHAnsi" w:cstheme="minorBidi"/>
          <w:szCs w:val="22"/>
          <w:lang w:eastAsia="en-AU"/>
        </w:rPr>
        <w:t xml:space="preserve"> did not account for the 2 patients (1.6%) in MagnetisMM</w:t>
      </w:r>
      <w:r w:rsidR="00EC1990">
        <w:rPr>
          <w:rFonts w:eastAsiaTheme="minorHAnsi" w:cstheme="minorBidi"/>
          <w:szCs w:val="22"/>
          <w:lang w:eastAsia="en-AU"/>
        </w:rPr>
        <w:noBreakHyphen/>
      </w:r>
      <w:r w:rsidRPr="00FB5BFC">
        <w:rPr>
          <w:rFonts w:eastAsiaTheme="minorHAnsi" w:cstheme="minorBidi"/>
          <w:szCs w:val="22"/>
          <w:lang w:eastAsia="en-AU"/>
        </w:rPr>
        <w:t xml:space="preserve">3 who </w:t>
      </w:r>
      <w:r w:rsidR="00F31BBD" w:rsidRPr="00FB5BFC">
        <w:rPr>
          <w:rFonts w:eastAsiaTheme="minorHAnsi" w:cstheme="minorBidi"/>
          <w:szCs w:val="22"/>
          <w:lang w:eastAsia="en-AU"/>
        </w:rPr>
        <w:t xml:space="preserve">also </w:t>
      </w:r>
      <w:r w:rsidRPr="00FB5BFC">
        <w:rPr>
          <w:rFonts w:eastAsiaTheme="minorHAnsi" w:cstheme="minorBidi"/>
          <w:szCs w:val="22"/>
          <w:lang w:eastAsia="en-AU"/>
        </w:rPr>
        <w:t>died due to COVID</w:t>
      </w:r>
      <w:r w:rsidR="00EC1990">
        <w:rPr>
          <w:rFonts w:eastAsiaTheme="minorHAnsi" w:cstheme="minorBidi"/>
          <w:szCs w:val="22"/>
          <w:lang w:eastAsia="en-AU"/>
        </w:rPr>
        <w:noBreakHyphen/>
      </w:r>
      <w:r w:rsidRPr="00FB5BFC">
        <w:rPr>
          <w:rFonts w:eastAsiaTheme="minorHAnsi" w:cstheme="minorBidi"/>
          <w:szCs w:val="22"/>
          <w:lang w:eastAsia="en-AU"/>
        </w:rPr>
        <w:t xml:space="preserve">19. </w:t>
      </w:r>
      <w:r w:rsidR="00C02225" w:rsidRPr="00FB5BFC">
        <w:rPr>
          <w:rFonts w:ascii="Calibri" w:hAnsi="Calibri"/>
          <w:color w:val="000000" w:themeColor="text1"/>
        </w:rPr>
        <w:t>The PSCR stated that patients who died due to COVID</w:t>
      </w:r>
      <w:r w:rsidR="00EC1990">
        <w:rPr>
          <w:rFonts w:ascii="Calibri" w:hAnsi="Calibri"/>
          <w:color w:val="000000" w:themeColor="text1"/>
        </w:rPr>
        <w:noBreakHyphen/>
      </w:r>
      <w:r w:rsidR="00C02225" w:rsidRPr="00FB5BFC">
        <w:rPr>
          <w:rFonts w:ascii="Calibri" w:hAnsi="Calibri"/>
          <w:color w:val="000000" w:themeColor="text1"/>
        </w:rPr>
        <w:t>19 in MajesTEC</w:t>
      </w:r>
      <w:r w:rsidR="00EC1990">
        <w:rPr>
          <w:rFonts w:ascii="Calibri" w:hAnsi="Calibri"/>
          <w:color w:val="000000" w:themeColor="text1"/>
        </w:rPr>
        <w:noBreakHyphen/>
      </w:r>
      <w:r w:rsidR="00C02225" w:rsidRPr="00FB5BFC">
        <w:rPr>
          <w:rFonts w:ascii="Calibri" w:hAnsi="Calibri"/>
          <w:color w:val="000000" w:themeColor="text1"/>
        </w:rPr>
        <w:t>1 were excluded from the MAIC as MajesTEC</w:t>
      </w:r>
      <w:r w:rsidR="00EC1990">
        <w:rPr>
          <w:rFonts w:ascii="Calibri" w:hAnsi="Calibri"/>
          <w:color w:val="000000" w:themeColor="text1"/>
        </w:rPr>
        <w:noBreakHyphen/>
      </w:r>
      <w:r w:rsidR="00C02225" w:rsidRPr="00FB5BFC">
        <w:rPr>
          <w:rFonts w:ascii="Calibri" w:hAnsi="Calibri"/>
          <w:color w:val="000000" w:themeColor="text1"/>
        </w:rPr>
        <w:t>1 commenced enrolment in March 2020 at the start of the global pandemic; whereas the comparator MagnetisMM</w:t>
      </w:r>
      <w:r w:rsidR="00EC1990">
        <w:rPr>
          <w:rFonts w:ascii="Calibri" w:hAnsi="Calibri"/>
          <w:color w:val="000000" w:themeColor="text1"/>
        </w:rPr>
        <w:noBreakHyphen/>
      </w:r>
      <w:r w:rsidR="00C02225" w:rsidRPr="00FB5BFC">
        <w:rPr>
          <w:rFonts w:ascii="Calibri" w:hAnsi="Calibri"/>
          <w:color w:val="000000" w:themeColor="text1"/>
        </w:rPr>
        <w:t xml:space="preserve">3 </w:t>
      </w:r>
      <w:r w:rsidR="001E7E64" w:rsidRPr="00FB5BFC">
        <w:rPr>
          <w:rFonts w:ascii="Calibri" w:hAnsi="Calibri"/>
          <w:color w:val="000000" w:themeColor="text1"/>
        </w:rPr>
        <w:t>study</w:t>
      </w:r>
      <w:r w:rsidR="00C02225" w:rsidRPr="00FB5BFC">
        <w:rPr>
          <w:rFonts w:ascii="Calibri" w:hAnsi="Calibri"/>
          <w:color w:val="000000" w:themeColor="text1"/>
        </w:rPr>
        <w:t xml:space="preserve"> commenced e</w:t>
      </w:r>
      <w:r w:rsidR="00A11D2B" w:rsidRPr="00FB5BFC">
        <w:rPr>
          <w:rFonts w:ascii="Calibri" w:hAnsi="Calibri"/>
          <w:color w:val="000000" w:themeColor="text1"/>
        </w:rPr>
        <w:t xml:space="preserve">nrolment </w:t>
      </w:r>
      <w:r w:rsidR="00C02225" w:rsidRPr="00FB5BFC">
        <w:rPr>
          <w:rFonts w:ascii="Calibri" w:hAnsi="Calibri"/>
          <w:color w:val="000000" w:themeColor="text1"/>
        </w:rPr>
        <w:t>in February 2021 when vaccinations had become more routinely available. The PSCR stated that patients in the MajesTEC</w:t>
      </w:r>
      <w:r w:rsidR="00EC1990">
        <w:rPr>
          <w:rFonts w:ascii="Calibri" w:hAnsi="Calibri"/>
          <w:color w:val="000000" w:themeColor="text1"/>
        </w:rPr>
        <w:noBreakHyphen/>
      </w:r>
      <w:r w:rsidR="00C02225" w:rsidRPr="00FB5BFC">
        <w:rPr>
          <w:rFonts w:ascii="Calibri" w:hAnsi="Calibri"/>
          <w:color w:val="000000" w:themeColor="text1"/>
        </w:rPr>
        <w:t>1 study were therefore at a higher risk of death due to COVID</w:t>
      </w:r>
      <w:r w:rsidR="00EC1990">
        <w:rPr>
          <w:rFonts w:ascii="Calibri" w:hAnsi="Calibri"/>
          <w:color w:val="000000" w:themeColor="text1"/>
        </w:rPr>
        <w:noBreakHyphen/>
      </w:r>
      <w:r w:rsidR="00C02225" w:rsidRPr="00FB5BFC">
        <w:rPr>
          <w:rFonts w:ascii="Calibri" w:hAnsi="Calibri"/>
          <w:color w:val="000000" w:themeColor="text1"/>
        </w:rPr>
        <w:t xml:space="preserve">19, as </w:t>
      </w:r>
      <w:r w:rsidR="00C02225" w:rsidRPr="00FB5BFC">
        <w:rPr>
          <w:rFonts w:ascii="Calibri" w:hAnsi="Calibri"/>
          <w:color w:val="000000" w:themeColor="text1"/>
        </w:rPr>
        <w:lastRenderedPageBreak/>
        <w:t>reflected by 19 (11.5%) of MajesTEC</w:t>
      </w:r>
      <w:r w:rsidR="00EC1990">
        <w:rPr>
          <w:rFonts w:ascii="Calibri" w:hAnsi="Calibri"/>
          <w:color w:val="000000" w:themeColor="text1"/>
        </w:rPr>
        <w:noBreakHyphen/>
      </w:r>
      <w:r w:rsidR="00C02225" w:rsidRPr="00FB5BFC">
        <w:rPr>
          <w:rFonts w:ascii="Calibri" w:hAnsi="Calibri"/>
          <w:color w:val="000000" w:themeColor="text1"/>
        </w:rPr>
        <w:t>1 RP2D population dying due to COVID</w:t>
      </w:r>
      <w:r w:rsidR="00EC1990">
        <w:rPr>
          <w:rFonts w:ascii="Calibri" w:hAnsi="Calibri"/>
          <w:color w:val="000000" w:themeColor="text1"/>
        </w:rPr>
        <w:noBreakHyphen/>
      </w:r>
      <w:r w:rsidR="00C02225" w:rsidRPr="00FB5BFC">
        <w:rPr>
          <w:rFonts w:ascii="Calibri" w:hAnsi="Calibri"/>
          <w:color w:val="000000" w:themeColor="text1"/>
        </w:rPr>
        <w:t>19 as compared to 2 (1.6%) of the MagnetisMM</w:t>
      </w:r>
      <w:r w:rsidR="00EC1990">
        <w:rPr>
          <w:rFonts w:ascii="Calibri" w:hAnsi="Calibri"/>
          <w:color w:val="000000" w:themeColor="text1"/>
        </w:rPr>
        <w:noBreakHyphen/>
      </w:r>
      <w:r w:rsidR="00C02225" w:rsidRPr="00FB5BFC">
        <w:rPr>
          <w:rFonts w:ascii="Calibri" w:hAnsi="Calibri"/>
          <w:color w:val="000000" w:themeColor="text1"/>
        </w:rPr>
        <w:t xml:space="preserve">3 </w:t>
      </w:r>
      <w:r w:rsidR="001E7E64" w:rsidRPr="00FB5BFC">
        <w:rPr>
          <w:rFonts w:ascii="Calibri" w:hAnsi="Calibri"/>
          <w:color w:val="000000" w:themeColor="text1"/>
        </w:rPr>
        <w:t>study</w:t>
      </w:r>
      <w:r w:rsidR="00C02225" w:rsidRPr="00FB5BFC">
        <w:rPr>
          <w:rFonts w:ascii="Calibri" w:hAnsi="Calibri"/>
          <w:color w:val="000000" w:themeColor="text1"/>
        </w:rPr>
        <w:t>.</w:t>
      </w:r>
    </w:p>
    <w:p w14:paraId="11857857" w14:textId="3DE2E2CE" w:rsidR="006F7D9A" w:rsidRPr="00FB5BFC" w:rsidRDefault="007526AE" w:rsidP="001C47F4">
      <w:pPr>
        <w:numPr>
          <w:ilvl w:val="1"/>
          <w:numId w:val="6"/>
        </w:numPr>
        <w:spacing w:before="60" w:after="60"/>
        <w:rPr>
          <w:rFonts w:eastAsiaTheme="minorHAnsi" w:cstheme="minorBidi"/>
          <w:szCs w:val="22"/>
          <w:lang w:eastAsia="en-AU"/>
        </w:rPr>
      </w:pPr>
      <w:bookmarkStart w:id="25" w:name="_Ref219715146"/>
      <w:r w:rsidRPr="00FB5BFC">
        <w:rPr>
          <w:rFonts w:eastAsiaTheme="minorHAnsi" w:cstheme="minorBidi"/>
          <w:szCs w:val="22"/>
          <w:lang w:eastAsia="en-AU"/>
        </w:rPr>
        <w:t>T</w:t>
      </w:r>
      <w:r w:rsidR="001C2F2E" w:rsidRPr="00FB5BFC">
        <w:rPr>
          <w:rFonts w:eastAsiaTheme="minorHAnsi" w:cstheme="minorBidi"/>
          <w:szCs w:val="22"/>
          <w:lang w:eastAsia="en-AU"/>
        </w:rPr>
        <w:t>he submission selected refractory status, number of prior lines of therapy, presence of extramedullary disease, ISS/r</w:t>
      </w:r>
      <w:r w:rsidR="00EC1990">
        <w:rPr>
          <w:rFonts w:eastAsiaTheme="minorHAnsi" w:cstheme="minorBidi"/>
          <w:szCs w:val="22"/>
          <w:lang w:eastAsia="en-AU"/>
        </w:rPr>
        <w:noBreakHyphen/>
      </w:r>
      <w:r w:rsidR="001C2F2E" w:rsidRPr="00FB5BFC">
        <w:rPr>
          <w:rFonts w:eastAsiaTheme="minorHAnsi" w:cstheme="minorBidi"/>
          <w:szCs w:val="22"/>
          <w:lang w:eastAsia="en-AU"/>
        </w:rPr>
        <w:t xml:space="preserve">ISS stage, and cytogenetic risk as primary adjustment variables. </w:t>
      </w:r>
      <w:r w:rsidR="00704E41" w:rsidRPr="00FB5BFC">
        <w:rPr>
          <w:rFonts w:eastAsiaTheme="minorHAnsi" w:cstheme="minorBidi"/>
          <w:szCs w:val="22"/>
          <w:lang w:eastAsia="en-AU"/>
        </w:rPr>
        <w:t>Other</w:t>
      </w:r>
      <w:r w:rsidR="001C2F2E" w:rsidRPr="00FB5BFC">
        <w:rPr>
          <w:rFonts w:eastAsiaTheme="minorHAnsi" w:cstheme="minorBidi"/>
          <w:szCs w:val="22"/>
          <w:lang w:eastAsia="en-AU"/>
        </w:rPr>
        <w:t xml:space="preserve"> covariates identified through clinical expert ranking were arbitrarily considered </w:t>
      </w:r>
      <w:r w:rsidR="00AC6D43" w:rsidRPr="00FB5BFC">
        <w:rPr>
          <w:rFonts w:eastAsiaTheme="minorHAnsi" w:cstheme="minorBidi"/>
          <w:szCs w:val="22"/>
          <w:lang w:eastAsia="en-AU"/>
        </w:rPr>
        <w:t xml:space="preserve">by the submission </w:t>
      </w:r>
      <w:r w:rsidR="001C2F2E" w:rsidRPr="00FB5BFC">
        <w:rPr>
          <w:rFonts w:eastAsiaTheme="minorHAnsi" w:cstheme="minorBidi"/>
          <w:szCs w:val="22"/>
          <w:lang w:eastAsia="en-AU"/>
        </w:rPr>
        <w:t>to be of lower clinical relevance and were only incorporated in sensitivity analyses</w:t>
      </w:r>
      <w:r w:rsidR="00AC6D43" w:rsidRPr="00FB5BFC">
        <w:rPr>
          <w:rFonts w:eastAsiaTheme="minorHAnsi" w:cstheme="minorBidi"/>
          <w:szCs w:val="22"/>
          <w:lang w:eastAsia="en-AU"/>
        </w:rPr>
        <w:t xml:space="preserve"> (</w:t>
      </w:r>
      <w:r w:rsidR="00493BCE" w:rsidRPr="00FB5BFC">
        <w:rPr>
          <w:rFonts w:eastAsiaTheme="minorHAnsi" w:cstheme="minorBidi"/>
          <w:szCs w:val="22"/>
          <w:lang w:eastAsia="en-AU"/>
        </w:rPr>
        <w:t>referred to as the ‘</w:t>
      </w:r>
      <w:r w:rsidR="00AC6D43" w:rsidRPr="00FB5BFC">
        <w:rPr>
          <w:rFonts w:eastAsiaTheme="minorHAnsi" w:cstheme="minorBidi"/>
          <w:szCs w:val="22"/>
          <w:lang w:eastAsia="en-AU"/>
        </w:rPr>
        <w:t>full match</w:t>
      </w:r>
      <w:r w:rsidR="00493BCE" w:rsidRPr="00FB5BFC">
        <w:rPr>
          <w:rFonts w:eastAsiaTheme="minorHAnsi" w:cstheme="minorBidi"/>
          <w:szCs w:val="22"/>
          <w:lang w:eastAsia="en-AU"/>
        </w:rPr>
        <w:t>ing</w:t>
      </w:r>
      <w:r w:rsidR="00AC6D43" w:rsidRPr="00FB5BFC">
        <w:rPr>
          <w:rFonts w:eastAsiaTheme="minorHAnsi" w:cstheme="minorBidi"/>
          <w:szCs w:val="22"/>
          <w:lang w:eastAsia="en-AU"/>
        </w:rPr>
        <w:t xml:space="preserve"> </w:t>
      </w:r>
      <w:r w:rsidR="006F7D9A" w:rsidRPr="00FB5BFC">
        <w:rPr>
          <w:rFonts w:eastAsiaTheme="minorHAnsi" w:cstheme="minorBidi"/>
          <w:szCs w:val="22"/>
          <w:lang w:eastAsia="en-AU"/>
        </w:rPr>
        <w:t>set</w:t>
      </w:r>
      <w:r w:rsidR="00493BCE" w:rsidRPr="00FB5BFC">
        <w:rPr>
          <w:rFonts w:eastAsiaTheme="minorHAnsi" w:cstheme="minorBidi"/>
          <w:szCs w:val="22"/>
          <w:lang w:eastAsia="en-AU"/>
        </w:rPr>
        <w:t>’ in the submission</w:t>
      </w:r>
      <w:r w:rsidR="00AC6D43" w:rsidRPr="00FB5BFC">
        <w:rPr>
          <w:rFonts w:eastAsiaTheme="minorHAnsi" w:cstheme="minorBidi"/>
          <w:szCs w:val="22"/>
          <w:lang w:eastAsia="en-AU"/>
        </w:rPr>
        <w:t>)</w:t>
      </w:r>
      <w:r w:rsidR="001C2F2E" w:rsidRPr="00FB5BFC">
        <w:rPr>
          <w:rFonts w:eastAsiaTheme="minorHAnsi" w:cstheme="minorBidi"/>
          <w:szCs w:val="22"/>
          <w:lang w:eastAsia="en-AU"/>
        </w:rPr>
        <w:t>. The submission did not provide justification for this prioritisation.</w:t>
      </w:r>
      <w:bookmarkEnd w:id="25"/>
      <w:r w:rsidR="001C2F2E" w:rsidRPr="00FB5BFC">
        <w:rPr>
          <w:rFonts w:eastAsiaTheme="minorHAnsi" w:cstheme="minorBidi"/>
          <w:szCs w:val="22"/>
          <w:lang w:eastAsia="en-AU"/>
        </w:rPr>
        <w:t xml:space="preserve"> </w:t>
      </w:r>
    </w:p>
    <w:p w14:paraId="3B2F8702" w14:textId="7DA7F929" w:rsidR="001C2F2E" w:rsidRPr="00FB5BFC" w:rsidRDefault="006F7D9A" w:rsidP="001C47F4">
      <w:pPr>
        <w:numPr>
          <w:ilvl w:val="1"/>
          <w:numId w:val="6"/>
        </w:numPr>
        <w:spacing w:before="60" w:after="60"/>
        <w:rPr>
          <w:rFonts w:eastAsiaTheme="minorHAnsi" w:cstheme="minorBidi"/>
          <w:szCs w:val="22"/>
          <w:lang w:eastAsia="en-AU"/>
        </w:rPr>
      </w:pPr>
      <w:r w:rsidRPr="00FB5BFC">
        <w:rPr>
          <w:rFonts w:eastAsiaTheme="minorHAnsi" w:cstheme="minorBidi"/>
          <w:szCs w:val="22"/>
          <w:lang w:eastAsia="en-AU"/>
        </w:rPr>
        <w:t xml:space="preserve">The unanchored MAIC by </w:t>
      </w:r>
      <w:r w:rsidR="001C2F2E" w:rsidRPr="00FB5BFC">
        <w:rPr>
          <w:rFonts w:eastAsiaTheme="minorHAnsi" w:cstheme="minorBidi"/>
          <w:szCs w:val="22"/>
          <w:lang w:eastAsia="en-AU"/>
        </w:rPr>
        <w:t>Mol 2024</w:t>
      </w:r>
      <w:r w:rsidR="00EC1990">
        <w:rPr>
          <w:rFonts w:eastAsiaTheme="minorHAnsi" w:cstheme="minorBidi"/>
          <w:szCs w:val="22"/>
          <w:lang w:eastAsia="en-AU"/>
        </w:rPr>
        <w:noBreakHyphen/>
      </w:r>
      <w:r w:rsidR="001C2F2E" w:rsidRPr="00FB5BFC">
        <w:rPr>
          <w:rFonts w:eastAsiaTheme="minorHAnsi" w:cstheme="minorBidi"/>
          <w:szCs w:val="22"/>
          <w:lang w:eastAsia="en-AU"/>
        </w:rPr>
        <w:t>2025</w:t>
      </w:r>
      <w:r w:rsidRPr="00FB5BFC">
        <w:rPr>
          <w:rFonts w:eastAsiaTheme="minorHAnsi" w:cstheme="minorBidi"/>
          <w:szCs w:val="22"/>
          <w:lang w:eastAsia="en-AU"/>
        </w:rPr>
        <w:t xml:space="preserve"> </w:t>
      </w:r>
      <w:r w:rsidR="001C2F2E" w:rsidRPr="00FB5BFC">
        <w:rPr>
          <w:rFonts w:eastAsiaTheme="minorHAnsi" w:cstheme="minorBidi"/>
          <w:szCs w:val="22"/>
          <w:lang w:eastAsia="en-AU"/>
        </w:rPr>
        <w:t xml:space="preserve">matched and adjusted for </w:t>
      </w:r>
      <w:r w:rsidR="00E104D2" w:rsidRPr="00FB5BFC">
        <w:rPr>
          <w:rFonts w:eastAsiaTheme="minorHAnsi" w:cstheme="minorBidi"/>
          <w:szCs w:val="22"/>
          <w:lang w:eastAsia="en-AU"/>
        </w:rPr>
        <w:t xml:space="preserve">an additional </w:t>
      </w:r>
      <w:r w:rsidR="000731CA" w:rsidRPr="00FB5BFC">
        <w:rPr>
          <w:rFonts w:eastAsiaTheme="minorHAnsi" w:cstheme="minorBidi"/>
          <w:szCs w:val="22"/>
          <w:lang w:eastAsia="en-AU"/>
        </w:rPr>
        <w:t xml:space="preserve">9 </w:t>
      </w:r>
      <w:r w:rsidR="001C2F2E" w:rsidRPr="00FB5BFC">
        <w:rPr>
          <w:rFonts w:eastAsiaTheme="minorHAnsi" w:cstheme="minorBidi"/>
          <w:szCs w:val="22"/>
          <w:lang w:eastAsia="en-AU"/>
        </w:rPr>
        <w:t>prognostic variables and effect modifiers: age, sex (for OS endpoint only)</w:t>
      </w:r>
      <w:r w:rsidR="00EC0995" w:rsidRPr="00FB5BFC">
        <w:rPr>
          <w:rFonts w:eastAsiaTheme="minorHAnsi" w:cstheme="minorBidi"/>
          <w:szCs w:val="22"/>
          <w:lang w:eastAsia="en-AU"/>
        </w:rPr>
        <w:t>,</w:t>
      </w:r>
      <w:r w:rsidR="001C2F2E" w:rsidRPr="00FB5BFC">
        <w:rPr>
          <w:rFonts w:eastAsiaTheme="minorHAnsi" w:cstheme="minorBidi"/>
          <w:szCs w:val="22"/>
          <w:lang w:eastAsia="en-AU"/>
        </w:rPr>
        <w:t xml:space="preserve"> median time since diagnosis, ISS stage, high</w:t>
      </w:r>
      <w:r w:rsidR="00EC1990">
        <w:rPr>
          <w:rFonts w:eastAsiaTheme="minorHAnsi" w:cstheme="minorBidi"/>
          <w:szCs w:val="22"/>
          <w:lang w:eastAsia="en-AU"/>
        </w:rPr>
        <w:noBreakHyphen/>
      </w:r>
      <w:r w:rsidR="001C2F2E" w:rsidRPr="00FB5BFC">
        <w:rPr>
          <w:rFonts w:eastAsiaTheme="minorHAnsi" w:cstheme="minorBidi"/>
          <w:szCs w:val="22"/>
          <w:lang w:eastAsia="en-AU"/>
        </w:rPr>
        <w:t>risk cytogenetics, extramedullary disease, number of prior lines of therapy, ECOG performance status, and penta</w:t>
      </w:r>
      <w:r w:rsidR="00EC1990">
        <w:rPr>
          <w:rFonts w:eastAsiaTheme="minorHAnsi" w:cstheme="minorBidi"/>
          <w:szCs w:val="22"/>
          <w:lang w:eastAsia="en-AU"/>
        </w:rPr>
        <w:noBreakHyphen/>
      </w:r>
      <w:r w:rsidR="001C2F2E" w:rsidRPr="00FB5BFC">
        <w:rPr>
          <w:rFonts w:eastAsiaTheme="minorHAnsi" w:cstheme="minorBidi"/>
          <w:szCs w:val="22"/>
          <w:lang w:eastAsia="en-AU"/>
        </w:rPr>
        <w:t>drug exposed and penta</w:t>
      </w:r>
      <w:r w:rsidR="00EC1990">
        <w:rPr>
          <w:rFonts w:eastAsiaTheme="minorHAnsi" w:cstheme="minorBidi"/>
          <w:szCs w:val="22"/>
          <w:lang w:eastAsia="en-AU"/>
        </w:rPr>
        <w:noBreakHyphen/>
      </w:r>
      <w:r w:rsidR="001C2F2E" w:rsidRPr="00FB5BFC">
        <w:rPr>
          <w:rFonts w:eastAsiaTheme="minorHAnsi" w:cstheme="minorBidi"/>
          <w:szCs w:val="22"/>
          <w:lang w:eastAsia="en-AU"/>
        </w:rPr>
        <w:t xml:space="preserve">drug refractory status. </w:t>
      </w:r>
      <w:r w:rsidR="00003AEE" w:rsidRPr="00FB5BFC">
        <w:rPr>
          <w:rFonts w:eastAsiaTheme="minorHAnsi" w:cstheme="minorBidi"/>
          <w:szCs w:val="22"/>
          <w:lang w:eastAsia="en-AU"/>
        </w:rPr>
        <w:t xml:space="preserve">Notably, the </w:t>
      </w:r>
      <w:r w:rsidR="00021872" w:rsidRPr="00FB5BFC">
        <w:rPr>
          <w:rFonts w:eastAsiaTheme="minorHAnsi" w:cstheme="minorBidi"/>
          <w:szCs w:val="22"/>
          <w:lang w:eastAsia="en-AU"/>
        </w:rPr>
        <w:t xml:space="preserve">MAIC presented in the submission did not include ECOG status among the variables. </w:t>
      </w:r>
    </w:p>
    <w:p w14:paraId="295B183E" w14:textId="48D4BCC7" w:rsidR="001C2F2E" w:rsidRPr="000160C3" w:rsidRDefault="001C2F2E" w:rsidP="001C47F4">
      <w:pPr>
        <w:numPr>
          <w:ilvl w:val="1"/>
          <w:numId w:val="6"/>
        </w:numPr>
        <w:spacing w:before="60" w:after="60"/>
        <w:rPr>
          <w:rFonts w:eastAsiaTheme="minorHAnsi" w:cstheme="minorBidi"/>
          <w:i/>
          <w:iCs/>
          <w:szCs w:val="22"/>
          <w:lang w:eastAsia="en-AU"/>
        </w:rPr>
      </w:pPr>
      <w:r w:rsidRPr="000160C3">
        <w:rPr>
          <w:rFonts w:eastAsiaTheme="minorHAnsi" w:cstheme="minorBidi"/>
          <w:szCs w:val="22"/>
          <w:lang w:eastAsia="en-AU"/>
        </w:rPr>
        <w:t>After matching</w:t>
      </w:r>
      <w:r w:rsidR="00C6375F" w:rsidRPr="000160C3">
        <w:rPr>
          <w:rFonts w:eastAsiaTheme="minorHAnsi" w:cstheme="minorBidi"/>
          <w:szCs w:val="22"/>
          <w:lang w:eastAsia="en-AU"/>
        </w:rPr>
        <w:t xml:space="preserve"> </w:t>
      </w:r>
      <w:r w:rsidR="008A4542" w:rsidRPr="000160C3">
        <w:rPr>
          <w:rFonts w:eastAsiaTheme="minorHAnsi" w:cstheme="minorBidi"/>
          <w:szCs w:val="22"/>
          <w:lang w:eastAsia="en-AU"/>
        </w:rPr>
        <w:t>using the 5 variables</w:t>
      </w:r>
      <w:r w:rsidR="004E28F3" w:rsidRPr="000160C3">
        <w:rPr>
          <w:rFonts w:eastAsiaTheme="minorHAnsi" w:cstheme="minorBidi"/>
          <w:szCs w:val="22"/>
          <w:lang w:eastAsia="en-AU"/>
        </w:rPr>
        <w:t xml:space="preserve"> mentioned </w:t>
      </w:r>
      <w:r w:rsidR="00BF1286">
        <w:rPr>
          <w:rFonts w:eastAsiaTheme="minorHAnsi" w:cstheme="minorBidi"/>
          <w:szCs w:val="22"/>
          <w:lang w:eastAsia="en-AU"/>
        </w:rPr>
        <w:t xml:space="preserve">in paragraph </w:t>
      </w:r>
      <w:r w:rsidR="00BF1286">
        <w:rPr>
          <w:rFonts w:eastAsiaTheme="minorHAnsi" w:cstheme="minorBidi"/>
          <w:szCs w:val="22"/>
          <w:lang w:eastAsia="en-AU"/>
        </w:rPr>
        <w:fldChar w:fldCharType="begin"/>
      </w:r>
      <w:r w:rsidR="00BF1286">
        <w:rPr>
          <w:rFonts w:eastAsiaTheme="minorHAnsi" w:cstheme="minorBidi"/>
          <w:szCs w:val="22"/>
          <w:lang w:eastAsia="en-AU"/>
        </w:rPr>
        <w:instrText xml:space="preserve"> REF _Ref219715146 \r \h </w:instrText>
      </w:r>
      <w:r w:rsidR="00BF1286">
        <w:rPr>
          <w:rFonts w:eastAsiaTheme="minorHAnsi" w:cstheme="minorBidi"/>
          <w:szCs w:val="22"/>
          <w:lang w:eastAsia="en-AU"/>
        </w:rPr>
      </w:r>
      <w:r w:rsidR="00BF1286">
        <w:rPr>
          <w:rFonts w:eastAsiaTheme="minorHAnsi" w:cstheme="minorBidi"/>
          <w:szCs w:val="22"/>
          <w:lang w:eastAsia="en-AU"/>
        </w:rPr>
        <w:fldChar w:fldCharType="separate"/>
      </w:r>
      <w:r w:rsidR="00D44478">
        <w:rPr>
          <w:rFonts w:eastAsiaTheme="minorHAnsi" w:cstheme="minorBidi"/>
          <w:szCs w:val="22"/>
          <w:lang w:eastAsia="en-AU"/>
        </w:rPr>
        <w:t>6.20</w:t>
      </w:r>
      <w:r w:rsidR="00BF1286">
        <w:rPr>
          <w:rFonts w:eastAsiaTheme="minorHAnsi" w:cstheme="minorBidi"/>
          <w:szCs w:val="22"/>
          <w:lang w:eastAsia="en-AU"/>
        </w:rPr>
        <w:fldChar w:fldCharType="end"/>
      </w:r>
      <w:r w:rsidRPr="000160C3">
        <w:rPr>
          <w:rFonts w:eastAsiaTheme="minorHAnsi" w:cstheme="minorBidi"/>
          <w:szCs w:val="22"/>
          <w:lang w:eastAsia="en-AU"/>
        </w:rPr>
        <w:t>, the effective sample size (ESS)</w:t>
      </w:r>
      <w:r w:rsidRPr="000160C3">
        <w:rPr>
          <w:rFonts w:eastAsiaTheme="minorHAnsi" w:cstheme="minorBidi"/>
          <w:szCs w:val="22"/>
          <w:vertAlign w:val="superscript"/>
          <w:lang w:eastAsia="en-AU"/>
        </w:rPr>
        <w:footnoteReference w:id="8"/>
      </w:r>
      <w:r w:rsidRPr="000160C3">
        <w:rPr>
          <w:rFonts w:eastAsiaTheme="minorHAnsi" w:cstheme="minorBidi"/>
          <w:szCs w:val="22"/>
          <w:lang w:eastAsia="en-AU"/>
        </w:rPr>
        <w:t xml:space="preserve"> was reduced to 123 patients</w:t>
      </w:r>
      <w:r w:rsidR="007D4C5F" w:rsidRPr="000160C3">
        <w:rPr>
          <w:rFonts w:eastAsiaTheme="minorHAnsi" w:cstheme="minorBidi"/>
          <w:szCs w:val="22"/>
          <w:lang w:eastAsia="en-AU"/>
        </w:rPr>
        <w:t xml:space="preserve">, representing </w:t>
      </w:r>
      <w:r w:rsidRPr="000160C3">
        <w:rPr>
          <w:rFonts w:eastAsiaTheme="minorHAnsi" w:cstheme="minorBidi"/>
          <w:szCs w:val="22"/>
          <w:lang w:eastAsia="en-AU"/>
        </w:rPr>
        <w:t>a 35.6% (123/191</w:t>
      </w:r>
      <w:r w:rsidR="007D4C5F" w:rsidRPr="000160C3">
        <w:rPr>
          <w:rStyle w:val="FootnoteReference"/>
          <w:rFonts w:eastAsiaTheme="minorHAnsi" w:cstheme="minorBidi"/>
          <w:szCs w:val="22"/>
          <w:lang w:eastAsia="en-AU"/>
        </w:rPr>
        <w:footnoteReference w:id="9"/>
      </w:r>
      <w:r w:rsidRPr="000160C3">
        <w:rPr>
          <w:rFonts w:eastAsiaTheme="minorHAnsi" w:cstheme="minorBidi"/>
          <w:szCs w:val="22"/>
          <w:lang w:eastAsia="en-AU"/>
        </w:rPr>
        <w:t xml:space="preserve">) reduction in sample size. </w:t>
      </w:r>
      <w:r w:rsidR="00584834" w:rsidRPr="000160C3">
        <w:rPr>
          <w:rFonts w:eastAsiaTheme="minorHAnsi" w:cstheme="minorBidi"/>
          <w:szCs w:val="22"/>
          <w:lang w:eastAsia="en-AU"/>
        </w:rPr>
        <w:t xml:space="preserve">A sensitivity analysis that </w:t>
      </w:r>
      <w:r w:rsidRPr="000160C3">
        <w:rPr>
          <w:rFonts w:eastAsiaTheme="minorHAnsi" w:cstheme="minorBidi"/>
          <w:szCs w:val="22"/>
          <w:lang w:eastAsia="en-AU"/>
        </w:rPr>
        <w:t>exclud</w:t>
      </w:r>
      <w:r w:rsidR="00584834" w:rsidRPr="000160C3">
        <w:rPr>
          <w:rFonts w:eastAsiaTheme="minorHAnsi" w:cstheme="minorBidi"/>
          <w:szCs w:val="22"/>
          <w:lang w:eastAsia="en-AU"/>
        </w:rPr>
        <w:t>ed</w:t>
      </w:r>
      <w:r w:rsidRPr="000160C3">
        <w:rPr>
          <w:rFonts w:eastAsiaTheme="minorHAnsi" w:cstheme="minorBidi"/>
          <w:szCs w:val="22"/>
          <w:lang w:eastAsia="en-AU"/>
        </w:rPr>
        <w:t xml:space="preserve"> the China Cohort but including RP2D patients who died due to COVID</w:t>
      </w:r>
      <w:r w:rsidR="00EC1990">
        <w:rPr>
          <w:rFonts w:eastAsiaTheme="minorHAnsi" w:cstheme="minorBidi"/>
          <w:szCs w:val="22"/>
          <w:lang w:eastAsia="en-AU"/>
        </w:rPr>
        <w:noBreakHyphen/>
      </w:r>
      <w:r w:rsidRPr="000160C3">
        <w:rPr>
          <w:rFonts w:eastAsiaTheme="minorHAnsi" w:cstheme="minorBidi"/>
          <w:szCs w:val="22"/>
          <w:lang w:eastAsia="en-AU"/>
        </w:rPr>
        <w:t xml:space="preserve">19 </w:t>
      </w:r>
      <w:r w:rsidR="00584834" w:rsidRPr="000160C3">
        <w:rPr>
          <w:rFonts w:eastAsiaTheme="minorHAnsi" w:cstheme="minorBidi"/>
          <w:szCs w:val="22"/>
          <w:lang w:eastAsia="en-AU"/>
        </w:rPr>
        <w:t xml:space="preserve">had </w:t>
      </w:r>
      <w:r w:rsidR="00B142A0" w:rsidRPr="000160C3">
        <w:rPr>
          <w:rFonts w:eastAsiaTheme="minorHAnsi" w:cstheme="minorBidi"/>
          <w:szCs w:val="22"/>
          <w:lang w:eastAsia="en-AU"/>
        </w:rPr>
        <w:t>an ESS of</w:t>
      </w:r>
      <w:r w:rsidR="00584834" w:rsidRPr="000160C3">
        <w:rPr>
          <w:rFonts w:eastAsiaTheme="minorHAnsi" w:cstheme="minorBidi"/>
          <w:szCs w:val="22"/>
          <w:lang w:eastAsia="en-AU"/>
        </w:rPr>
        <w:t xml:space="preserve"> </w:t>
      </w:r>
      <w:r w:rsidRPr="000160C3">
        <w:rPr>
          <w:rFonts w:eastAsiaTheme="minorHAnsi" w:cstheme="minorBidi"/>
          <w:szCs w:val="22"/>
          <w:lang w:eastAsia="en-AU"/>
        </w:rPr>
        <w:t>115/165</w:t>
      </w:r>
      <w:r w:rsidR="00462A4E" w:rsidRPr="000160C3">
        <w:rPr>
          <w:rFonts w:eastAsiaTheme="minorHAnsi" w:cstheme="minorBidi"/>
          <w:szCs w:val="22"/>
          <w:lang w:eastAsia="en-AU"/>
        </w:rPr>
        <w:t xml:space="preserve"> (30.3%</w:t>
      </w:r>
      <w:r w:rsidR="001F5D85" w:rsidRPr="000160C3">
        <w:rPr>
          <w:rFonts w:eastAsiaTheme="minorHAnsi" w:cstheme="minorBidi"/>
          <w:szCs w:val="22"/>
          <w:lang w:eastAsia="en-AU"/>
        </w:rPr>
        <w:t xml:space="preserve"> reduction in sample size</w:t>
      </w:r>
      <w:r w:rsidR="001F5D85" w:rsidRPr="000160C3">
        <w:rPr>
          <w:rFonts w:eastAsiaTheme="minorHAnsi" w:cstheme="minorBidi"/>
          <w:i/>
          <w:iCs/>
          <w:szCs w:val="22"/>
          <w:lang w:eastAsia="en-AU"/>
        </w:rPr>
        <w:t>)</w:t>
      </w:r>
      <w:r w:rsidRPr="000160C3">
        <w:rPr>
          <w:rFonts w:eastAsiaTheme="minorHAnsi" w:cstheme="minorBidi"/>
          <w:i/>
          <w:iCs/>
          <w:szCs w:val="22"/>
          <w:lang w:eastAsia="en-AU"/>
        </w:rPr>
        <w:t xml:space="preserve">. </w:t>
      </w:r>
      <w:r w:rsidRPr="000160C3">
        <w:rPr>
          <w:rFonts w:eastAsiaTheme="minorHAnsi" w:cstheme="minorBidi"/>
          <w:szCs w:val="22"/>
          <w:lang w:eastAsia="en-AU"/>
        </w:rPr>
        <w:t>The extra number of covariates used in Mol 2024</w:t>
      </w:r>
      <w:r w:rsidR="00EC1990">
        <w:rPr>
          <w:rFonts w:eastAsiaTheme="minorHAnsi" w:cstheme="minorBidi"/>
          <w:szCs w:val="22"/>
          <w:lang w:eastAsia="en-AU"/>
        </w:rPr>
        <w:noBreakHyphen/>
      </w:r>
      <w:r w:rsidRPr="000160C3">
        <w:rPr>
          <w:rFonts w:eastAsiaTheme="minorHAnsi" w:cstheme="minorBidi"/>
          <w:szCs w:val="22"/>
          <w:lang w:eastAsia="en-AU"/>
        </w:rPr>
        <w:t xml:space="preserve">2025 reduced the ESS </w:t>
      </w:r>
      <w:r w:rsidR="00FA0B75" w:rsidRPr="000160C3">
        <w:rPr>
          <w:rFonts w:eastAsiaTheme="minorHAnsi" w:cstheme="minorBidi"/>
          <w:szCs w:val="22"/>
          <w:lang w:eastAsia="en-AU"/>
        </w:rPr>
        <w:t>for Ma</w:t>
      </w:r>
      <w:r w:rsidR="00862886" w:rsidRPr="000160C3">
        <w:rPr>
          <w:rFonts w:eastAsiaTheme="minorHAnsi" w:cstheme="minorBidi"/>
          <w:szCs w:val="22"/>
          <w:lang w:eastAsia="en-AU"/>
        </w:rPr>
        <w:t>j</w:t>
      </w:r>
      <w:r w:rsidR="00FA0B75" w:rsidRPr="000160C3">
        <w:rPr>
          <w:rFonts w:eastAsiaTheme="minorHAnsi" w:cstheme="minorBidi"/>
          <w:szCs w:val="22"/>
          <w:lang w:eastAsia="en-AU"/>
        </w:rPr>
        <w:t>esTEC</w:t>
      </w:r>
      <w:r w:rsidR="00EC1990">
        <w:rPr>
          <w:rFonts w:eastAsiaTheme="minorHAnsi" w:cstheme="minorBidi"/>
          <w:szCs w:val="22"/>
          <w:lang w:eastAsia="en-AU"/>
        </w:rPr>
        <w:noBreakHyphen/>
      </w:r>
      <w:r w:rsidR="00FA0B75" w:rsidRPr="000160C3">
        <w:rPr>
          <w:rFonts w:eastAsiaTheme="minorHAnsi" w:cstheme="minorBidi"/>
          <w:szCs w:val="22"/>
          <w:lang w:eastAsia="en-AU"/>
        </w:rPr>
        <w:t xml:space="preserve">1 </w:t>
      </w:r>
      <w:r w:rsidR="0056508D" w:rsidRPr="000160C3">
        <w:rPr>
          <w:rFonts w:eastAsiaTheme="minorHAnsi" w:cstheme="minorBidi"/>
          <w:szCs w:val="22"/>
          <w:lang w:eastAsia="en-AU"/>
        </w:rPr>
        <w:t xml:space="preserve">from 165 </w:t>
      </w:r>
      <w:r w:rsidR="00735A67" w:rsidRPr="000160C3">
        <w:rPr>
          <w:rFonts w:eastAsiaTheme="minorHAnsi" w:cstheme="minorBidi"/>
          <w:szCs w:val="22"/>
          <w:lang w:eastAsia="en-AU"/>
        </w:rPr>
        <w:t>(the RP2D population)</w:t>
      </w:r>
      <w:r w:rsidR="008906C8" w:rsidRPr="000160C3">
        <w:rPr>
          <w:rFonts w:eastAsiaTheme="minorHAnsi" w:cstheme="minorBidi"/>
          <w:szCs w:val="22"/>
          <w:lang w:eastAsia="en-AU"/>
        </w:rPr>
        <w:t xml:space="preserve"> </w:t>
      </w:r>
      <w:r w:rsidRPr="000160C3">
        <w:rPr>
          <w:rFonts w:eastAsiaTheme="minorHAnsi" w:cstheme="minorBidi"/>
          <w:szCs w:val="22"/>
          <w:lang w:eastAsia="en-AU"/>
        </w:rPr>
        <w:t xml:space="preserve">to 75 for ORR, 76 for PFS and DoR and 74 for OS compared to 123 in the submission. The ESS for the full matching </w:t>
      </w:r>
      <w:r w:rsidR="00FF0644" w:rsidRPr="000160C3">
        <w:rPr>
          <w:rFonts w:eastAsiaTheme="minorHAnsi" w:cstheme="minorBidi"/>
          <w:szCs w:val="22"/>
          <w:lang w:eastAsia="en-AU"/>
        </w:rPr>
        <w:t>set</w:t>
      </w:r>
      <w:r w:rsidR="004E28F3" w:rsidRPr="000160C3">
        <w:rPr>
          <w:rFonts w:eastAsiaTheme="minorHAnsi" w:cstheme="minorBidi"/>
          <w:szCs w:val="22"/>
          <w:lang w:eastAsia="en-AU"/>
        </w:rPr>
        <w:t xml:space="preserve"> (</w:t>
      </w:r>
      <w:r w:rsidR="00384830" w:rsidRPr="000160C3">
        <w:rPr>
          <w:rFonts w:eastAsiaTheme="minorHAnsi" w:cstheme="minorBidi"/>
          <w:szCs w:val="22"/>
          <w:lang w:eastAsia="en-AU"/>
        </w:rPr>
        <w:t>17 variables</w:t>
      </w:r>
      <w:r w:rsidR="00DE06FB" w:rsidRPr="000160C3">
        <w:rPr>
          <w:rFonts w:eastAsiaTheme="minorHAnsi" w:cstheme="minorBidi"/>
          <w:szCs w:val="22"/>
          <w:lang w:eastAsia="en-AU"/>
        </w:rPr>
        <w:t>)</w:t>
      </w:r>
      <w:r w:rsidRPr="000160C3">
        <w:rPr>
          <w:rFonts w:eastAsiaTheme="minorHAnsi" w:cstheme="minorBidi"/>
          <w:szCs w:val="22"/>
          <w:lang w:eastAsia="en-AU"/>
        </w:rPr>
        <w:t xml:space="preserve"> was 97</w:t>
      </w:r>
      <w:r w:rsidR="008906C8" w:rsidRPr="000160C3">
        <w:rPr>
          <w:rFonts w:eastAsiaTheme="minorHAnsi" w:cstheme="minorBidi"/>
          <w:szCs w:val="22"/>
          <w:lang w:eastAsia="en-AU"/>
        </w:rPr>
        <w:t>.</w:t>
      </w:r>
    </w:p>
    <w:p w14:paraId="6DBFDFB4" w14:textId="20179FCC" w:rsidR="00C93788" w:rsidRPr="000160C3" w:rsidRDefault="00C93788" w:rsidP="001C47F4">
      <w:pPr>
        <w:pStyle w:val="3-BodyText"/>
      </w:pPr>
      <w:r w:rsidRPr="000160C3">
        <w:t>Excluding COVID</w:t>
      </w:r>
      <w:r w:rsidR="00EC1990">
        <w:noBreakHyphen/>
      </w:r>
      <w:r w:rsidRPr="000160C3">
        <w:t xml:space="preserve">19 deaths from the analyses is likely to inflate survival estimates and bias the evidence in favour of teclistamab, thereby overestimating treatment benefit. Accordingly, the </w:t>
      </w:r>
      <w:r w:rsidR="003943DB" w:rsidRPr="000160C3">
        <w:t xml:space="preserve">evaluation </w:t>
      </w:r>
      <w:r w:rsidRPr="000160C3">
        <w:t xml:space="preserve">focussed on the unadjusted results </w:t>
      </w:r>
      <w:r w:rsidR="00BA3CFA" w:rsidRPr="000160C3">
        <w:t>including COVID</w:t>
      </w:r>
      <w:r w:rsidR="00EC1990">
        <w:noBreakHyphen/>
      </w:r>
      <w:r w:rsidR="00BA3CFA" w:rsidRPr="000160C3">
        <w:t xml:space="preserve">19 </w:t>
      </w:r>
      <w:r w:rsidR="0078330C" w:rsidRPr="000160C3">
        <w:t xml:space="preserve">deaths </w:t>
      </w:r>
      <w:r w:rsidRPr="000160C3">
        <w:t>as the primary source of evidence.</w:t>
      </w:r>
    </w:p>
    <w:p w14:paraId="593DB5AD" w14:textId="2102BD76" w:rsidR="001C2F2E" w:rsidRPr="000160C3" w:rsidRDefault="001C2F2E" w:rsidP="001C47F4">
      <w:pPr>
        <w:numPr>
          <w:ilvl w:val="1"/>
          <w:numId w:val="6"/>
        </w:numPr>
        <w:spacing w:before="60" w:after="60"/>
        <w:rPr>
          <w:rFonts w:eastAsiaTheme="minorHAnsi" w:cstheme="minorBidi"/>
          <w:szCs w:val="22"/>
          <w:lang w:eastAsia="en-AU"/>
        </w:rPr>
      </w:pPr>
      <w:r w:rsidRPr="000160C3">
        <w:rPr>
          <w:rFonts w:eastAsiaTheme="minorHAnsi" w:cstheme="minorBidi"/>
          <w:szCs w:val="22"/>
          <w:lang w:eastAsia="en-AU"/>
        </w:rPr>
        <w:t>A propensity score model was conducted using the identified covariates to generate weights for patients in MajesTEC</w:t>
      </w:r>
      <w:r w:rsidR="00EC1990">
        <w:rPr>
          <w:rFonts w:eastAsiaTheme="minorHAnsi" w:cstheme="minorBidi"/>
          <w:szCs w:val="22"/>
          <w:lang w:eastAsia="en-AU"/>
        </w:rPr>
        <w:noBreakHyphen/>
      </w:r>
      <w:r w:rsidRPr="000160C3">
        <w:rPr>
          <w:rFonts w:eastAsiaTheme="minorHAnsi" w:cstheme="minorBidi"/>
          <w:szCs w:val="22"/>
          <w:lang w:eastAsia="en-AU"/>
        </w:rPr>
        <w:t>1, enabling their covariates profile to more closely match the aggregated baseline characteristics reported in MagnetisMM</w:t>
      </w:r>
      <w:r w:rsidR="00EC1990">
        <w:rPr>
          <w:rFonts w:eastAsiaTheme="minorHAnsi" w:cstheme="minorBidi"/>
          <w:szCs w:val="22"/>
          <w:lang w:eastAsia="en-AU"/>
        </w:rPr>
        <w:noBreakHyphen/>
      </w:r>
      <w:r w:rsidRPr="000160C3">
        <w:rPr>
          <w:rFonts w:eastAsiaTheme="minorHAnsi" w:cstheme="minorBidi"/>
          <w:szCs w:val="22"/>
          <w:lang w:eastAsia="en-AU"/>
        </w:rPr>
        <w:t>3.</w:t>
      </w:r>
      <w:r w:rsidRPr="000160C3">
        <w:rPr>
          <w:rFonts w:eastAsiaTheme="minorHAnsi" w:cstheme="minorBidi"/>
          <w:i/>
          <w:iCs/>
          <w:szCs w:val="22"/>
          <w:lang w:eastAsia="en-AU"/>
        </w:rPr>
        <w:t xml:space="preserve"> </w:t>
      </w:r>
      <w:r w:rsidR="00FF0644" w:rsidRPr="000160C3">
        <w:rPr>
          <w:rFonts w:eastAsiaTheme="minorHAnsi" w:cstheme="minorBidi"/>
          <w:szCs w:val="22"/>
          <w:lang w:eastAsia="en-AU"/>
        </w:rPr>
        <w:t>A s</w:t>
      </w:r>
      <w:r w:rsidR="0015791A" w:rsidRPr="000160C3">
        <w:rPr>
          <w:rFonts w:eastAsiaTheme="minorHAnsi" w:cstheme="minorBidi"/>
          <w:szCs w:val="22"/>
          <w:lang w:eastAsia="en-AU"/>
        </w:rPr>
        <w:t>imilar methodology was used by Mol 2024</w:t>
      </w:r>
      <w:r w:rsidR="00EC1990">
        <w:rPr>
          <w:rFonts w:eastAsiaTheme="minorHAnsi" w:cstheme="minorBidi"/>
          <w:szCs w:val="22"/>
          <w:lang w:eastAsia="en-AU"/>
        </w:rPr>
        <w:noBreakHyphen/>
      </w:r>
      <w:r w:rsidR="0015791A" w:rsidRPr="000160C3">
        <w:rPr>
          <w:rFonts w:eastAsiaTheme="minorHAnsi" w:cstheme="minorBidi"/>
          <w:szCs w:val="22"/>
          <w:lang w:eastAsia="en-AU"/>
        </w:rPr>
        <w:t>2025</w:t>
      </w:r>
      <w:r w:rsidR="00FA28E1" w:rsidRPr="000160C3">
        <w:rPr>
          <w:rFonts w:eastAsiaTheme="minorHAnsi" w:cstheme="minorBidi"/>
          <w:szCs w:val="22"/>
          <w:lang w:eastAsia="en-AU"/>
        </w:rPr>
        <w:t xml:space="preserve">. </w:t>
      </w:r>
    </w:p>
    <w:p w14:paraId="2F6F96E6" w14:textId="2A31A26C" w:rsidR="001C2F2E" w:rsidRPr="000160C3" w:rsidRDefault="001C2F2E" w:rsidP="001C47F4">
      <w:pPr>
        <w:pStyle w:val="3-BodyText"/>
      </w:pPr>
      <w:r w:rsidRPr="000160C3">
        <w:t>The submission did not provide non</w:t>
      </w:r>
      <w:r w:rsidR="00EC1990">
        <w:noBreakHyphen/>
      </w:r>
      <w:r w:rsidRPr="000160C3">
        <w:t>inferiority margins. Without clearly defined non</w:t>
      </w:r>
      <w:r w:rsidR="00EC1990">
        <w:noBreakHyphen/>
      </w:r>
      <w:r w:rsidRPr="000160C3">
        <w:t xml:space="preserve">inferiority thresholds, it is challenging to interpret the clinical significance of the observed differences </w:t>
      </w:r>
      <w:r w:rsidR="00836F5D" w:rsidRPr="000160C3">
        <w:t>from the</w:t>
      </w:r>
      <w:r w:rsidRPr="000160C3">
        <w:t xml:space="preserve"> unanchored MAIC. </w:t>
      </w:r>
      <w:r w:rsidR="005C6BBC" w:rsidRPr="000160C3">
        <w:t>Mol 2024</w:t>
      </w:r>
      <w:r w:rsidR="00EC1990">
        <w:noBreakHyphen/>
      </w:r>
      <w:r w:rsidR="005C6BBC" w:rsidRPr="000160C3">
        <w:t>2025 did not discuss the use of non</w:t>
      </w:r>
      <w:r w:rsidR="00EC1990">
        <w:noBreakHyphen/>
      </w:r>
      <w:r w:rsidR="005C6BBC" w:rsidRPr="000160C3">
        <w:t xml:space="preserve">inferiority margins. </w:t>
      </w:r>
    </w:p>
    <w:p w14:paraId="385AC952" w14:textId="77777777" w:rsidR="00F873F4" w:rsidRPr="000160C3" w:rsidRDefault="00F873F4" w:rsidP="001C47F4">
      <w:pPr>
        <w:pStyle w:val="4-SubsectionHeading"/>
        <w:keepLines/>
      </w:pPr>
      <w:bookmarkStart w:id="26" w:name="_Toc219718649"/>
      <w:r w:rsidRPr="000160C3">
        <w:lastRenderedPageBreak/>
        <w:t>Comparative effectiveness</w:t>
      </w:r>
      <w:bookmarkEnd w:id="26"/>
    </w:p>
    <w:p w14:paraId="70053F14" w14:textId="1207840D" w:rsidR="00521900" w:rsidRPr="000160C3" w:rsidRDefault="00753528" w:rsidP="001C47F4">
      <w:pPr>
        <w:pStyle w:val="3-BodyText"/>
        <w:keepNext/>
        <w:keepLines/>
        <w:numPr>
          <w:ilvl w:val="0"/>
          <w:numId w:val="0"/>
        </w:numPr>
        <w:rPr>
          <w:u w:val="single"/>
        </w:rPr>
      </w:pPr>
      <w:r w:rsidRPr="000160C3">
        <w:rPr>
          <w:u w:val="single"/>
        </w:rPr>
        <w:t xml:space="preserve">Primary analysis: </w:t>
      </w:r>
      <w:r w:rsidR="00521900" w:rsidRPr="000160C3">
        <w:rPr>
          <w:u w:val="single"/>
        </w:rPr>
        <w:t>ORR</w:t>
      </w:r>
    </w:p>
    <w:p w14:paraId="1451D522" w14:textId="416806EF" w:rsidR="00521900" w:rsidRPr="000160C3" w:rsidRDefault="00A544DB" w:rsidP="001C47F4">
      <w:pPr>
        <w:pStyle w:val="3-BodyText"/>
        <w:keepNext/>
        <w:keepLines/>
        <w:rPr>
          <w:rFonts w:eastAsia="Calibri"/>
          <w:lang w:eastAsia="en-US"/>
        </w:rPr>
      </w:pPr>
      <w:r w:rsidRPr="000160C3">
        <w:rPr>
          <w:rFonts w:eastAsia="Calibri"/>
          <w:lang w:eastAsia="en-US"/>
        </w:rPr>
        <w:t>T</w:t>
      </w:r>
      <w:r w:rsidR="00521900" w:rsidRPr="000160C3">
        <w:rPr>
          <w:rFonts w:eastAsia="Calibri"/>
          <w:lang w:eastAsia="en-US"/>
        </w:rPr>
        <w:t>he MajesTEC</w:t>
      </w:r>
      <w:r w:rsidR="00EC1990">
        <w:rPr>
          <w:rFonts w:eastAsia="Calibri"/>
          <w:lang w:eastAsia="en-US"/>
        </w:rPr>
        <w:noBreakHyphen/>
      </w:r>
      <w:r w:rsidR="00521900" w:rsidRPr="000160C3">
        <w:rPr>
          <w:rFonts w:eastAsia="Calibri"/>
          <w:lang w:eastAsia="en-US"/>
        </w:rPr>
        <w:t xml:space="preserve">1 RP2D population had an ORR, as assessed by IRC, of </w:t>
      </w:r>
      <w:r w:rsidR="00846735" w:rsidRPr="000160C3">
        <w:rPr>
          <w:rFonts w:eastAsia="Calibri"/>
          <w:lang w:eastAsia="en-US"/>
        </w:rPr>
        <w:t>104/165</w:t>
      </w:r>
      <w:r w:rsidR="00EC320A" w:rsidRPr="000160C3">
        <w:rPr>
          <w:rFonts w:eastAsia="Calibri"/>
          <w:lang w:eastAsia="en-US"/>
        </w:rPr>
        <w:t xml:space="preserve"> (</w:t>
      </w:r>
      <w:r w:rsidR="00521900" w:rsidRPr="000160C3">
        <w:rPr>
          <w:rFonts w:eastAsia="Calibri"/>
          <w:lang w:eastAsia="en-US"/>
        </w:rPr>
        <w:t>63.0%</w:t>
      </w:r>
      <w:r w:rsidR="00EC320A" w:rsidRPr="000160C3">
        <w:rPr>
          <w:rFonts w:eastAsia="Calibri"/>
          <w:lang w:eastAsia="en-US"/>
        </w:rPr>
        <w:t>;</w:t>
      </w:r>
      <w:r w:rsidR="00521900" w:rsidRPr="000160C3">
        <w:rPr>
          <w:rFonts w:eastAsia="Calibri"/>
          <w:lang w:eastAsia="en-US"/>
        </w:rPr>
        <w:t xml:space="preserve"> 95% CI: 55.2</w:t>
      </w:r>
      <w:r w:rsidR="00D96CFF" w:rsidRPr="000160C3">
        <w:rPr>
          <w:rFonts w:eastAsia="Calibri"/>
          <w:lang w:eastAsia="en-US"/>
        </w:rPr>
        <w:t xml:space="preserve">, </w:t>
      </w:r>
      <w:r w:rsidR="00521900" w:rsidRPr="000160C3">
        <w:rPr>
          <w:rFonts w:eastAsia="Calibri"/>
          <w:lang w:eastAsia="en-US"/>
        </w:rPr>
        <w:t>70.4), (</w:t>
      </w:r>
      <w:r w:rsidR="00521900" w:rsidRPr="000160C3">
        <w:rPr>
          <w:rFonts w:eastAsia="Calibri"/>
          <w:lang w:eastAsia="en-US"/>
        </w:rPr>
        <w:fldChar w:fldCharType="begin"/>
      </w:r>
      <w:r w:rsidR="00521900" w:rsidRPr="000160C3">
        <w:rPr>
          <w:rFonts w:eastAsia="Calibri"/>
          <w:lang w:eastAsia="en-US"/>
        </w:rPr>
        <w:instrText xml:space="preserve"> REF _Ref215993786 \h  \* MERGEFORMAT </w:instrText>
      </w:r>
      <w:r w:rsidR="00521900" w:rsidRPr="000160C3">
        <w:rPr>
          <w:rFonts w:eastAsia="Calibri"/>
          <w:lang w:eastAsia="en-US"/>
        </w:rPr>
      </w:r>
      <w:r w:rsidR="00521900" w:rsidRPr="000160C3">
        <w:rPr>
          <w:rFonts w:eastAsia="Calibri"/>
          <w:lang w:eastAsia="en-US"/>
        </w:rPr>
        <w:fldChar w:fldCharType="separate"/>
      </w:r>
      <w:r w:rsidR="001C47F4" w:rsidRPr="000160C3">
        <w:t xml:space="preserve">Table </w:t>
      </w:r>
      <w:r w:rsidR="001C47F4">
        <w:t>4</w:t>
      </w:r>
      <w:r w:rsidR="00521900" w:rsidRPr="000160C3">
        <w:rPr>
          <w:rFonts w:eastAsia="Calibri"/>
          <w:lang w:eastAsia="en-US"/>
        </w:rPr>
        <w:fldChar w:fldCharType="end"/>
      </w:r>
      <w:r w:rsidR="00521900" w:rsidRPr="000160C3">
        <w:rPr>
          <w:rFonts w:eastAsia="Calibri"/>
          <w:lang w:eastAsia="en-US"/>
        </w:rPr>
        <w:t xml:space="preserve">). Of these 104 patients, 76 </w:t>
      </w:r>
      <w:r w:rsidR="00EC320A" w:rsidRPr="000160C3">
        <w:rPr>
          <w:rFonts w:eastAsia="Calibri"/>
          <w:lang w:eastAsia="en-US"/>
        </w:rPr>
        <w:t xml:space="preserve">(46.1%) </w:t>
      </w:r>
      <w:r w:rsidR="00521900" w:rsidRPr="000160C3">
        <w:rPr>
          <w:rFonts w:eastAsia="Calibri"/>
          <w:lang w:eastAsia="en-US"/>
        </w:rPr>
        <w:t xml:space="preserve">patients achieved a </w:t>
      </w:r>
      <w:r w:rsidR="001D02C6" w:rsidRPr="000160C3">
        <w:rPr>
          <w:rFonts w:eastAsia="Calibri"/>
          <w:lang w:eastAsia="en-US"/>
        </w:rPr>
        <w:t>complete response (</w:t>
      </w:r>
      <w:r w:rsidR="00521900" w:rsidRPr="000160C3">
        <w:rPr>
          <w:rFonts w:eastAsia="Calibri"/>
          <w:lang w:eastAsia="en-US"/>
        </w:rPr>
        <w:t>CR</w:t>
      </w:r>
      <w:r w:rsidR="001D02C6" w:rsidRPr="000160C3">
        <w:rPr>
          <w:rFonts w:eastAsia="Calibri"/>
          <w:lang w:eastAsia="en-US"/>
        </w:rPr>
        <w:t>)</w:t>
      </w:r>
      <w:r w:rsidR="00521900" w:rsidRPr="000160C3">
        <w:rPr>
          <w:rFonts w:eastAsia="Calibri"/>
          <w:lang w:eastAsia="en-US"/>
        </w:rPr>
        <w:t xml:space="preserve"> or better and 64 (38.8%) patients achieved </w:t>
      </w:r>
      <w:r w:rsidR="00C77F52" w:rsidRPr="000160C3">
        <w:rPr>
          <w:rFonts w:eastAsia="Calibri"/>
          <w:lang w:eastAsia="en-US"/>
        </w:rPr>
        <w:t>a</w:t>
      </w:r>
      <w:r w:rsidR="001F4C5E" w:rsidRPr="000160C3">
        <w:rPr>
          <w:rFonts w:eastAsia="Calibri"/>
          <w:lang w:eastAsia="en-US"/>
        </w:rPr>
        <w:t xml:space="preserve"> stringent complete response</w:t>
      </w:r>
      <w:r w:rsidR="00C77F52" w:rsidRPr="000160C3">
        <w:rPr>
          <w:rFonts w:eastAsia="Calibri"/>
          <w:lang w:eastAsia="en-US"/>
        </w:rPr>
        <w:t xml:space="preserve"> </w:t>
      </w:r>
      <w:r w:rsidR="001F4C5E" w:rsidRPr="000160C3">
        <w:rPr>
          <w:rFonts w:eastAsia="Calibri"/>
          <w:lang w:eastAsia="en-US"/>
        </w:rPr>
        <w:t>(</w:t>
      </w:r>
      <w:proofErr w:type="spellStart"/>
      <w:r w:rsidR="00521900" w:rsidRPr="000160C3">
        <w:rPr>
          <w:rFonts w:eastAsia="Calibri"/>
          <w:lang w:eastAsia="en-US"/>
        </w:rPr>
        <w:t>sCR</w:t>
      </w:r>
      <w:proofErr w:type="spellEnd"/>
      <w:r w:rsidR="001F4C5E" w:rsidRPr="000160C3">
        <w:rPr>
          <w:rFonts w:eastAsia="Calibri"/>
          <w:lang w:eastAsia="en-US"/>
        </w:rPr>
        <w:t>)</w:t>
      </w:r>
      <w:r w:rsidR="00B72832" w:rsidRPr="000160C3">
        <w:rPr>
          <w:rFonts w:eastAsia="Calibri"/>
          <w:lang w:eastAsia="en-US"/>
        </w:rPr>
        <w:t xml:space="preserve">. A </w:t>
      </w:r>
      <w:proofErr w:type="spellStart"/>
      <w:r w:rsidR="00B72832" w:rsidRPr="000160C3">
        <w:rPr>
          <w:rFonts w:eastAsia="Calibri"/>
          <w:lang w:eastAsia="en-US"/>
        </w:rPr>
        <w:t>sCR</w:t>
      </w:r>
      <w:proofErr w:type="spellEnd"/>
      <w:r w:rsidR="00B72832" w:rsidRPr="000160C3">
        <w:rPr>
          <w:rFonts w:eastAsia="Calibri"/>
          <w:lang w:eastAsia="en-US"/>
        </w:rPr>
        <w:t xml:space="preserve"> was </w:t>
      </w:r>
      <w:r w:rsidR="009822D1" w:rsidRPr="000160C3">
        <w:rPr>
          <w:rFonts w:eastAsia="Calibri"/>
          <w:lang w:eastAsia="en-US"/>
        </w:rPr>
        <w:t>defined as achieving a CR plus a normalisation of the kappa and lambda serum free light chain (</w:t>
      </w:r>
      <w:proofErr w:type="spellStart"/>
      <w:r w:rsidR="009822D1" w:rsidRPr="000160C3">
        <w:rPr>
          <w:rFonts w:eastAsia="Calibri"/>
          <w:lang w:eastAsia="en-US"/>
        </w:rPr>
        <w:t>sFLC</w:t>
      </w:r>
      <w:proofErr w:type="spellEnd"/>
      <w:r w:rsidR="009822D1" w:rsidRPr="000160C3">
        <w:rPr>
          <w:rFonts w:eastAsia="Calibri"/>
          <w:lang w:eastAsia="en-US"/>
        </w:rPr>
        <w:t>) ratio plus the absence of clonal plasma cells in bone marrow</w:t>
      </w:r>
      <w:r w:rsidR="00521900" w:rsidRPr="000160C3">
        <w:rPr>
          <w:rFonts w:eastAsia="Calibri"/>
          <w:lang w:eastAsia="en-US"/>
        </w:rPr>
        <w:t xml:space="preserve">. </w:t>
      </w:r>
      <w:r w:rsidR="00DE7139" w:rsidRPr="000160C3">
        <w:rPr>
          <w:rFonts w:eastAsia="Calibri"/>
          <w:lang w:eastAsia="en-US"/>
        </w:rPr>
        <w:t>T</w:t>
      </w:r>
      <w:r w:rsidR="00521900" w:rsidRPr="000160C3">
        <w:rPr>
          <w:rFonts w:eastAsia="Calibri"/>
          <w:lang w:eastAsia="en-US"/>
        </w:rPr>
        <w:t>he ORR assessed by BICR in MagnetissMM</w:t>
      </w:r>
      <w:r w:rsidR="00EC1990">
        <w:rPr>
          <w:rFonts w:eastAsia="Calibri"/>
          <w:lang w:eastAsia="en-US"/>
        </w:rPr>
        <w:noBreakHyphen/>
      </w:r>
      <w:r w:rsidR="00521900" w:rsidRPr="000160C3">
        <w:rPr>
          <w:rFonts w:eastAsia="Calibri"/>
          <w:lang w:eastAsia="en-US"/>
        </w:rPr>
        <w:t xml:space="preserve">3, was 61.0%. The overall rate of patients achieving CR or better was 37.4%. </w:t>
      </w:r>
    </w:p>
    <w:p w14:paraId="226A3E5D" w14:textId="436A7AD8" w:rsidR="00521900" w:rsidRPr="000160C3" w:rsidRDefault="00521900" w:rsidP="001C47F4">
      <w:pPr>
        <w:pStyle w:val="TableFigureHeading"/>
        <w:keepLines/>
        <w:rPr>
          <w:rStyle w:val="CommentReference"/>
          <w:b/>
          <w:szCs w:val="24"/>
        </w:rPr>
      </w:pPr>
      <w:bookmarkStart w:id="27" w:name="_Ref215993786"/>
      <w:r w:rsidRPr="000160C3">
        <w:t xml:space="preserve">Table </w:t>
      </w:r>
      <w:r>
        <w:fldChar w:fldCharType="begin"/>
      </w:r>
      <w:r>
        <w:instrText>SEQ Table \* ARABIC</w:instrText>
      </w:r>
      <w:r>
        <w:fldChar w:fldCharType="separate"/>
      </w:r>
      <w:r w:rsidR="001C47F4">
        <w:rPr>
          <w:noProof/>
        </w:rPr>
        <w:t>4</w:t>
      </w:r>
      <w:r>
        <w:fldChar w:fldCharType="end"/>
      </w:r>
      <w:bookmarkEnd w:id="27"/>
      <w:r w:rsidRPr="000160C3">
        <w:t>:</w:t>
      </w:r>
      <w:r w:rsidRPr="000160C3">
        <w:rPr>
          <w:rStyle w:val="CommentReference"/>
          <w:b/>
          <w:szCs w:val="24"/>
        </w:rPr>
        <w:t xml:space="preserve"> Results of ORR for MajesTEC</w:t>
      </w:r>
      <w:r w:rsidR="00EC1990">
        <w:rPr>
          <w:rStyle w:val="CommentReference"/>
          <w:b/>
          <w:szCs w:val="24"/>
        </w:rPr>
        <w:noBreakHyphen/>
      </w:r>
      <w:r w:rsidRPr="000160C3">
        <w:rPr>
          <w:rStyle w:val="CommentReference"/>
          <w:b/>
          <w:szCs w:val="24"/>
        </w:rPr>
        <w:t>1 (</w:t>
      </w:r>
      <w:proofErr w:type="spellStart"/>
      <w:r w:rsidRPr="000160C3">
        <w:rPr>
          <w:rStyle w:val="CommentReference"/>
          <w:b/>
          <w:szCs w:val="24"/>
        </w:rPr>
        <w:t>mFU</w:t>
      </w:r>
      <w:proofErr w:type="spellEnd"/>
      <w:r w:rsidRPr="000160C3">
        <w:rPr>
          <w:rStyle w:val="CommentReference"/>
          <w:b/>
          <w:szCs w:val="24"/>
        </w:rPr>
        <w:t>: 30.4 months) and MagnetisMM</w:t>
      </w:r>
      <w:r w:rsidR="00EC1990">
        <w:rPr>
          <w:rStyle w:val="CommentReference"/>
          <w:b/>
          <w:szCs w:val="24"/>
        </w:rPr>
        <w:noBreakHyphen/>
      </w:r>
      <w:r w:rsidRPr="000160C3">
        <w:rPr>
          <w:rStyle w:val="CommentReference"/>
          <w:b/>
          <w:szCs w:val="24"/>
        </w:rPr>
        <w:t>3 (</w:t>
      </w:r>
      <w:proofErr w:type="spellStart"/>
      <w:r w:rsidRPr="000160C3">
        <w:rPr>
          <w:rStyle w:val="CommentReference"/>
          <w:b/>
          <w:szCs w:val="24"/>
        </w:rPr>
        <w:t>mFU</w:t>
      </w:r>
      <w:proofErr w:type="spellEnd"/>
      <w:r w:rsidRPr="000160C3">
        <w:rPr>
          <w:rStyle w:val="CommentReference"/>
          <w:b/>
          <w:szCs w:val="24"/>
        </w:rPr>
        <w:t>: 33.9 months)</w:t>
      </w:r>
    </w:p>
    <w:tbl>
      <w:tblPr>
        <w:tblStyle w:val="TableGrid"/>
        <w:tblW w:w="5000" w:type="pct"/>
        <w:tblLook w:val="04A0" w:firstRow="1" w:lastRow="0" w:firstColumn="1" w:lastColumn="0" w:noHBand="0" w:noVBand="1"/>
        <w:tblCaption w:val="Table 4: Results of ORR for MajesTEC 1 (mFU: 30.4 months) and MagnetisMM 3 (mFU: 33.9 months)"/>
      </w:tblPr>
      <w:tblGrid>
        <w:gridCol w:w="2546"/>
        <w:gridCol w:w="2032"/>
        <w:gridCol w:w="2032"/>
        <w:gridCol w:w="2452"/>
      </w:tblGrid>
      <w:tr w:rsidR="00521900" w:rsidRPr="000160C3" w14:paraId="6491101E" w14:textId="77777777" w:rsidTr="00AB68F5">
        <w:trPr>
          <w:trHeight w:val="219"/>
        </w:trPr>
        <w:tc>
          <w:tcPr>
            <w:tcW w:w="1405" w:type="pct"/>
            <w:vMerge w:val="restart"/>
            <w:vAlign w:val="center"/>
          </w:tcPr>
          <w:p w14:paraId="60E7346C" w14:textId="069F5071" w:rsidR="00521900" w:rsidRPr="000160C3" w:rsidRDefault="00521900" w:rsidP="001C47F4">
            <w:pPr>
              <w:pStyle w:val="In-tableHeading"/>
            </w:pPr>
          </w:p>
        </w:tc>
        <w:tc>
          <w:tcPr>
            <w:tcW w:w="2241" w:type="pct"/>
            <w:gridSpan w:val="2"/>
            <w:vAlign w:val="center"/>
          </w:tcPr>
          <w:p w14:paraId="20D30DBF" w14:textId="29E8F6AD" w:rsidR="00521900" w:rsidRPr="000160C3" w:rsidRDefault="00521900" w:rsidP="001C47F4">
            <w:pPr>
              <w:pStyle w:val="In-tableHeading"/>
              <w:rPr>
                <w:vertAlign w:val="superscript"/>
              </w:rPr>
            </w:pPr>
            <w:r w:rsidRPr="000160C3">
              <w:t>MajesTEEC</w:t>
            </w:r>
            <w:r w:rsidR="00EC1990">
              <w:noBreakHyphen/>
            </w:r>
            <w:r w:rsidRPr="000160C3">
              <w:t xml:space="preserve">1, RP2D population </w:t>
            </w:r>
            <w:r w:rsidR="005E59DC" w:rsidRPr="000160C3">
              <w:br/>
            </w:r>
            <w:r w:rsidRPr="000160C3">
              <w:t>(N=165)</w:t>
            </w:r>
          </w:p>
        </w:tc>
        <w:tc>
          <w:tcPr>
            <w:tcW w:w="1354" w:type="pct"/>
            <w:vAlign w:val="center"/>
          </w:tcPr>
          <w:p w14:paraId="5BC30B30" w14:textId="26DB001F" w:rsidR="00521900" w:rsidRPr="000160C3" w:rsidRDefault="00521900" w:rsidP="001C47F4">
            <w:pPr>
              <w:pStyle w:val="In-tableHeading"/>
            </w:pPr>
            <w:r w:rsidRPr="000160C3">
              <w:t>MagnetisMM</w:t>
            </w:r>
            <w:r w:rsidR="00EC1990">
              <w:noBreakHyphen/>
            </w:r>
            <w:r w:rsidRPr="000160C3">
              <w:t>3, Cohort A (n=123)</w:t>
            </w:r>
          </w:p>
        </w:tc>
      </w:tr>
      <w:tr w:rsidR="00521900" w:rsidRPr="000160C3" w14:paraId="0D98FF84" w14:textId="77777777" w:rsidTr="00AB68F5">
        <w:trPr>
          <w:trHeight w:val="219"/>
        </w:trPr>
        <w:tc>
          <w:tcPr>
            <w:tcW w:w="1405" w:type="pct"/>
            <w:vMerge/>
          </w:tcPr>
          <w:p w14:paraId="2C244D61" w14:textId="77777777" w:rsidR="00521900" w:rsidRPr="000160C3" w:rsidRDefault="00521900" w:rsidP="001C47F4">
            <w:pPr>
              <w:pStyle w:val="In-tableHeading"/>
            </w:pPr>
          </w:p>
        </w:tc>
        <w:tc>
          <w:tcPr>
            <w:tcW w:w="1121" w:type="pct"/>
            <w:vAlign w:val="center"/>
          </w:tcPr>
          <w:p w14:paraId="07B94D18" w14:textId="77777777" w:rsidR="00521900" w:rsidRPr="000160C3" w:rsidRDefault="00521900" w:rsidP="001C47F4">
            <w:pPr>
              <w:pStyle w:val="In-tableHeading"/>
            </w:pPr>
            <w:r w:rsidRPr="000160C3">
              <w:t>n (%)</w:t>
            </w:r>
          </w:p>
        </w:tc>
        <w:tc>
          <w:tcPr>
            <w:tcW w:w="1121" w:type="pct"/>
            <w:vAlign w:val="center"/>
          </w:tcPr>
          <w:p w14:paraId="6ACF56CD" w14:textId="77777777" w:rsidR="00521900" w:rsidRPr="000160C3" w:rsidRDefault="00521900" w:rsidP="001C47F4">
            <w:pPr>
              <w:pStyle w:val="In-tableHeading"/>
            </w:pPr>
            <w:r w:rsidRPr="000160C3">
              <w:t>95% CI</w:t>
            </w:r>
          </w:p>
        </w:tc>
        <w:tc>
          <w:tcPr>
            <w:tcW w:w="1354" w:type="pct"/>
            <w:vAlign w:val="center"/>
          </w:tcPr>
          <w:p w14:paraId="2F41E272" w14:textId="77777777" w:rsidR="00521900" w:rsidRPr="000160C3" w:rsidRDefault="00521900" w:rsidP="001C47F4">
            <w:pPr>
              <w:pStyle w:val="In-tableHeading"/>
            </w:pPr>
            <w:r w:rsidRPr="000160C3">
              <w:t>n (%)</w:t>
            </w:r>
          </w:p>
        </w:tc>
      </w:tr>
      <w:tr w:rsidR="00521900" w:rsidRPr="000160C3" w14:paraId="5E154857" w14:textId="77777777" w:rsidTr="003773ED">
        <w:trPr>
          <w:trHeight w:val="56"/>
        </w:trPr>
        <w:tc>
          <w:tcPr>
            <w:tcW w:w="1405" w:type="pct"/>
          </w:tcPr>
          <w:p w14:paraId="418F2519" w14:textId="77777777" w:rsidR="00521900" w:rsidRPr="000160C3" w:rsidRDefault="00521900" w:rsidP="001C47F4">
            <w:pPr>
              <w:pStyle w:val="TableText0"/>
              <w:keepNext/>
              <w:keepLines/>
              <w:spacing w:line="240" w:lineRule="auto"/>
            </w:pPr>
            <w:r w:rsidRPr="000160C3">
              <w:t>ORR</w:t>
            </w:r>
          </w:p>
        </w:tc>
        <w:tc>
          <w:tcPr>
            <w:tcW w:w="1121" w:type="pct"/>
            <w:vAlign w:val="center"/>
          </w:tcPr>
          <w:p w14:paraId="2B8F0820" w14:textId="77777777" w:rsidR="00521900" w:rsidRPr="000160C3" w:rsidRDefault="00521900" w:rsidP="001C47F4">
            <w:pPr>
              <w:pStyle w:val="TableText0"/>
              <w:keepNext/>
              <w:keepLines/>
              <w:spacing w:line="240" w:lineRule="auto"/>
              <w:jc w:val="center"/>
            </w:pPr>
            <w:r w:rsidRPr="000160C3">
              <w:t>104 (63.0%)</w:t>
            </w:r>
          </w:p>
        </w:tc>
        <w:tc>
          <w:tcPr>
            <w:tcW w:w="1121" w:type="pct"/>
            <w:vAlign w:val="center"/>
          </w:tcPr>
          <w:p w14:paraId="29377783" w14:textId="3A473979" w:rsidR="00521900" w:rsidRPr="000160C3" w:rsidRDefault="00521900" w:rsidP="001C47F4">
            <w:pPr>
              <w:pStyle w:val="TableText0"/>
              <w:keepNext/>
              <w:keepLines/>
              <w:spacing w:line="240" w:lineRule="auto"/>
              <w:jc w:val="center"/>
            </w:pPr>
            <w:r w:rsidRPr="000160C3">
              <w:t xml:space="preserve">55.2% </w:t>
            </w:r>
            <w:r w:rsidR="00EC1990">
              <w:noBreakHyphen/>
            </w:r>
            <w:r w:rsidRPr="000160C3">
              <w:t xml:space="preserve"> 70.4%</w:t>
            </w:r>
          </w:p>
        </w:tc>
        <w:tc>
          <w:tcPr>
            <w:tcW w:w="1354" w:type="pct"/>
            <w:vAlign w:val="center"/>
          </w:tcPr>
          <w:p w14:paraId="4FF0A5CB" w14:textId="77777777" w:rsidR="00521900" w:rsidRPr="000160C3" w:rsidRDefault="00521900" w:rsidP="001C47F4">
            <w:pPr>
              <w:pStyle w:val="TableText0"/>
              <w:keepNext/>
              <w:keepLines/>
              <w:spacing w:line="240" w:lineRule="auto"/>
              <w:jc w:val="center"/>
            </w:pPr>
            <w:r w:rsidRPr="000160C3">
              <w:t>61.0%</w:t>
            </w:r>
          </w:p>
        </w:tc>
      </w:tr>
      <w:tr w:rsidR="00521900" w:rsidRPr="000160C3" w14:paraId="41B596B3" w14:textId="77777777" w:rsidTr="008F1082">
        <w:tc>
          <w:tcPr>
            <w:tcW w:w="1405" w:type="pct"/>
          </w:tcPr>
          <w:p w14:paraId="71852B83" w14:textId="77777777" w:rsidR="00521900" w:rsidRPr="000160C3" w:rsidRDefault="00521900" w:rsidP="001C47F4">
            <w:pPr>
              <w:pStyle w:val="TableText0"/>
              <w:keepNext/>
              <w:keepLines/>
              <w:spacing w:line="240" w:lineRule="auto"/>
            </w:pPr>
            <w:r w:rsidRPr="000160C3">
              <w:t>≥VGPR (</w:t>
            </w:r>
            <w:proofErr w:type="spellStart"/>
            <w:r w:rsidRPr="000160C3">
              <w:t>sCR</w:t>
            </w:r>
            <w:proofErr w:type="spellEnd"/>
            <w:r w:rsidRPr="000160C3">
              <w:t xml:space="preserve"> + CR + VGPR)</w:t>
            </w:r>
          </w:p>
        </w:tc>
        <w:tc>
          <w:tcPr>
            <w:tcW w:w="1121" w:type="pct"/>
            <w:vAlign w:val="center"/>
          </w:tcPr>
          <w:p w14:paraId="1CE32EBD" w14:textId="77777777" w:rsidR="00521900" w:rsidRPr="000160C3" w:rsidRDefault="00521900" w:rsidP="001C47F4">
            <w:pPr>
              <w:pStyle w:val="TableText0"/>
              <w:keepNext/>
              <w:keepLines/>
              <w:spacing w:line="240" w:lineRule="auto"/>
              <w:jc w:val="center"/>
            </w:pPr>
            <w:r w:rsidRPr="000160C3">
              <w:t>98 (59.4%)</w:t>
            </w:r>
          </w:p>
        </w:tc>
        <w:tc>
          <w:tcPr>
            <w:tcW w:w="1121" w:type="pct"/>
            <w:vAlign w:val="center"/>
          </w:tcPr>
          <w:p w14:paraId="5284BC96" w14:textId="6987981F" w:rsidR="00521900" w:rsidRPr="000160C3" w:rsidRDefault="00521900" w:rsidP="001C47F4">
            <w:pPr>
              <w:pStyle w:val="TableText0"/>
              <w:keepNext/>
              <w:keepLines/>
              <w:spacing w:line="240" w:lineRule="auto"/>
              <w:jc w:val="center"/>
            </w:pPr>
            <w:r w:rsidRPr="000160C3">
              <w:t xml:space="preserve">51.5% </w:t>
            </w:r>
            <w:r w:rsidR="00EC1990">
              <w:noBreakHyphen/>
            </w:r>
            <w:r w:rsidRPr="000160C3">
              <w:t xml:space="preserve"> 67.0%</w:t>
            </w:r>
          </w:p>
        </w:tc>
        <w:tc>
          <w:tcPr>
            <w:tcW w:w="1354" w:type="pct"/>
            <w:vAlign w:val="center"/>
          </w:tcPr>
          <w:p w14:paraId="49439B9C" w14:textId="77777777" w:rsidR="00521900" w:rsidRPr="000160C3" w:rsidRDefault="00521900" w:rsidP="001C47F4">
            <w:pPr>
              <w:pStyle w:val="TableText0"/>
              <w:keepNext/>
              <w:keepLines/>
              <w:spacing w:line="240" w:lineRule="auto"/>
              <w:jc w:val="center"/>
            </w:pPr>
            <w:r w:rsidRPr="000160C3">
              <w:t>NR</w:t>
            </w:r>
          </w:p>
        </w:tc>
      </w:tr>
      <w:tr w:rsidR="00521900" w:rsidRPr="000160C3" w14:paraId="7209C093" w14:textId="77777777" w:rsidTr="008F1082">
        <w:tc>
          <w:tcPr>
            <w:tcW w:w="1405" w:type="pct"/>
          </w:tcPr>
          <w:p w14:paraId="6E63217F" w14:textId="77777777" w:rsidR="00521900" w:rsidRPr="000160C3" w:rsidRDefault="00521900" w:rsidP="001C47F4">
            <w:pPr>
              <w:pStyle w:val="TableText0"/>
              <w:keepNext/>
              <w:keepLines/>
              <w:spacing w:line="240" w:lineRule="auto"/>
              <w:rPr>
                <w:rFonts w:cs="Calibri"/>
                <w:color w:val="000000"/>
              </w:rPr>
            </w:pPr>
            <w:r w:rsidRPr="000160C3">
              <w:t>≥CR (</w:t>
            </w:r>
            <w:proofErr w:type="spellStart"/>
            <w:r w:rsidRPr="000160C3">
              <w:t>sCR</w:t>
            </w:r>
            <w:proofErr w:type="spellEnd"/>
            <w:r w:rsidRPr="000160C3">
              <w:t xml:space="preserve"> + CR)</w:t>
            </w:r>
          </w:p>
        </w:tc>
        <w:tc>
          <w:tcPr>
            <w:tcW w:w="1121" w:type="pct"/>
            <w:vAlign w:val="center"/>
          </w:tcPr>
          <w:p w14:paraId="6C09087C" w14:textId="77777777" w:rsidR="00521900" w:rsidRPr="000160C3" w:rsidRDefault="00521900" w:rsidP="001C47F4">
            <w:pPr>
              <w:pStyle w:val="TableText0"/>
              <w:keepNext/>
              <w:keepLines/>
              <w:spacing w:line="240" w:lineRule="auto"/>
              <w:jc w:val="center"/>
            </w:pPr>
            <w:r w:rsidRPr="000160C3">
              <w:t>76 (46.1%)</w:t>
            </w:r>
          </w:p>
        </w:tc>
        <w:tc>
          <w:tcPr>
            <w:tcW w:w="1121" w:type="pct"/>
            <w:vAlign w:val="center"/>
          </w:tcPr>
          <w:p w14:paraId="319766EC" w14:textId="68F4069B" w:rsidR="00521900" w:rsidRPr="000160C3" w:rsidRDefault="00521900" w:rsidP="001C47F4">
            <w:pPr>
              <w:pStyle w:val="TableText0"/>
              <w:keepNext/>
              <w:keepLines/>
              <w:spacing w:line="240" w:lineRule="auto"/>
              <w:jc w:val="center"/>
            </w:pPr>
            <w:r w:rsidRPr="000160C3">
              <w:t xml:space="preserve">38.3% </w:t>
            </w:r>
            <w:r w:rsidR="00EC1990">
              <w:noBreakHyphen/>
            </w:r>
            <w:r w:rsidRPr="000160C3">
              <w:t xml:space="preserve"> 54.0%</w:t>
            </w:r>
          </w:p>
        </w:tc>
        <w:tc>
          <w:tcPr>
            <w:tcW w:w="1354" w:type="pct"/>
            <w:vAlign w:val="center"/>
          </w:tcPr>
          <w:p w14:paraId="1854388A" w14:textId="77777777" w:rsidR="00521900" w:rsidRPr="000160C3" w:rsidRDefault="00521900" w:rsidP="001C47F4">
            <w:pPr>
              <w:pStyle w:val="TableText0"/>
              <w:keepNext/>
              <w:keepLines/>
              <w:spacing w:line="240" w:lineRule="auto"/>
              <w:jc w:val="center"/>
            </w:pPr>
            <w:r w:rsidRPr="000160C3">
              <w:t>37.4%</w:t>
            </w:r>
          </w:p>
        </w:tc>
      </w:tr>
      <w:tr w:rsidR="00521900" w:rsidRPr="000160C3" w14:paraId="176C62D2" w14:textId="77777777" w:rsidTr="008F1082">
        <w:tc>
          <w:tcPr>
            <w:tcW w:w="1405" w:type="pct"/>
          </w:tcPr>
          <w:p w14:paraId="7B2DBB50" w14:textId="77777777" w:rsidR="00521900" w:rsidRPr="000160C3" w:rsidRDefault="00521900" w:rsidP="001C47F4">
            <w:pPr>
              <w:pStyle w:val="TableText0"/>
              <w:keepNext/>
              <w:keepLines/>
              <w:spacing w:line="240" w:lineRule="auto"/>
            </w:pPr>
            <w:proofErr w:type="spellStart"/>
            <w:r w:rsidRPr="000160C3">
              <w:t>sCR</w:t>
            </w:r>
            <w:proofErr w:type="spellEnd"/>
          </w:p>
        </w:tc>
        <w:tc>
          <w:tcPr>
            <w:tcW w:w="1121" w:type="pct"/>
            <w:vAlign w:val="center"/>
          </w:tcPr>
          <w:p w14:paraId="2477EC44" w14:textId="77777777" w:rsidR="00521900" w:rsidRPr="000160C3" w:rsidRDefault="00521900" w:rsidP="001C47F4">
            <w:pPr>
              <w:pStyle w:val="TableText0"/>
              <w:keepNext/>
              <w:keepLines/>
              <w:spacing w:line="240" w:lineRule="auto"/>
              <w:jc w:val="center"/>
            </w:pPr>
            <w:r w:rsidRPr="000160C3">
              <w:t>64 (38.8%)</w:t>
            </w:r>
          </w:p>
        </w:tc>
        <w:tc>
          <w:tcPr>
            <w:tcW w:w="1121" w:type="pct"/>
            <w:vAlign w:val="center"/>
          </w:tcPr>
          <w:p w14:paraId="27AFBE74" w14:textId="5EA20127" w:rsidR="00521900" w:rsidRPr="000160C3" w:rsidRDefault="00521900" w:rsidP="001C47F4">
            <w:pPr>
              <w:pStyle w:val="TableText0"/>
              <w:keepNext/>
              <w:keepLines/>
              <w:spacing w:line="240" w:lineRule="auto"/>
              <w:jc w:val="center"/>
            </w:pPr>
            <w:r w:rsidRPr="000160C3">
              <w:t xml:space="preserve">31.3% </w:t>
            </w:r>
            <w:r w:rsidR="00EC1990">
              <w:noBreakHyphen/>
            </w:r>
            <w:r w:rsidRPr="000160C3">
              <w:t xml:space="preserve"> 46.7%</w:t>
            </w:r>
          </w:p>
        </w:tc>
        <w:tc>
          <w:tcPr>
            <w:tcW w:w="1354" w:type="pct"/>
            <w:vAlign w:val="center"/>
          </w:tcPr>
          <w:p w14:paraId="1C2A2223" w14:textId="77777777" w:rsidR="00521900" w:rsidRPr="000160C3" w:rsidRDefault="00521900" w:rsidP="001C47F4">
            <w:pPr>
              <w:pStyle w:val="TableText0"/>
              <w:keepNext/>
              <w:keepLines/>
              <w:spacing w:line="240" w:lineRule="auto"/>
              <w:jc w:val="center"/>
            </w:pPr>
            <w:r w:rsidRPr="000160C3">
              <w:t>16.3%</w:t>
            </w:r>
          </w:p>
        </w:tc>
      </w:tr>
      <w:tr w:rsidR="00521900" w:rsidRPr="000160C3" w14:paraId="3783681D" w14:textId="77777777" w:rsidTr="008F1082">
        <w:tc>
          <w:tcPr>
            <w:tcW w:w="1405" w:type="pct"/>
          </w:tcPr>
          <w:p w14:paraId="3417DE6B" w14:textId="77777777" w:rsidR="00521900" w:rsidRPr="000160C3" w:rsidRDefault="00521900" w:rsidP="001C47F4">
            <w:pPr>
              <w:pStyle w:val="TableText0"/>
              <w:keepNext/>
              <w:keepLines/>
              <w:spacing w:line="240" w:lineRule="auto"/>
            </w:pPr>
            <w:r w:rsidRPr="000160C3">
              <w:t>CR</w:t>
            </w:r>
          </w:p>
        </w:tc>
        <w:tc>
          <w:tcPr>
            <w:tcW w:w="1121" w:type="pct"/>
            <w:vAlign w:val="center"/>
          </w:tcPr>
          <w:p w14:paraId="12BC7754" w14:textId="77777777" w:rsidR="00521900" w:rsidRPr="000160C3" w:rsidRDefault="00521900" w:rsidP="001C47F4">
            <w:pPr>
              <w:pStyle w:val="TableText0"/>
              <w:keepNext/>
              <w:keepLines/>
              <w:spacing w:line="240" w:lineRule="auto"/>
              <w:jc w:val="center"/>
            </w:pPr>
            <w:r w:rsidRPr="000160C3">
              <w:t>12 (7.3%)</w:t>
            </w:r>
          </w:p>
        </w:tc>
        <w:tc>
          <w:tcPr>
            <w:tcW w:w="1121" w:type="pct"/>
            <w:vAlign w:val="center"/>
          </w:tcPr>
          <w:p w14:paraId="633A9DCA" w14:textId="60DFB29E" w:rsidR="00521900" w:rsidRPr="000160C3" w:rsidRDefault="00521900" w:rsidP="001C47F4">
            <w:pPr>
              <w:pStyle w:val="TableText0"/>
              <w:keepNext/>
              <w:keepLines/>
              <w:spacing w:line="240" w:lineRule="auto"/>
              <w:jc w:val="center"/>
            </w:pPr>
            <w:r w:rsidRPr="000160C3">
              <w:t xml:space="preserve">3.8% </w:t>
            </w:r>
            <w:r w:rsidR="00EC1990">
              <w:noBreakHyphen/>
            </w:r>
            <w:r w:rsidRPr="000160C3">
              <w:t xml:space="preserve"> 12.4%</w:t>
            </w:r>
          </w:p>
        </w:tc>
        <w:tc>
          <w:tcPr>
            <w:tcW w:w="1354" w:type="pct"/>
            <w:vAlign w:val="center"/>
          </w:tcPr>
          <w:p w14:paraId="5AC44B23" w14:textId="77777777" w:rsidR="00521900" w:rsidRPr="000160C3" w:rsidRDefault="00521900" w:rsidP="001C47F4">
            <w:pPr>
              <w:pStyle w:val="TableText0"/>
              <w:keepNext/>
              <w:keepLines/>
              <w:spacing w:line="240" w:lineRule="auto"/>
              <w:jc w:val="center"/>
            </w:pPr>
            <w:r w:rsidRPr="000160C3">
              <w:t>21.1%</w:t>
            </w:r>
          </w:p>
        </w:tc>
      </w:tr>
      <w:tr w:rsidR="00521900" w:rsidRPr="000160C3" w14:paraId="470C0DCA" w14:textId="77777777" w:rsidTr="008F1082">
        <w:tc>
          <w:tcPr>
            <w:tcW w:w="1405" w:type="pct"/>
          </w:tcPr>
          <w:p w14:paraId="473DF7AD" w14:textId="77777777" w:rsidR="00521900" w:rsidRPr="000160C3" w:rsidRDefault="00521900" w:rsidP="001C47F4">
            <w:pPr>
              <w:pStyle w:val="TableText0"/>
              <w:keepNext/>
              <w:keepLines/>
              <w:spacing w:line="240" w:lineRule="auto"/>
            </w:pPr>
            <w:r w:rsidRPr="000160C3">
              <w:t>VGPR</w:t>
            </w:r>
          </w:p>
        </w:tc>
        <w:tc>
          <w:tcPr>
            <w:tcW w:w="1121" w:type="pct"/>
            <w:vAlign w:val="center"/>
          </w:tcPr>
          <w:p w14:paraId="2F538B34" w14:textId="77777777" w:rsidR="00521900" w:rsidRPr="000160C3" w:rsidRDefault="00521900" w:rsidP="001C47F4">
            <w:pPr>
              <w:pStyle w:val="TableText0"/>
              <w:keepNext/>
              <w:keepLines/>
              <w:spacing w:line="240" w:lineRule="auto"/>
              <w:jc w:val="center"/>
            </w:pPr>
            <w:r w:rsidRPr="000160C3">
              <w:t>22 (13.3%)</w:t>
            </w:r>
          </w:p>
        </w:tc>
        <w:tc>
          <w:tcPr>
            <w:tcW w:w="1121" w:type="pct"/>
            <w:vAlign w:val="center"/>
          </w:tcPr>
          <w:p w14:paraId="33101E30" w14:textId="69DEA6E5" w:rsidR="00521900" w:rsidRPr="000160C3" w:rsidRDefault="00521900" w:rsidP="001C47F4">
            <w:pPr>
              <w:pStyle w:val="TableText0"/>
              <w:keepNext/>
              <w:keepLines/>
              <w:spacing w:line="240" w:lineRule="auto"/>
              <w:jc w:val="center"/>
            </w:pPr>
            <w:r w:rsidRPr="000160C3">
              <w:t xml:space="preserve">8.5% </w:t>
            </w:r>
            <w:r w:rsidR="00EC1990">
              <w:noBreakHyphen/>
            </w:r>
            <w:r w:rsidRPr="000160C3">
              <w:t xml:space="preserve"> 19.5%</w:t>
            </w:r>
          </w:p>
        </w:tc>
        <w:tc>
          <w:tcPr>
            <w:tcW w:w="1354" w:type="pct"/>
            <w:vAlign w:val="center"/>
          </w:tcPr>
          <w:p w14:paraId="0C62D82E" w14:textId="77777777" w:rsidR="00521900" w:rsidRPr="000160C3" w:rsidRDefault="00521900" w:rsidP="001C47F4">
            <w:pPr>
              <w:pStyle w:val="TableText0"/>
              <w:keepNext/>
              <w:keepLines/>
              <w:spacing w:line="240" w:lineRule="auto"/>
              <w:jc w:val="center"/>
            </w:pPr>
            <w:r w:rsidRPr="000160C3">
              <w:t>18.7%</w:t>
            </w:r>
          </w:p>
        </w:tc>
      </w:tr>
      <w:tr w:rsidR="00521900" w:rsidRPr="000160C3" w14:paraId="2341D470" w14:textId="77777777" w:rsidTr="008F1082">
        <w:tc>
          <w:tcPr>
            <w:tcW w:w="1405" w:type="pct"/>
          </w:tcPr>
          <w:p w14:paraId="3479D740" w14:textId="77777777" w:rsidR="00521900" w:rsidRPr="000160C3" w:rsidRDefault="00521900" w:rsidP="001C47F4">
            <w:pPr>
              <w:pStyle w:val="TableText0"/>
              <w:keepNext/>
              <w:keepLines/>
              <w:spacing w:line="240" w:lineRule="auto"/>
            </w:pPr>
            <w:r w:rsidRPr="000160C3">
              <w:t>PR</w:t>
            </w:r>
          </w:p>
        </w:tc>
        <w:tc>
          <w:tcPr>
            <w:tcW w:w="1121" w:type="pct"/>
            <w:vAlign w:val="center"/>
          </w:tcPr>
          <w:p w14:paraId="4143760F" w14:textId="77777777" w:rsidR="00521900" w:rsidRPr="000160C3" w:rsidRDefault="00521900" w:rsidP="001C47F4">
            <w:pPr>
              <w:pStyle w:val="TableText0"/>
              <w:keepNext/>
              <w:keepLines/>
              <w:spacing w:line="240" w:lineRule="auto"/>
              <w:jc w:val="center"/>
            </w:pPr>
            <w:r w:rsidRPr="000160C3">
              <w:t>6 (3.6%)</w:t>
            </w:r>
          </w:p>
        </w:tc>
        <w:tc>
          <w:tcPr>
            <w:tcW w:w="1121" w:type="pct"/>
            <w:vAlign w:val="center"/>
          </w:tcPr>
          <w:p w14:paraId="5415060C" w14:textId="5A74910D" w:rsidR="00521900" w:rsidRPr="000160C3" w:rsidRDefault="00521900" w:rsidP="001C47F4">
            <w:pPr>
              <w:pStyle w:val="TableText0"/>
              <w:keepNext/>
              <w:keepLines/>
              <w:spacing w:line="240" w:lineRule="auto"/>
              <w:jc w:val="center"/>
            </w:pPr>
            <w:r w:rsidRPr="000160C3">
              <w:t xml:space="preserve">1.3% </w:t>
            </w:r>
            <w:r w:rsidR="00EC1990">
              <w:noBreakHyphen/>
            </w:r>
            <w:r w:rsidRPr="000160C3">
              <w:t xml:space="preserve"> 7.7%</w:t>
            </w:r>
          </w:p>
        </w:tc>
        <w:tc>
          <w:tcPr>
            <w:tcW w:w="1354" w:type="pct"/>
            <w:vAlign w:val="center"/>
          </w:tcPr>
          <w:p w14:paraId="4595EA14" w14:textId="77777777" w:rsidR="00521900" w:rsidRPr="000160C3" w:rsidRDefault="00521900" w:rsidP="001C47F4">
            <w:pPr>
              <w:pStyle w:val="TableText0"/>
              <w:keepNext/>
              <w:keepLines/>
              <w:spacing w:line="240" w:lineRule="auto"/>
              <w:jc w:val="center"/>
            </w:pPr>
            <w:r w:rsidRPr="000160C3">
              <w:t>4.9%</w:t>
            </w:r>
          </w:p>
        </w:tc>
      </w:tr>
      <w:tr w:rsidR="00521900" w:rsidRPr="000160C3" w14:paraId="7A085E53" w14:textId="77777777" w:rsidTr="008F1082">
        <w:tc>
          <w:tcPr>
            <w:tcW w:w="1405" w:type="pct"/>
          </w:tcPr>
          <w:p w14:paraId="2F7F97FE" w14:textId="77777777" w:rsidR="00521900" w:rsidRPr="000160C3" w:rsidRDefault="00521900" w:rsidP="001C47F4">
            <w:pPr>
              <w:pStyle w:val="TableText0"/>
              <w:keepNext/>
              <w:keepLines/>
              <w:spacing w:line="240" w:lineRule="auto"/>
            </w:pPr>
            <w:r w:rsidRPr="000160C3">
              <w:t>MR</w:t>
            </w:r>
          </w:p>
        </w:tc>
        <w:tc>
          <w:tcPr>
            <w:tcW w:w="1121" w:type="pct"/>
            <w:vAlign w:val="center"/>
          </w:tcPr>
          <w:p w14:paraId="4CF6B3CE" w14:textId="77777777" w:rsidR="00521900" w:rsidRPr="000160C3" w:rsidRDefault="00521900" w:rsidP="001C47F4">
            <w:pPr>
              <w:pStyle w:val="TableText0"/>
              <w:keepNext/>
              <w:keepLines/>
              <w:spacing w:line="240" w:lineRule="auto"/>
              <w:jc w:val="center"/>
            </w:pPr>
            <w:r w:rsidRPr="000160C3">
              <w:t>2 (1.2%)</w:t>
            </w:r>
          </w:p>
        </w:tc>
        <w:tc>
          <w:tcPr>
            <w:tcW w:w="1121" w:type="pct"/>
            <w:vAlign w:val="center"/>
          </w:tcPr>
          <w:p w14:paraId="2F5CB915" w14:textId="68CA138A" w:rsidR="00521900" w:rsidRPr="000160C3" w:rsidRDefault="00521900" w:rsidP="001C47F4">
            <w:pPr>
              <w:pStyle w:val="TableText0"/>
              <w:keepNext/>
              <w:keepLines/>
              <w:spacing w:line="240" w:lineRule="auto"/>
              <w:jc w:val="center"/>
            </w:pPr>
            <w:r w:rsidRPr="000160C3">
              <w:t xml:space="preserve">0.1% </w:t>
            </w:r>
            <w:r w:rsidR="00EC1990">
              <w:noBreakHyphen/>
            </w:r>
            <w:r w:rsidRPr="000160C3">
              <w:t xml:space="preserve"> 4.3%</w:t>
            </w:r>
          </w:p>
        </w:tc>
        <w:tc>
          <w:tcPr>
            <w:tcW w:w="1354" w:type="pct"/>
            <w:vAlign w:val="center"/>
          </w:tcPr>
          <w:p w14:paraId="13352CE7" w14:textId="77777777" w:rsidR="00521900" w:rsidRPr="000160C3" w:rsidRDefault="00521900" w:rsidP="001C47F4">
            <w:pPr>
              <w:pStyle w:val="TableText0"/>
              <w:keepNext/>
              <w:keepLines/>
              <w:spacing w:line="240" w:lineRule="auto"/>
              <w:jc w:val="center"/>
            </w:pPr>
            <w:r w:rsidRPr="000160C3">
              <w:t>NR</w:t>
            </w:r>
          </w:p>
        </w:tc>
      </w:tr>
      <w:tr w:rsidR="00521900" w:rsidRPr="000160C3" w14:paraId="19CED85E" w14:textId="77777777" w:rsidTr="008F1082">
        <w:tc>
          <w:tcPr>
            <w:tcW w:w="1405" w:type="pct"/>
          </w:tcPr>
          <w:p w14:paraId="2E179023" w14:textId="77777777" w:rsidR="00521900" w:rsidRPr="000160C3" w:rsidRDefault="00521900" w:rsidP="001C47F4">
            <w:pPr>
              <w:pStyle w:val="TableText0"/>
              <w:keepNext/>
              <w:keepLines/>
              <w:spacing w:line="240" w:lineRule="auto"/>
            </w:pPr>
            <w:r w:rsidRPr="000160C3">
              <w:t>SD</w:t>
            </w:r>
          </w:p>
        </w:tc>
        <w:tc>
          <w:tcPr>
            <w:tcW w:w="1121" w:type="pct"/>
            <w:vAlign w:val="center"/>
          </w:tcPr>
          <w:p w14:paraId="59015D77" w14:textId="77777777" w:rsidR="00521900" w:rsidRPr="000160C3" w:rsidRDefault="00521900" w:rsidP="001C47F4">
            <w:pPr>
              <w:pStyle w:val="TableText0"/>
              <w:keepNext/>
              <w:keepLines/>
              <w:spacing w:line="240" w:lineRule="auto"/>
              <w:jc w:val="center"/>
            </w:pPr>
            <w:r w:rsidRPr="000160C3">
              <w:t>28 (17.0%)</w:t>
            </w:r>
          </w:p>
        </w:tc>
        <w:tc>
          <w:tcPr>
            <w:tcW w:w="1121" w:type="pct"/>
            <w:vAlign w:val="center"/>
          </w:tcPr>
          <w:p w14:paraId="246B7466" w14:textId="1564A942" w:rsidR="00521900" w:rsidRPr="000160C3" w:rsidRDefault="00521900" w:rsidP="001C47F4">
            <w:pPr>
              <w:pStyle w:val="TableText0"/>
              <w:keepNext/>
              <w:keepLines/>
              <w:spacing w:line="240" w:lineRule="auto"/>
              <w:jc w:val="center"/>
            </w:pPr>
            <w:r w:rsidRPr="000160C3">
              <w:t xml:space="preserve">11.6% </w:t>
            </w:r>
            <w:r w:rsidR="00EC1990">
              <w:noBreakHyphen/>
            </w:r>
            <w:r w:rsidRPr="000160C3">
              <w:t xml:space="preserve"> 23.6%</w:t>
            </w:r>
          </w:p>
        </w:tc>
        <w:tc>
          <w:tcPr>
            <w:tcW w:w="1354" w:type="pct"/>
            <w:vAlign w:val="center"/>
          </w:tcPr>
          <w:p w14:paraId="495D428C" w14:textId="77777777" w:rsidR="00521900" w:rsidRPr="000160C3" w:rsidRDefault="00521900" w:rsidP="001C47F4">
            <w:pPr>
              <w:pStyle w:val="TableText0"/>
              <w:keepNext/>
              <w:keepLines/>
              <w:spacing w:line="240" w:lineRule="auto"/>
              <w:jc w:val="center"/>
            </w:pPr>
            <w:r w:rsidRPr="000160C3">
              <w:t>NR</w:t>
            </w:r>
          </w:p>
        </w:tc>
      </w:tr>
      <w:tr w:rsidR="00521900" w:rsidRPr="000160C3" w14:paraId="0DCE7BA7" w14:textId="77777777" w:rsidTr="008F1082">
        <w:tc>
          <w:tcPr>
            <w:tcW w:w="1405" w:type="pct"/>
          </w:tcPr>
          <w:p w14:paraId="2F4F4A04" w14:textId="77777777" w:rsidR="00521900" w:rsidRPr="000160C3" w:rsidRDefault="00521900" w:rsidP="001C47F4">
            <w:pPr>
              <w:pStyle w:val="TableText0"/>
              <w:keepNext/>
              <w:keepLines/>
              <w:spacing w:line="240" w:lineRule="auto"/>
            </w:pPr>
            <w:r w:rsidRPr="000160C3">
              <w:t>PD</w:t>
            </w:r>
          </w:p>
        </w:tc>
        <w:tc>
          <w:tcPr>
            <w:tcW w:w="1121" w:type="pct"/>
            <w:vAlign w:val="center"/>
          </w:tcPr>
          <w:p w14:paraId="0FD75A51" w14:textId="77777777" w:rsidR="00521900" w:rsidRPr="000160C3" w:rsidRDefault="00521900" w:rsidP="001C47F4">
            <w:pPr>
              <w:pStyle w:val="TableText0"/>
              <w:keepNext/>
              <w:keepLines/>
              <w:spacing w:line="240" w:lineRule="auto"/>
              <w:jc w:val="center"/>
            </w:pPr>
            <w:r w:rsidRPr="000160C3">
              <w:t>23 (13.9%)</w:t>
            </w:r>
          </w:p>
        </w:tc>
        <w:tc>
          <w:tcPr>
            <w:tcW w:w="1121" w:type="pct"/>
            <w:vAlign w:val="center"/>
          </w:tcPr>
          <w:p w14:paraId="53B08741" w14:textId="0430F5C9" w:rsidR="00521900" w:rsidRPr="000160C3" w:rsidRDefault="00521900" w:rsidP="001C47F4">
            <w:pPr>
              <w:pStyle w:val="TableText0"/>
              <w:keepNext/>
              <w:keepLines/>
              <w:spacing w:line="240" w:lineRule="auto"/>
              <w:jc w:val="center"/>
            </w:pPr>
            <w:r w:rsidRPr="000160C3">
              <w:t xml:space="preserve">9.0% </w:t>
            </w:r>
            <w:r w:rsidR="00EC1990">
              <w:noBreakHyphen/>
            </w:r>
            <w:r w:rsidRPr="000160C3">
              <w:t xml:space="preserve"> 20.2%</w:t>
            </w:r>
          </w:p>
        </w:tc>
        <w:tc>
          <w:tcPr>
            <w:tcW w:w="1354" w:type="pct"/>
            <w:vAlign w:val="center"/>
          </w:tcPr>
          <w:p w14:paraId="36419A70" w14:textId="77777777" w:rsidR="00521900" w:rsidRPr="000160C3" w:rsidRDefault="00521900" w:rsidP="001C47F4">
            <w:pPr>
              <w:pStyle w:val="TableText0"/>
              <w:keepNext/>
              <w:keepLines/>
              <w:spacing w:line="240" w:lineRule="auto"/>
              <w:jc w:val="center"/>
            </w:pPr>
            <w:r w:rsidRPr="000160C3">
              <w:t>NR</w:t>
            </w:r>
          </w:p>
        </w:tc>
      </w:tr>
      <w:tr w:rsidR="00521900" w:rsidRPr="000160C3" w14:paraId="30D1D51F" w14:textId="77777777" w:rsidTr="008F1082">
        <w:tc>
          <w:tcPr>
            <w:tcW w:w="1405" w:type="pct"/>
          </w:tcPr>
          <w:p w14:paraId="456A7BA7" w14:textId="77777777" w:rsidR="00521900" w:rsidRPr="000160C3" w:rsidRDefault="00521900" w:rsidP="001C47F4">
            <w:pPr>
              <w:pStyle w:val="TableText0"/>
              <w:keepNext/>
              <w:keepLines/>
              <w:spacing w:line="240" w:lineRule="auto"/>
            </w:pPr>
            <w:r w:rsidRPr="000160C3">
              <w:t>Not evaluable</w:t>
            </w:r>
          </w:p>
        </w:tc>
        <w:tc>
          <w:tcPr>
            <w:tcW w:w="1121" w:type="pct"/>
            <w:vAlign w:val="center"/>
          </w:tcPr>
          <w:p w14:paraId="2116822C" w14:textId="77777777" w:rsidR="00521900" w:rsidRPr="000160C3" w:rsidRDefault="00521900" w:rsidP="001C47F4">
            <w:pPr>
              <w:pStyle w:val="TableText0"/>
              <w:keepNext/>
              <w:keepLines/>
              <w:spacing w:line="240" w:lineRule="auto"/>
              <w:jc w:val="center"/>
            </w:pPr>
            <w:r w:rsidRPr="000160C3">
              <w:t>8 (4.8%)</w:t>
            </w:r>
          </w:p>
        </w:tc>
        <w:tc>
          <w:tcPr>
            <w:tcW w:w="1121" w:type="pct"/>
            <w:vAlign w:val="center"/>
          </w:tcPr>
          <w:p w14:paraId="778C96EA" w14:textId="0F9B9BC5" w:rsidR="00521900" w:rsidRPr="000160C3" w:rsidRDefault="00521900" w:rsidP="001C47F4">
            <w:pPr>
              <w:pStyle w:val="TableText0"/>
              <w:keepNext/>
              <w:keepLines/>
              <w:spacing w:line="240" w:lineRule="auto"/>
              <w:jc w:val="center"/>
            </w:pPr>
            <w:r w:rsidRPr="000160C3">
              <w:t xml:space="preserve">2.1% </w:t>
            </w:r>
            <w:r w:rsidR="00EC1990">
              <w:noBreakHyphen/>
            </w:r>
            <w:r w:rsidRPr="000160C3">
              <w:t xml:space="preserve"> 9.3%</w:t>
            </w:r>
          </w:p>
        </w:tc>
        <w:tc>
          <w:tcPr>
            <w:tcW w:w="1354" w:type="pct"/>
            <w:vAlign w:val="center"/>
          </w:tcPr>
          <w:p w14:paraId="67869367" w14:textId="77777777" w:rsidR="00521900" w:rsidRPr="000160C3" w:rsidRDefault="00521900" w:rsidP="001C47F4">
            <w:pPr>
              <w:pStyle w:val="TableText0"/>
              <w:keepNext/>
              <w:keepLines/>
              <w:spacing w:line="240" w:lineRule="auto"/>
              <w:jc w:val="center"/>
            </w:pPr>
            <w:r w:rsidRPr="000160C3">
              <w:t>NR</w:t>
            </w:r>
          </w:p>
        </w:tc>
      </w:tr>
    </w:tbl>
    <w:p w14:paraId="7CE9E604" w14:textId="77777777" w:rsidR="00521900" w:rsidRPr="000160C3" w:rsidRDefault="00521900" w:rsidP="001C47F4">
      <w:pPr>
        <w:pStyle w:val="TableFigureFooter"/>
        <w:rPr>
          <w:rFonts w:eastAsia="Calibri"/>
          <w:lang w:eastAsia="en-US"/>
        </w:rPr>
      </w:pPr>
      <w:r w:rsidRPr="000160C3">
        <w:rPr>
          <w:rFonts w:eastAsia="Calibri"/>
          <w:lang w:eastAsia="en-US"/>
        </w:rPr>
        <w:t>Source: Table 2.32, p138, Table 2.54, p175 of the submission and Prince 2024.</w:t>
      </w:r>
    </w:p>
    <w:p w14:paraId="342A2CE7" w14:textId="565C8FE9" w:rsidR="00521900" w:rsidRPr="000160C3" w:rsidRDefault="00521900" w:rsidP="001C47F4">
      <w:pPr>
        <w:pStyle w:val="TableFigureFooter"/>
        <w:rPr>
          <w:rFonts w:eastAsia="Calibri"/>
          <w:lang w:eastAsia="en-US"/>
        </w:rPr>
      </w:pPr>
      <w:r w:rsidRPr="000160C3">
        <w:rPr>
          <w:rFonts w:eastAsia="Calibri"/>
          <w:lang w:eastAsia="en-US"/>
        </w:rPr>
        <w:t>Abbreviations: CR = complete response; MR = minimal response; IRC = independent central review; N</w:t>
      </w:r>
      <w:r w:rsidR="0040064A" w:rsidRPr="000160C3">
        <w:rPr>
          <w:rFonts w:eastAsia="Calibri"/>
          <w:lang w:eastAsia="en-US"/>
        </w:rPr>
        <w:t>R</w:t>
      </w:r>
      <w:r w:rsidRPr="000160C3">
        <w:rPr>
          <w:rFonts w:eastAsia="Calibri"/>
          <w:lang w:eastAsia="en-US"/>
        </w:rPr>
        <w:t xml:space="preserve"> = not </w:t>
      </w:r>
      <w:r w:rsidR="0040064A" w:rsidRPr="000160C3">
        <w:rPr>
          <w:rFonts w:eastAsia="Calibri"/>
          <w:lang w:eastAsia="en-US"/>
        </w:rPr>
        <w:t>reported</w:t>
      </w:r>
      <w:r w:rsidRPr="000160C3">
        <w:rPr>
          <w:rFonts w:eastAsia="Calibri"/>
          <w:lang w:eastAsia="en-US"/>
        </w:rPr>
        <w:t xml:space="preserve">; ORR = overall response rate; PD = progressive disease; PR = partial response; RP2D = recommended phase 2 population; </w:t>
      </w:r>
      <w:proofErr w:type="spellStart"/>
      <w:r w:rsidRPr="000160C3">
        <w:rPr>
          <w:rFonts w:eastAsia="Calibri"/>
          <w:lang w:eastAsia="en-US"/>
        </w:rPr>
        <w:t>sCR</w:t>
      </w:r>
      <w:proofErr w:type="spellEnd"/>
      <w:r w:rsidRPr="000160C3">
        <w:rPr>
          <w:rFonts w:eastAsia="Calibri"/>
          <w:lang w:eastAsia="en-US"/>
        </w:rPr>
        <w:t xml:space="preserve"> = stringent complete response; SD = stable disease; </w:t>
      </w:r>
      <w:proofErr w:type="spellStart"/>
      <w:r w:rsidRPr="000160C3">
        <w:rPr>
          <w:rFonts w:eastAsia="Calibri"/>
          <w:lang w:eastAsia="en-US"/>
        </w:rPr>
        <w:t>sFLC</w:t>
      </w:r>
      <w:proofErr w:type="spellEnd"/>
      <w:r w:rsidRPr="000160C3">
        <w:rPr>
          <w:rFonts w:eastAsia="Calibri"/>
          <w:lang w:eastAsia="en-US"/>
        </w:rPr>
        <w:t xml:space="preserve"> = serum free light chain; VGPR = very good partial response.</w:t>
      </w:r>
    </w:p>
    <w:p w14:paraId="510960B9" w14:textId="031E61DF" w:rsidR="00521900" w:rsidRPr="000160C3" w:rsidRDefault="00521900" w:rsidP="001C47F4">
      <w:pPr>
        <w:pStyle w:val="TableFigureFooter"/>
        <w:rPr>
          <w:rFonts w:eastAsia="Calibri"/>
          <w:lang w:eastAsia="en-US"/>
        </w:rPr>
      </w:pPr>
      <w:r w:rsidRPr="000160C3">
        <w:rPr>
          <w:rFonts w:eastAsia="Calibri"/>
          <w:lang w:eastAsia="en-US"/>
        </w:rPr>
        <w:t xml:space="preserve">a </w:t>
      </w:r>
      <w:r w:rsidR="006E125B" w:rsidRPr="000160C3">
        <w:rPr>
          <w:rFonts w:eastAsia="Calibri"/>
          <w:lang w:eastAsia="en-US"/>
        </w:rPr>
        <w:t>O</w:t>
      </w:r>
      <w:r w:rsidRPr="000160C3">
        <w:rPr>
          <w:rFonts w:eastAsia="Calibri"/>
          <w:lang w:eastAsia="en-US"/>
        </w:rPr>
        <w:t xml:space="preserve">utcomes assessed by independent central review. </w:t>
      </w:r>
    </w:p>
    <w:p w14:paraId="6FD08BFF" w14:textId="48E98FCB" w:rsidR="00521900" w:rsidRPr="000160C3" w:rsidRDefault="00521900" w:rsidP="001C47F4">
      <w:pPr>
        <w:pStyle w:val="TableFigureFooter"/>
        <w:rPr>
          <w:rFonts w:eastAsia="Calibri"/>
          <w:lang w:eastAsia="en-US"/>
        </w:rPr>
      </w:pPr>
      <w:r w:rsidRPr="000160C3">
        <w:rPr>
          <w:rFonts w:eastAsia="Calibri"/>
          <w:lang w:eastAsia="en-US"/>
        </w:rPr>
        <w:t xml:space="preserve">b </w:t>
      </w:r>
      <w:proofErr w:type="spellStart"/>
      <w:r w:rsidRPr="000160C3">
        <w:rPr>
          <w:rFonts w:eastAsia="Calibri"/>
          <w:lang w:eastAsia="en-US"/>
        </w:rPr>
        <w:t>sCR</w:t>
      </w:r>
      <w:proofErr w:type="spellEnd"/>
      <w:r w:rsidRPr="000160C3">
        <w:rPr>
          <w:rFonts w:eastAsia="Calibri"/>
          <w:lang w:eastAsia="en-US"/>
        </w:rPr>
        <w:t xml:space="preserve"> = achieving a complete response (CR) plus a normalisation of the kappa and lambda serum free light chain (</w:t>
      </w:r>
      <w:proofErr w:type="spellStart"/>
      <w:r w:rsidRPr="000160C3">
        <w:rPr>
          <w:rFonts w:eastAsia="Calibri"/>
          <w:lang w:eastAsia="en-US"/>
        </w:rPr>
        <w:t>sFLC</w:t>
      </w:r>
      <w:proofErr w:type="spellEnd"/>
      <w:r w:rsidRPr="000160C3">
        <w:rPr>
          <w:rFonts w:eastAsia="Calibri"/>
          <w:lang w:eastAsia="en-US"/>
        </w:rPr>
        <w:t>) ratio plus the absence of clonal plasma cells in bone marrow.</w:t>
      </w:r>
    </w:p>
    <w:p w14:paraId="2E9799F8" w14:textId="044ECCFE" w:rsidR="00521900" w:rsidRPr="000160C3" w:rsidRDefault="00521900" w:rsidP="001C47F4">
      <w:pPr>
        <w:pStyle w:val="3-BodyText"/>
        <w:numPr>
          <w:ilvl w:val="0"/>
          <w:numId w:val="0"/>
        </w:numPr>
        <w:ind w:left="720" w:hanging="720"/>
        <w:rPr>
          <w:u w:val="single"/>
          <w:lang w:eastAsia="en-US"/>
        </w:rPr>
      </w:pPr>
      <w:r w:rsidRPr="000160C3">
        <w:rPr>
          <w:u w:val="single"/>
          <w:lang w:eastAsia="en-US"/>
        </w:rPr>
        <w:t>MajesTEC</w:t>
      </w:r>
      <w:r w:rsidR="00EC1990">
        <w:rPr>
          <w:u w:val="single"/>
          <w:lang w:eastAsia="en-US"/>
        </w:rPr>
        <w:noBreakHyphen/>
      </w:r>
      <w:r w:rsidRPr="000160C3">
        <w:rPr>
          <w:u w:val="single"/>
          <w:lang w:eastAsia="en-US"/>
        </w:rPr>
        <w:t>1</w:t>
      </w:r>
      <w:r w:rsidR="001C4CA5" w:rsidRPr="000160C3">
        <w:rPr>
          <w:u w:val="single"/>
          <w:lang w:eastAsia="en-US"/>
        </w:rPr>
        <w:t xml:space="preserve"> PFS</w:t>
      </w:r>
      <w:r w:rsidR="004E0C40" w:rsidRPr="000160C3">
        <w:rPr>
          <w:u w:val="single"/>
          <w:lang w:eastAsia="en-US"/>
        </w:rPr>
        <w:t xml:space="preserve"> and OS</w:t>
      </w:r>
    </w:p>
    <w:p w14:paraId="08FA7AF7" w14:textId="485436EE" w:rsidR="00521900" w:rsidRPr="00056815" w:rsidRDefault="00A544DB" w:rsidP="001C47F4">
      <w:pPr>
        <w:pStyle w:val="3-BodyText"/>
        <w:rPr>
          <w:rFonts w:cstheme="minorHAnsi"/>
          <w:lang w:eastAsia="en-US"/>
        </w:rPr>
      </w:pPr>
      <w:r w:rsidRPr="000160C3">
        <w:rPr>
          <w:lang w:eastAsia="en-US"/>
        </w:rPr>
        <w:t>M</w:t>
      </w:r>
      <w:r w:rsidR="00521900" w:rsidRPr="000160C3">
        <w:rPr>
          <w:lang w:eastAsia="en-US"/>
        </w:rPr>
        <w:t xml:space="preserve">edian </w:t>
      </w:r>
      <w:r w:rsidR="00521900" w:rsidRPr="00056815">
        <w:rPr>
          <w:rFonts w:cstheme="minorHAnsi"/>
          <w:szCs w:val="24"/>
          <w:lang w:eastAsia="en-US"/>
        </w:rPr>
        <w:t xml:space="preserve">PFS </w:t>
      </w:r>
      <w:r w:rsidRPr="00056815">
        <w:rPr>
          <w:rFonts w:cstheme="minorHAnsi"/>
          <w:szCs w:val="24"/>
          <w:lang w:eastAsia="en-US"/>
        </w:rPr>
        <w:t>in the MajesTEC</w:t>
      </w:r>
      <w:r w:rsidR="00EC1990">
        <w:rPr>
          <w:rFonts w:cstheme="minorHAnsi"/>
          <w:szCs w:val="24"/>
          <w:lang w:eastAsia="en-US"/>
        </w:rPr>
        <w:noBreakHyphen/>
      </w:r>
      <w:r w:rsidRPr="00056815">
        <w:rPr>
          <w:rFonts w:cstheme="minorHAnsi"/>
          <w:szCs w:val="24"/>
          <w:lang w:eastAsia="en-US"/>
        </w:rPr>
        <w:t xml:space="preserve">1 </w:t>
      </w:r>
      <w:r w:rsidR="001D02C6" w:rsidRPr="00056815">
        <w:rPr>
          <w:rFonts w:cstheme="minorHAnsi"/>
          <w:szCs w:val="24"/>
          <w:lang w:eastAsia="en-US"/>
        </w:rPr>
        <w:t xml:space="preserve">RP2D population </w:t>
      </w:r>
      <w:r w:rsidR="00521900" w:rsidRPr="00056815">
        <w:rPr>
          <w:rFonts w:cstheme="minorHAnsi"/>
          <w:szCs w:val="24"/>
          <w:lang w:eastAsia="en-US"/>
        </w:rPr>
        <w:t>was 11.4 months (95% CI: 8.8</w:t>
      </w:r>
      <w:r w:rsidRPr="00056815">
        <w:rPr>
          <w:rFonts w:cstheme="minorHAnsi"/>
          <w:szCs w:val="24"/>
          <w:lang w:eastAsia="en-US"/>
        </w:rPr>
        <w:t>,</w:t>
      </w:r>
      <w:r w:rsidR="00682D9D" w:rsidRPr="00056815">
        <w:rPr>
          <w:rFonts w:cstheme="minorHAnsi"/>
          <w:szCs w:val="24"/>
          <w:lang w:eastAsia="en-US"/>
        </w:rPr>
        <w:t xml:space="preserve"> </w:t>
      </w:r>
      <w:r w:rsidR="00521900" w:rsidRPr="00056815">
        <w:rPr>
          <w:rFonts w:cstheme="minorHAnsi"/>
          <w:szCs w:val="24"/>
          <w:lang w:eastAsia="en-US"/>
        </w:rPr>
        <w:t>16.4) (</w:t>
      </w:r>
      <w:r w:rsidR="00521900" w:rsidRPr="00056815">
        <w:rPr>
          <w:rFonts w:cstheme="minorHAnsi"/>
          <w:szCs w:val="24"/>
          <w:lang w:eastAsia="en-US"/>
        </w:rPr>
        <w:fldChar w:fldCharType="begin"/>
      </w:r>
      <w:r w:rsidR="00521900" w:rsidRPr="00056815">
        <w:rPr>
          <w:rFonts w:cstheme="minorHAnsi"/>
          <w:szCs w:val="24"/>
          <w:lang w:eastAsia="en-US"/>
        </w:rPr>
        <w:instrText xml:space="preserve"> REF _Ref215994643 \h  \* MERGEFORMAT </w:instrText>
      </w:r>
      <w:r w:rsidR="00521900" w:rsidRPr="00056815">
        <w:rPr>
          <w:rFonts w:cstheme="minorHAnsi"/>
          <w:szCs w:val="24"/>
          <w:lang w:eastAsia="en-US"/>
        </w:rPr>
      </w:r>
      <w:r w:rsidR="00521900" w:rsidRPr="00056815">
        <w:rPr>
          <w:rFonts w:cstheme="minorHAnsi"/>
          <w:szCs w:val="24"/>
          <w:lang w:eastAsia="en-US"/>
        </w:rPr>
        <w:fldChar w:fldCharType="separate"/>
      </w:r>
      <w:r w:rsidR="001C47F4" w:rsidRPr="001C47F4">
        <w:rPr>
          <w:rFonts w:cstheme="minorHAnsi"/>
          <w:lang w:eastAsia="en-US"/>
        </w:rPr>
        <w:t>Table</w:t>
      </w:r>
      <w:r w:rsidR="001C47F4" w:rsidRPr="001C47F4">
        <w:rPr>
          <w:rStyle w:val="CommentReference"/>
          <w:rFonts w:asciiTheme="minorHAnsi" w:eastAsiaTheme="majorEastAsia" w:hAnsiTheme="minorHAnsi" w:cstheme="minorHAnsi"/>
          <w:b w:val="0"/>
          <w:sz w:val="24"/>
          <w:szCs w:val="24"/>
        </w:rPr>
        <w:t xml:space="preserve"> 5</w:t>
      </w:r>
      <w:r w:rsidR="00521900" w:rsidRPr="00056815">
        <w:rPr>
          <w:rFonts w:cstheme="minorHAnsi"/>
          <w:szCs w:val="24"/>
          <w:lang w:eastAsia="en-US"/>
        </w:rPr>
        <w:fldChar w:fldCharType="end"/>
      </w:r>
      <w:r w:rsidR="00521900" w:rsidRPr="00056815">
        <w:rPr>
          <w:rFonts w:cstheme="minorHAnsi"/>
          <w:szCs w:val="24"/>
          <w:lang w:eastAsia="en-US"/>
        </w:rPr>
        <w:t xml:space="preserve"> and </w:t>
      </w:r>
      <w:r w:rsidR="00521900" w:rsidRPr="00056815">
        <w:rPr>
          <w:rFonts w:cstheme="minorHAnsi"/>
          <w:szCs w:val="24"/>
          <w:lang w:eastAsia="en-US"/>
        </w:rPr>
        <w:fldChar w:fldCharType="begin"/>
      </w:r>
      <w:r w:rsidR="00521900" w:rsidRPr="00056815">
        <w:rPr>
          <w:rFonts w:cstheme="minorHAnsi"/>
          <w:szCs w:val="24"/>
          <w:lang w:eastAsia="en-US"/>
        </w:rPr>
        <w:instrText xml:space="preserve"> REF _Ref215994667 \h  \* MERGEFORMAT </w:instrText>
      </w:r>
      <w:r w:rsidR="00521900" w:rsidRPr="00056815">
        <w:rPr>
          <w:rFonts w:cstheme="minorHAnsi"/>
          <w:szCs w:val="24"/>
          <w:lang w:eastAsia="en-US"/>
        </w:rPr>
      </w:r>
      <w:r w:rsidR="00521900" w:rsidRPr="00056815">
        <w:rPr>
          <w:rFonts w:cstheme="minorHAnsi"/>
          <w:szCs w:val="24"/>
          <w:lang w:eastAsia="en-US"/>
        </w:rPr>
        <w:fldChar w:fldCharType="separate"/>
      </w:r>
      <w:r w:rsidR="001C47F4" w:rsidRPr="001C47F4">
        <w:rPr>
          <w:rFonts w:cstheme="minorHAnsi"/>
          <w:szCs w:val="24"/>
          <w:lang w:eastAsia="en-US"/>
        </w:rPr>
        <w:t>Figure 1</w:t>
      </w:r>
      <w:r w:rsidR="00521900" w:rsidRPr="00056815">
        <w:rPr>
          <w:rFonts w:cstheme="minorHAnsi"/>
          <w:szCs w:val="24"/>
          <w:lang w:eastAsia="en-US"/>
        </w:rPr>
        <w:fldChar w:fldCharType="end"/>
      </w:r>
      <w:r w:rsidR="00521900" w:rsidRPr="00056815">
        <w:rPr>
          <w:rFonts w:cstheme="minorHAnsi"/>
          <w:szCs w:val="24"/>
          <w:lang w:eastAsia="en-US"/>
        </w:rPr>
        <w:t>). Median OS was 22.2 months (95% CI: 15.1</w:t>
      </w:r>
      <w:r w:rsidRPr="00056815">
        <w:rPr>
          <w:rFonts w:cstheme="minorHAnsi"/>
          <w:szCs w:val="24"/>
          <w:lang w:eastAsia="en-US"/>
        </w:rPr>
        <w:t>,</w:t>
      </w:r>
      <w:r w:rsidR="00521900" w:rsidRPr="00056815">
        <w:rPr>
          <w:rFonts w:cstheme="minorHAnsi"/>
          <w:szCs w:val="24"/>
          <w:lang w:eastAsia="en-US"/>
        </w:rPr>
        <w:t xml:space="preserve"> 29.9</w:t>
      </w:r>
      <w:r w:rsidR="001300EF" w:rsidRPr="00056815">
        <w:rPr>
          <w:rFonts w:cstheme="minorHAnsi"/>
          <w:szCs w:val="24"/>
          <w:lang w:eastAsia="en-US"/>
        </w:rPr>
        <w:t xml:space="preserve">; </w:t>
      </w:r>
      <w:r w:rsidR="001300EF" w:rsidRPr="00056815">
        <w:rPr>
          <w:rFonts w:cstheme="minorHAnsi"/>
          <w:b/>
          <w:bCs/>
          <w:szCs w:val="24"/>
          <w:lang w:eastAsia="en-US"/>
        </w:rPr>
        <w:fldChar w:fldCharType="begin"/>
      </w:r>
      <w:r w:rsidR="001300EF" w:rsidRPr="00056815">
        <w:rPr>
          <w:rFonts w:cstheme="minorHAnsi"/>
          <w:b/>
          <w:bCs/>
          <w:szCs w:val="24"/>
          <w:lang w:eastAsia="en-US"/>
        </w:rPr>
        <w:instrText xml:space="preserve"> REF _Ref215994643 \h  \* MERGEFORMAT </w:instrText>
      </w:r>
      <w:r w:rsidR="001300EF" w:rsidRPr="00056815">
        <w:rPr>
          <w:rFonts w:cstheme="minorHAnsi"/>
          <w:b/>
          <w:bCs/>
          <w:szCs w:val="24"/>
          <w:lang w:eastAsia="en-US"/>
        </w:rPr>
      </w:r>
      <w:r w:rsidR="001300EF" w:rsidRPr="00056815">
        <w:rPr>
          <w:rFonts w:cstheme="minorHAnsi"/>
          <w:b/>
          <w:bCs/>
          <w:szCs w:val="24"/>
          <w:lang w:eastAsia="en-US"/>
        </w:rPr>
        <w:fldChar w:fldCharType="separate"/>
      </w:r>
      <w:r w:rsidR="001C47F4" w:rsidRPr="001C47F4">
        <w:rPr>
          <w:rStyle w:val="CommentReference"/>
          <w:rFonts w:asciiTheme="minorHAnsi" w:eastAsiaTheme="majorEastAsia" w:hAnsiTheme="minorHAnsi" w:cstheme="minorHAnsi"/>
          <w:b w:val="0"/>
          <w:bCs/>
          <w:sz w:val="24"/>
          <w:szCs w:val="24"/>
        </w:rPr>
        <w:t>Table</w:t>
      </w:r>
      <w:r w:rsidR="001C47F4" w:rsidRPr="001C47F4">
        <w:rPr>
          <w:rStyle w:val="CommentReference"/>
          <w:rFonts w:asciiTheme="minorHAnsi" w:eastAsiaTheme="majorEastAsia" w:hAnsiTheme="minorHAnsi" w:cstheme="minorHAnsi"/>
          <w:b w:val="0"/>
          <w:sz w:val="24"/>
          <w:szCs w:val="24"/>
        </w:rPr>
        <w:t xml:space="preserve"> 5</w:t>
      </w:r>
      <w:r w:rsidR="001300EF" w:rsidRPr="00056815">
        <w:rPr>
          <w:rFonts w:cstheme="minorHAnsi"/>
          <w:b/>
          <w:bCs/>
          <w:szCs w:val="24"/>
          <w:lang w:eastAsia="en-US"/>
        </w:rPr>
        <w:fldChar w:fldCharType="end"/>
      </w:r>
      <w:r w:rsidR="001300EF" w:rsidRPr="00056815">
        <w:rPr>
          <w:rFonts w:cstheme="minorHAnsi"/>
          <w:szCs w:val="24"/>
          <w:lang w:eastAsia="en-US"/>
        </w:rPr>
        <w:t xml:space="preserve"> and </w:t>
      </w:r>
      <w:r w:rsidR="001300EF" w:rsidRPr="00056815">
        <w:rPr>
          <w:rFonts w:cstheme="minorHAnsi"/>
          <w:szCs w:val="24"/>
          <w:lang w:eastAsia="en-US"/>
        </w:rPr>
        <w:fldChar w:fldCharType="begin"/>
      </w:r>
      <w:r w:rsidR="001300EF" w:rsidRPr="00056815">
        <w:rPr>
          <w:rFonts w:cstheme="minorHAnsi"/>
          <w:szCs w:val="24"/>
          <w:lang w:eastAsia="en-US"/>
        </w:rPr>
        <w:instrText xml:space="preserve"> REF _Ref215995626 \h </w:instrText>
      </w:r>
      <w:r w:rsidR="00056815" w:rsidRPr="00056815">
        <w:rPr>
          <w:rFonts w:cstheme="minorHAnsi"/>
          <w:szCs w:val="24"/>
          <w:lang w:eastAsia="en-US"/>
        </w:rPr>
        <w:instrText xml:space="preserve"> \* MERGEFORMAT </w:instrText>
      </w:r>
      <w:r w:rsidR="001300EF" w:rsidRPr="00056815">
        <w:rPr>
          <w:rFonts w:cstheme="minorHAnsi"/>
          <w:szCs w:val="24"/>
          <w:lang w:eastAsia="en-US"/>
        </w:rPr>
      </w:r>
      <w:r w:rsidR="001300EF" w:rsidRPr="00056815">
        <w:rPr>
          <w:rFonts w:cstheme="minorHAnsi"/>
          <w:szCs w:val="24"/>
          <w:lang w:eastAsia="en-US"/>
        </w:rPr>
        <w:fldChar w:fldCharType="separate"/>
      </w:r>
      <w:r w:rsidR="001C47F4" w:rsidRPr="001C47F4">
        <w:rPr>
          <w:rFonts w:cstheme="minorHAnsi"/>
          <w:szCs w:val="24"/>
        </w:rPr>
        <w:t>Figure 2</w:t>
      </w:r>
      <w:r w:rsidR="001300EF" w:rsidRPr="00056815">
        <w:rPr>
          <w:rFonts w:cstheme="minorHAnsi"/>
          <w:szCs w:val="24"/>
          <w:lang w:eastAsia="en-US"/>
        </w:rPr>
        <w:fldChar w:fldCharType="end"/>
      </w:r>
      <w:r w:rsidR="00521900" w:rsidRPr="00056815">
        <w:rPr>
          <w:rFonts w:cstheme="minorHAnsi"/>
          <w:szCs w:val="24"/>
          <w:lang w:eastAsia="en-US"/>
        </w:rPr>
        <w:t>)</w:t>
      </w:r>
      <w:r w:rsidR="00056815">
        <w:rPr>
          <w:lang w:eastAsia="en-US"/>
        </w:rPr>
        <w:t>.</w:t>
      </w:r>
    </w:p>
    <w:p w14:paraId="0C4C0E3B" w14:textId="4464D8DC" w:rsidR="00521900" w:rsidRPr="000160C3" w:rsidRDefault="00521900" w:rsidP="001C47F4">
      <w:pPr>
        <w:pStyle w:val="Caption"/>
        <w:rPr>
          <w:rStyle w:val="CommentReference"/>
          <w:rFonts w:eastAsiaTheme="majorEastAsia" w:cstheme="majorBidi"/>
          <w:b/>
          <w:szCs w:val="24"/>
        </w:rPr>
      </w:pPr>
      <w:bookmarkStart w:id="28" w:name="_Ref215994643"/>
      <w:r w:rsidRPr="000160C3">
        <w:rPr>
          <w:rStyle w:val="CommentReference"/>
          <w:rFonts w:eastAsiaTheme="majorEastAsia" w:cstheme="majorBidi"/>
          <w:b/>
          <w:szCs w:val="24"/>
        </w:rPr>
        <w:lastRenderedPageBreak/>
        <w:t xml:space="preserve">Table </w:t>
      </w:r>
      <w:r w:rsidRPr="000160C3">
        <w:rPr>
          <w:rStyle w:val="CommentReference"/>
          <w:rFonts w:eastAsiaTheme="majorEastAsia" w:cstheme="majorBidi"/>
          <w:b/>
          <w:szCs w:val="24"/>
        </w:rPr>
        <w:fldChar w:fldCharType="begin"/>
      </w:r>
      <w:r w:rsidRPr="000160C3">
        <w:rPr>
          <w:rStyle w:val="CommentReference"/>
          <w:rFonts w:eastAsiaTheme="majorEastAsia" w:cstheme="majorBidi"/>
          <w:b/>
          <w:szCs w:val="24"/>
        </w:rPr>
        <w:instrText xml:space="preserve"> SEQ Table \* ARABIC </w:instrText>
      </w:r>
      <w:r w:rsidRPr="000160C3">
        <w:rPr>
          <w:rStyle w:val="CommentReference"/>
          <w:rFonts w:eastAsiaTheme="majorEastAsia" w:cstheme="majorBidi"/>
          <w:b/>
          <w:szCs w:val="24"/>
        </w:rPr>
        <w:fldChar w:fldCharType="separate"/>
      </w:r>
      <w:r w:rsidR="001C47F4">
        <w:rPr>
          <w:rStyle w:val="CommentReference"/>
          <w:rFonts w:eastAsiaTheme="majorEastAsia" w:cstheme="majorBidi"/>
          <w:b/>
          <w:noProof/>
          <w:szCs w:val="24"/>
        </w:rPr>
        <w:t>5</w:t>
      </w:r>
      <w:r w:rsidRPr="000160C3">
        <w:rPr>
          <w:rStyle w:val="CommentReference"/>
          <w:rFonts w:eastAsiaTheme="majorEastAsia" w:cstheme="majorBidi"/>
          <w:b/>
          <w:szCs w:val="24"/>
        </w:rPr>
        <w:fldChar w:fldCharType="end"/>
      </w:r>
      <w:bookmarkEnd w:id="28"/>
      <w:r w:rsidRPr="000160C3">
        <w:rPr>
          <w:rStyle w:val="CommentReference"/>
          <w:rFonts w:eastAsiaTheme="majorEastAsia" w:cstheme="majorBidi"/>
          <w:b/>
          <w:szCs w:val="24"/>
        </w:rPr>
        <w:t xml:space="preserve">: PFS and OS </w:t>
      </w:r>
      <w:r w:rsidRPr="000160C3">
        <w:t>in the MajesTEC</w:t>
      </w:r>
      <w:r w:rsidR="00EC1990">
        <w:noBreakHyphen/>
      </w:r>
      <w:r w:rsidRPr="000160C3">
        <w:t xml:space="preserve">1 </w:t>
      </w:r>
      <w:r w:rsidR="00AF2B48" w:rsidRPr="000160C3">
        <w:t>study</w:t>
      </w:r>
      <w:r w:rsidRPr="000160C3">
        <w:t xml:space="preserve"> (all</w:t>
      </w:r>
      <w:r w:rsidR="00EC1990">
        <w:noBreakHyphen/>
      </w:r>
      <w:r w:rsidRPr="000160C3">
        <w:t>treated analysis sets, unadjusted analysis; median follow</w:t>
      </w:r>
      <w:r w:rsidR="00EC1990">
        <w:noBreakHyphen/>
      </w:r>
      <w:r w:rsidRPr="000160C3">
        <w:t>up: 30.4 months)</w:t>
      </w:r>
    </w:p>
    <w:tbl>
      <w:tblPr>
        <w:tblStyle w:val="TableGrid"/>
        <w:tblW w:w="5003" w:type="pct"/>
        <w:tblLook w:val="04A0" w:firstRow="1" w:lastRow="0" w:firstColumn="1" w:lastColumn="0" w:noHBand="0" w:noVBand="1"/>
        <w:tblCaption w:val="Table 5: PFS and OS in the MajesTEC 1 study (all treated analysis sets, unadjusted analysis; median follow up: 30.4 months)"/>
      </w:tblPr>
      <w:tblGrid>
        <w:gridCol w:w="6091"/>
        <w:gridCol w:w="2976"/>
      </w:tblGrid>
      <w:tr w:rsidR="00521900" w:rsidRPr="000160C3" w14:paraId="6A82CF38" w14:textId="77777777" w:rsidTr="00AB68F5">
        <w:tc>
          <w:tcPr>
            <w:tcW w:w="3359" w:type="pct"/>
          </w:tcPr>
          <w:p w14:paraId="5CCA9F42" w14:textId="77777777" w:rsidR="00521900" w:rsidRPr="000160C3" w:rsidRDefault="00521900" w:rsidP="001C47F4">
            <w:pPr>
              <w:pStyle w:val="In-tableHeading"/>
              <w:rPr>
                <w:vertAlign w:val="superscript"/>
              </w:rPr>
            </w:pPr>
            <w:r w:rsidRPr="000160C3">
              <w:t>PFS</w:t>
            </w:r>
          </w:p>
        </w:tc>
        <w:tc>
          <w:tcPr>
            <w:tcW w:w="1641" w:type="pct"/>
            <w:vAlign w:val="center"/>
          </w:tcPr>
          <w:p w14:paraId="644C9F29" w14:textId="6EEF0118" w:rsidR="00521900" w:rsidRPr="000160C3" w:rsidRDefault="00521900" w:rsidP="001C47F4">
            <w:pPr>
              <w:pStyle w:val="In-tableHeading"/>
              <w:rPr>
                <w:vertAlign w:val="superscript"/>
              </w:rPr>
            </w:pPr>
            <w:r w:rsidRPr="000160C3">
              <w:t>RP2D population (N=165)</w:t>
            </w:r>
          </w:p>
        </w:tc>
      </w:tr>
      <w:tr w:rsidR="00521900" w:rsidRPr="000160C3" w14:paraId="61B248C5" w14:textId="77777777" w:rsidTr="0040064A">
        <w:tc>
          <w:tcPr>
            <w:tcW w:w="3359" w:type="pct"/>
          </w:tcPr>
          <w:p w14:paraId="375483B1" w14:textId="77777777" w:rsidR="00521900" w:rsidRPr="000160C3" w:rsidRDefault="00521900" w:rsidP="001C47F4">
            <w:pPr>
              <w:pStyle w:val="TableText0"/>
              <w:keepNext/>
              <w:keepLines/>
              <w:spacing w:line="240" w:lineRule="auto"/>
            </w:pPr>
            <w:r w:rsidRPr="000160C3">
              <w:t>Number of events (%)</w:t>
            </w:r>
          </w:p>
        </w:tc>
        <w:tc>
          <w:tcPr>
            <w:tcW w:w="1641" w:type="pct"/>
            <w:vAlign w:val="center"/>
          </w:tcPr>
          <w:p w14:paraId="404CE9CE" w14:textId="77777777" w:rsidR="00521900" w:rsidRPr="000160C3" w:rsidRDefault="00521900" w:rsidP="001C47F4">
            <w:pPr>
              <w:pStyle w:val="TableText0"/>
              <w:keepNext/>
              <w:keepLines/>
              <w:spacing w:line="240" w:lineRule="auto"/>
              <w:jc w:val="center"/>
            </w:pPr>
            <w:r w:rsidRPr="000160C3">
              <w:t>107 (64.8%)</w:t>
            </w:r>
          </w:p>
        </w:tc>
      </w:tr>
      <w:tr w:rsidR="00521900" w:rsidRPr="000160C3" w14:paraId="5143CF68" w14:textId="77777777" w:rsidTr="0040064A">
        <w:tc>
          <w:tcPr>
            <w:tcW w:w="3359" w:type="pct"/>
          </w:tcPr>
          <w:p w14:paraId="0F9E8B9B" w14:textId="77777777" w:rsidR="00521900" w:rsidRPr="000160C3" w:rsidRDefault="00521900" w:rsidP="001C47F4">
            <w:pPr>
              <w:pStyle w:val="TableText0"/>
              <w:keepNext/>
              <w:keepLines/>
              <w:spacing w:line="240" w:lineRule="auto"/>
            </w:pPr>
            <w:r w:rsidRPr="000160C3">
              <w:t>Number of censored (%)</w:t>
            </w:r>
          </w:p>
        </w:tc>
        <w:tc>
          <w:tcPr>
            <w:tcW w:w="1641" w:type="pct"/>
            <w:vAlign w:val="center"/>
          </w:tcPr>
          <w:p w14:paraId="505E6B36" w14:textId="77777777" w:rsidR="00521900" w:rsidRPr="000160C3" w:rsidRDefault="00521900" w:rsidP="001C47F4">
            <w:pPr>
              <w:pStyle w:val="TableText0"/>
              <w:keepNext/>
              <w:keepLines/>
              <w:spacing w:line="240" w:lineRule="auto"/>
              <w:jc w:val="center"/>
            </w:pPr>
            <w:r w:rsidRPr="000160C3">
              <w:t>58 (35.2%)</w:t>
            </w:r>
          </w:p>
        </w:tc>
      </w:tr>
      <w:tr w:rsidR="00521900" w:rsidRPr="000160C3" w14:paraId="059E530D" w14:textId="77777777" w:rsidTr="0040064A">
        <w:tc>
          <w:tcPr>
            <w:tcW w:w="3359" w:type="pct"/>
          </w:tcPr>
          <w:p w14:paraId="3178ABFD" w14:textId="18CAB4E0" w:rsidR="00521900" w:rsidRPr="000160C3" w:rsidRDefault="00521900" w:rsidP="001C47F4">
            <w:pPr>
              <w:pStyle w:val="TableText0"/>
              <w:keepNext/>
              <w:keepLines/>
              <w:spacing w:line="240" w:lineRule="auto"/>
            </w:pPr>
            <w:r w:rsidRPr="000160C3">
              <w:t>Kaplan</w:t>
            </w:r>
            <w:r w:rsidR="00EC1990">
              <w:noBreakHyphen/>
            </w:r>
            <w:r w:rsidRPr="000160C3">
              <w:t>Meier estimate (months)</w:t>
            </w:r>
          </w:p>
        </w:tc>
        <w:tc>
          <w:tcPr>
            <w:tcW w:w="1641" w:type="pct"/>
            <w:vAlign w:val="center"/>
          </w:tcPr>
          <w:p w14:paraId="7D6ACF44" w14:textId="77777777" w:rsidR="00521900" w:rsidRPr="000160C3" w:rsidRDefault="00521900" w:rsidP="001C47F4">
            <w:pPr>
              <w:pStyle w:val="TableText0"/>
              <w:keepNext/>
              <w:keepLines/>
              <w:spacing w:line="240" w:lineRule="auto"/>
              <w:jc w:val="center"/>
            </w:pPr>
          </w:p>
        </w:tc>
      </w:tr>
      <w:tr w:rsidR="00521900" w:rsidRPr="000160C3" w14:paraId="0277F183" w14:textId="77777777" w:rsidTr="0040064A">
        <w:tc>
          <w:tcPr>
            <w:tcW w:w="3359" w:type="pct"/>
          </w:tcPr>
          <w:p w14:paraId="25E4CA0E" w14:textId="2C91DA40" w:rsidR="00521900" w:rsidRPr="000160C3" w:rsidRDefault="00EC1990" w:rsidP="001C47F4">
            <w:pPr>
              <w:pStyle w:val="TableText0"/>
              <w:keepNext/>
              <w:keepLines/>
              <w:spacing w:line="240" w:lineRule="auto"/>
            </w:pPr>
            <w:r>
              <w:t xml:space="preserve"> </w:t>
            </w:r>
            <w:r w:rsidR="00521900" w:rsidRPr="000160C3">
              <w:t xml:space="preserve"> 25% percentile (95% CI)</w:t>
            </w:r>
          </w:p>
        </w:tc>
        <w:tc>
          <w:tcPr>
            <w:tcW w:w="1641" w:type="pct"/>
            <w:vAlign w:val="center"/>
          </w:tcPr>
          <w:p w14:paraId="552834A1" w14:textId="77777777" w:rsidR="00521900" w:rsidRPr="000160C3" w:rsidRDefault="00521900" w:rsidP="001C47F4">
            <w:pPr>
              <w:pStyle w:val="TableText0"/>
              <w:keepNext/>
              <w:keepLines/>
              <w:spacing w:line="240" w:lineRule="auto"/>
              <w:jc w:val="center"/>
            </w:pPr>
            <w:r w:rsidRPr="000160C3">
              <w:t>2.1 (1.2, 4.3)</w:t>
            </w:r>
          </w:p>
        </w:tc>
      </w:tr>
      <w:tr w:rsidR="00521900" w:rsidRPr="000160C3" w14:paraId="03C27E28" w14:textId="77777777" w:rsidTr="0040064A">
        <w:tc>
          <w:tcPr>
            <w:tcW w:w="3359" w:type="pct"/>
          </w:tcPr>
          <w:p w14:paraId="4E78ED14" w14:textId="15C78552" w:rsidR="00521900" w:rsidRPr="000160C3" w:rsidRDefault="00EC1990" w:rsidP="001C47F4">
            <w:pPr>
              <w:pStyle w:val="TableText0"/>
              <w:keepNext/>
              <w:keepLines/>
              <w:spacing w:line="240" w:lineRule="auto"/>
            </w:pPr>
            <w:r>
              <w:t xml:space="preserve"> </w:t>
            </w:r>
            <w:r w:rsidR="00521900" w:rsidRPr="000160C3">
              <w:t xml:space="preserve"> Median (95% CI)</w:t>
            </w:r>
          </w:p>
        </w:tc>
        <w:tc>
          <w:tcPr>
            <w:tcW w:w="1641" w:type="pct"/>
            <w:vAlign w:val="center"/>
          </w:tcPr>
          <w:p w14:paraId="102C04D8" w14:textId="77777777" w:rsidR="00521900" w:rsidRPr="000160C3" w:rsidRDefault="00521900" w:rsidP="001C47F4">
            <w:pPr>
              <w:pStyle w:val="TableText0"/>
              <w:keepNext/>
              <w:keepLines/>
              <w:spacing w:line="240" w:lineRule="auto"/>
              <w:jc w:val="center"/>
            </w:pPr>
            <w:r w:rsidRPr="000160C3">
              <w:t>11.4 (8.8, 16.4)</w:t>
            </w:r>
          </w:p>
        </w:tc>
      </w:tr>
      <w:tr w:rsidR="00521900" w:rsidRPr="000160C3" w14:paraId="4914543D" w14:textId="77777777" w:rsidTr="0040064A">
        <w:tc>
          <w:tcPr>
            <w:tcW w:w="3359" w:type="pct"/>
          </w:tcPr>
          <w:p w14:paraId="576E7409" w14:textId="4B3DD09D" w:rsidR="00521900" w:rsidRPr="000160C3" w:rsidRDefault="00EC1990" w:rsidP="001C47F4">
            <w:pPr>
              <w:pStyle w:val="TableText0"/>
              <w:keepNext/>
              <w:keepLines/>
              <w:spacing w:line="240" w:lineRule="auto"/>
            </w:pPr>
            <w:r>
              <w:t xml:space="preserve"> </w:t>
            </w:r>
            <w:r w:rsidR="00521900" w:rsidRPr="000160C3">
              <w:t xml:space="preserve"> 75% percentile (95% CI)</w:t>
            </w:r>
          </w:p>
        </w:tc>
        <w:tc>
          <w:tcPr>
            <w:tcW w:w="1641" w:type="pct"/>
            <w:vAlign w:val="center"/>
          </w:tcPr>
          <w:p w14:paraId="43665D41" w14:textId="77777777" w:rsidR="00521900" w:rsidRPr="000160C3" w:rsidRDefault="00521900" w:rsidP="001C47F4">
            <w:pPr>
              <w:pStyle w:val="TableText0"/>
              <w:keepNext/>
              <w:keepLines/>
              <w:spacing w:line="240" w:lineRule="auto"/>
              <w:jc w:val="center"/>
            </w:pPr>
            <w:r w:rsidRPr="000160C3">
              <w:t>NE (26.7, NE)</w:t>
            </w:r>
          </w:p>
        </w:tc>
      </w:tr>
      <w:tr w:rsidR="00521900" w:rsidRPr="000160C3" w14:paraId="04F2ACD2" w14:textId="77777777" w:rsidTr="0040064A">
        <w:tc>
          <w:tcPr>
            <w:tcW w:w="3359" w:type="pct"/>
          </w:tcPr>
          <w:p w14:paraId="2BF088E5" w14:textId="59FF4942" w:rsidR="00521900" w:rsidRPr="000160C3" w:rsidRDefault="00521900" w:rsidP="001C47F4">
            <w:pPr>
              <w:pStyle w:val="TableText0"/>
              <w:keepNext/>
              <w:keepLines/>
              <w:spacing w:line="240" w:lineRule="auto"/>
            </w:pPr>
            <w:r w:rsidRPr="000160C3">
              <w:t>6</w:t>
            </w:r>
            <w:r w:rsidR="00EC1990">
              <w:noBreakHyphen/>
            </w:r>
            <w:r w:rsidRPr="000160C3">
              <w:t>month progression</w:t>
            </w:r>
            <w:r w:rsidR="00EC1990">
              <w:noBreakHyphen/>
            </w:r>
            <w:r w:rsidRPr="000160C3">
              <w:t>free survival rate % (95% CI)</w:t>
            </w:r>
          </w:p>
        </w:tc>
        <w:tc>
          <w:tcPr>
            <w:tcW w:w="1641" w:type="pct"/>
            <w:vAlign w:val="center"/>
          </w:tcPr>
          <w:p w14:paraId="45C07FC6" w14:textId="77777777" w:rsidR="00521900" w:rsidRPr="000160C3" w:rsidRDefault="00521900" w:rsidP="001C47F4">
            <w:pPr>
              <w:pStyle w:val="TableText0"/>
              <w:keepNext/>
              <w:keepLines/>
              <w:spacing w:line="240" w:lineRule="auto"/>
              <w:jc w:val="center"/>
            </w:pPr>
            <w:r w:rsidRPr="000160C3">
              <w:t>64.4 56.4, 71.3)</w:t>
            </w:r>
          </w:p>
        </w:tc>
      </w:tr>
      <w:tr w:rsidR="00521900" w:rsidRPr="000160C3" w14:paraId="0B3C5A7A" w14:textId="77777777" w:rsidTr="0040064A">
        <w:tc>
          <w:tcPr>
            <w:tcW w:w="3359" w:type="pct"/>
          </w:tcPr>
          <w:p w14:paraId="6CDC9841" w14:textId="49EDAAE6" w:rsidR="00521900" w:rsidRPr="000160C3" w:rsidRDefault="00521900" w:rsidP="001C47F4">
            <w:pPr>
              <w:pStyle w:val="TableText0"/>
              <w:keepNext/>
              <w:keepLines/>
              <w:spacing w:line="240" w:lineRule="auto"/>
            </w:pPr>
            <w:r w:rsidRPr="000160C3">
              <w:t>12</w:t>
            </w:r>
            <w:r w:rsidR="00EC1990">
              <w:noBreakHyphen/>
            </w:r>
            <w:r w:rsidRPr="000160C3">
              <w:t>month progression</w:t>
            </w:r>
            <w:r w:rsidR="00EC1990">
              <w:noBreakHyphen/>
            </w:r>
            <w:r w:rsidRPr="000160C3">
              <w:t>free survival rate % (95% CI)</w:t>
            </w:r>
          </w:p>
        </w:tc>
        <w:tc>
          <w:tcPr>
            <w:tcW w:w="1641" w:type="pct"/>
            <w:vAlign w:val="center"/>
          </w:tcPr>
          <w:p w14:paraId="65C9D6A5" w14:textId="77777777" w:rsidR="00521900" w:rsidRPr="000160C3" w:rsidRDefault="00521900" w:rsidP="001C47F4">
            <w:pPr>
              <w:pStyle w:val="TableText0"/>
              <w:keepNext/>
              <w:keepLines/>
              <w:spacing w:line="240" w:lineRule="auto"/>
              <w:jc w:val="center"/>
            </w:pPr>
            <w:r w:rsidRPr="000160C3">
              <w:t>48.8 (40.7, 56.4)</w:t>
            </w:r>
          </w:p>
        </w:tc>
      </w:tr>
      <w:tr w:rsidR="00521900" w:rsidRPr="000160C3" w14:paraId="74AB6C06" w14:textId="77777777" w:rsidTr="0040064A">
        <w:tc>
          <w:tcPr>
            <w:tcW w:w="3359" w:type="pct"/>
          </w:tcPr>
          <w:p w14:paraId="2567A854" w14:textId="3B3EC163" w:rsidR="00521900" w:rsidRPr="000160C3" w:rsidRDefault="00521900" w:rsidP="001C47F4">
            <w:pPr>
              <w:pStyle w:val="TableText0"/>
              <w:keepNext/>
              <w:keepLines/>
              <w:spacing w:line="240" w:lineRule="auto"/>
            </w:pPr>
            <w:r w:rsidRPr="000160C3">
              <w:t>24</w:t>
            </w:r>
            <w:r w:rsidR="00EC1990">
              <w:noBreakHyphen/>
            </w:r>
            <w:r w:rsidRPr="000160C3">
              <w:t>month progression</w:t>
            </w:r>
            <w:r w:rsidR="00EC1990">
              <w:noBreakHyphen/>
            </w:r>
            <w:r w:rsidRPr="000160C3">
              <w:t>free survival rate % (95% CI)</w:t>
            </w:r>
          </w:p>
        </w:tc>
        <w:tc>
          <w:tcPr>
            <w:tcW w:w="1641" w:type="pct"/>
            <w:vAlign w:val="center"/>
          </w:tcPr>
          <w:p w14:paraId="14B1663A" w14:textId="77777777" w:rsidR="00521900" w:rsidRPr="000160C3" w:rsidRDefault="00521900" w:rsidP="001C47F4">
            <w:pPr>
              <w:pStyle w:val="TableText0"/>
              <w:keepNext/>
              <w:keepLines/>
              <w:spacing w:line="240" w:lineRule="auto"/>
              <w:jc w:val="center"/>
            </w:pPr>
            <w:r w:rsidRPr="000160C3">
              <w:t>34.2 (26.8, 41.8)</w:t>
            </w:r>
          </w:p>
        </w:tc>
      </w:tr>
      <w:tr w:rsidR="00521900" w:rsidRPr="000160C3" w14:paraId="697B76A3" w14:textId="77777777" w:rsidTr="0040064A">
        <w:tc>
          <w:tcPr>
            <w:tcW w:w="3359" w:type="pct"/>
          </w:tcPr>
          <w:p w14:paraId="6F5C21C8" w14:textId="7AE31790" w:rsidR="00521900" w:rsidRPr="000160C3" w:rsidRDefault="00521900" w:rsidP="001C47F4">
            <w:pPr>
              <w:pStyle w:val="TableText0"/>
              <w:keepNext/>
              <w:keepLines/>
              <w:spacing w:line="240" w:lineRule="auto"/>
            </w:pPr>
            <w:r w:rsidRPr="000160C3">
              <w:t>30</w:t>
            </w:r>
            <w:r w:rsidR="00EC1990">
              <w:noBreakHyphen/>
            </w:r>
            <w:r w:rsidRPr="000160C3">
              <w:t>month progression</w:t>
            </w:r>
            <w:r w:rsidR="00EC1990">
              <w:noBreakHyphen/>
            </w:r>
            <w:r w:rsidRPr="000160C3">
              <w:t>free survival rate % (95% CI)</w:t>
            </w:r>
          </w:p>
        </w:tc>
        <w:tc>
          <w:tcPr>
            <w:tcW w:w="1641" w:type="pct"/>
            <w:vAlign w:val="center"/>
          </w:tcPr>
          <w:p w14:paraId="3C88DC62" w14:textId="77777777" w:rsidR="00521900" w:rsidRPr="000160C3" w:rsidRDefault="00521900" w:rsidP="001C47F4">
            <w:pPr>
              <w:pStyle w:val="TableText0"/>
              <w:keepNext/>
              <w:keepLines/>
              <w:spacing w:line="240" w:lineRule="auto"/>
              <w:jc w:val="center"/>
            </w:pPr>
            <w:r w:rsidRPr="000160C3">
              <w:t>30.1 (22.9)</w:t>
            </w:r>
          </w:p>
        </w:tc>
      </w:tr>
      <w:tr w:rsidR="003C7BE6" w:rsidRPr="000160C3" w14:paraId="263ED20E" w14:textId="77777777" w:rsidTr="003C7BE6">
        <w:tc>
          <w:tcPr>
            <w:tcW w:w="5000" w:type="pct"/>
            <w:gridSpan w:val="2"/>
            <w:vAlign w:val="center"/>
          </w:tcPr>
          <w:p w14:paraId="062DCDDA" w14:textId="777F2433" w:rsidR="003C7BE6" w:rsidRPr="000160C3" w:rsidRDefault="003C7BE6" w:rsidP="001C47F4">
            <w:pPr>
              <w:pStyle w:val="In-tableHeading"/>
            </w:pPr>
            <w:r w:rsidRPr="000160C3">
              <w:t>OS</w:t>
            </w:r>
          </w:p>
        </w:tc>
      </w:tr>
      <w:tr w:rsidR="00521900" w:rsidRPr="000160C3" w14:paraId="094E52C1" w14:textId="77777777" w:rsidTr="0040064A">
        <w:tc>
          <w:tcPr>
            <w:tcW w:w="3359" w:type="pct"/>
          </w:tcPr>
          <w:p w14:paraId="530D1CDB" w14:textId="77777777" w:rsidR="00521900" w:rsidRPr="000160C3" w:rsidRDefault="00521900" w:rsidP="001C47F4">
            <w:pPr>
              <w:pStyle w:val="TableText0"/>
              <w:keepNext/>
              <w:keepLines/>
              <w:spacing w:line="240" w:lineRule="auto"/>
            </w:pPr>
            <w:r w:rsidRPr="000160C3">
              <w:t>Number of events (%)</w:t>
            </w:r>
          </w:p>
        </w:tc>
        <w:tc>
          <w:tcPr>
            <w:tcW w:w="1641" w:type="pct"/>
            <w:vAlign w:val="center"/>
          </w:tcPr>
          <w:p w14:paraId="3918D91F" w14:textId="77777777" w:rsidR="00521900" w:rsidRPr="000160C3" w:rsidRDefault="00521900" w:rsidP="001C47F4">
            <w:pPr>
              <w:pStyle w:val="TableText0"/>
              <w:keepNext/>
              <w:keepLines/>
              <w:spacing w:line="240" w:lineRule="auto"/>
              <w:jc w:val="center"/>
            </w:pPr>
            <w:r w:rsidRPr="000160C3">
              <w:t>94 (57.0%)</w:t>
            </w:r>
          </w:p>
        </w:tc>
      </w:tr>
      <w:tr w:rsidR="00521900" w:rsidRPr="000160C3" w14:paraId="04798C76" w14:textId="77777777" w:rsidTr="0040064A">
        <w:tc>
          <w:tcPr>
            <w:tcW w:w="3359" w:type="pct"/>
          </w:tcPr>
          <w:p w14:paraId="1CC97D73" w14:textId="77777777" w:rsidR="00521900" w:rsidRPr="000160C3" w:rsidRDefault="00521900" w:rsidP="001C47F4">
            <w:pPr>
              <w:pStyle w:val="TableText0"/>
              <w:keepNext/>
              <w:keepLines/>
              <w:spacing w:line="240" w:lineRule="auto"/>
            </w:pPr>
            <w:r w:rsidRPr="000160C3">
              <w:t>Number of censored (%)</w:t>
            </w:r>
          </w:p>
        </w:tc>
        <w:tc>
          <w:tcPr>
            <w:tcW w:w="1641" w:type="pct"/>
            <w:vAlign w:val="center"/>
          </w:tcPr>
          <w:p w14:paraId="78DE5541" w14:textId="77777777" w:rsidR="00521900" w:rsidRPr="000160C3" w:rsidRDefault="00521900" w:rsidP="001C47F4">
            <w:pPr>
              <w:pStyle w:val="TableText0"/>
              <w:keepNext/>
              <w:keepLines/>
              <w:spacing w:line="240" w:lineRule="auto"/>
              <w:jc w:val="center"/>
            </w:pPr>
            <w:r w:rsidRPr="000160C3">
              <w:t>71 (43.0%)</w:t>
            </w:r>
          </w:p>
        </w:tc>
      </w:tr>
      <w:tr w:rsidR="00521900" w:rsidRPr="000160C3" w14:paraId="7ADADC00" w14:textId="77777777" w:rsidTr="0040064A">
        <w:tc>
          <w:tcPr>
            <w:tcW w:w="3359" w:type="pct"/>
          </w:tcPr>
          <w:p w14:paraId="460E4948" w14:textId="67889A55" w:rsidR="00521900" w:rsidRPr="000160C3" w:rsidRDefault="00521900" w:rsidP="001C47F4">
            <w:pPr>
              <w:pStyle w:val="TableText0"/>
              <w:keepNext/>
              <w:keepLines/>
              <w:spacing w:line="240" w:lineRule="auto"/>
            </w:pPr>
            <w:r w:rsidRPr="000160C3">
              <w:t>Kaplan</w:t>
            </w:r>
            <w:r w:rsidR="00EC1990">
              <w:noBreakHyphen/>
            </w:r>
            <w:r w:rsidRPr="000160C3">
              <w:t>Meier estimate (months)</w:t>
            </w:r>
          </w:p>
        </w:tc>
        <w:tc>
          <w:tcPr>
            <w:tcW w:w="1641" w:type="pct"/>
            <w:vAlign w:val="center"/>
          </w:tcPr>
          <w:p w14:paraId="2D1E34C3" w14:textId="77777777" w:rsidR="00521900" w:rsidRPr="000160C3" w:rsidRDefault="00521900" w:rsidP="001C47F4">
            <w:pPr>
              <w:pStyle w:val="TableText0"/>
              <w:keepNext/>
              <w:keepLines/>
              <w:spacing w:line="240" w:lineRule="auto"/>
              <w:jc w:val="center"/>
            </w:pPr>
          </w:p>
        </w:tc>
      </w:tr>
      <w:tr w:rsidR="00521900" w:rsidRPr="000160C3" w14:paraId="307674D1" w14:textId="77777777" w:rsidTr="0040064A">
        <w:tc>
          <w:tcPr>
            <w:tcW w:w="3359" w:type="pct"/>
          </w:tcPr>
          <w:p w14:paraId="3936F0EC" w14:textId="46DCAF18" w:rsidR="00521900" w:rsidRPr="000160C3" w:rsidRDefault="00EC1990" w:rsidP="001C47F4">
            <w:pPr>
              <w:pStyle w:val="TableText0"/>
              <w:keepNext/>
              <w:keepLines/>
              <w:spacing w:line="240" w:lineRule="auto"/>
            </w:pPr>
            <w:r>
              <w:t xml:space="preserve"> </w:t>
            </w:r>
            <w:r w:rsidR="00521900" w:rsidRPr="000160C3">
              <w:t xml:space="preserve"> 25% percentile (95% CI)</w:t>
            </w:r>
          </w:p>
        </w:tc>
        <w:tc>
          <w:tcPr>
            <w:tcW w:w="1641" w:type="pct"/>
            <w:vAlign w:val="center"/>
          </w:tcPr>
          <w:p w14:paraId="0BC5706B" w14:textId="77777777" w:rsidR="00521900" w:rsidRPr="000160C3" w:rsidRDefault="00521900" w:rsidP="001C47F4">
            <w:pPr>
              <w:pStyle w:val="TableText0"/>
              <w:keepNext/>
              <w:keepLines/>
              <w:spacing w:line="240" w:lineRule="auto"/>
              <w:jc w:val="center"/>
            </w:pPr>
            <w:r w:rsidRPr="000160C3">
              <w:t>8.8 (4.2, 10.8)</w:t>
            </w:r>
          </w:p>
        </w:tc>
      </w:tr>
      <w:tr w:rsidR="00521900" w:rsidRPr="000160C3" w14:paraId="3B2D4840" w14:textId="77777777" w:rsidTr="0040064A">
        <w:tc>
          <w:tcPr>
            <w:tcW w:w="3359" w:type="pct"/>
          </w:tcPr>
          <w:p w14:paraId="4B6C3564" w14:textId="03380859" w:rsidR="00521900" w:rsidRPr="000160C3" w:rsidRDefault="00EC1990" w:rsidP="001C47F4">
            <w:pPr>
              <w:pStyle w:val="TableText0"/>
              <w:keepNext/>
              <w:keepLines/>
              <w:spacing w:line="240" w:lineRule="auto"/>
            </w:pPr>
            <w:r>
              <w:t xml:space="preserve"> </w:t>
            </w:r>
            <w:r w:rsidR="00521900" w:rsidRPr="000160C3">
              <w:t xml:space="preserve"> Median (95% CI)</w:t>
            </w:r>
          </w:p>
        </w:tc>
        <w:tc>
          <w:tcPr>
            <w:tcW w:w="1641" w:type="pct"/>
            <w:vAlign w:val="center"/>
          </w:tcPr>
          <w:p w14:paraId="11491167" w14:textId="77777777" w:rsidR="00521900" w:rsidRPr="000160C3" w:rsidRDefault="00521900" w:rsidP="001C47F4">
            <w:pPr>
              <w:pStyle w:val="TableText0"/>
              <w:keepNext/>
              <w:keepLines/>
              <w:spacing w:line="240" w:lineRule="auto"/>
              <w:jc w:val="center"/>
            </w:pPr>
            <w:r w:rsidRPr="000160C3">
              <w:t>22.2 (15.1, 29.9)</w:t>
            </w:r>
          </w:p>
        </w:tc>
      </w:tr>
      <w:tr w:rsidR="00521900" w:rsidRPr="000160C3" w14:paraId="29D1BE64" w14:textId="77777777" w:rsidTr="0040064A">
        <w:tc>
          <w:tcPr>
            <w:tcW w:w="3359" w:type="pct"/>
          </w:tcPr>
          <w:p w14:paraId="5339A30E" w14:textId="2E841C60" w:rsidR="00521900" w:rsidRPr="000160C3" w:rsidRDefault="00EC1990" w:rsidP="001C47F4">
            <w:pPr>
              <w:pStyle w:val="TableText0"/>
              <w:keepNext/>
              <w:keepLines/>
              <w:spacing w:line="240" w:lineRule="auto"/>
            </w:pPr>
            <w:r>
              <w:t xml:space="preserve"> </w:t>
            </w:r>
            <w:r w:rsidR="00521900" w:rsidRPr="000160C3">
              <w:t xml:space="preserve"> 75% percentile (95% CI)</w:t>
            </w:r>
          </w:p>
        </w:tc>
        <w:tc>
          <w:tcPr>
            <w:tcW w:w="1641" w:type="pct"/>
            <w:vAlign w:val="center"/>
          </w:tcPr>
          <w:p w14:paraId="653127D3" w14:textId="77777777" w:rsidR="00521900" w:rsidRPr="000160C3" w:rsidRDefault="00521900" w:rsidP="001C47F4">
            <w:pPr>
              <w:pStyle w:val="TableText0"/>
              <w:keepNext/>
              <w:keepLines/>
              <w:spacing w:line="240" w:lineRule="auto"/>
              <w:jc w:val="center"/>
            </w:pPr>
            <w:r w:rsidRPr="000160C3">
              <w:t>NE (35.5, NE)</w:t>
            </w:r>
          </w:p>
        </w:tc>
      </w:tr>
      <w:tr w:rsidR="00521900" w:rsidRPr="000160C3" w14:paraId="37DE55DB" w14:textId="77777777" w:rsidTr="0040064A">
        <w:tc>
          <w:tcPr>
            <w:tcW w:w="3359" w:type="pct"/>
          </w:tcPr>
          <w:p w14:paraId="6E81DC04" w14:textId="4EF1CFBB" w:rsidR="00521900" w:rsidRPr="000160C3" w:rsidRDefault="00521900" w:rsidP="001C47F4">
            <w:pPr>
              <w:pStyle w:val="TableText0"/>
              <w:keepNext/>
              <w:keepLines/>
              <w:spacing w:line="240" w:lineRule="auto"/>
            </w:pPr>
            <w:r w:rsidRPr="000160C3">
              <w:t>6</w:t>
            </w:r>
            <w:r w:rsidR="00EC1990">
              <w:noBreakHyphen/>
            </w:r>
            <w:r w:rsidRPr="000160C3">
              <w:t>month overall survival rate % (95% CI)</w:t>
            </w:r>
          </w:p>
        </w:tc>
        <w:tc>
          <w:tcPr>
            <w:tcW w:w="1641" w:type="pct"/>
            <w:vAlign w:val="center"/>
          </w:tcPr>
          <w:p w14:paraId="06E26F8E" w14:textId="77777777" w:rsidR="00521900" w:rsidRPr="000160C3" w:rsidRDefault="00521900" w:rsidP="001C47F4">
            <w:pPr>
              <w:pStyle w:val="TableText0"/>
              <w:keepNext/>
              <w:keepLines/>
              <w:spacing w:line="240" w:lineRule="auto"/>
              <w:jc w:val="center"/>
            </w:pPr>
            <w:r w:rsidRPr="000160C3">
              <w:t>77.8 (70.6, 83.4)</w:t>
            </w:r>
          </w:p>
        </w:tc>
      </w:tr>
      <w:tr w:rsidR="00521900" w:rsidRPr="000160C3" w14:paraId="08B1D701" w14:textId="77777777" w:rsidTr="0040064A">
        <w:tc>
          <w:tcPr>
            <w:tcW w:w="3359" w:type="pct"/>
          </w:tcPr>
          <w:p w14:paraId="67908008" w14:textId="7FABE67E" w:rsidR="00521900" w:rsidRPr="000160C3" w:rsidRDefault="00521900" w:rsidP="001C47F4">
            <w:pPr>
              <w:pStyle w:val="TableText0"/>
              <w:keepNext/>
              <w:keepLines/>
              <w:spacing w:line="240" w:lineRule="auto"/>
            </w:pPr>
            <w:r w:rsidRPr="000160C3">
              <w:t>12</w:t>
            </w:r>
            <w:r w:rsidR="00EC1990">
              <w:noBreakHyphen/>
            </w:r>
            <w:r w:rsidRPr="000160C3">
              <w:t>month overall survival rate % (95% CI)</w:t>
            </w:r>
          </w:p>
        </w:tc>
        <w:tc>
          <w:tcPr>
            <w:tcW w:w="1641" w:type="pct"/>
            <w:vAlign w:val="center"/>
          </w:tcPr>
          <w:p w14:paraId="2D8CAC11" w14:textId="77777777" w:rsidR="00521900" w:rsidRPr="000160C3" w:rsidRDefault="00521900" w:rsidP="001C47F4">
            <w:pPr>
              <w:pStyle w:val="TableText0"/>
              <w:keepNext/>
              <w:keepLines/>
              <w:spacing w:line="240" w:lineRule="auto"/>
              <w:jc w:val="center"/>
            </w:pPr>
            <w:r w:rsidRPr="000160C3">
              <w:t>64.0 (56.0, 70.9)</w:t>
            </w:r>
          </w:p>
        </w:tc>
      </w:tr>
      <w:tr w:rsidR="00521900" w:rsidRPr="000160C3" w14:paraId="0EB3B7E0" w14:textId="77777777">
        <w:tc>
          <w:tcPr>
            <w:tcW w:w="3359" w:type="pct"/>
          </w:tcPr>
          <w:p w14:paraId="2991F823" w14:textId="6F017D73" w:rsidR="00521900" w:rsidRPr="000160C3" w:rsidRDefault="00521900" w:rsidP="001C47F4">
            <w:pPr>
              <w:pStyle w:val="TableText0"/>
              <w:keepNext/>
              <w:keepLines/>
              <w:spacing w:line="240" w:lineRule="auto"/>
            </w:pPr>
            <w:r w:rsidRPr="000160C3">
              <w:t>24</w:t>
            </w:r>
            <w:r w:rsidR="00EC1990">
              <w:noBreakHyphen/>
            </w:r>
            <w:r w:rsidRPr="000160C3">
              <w:t>month overall survival rate % (95% CI)</w:t>
            </w:r>
          </w:p>
        </w:tc>
        <w:tc>
          <w:tcPr>
            <w:tcW w:w="1641" w:type="pct"/>
            <w:vAlign w:val="center"/>
          </w:tcPr>
          <w:p w14:paraId="5FE92816" w14:textId="77777777" w:rsidR="00521900" w:rsidRPr="000160C3" w:rsidRDefault="00521900" w:rsidP="001C47F4">
            <w:pPr>
              <w:pStyle w:val="TableText0"/>
              <w:keepNext/>
              <w:keepLines/>
              <w:spacing w:line="240" w:lineRule="auto"/>
              <w:jc w:val="center"/>
            </w:pPr>
            <w:r w:rsidRPr="000160C3">
              <w:t>48.9 (40.9, 56.3)</w:t>
            </w:r>
          </w:p>
        </w:tc>
      </w:tr>
      <w:tr w:rsidR="00521900" w:rsidRPr="000160C3" w14:paraId="7BFF03ED" w14:textId="77777777">
        <w:tc>
          <w:tcPr>
            <w:tcW w:w="3359" w:type="pct"/>
          </w:tcPr>
          <w:p w14:paraId="1FA1C4B9" w14:textId="72731BC9" w:rsidR="00521900" w:rsidRPr="000160C3" w:rsidRDefault="00521900" w:rsidP="001C47F4">
            <w:pPr>
              <w:pStyle w:val="TableText0"/>
              <w:keepNext/>
              <w:keepLines/>
              <w:spacing w:line="240" w:lineRule="auto"/>
            </w:pPr>
            <w:r w:rsidRPr="000160C3">
              <w:t>30</w:t>
            </w:r>
            <w:r w:rsidR="00EC1990">
              <w:noBreakHyphen/>
            </w:r>
            <w:r w:rsidRPr="000160C3">
              <w:t>month overall survival rate % (95% CI)</w:t>
            </w:r>
          </w:p>
        </w:tc>
        <w:tc>
          <w:tcPr>
            <w:tcW w:w="1641" w:type="pct"/>
            <w:vAlign w:val="center"/>
          </w:tcPr>
          <w:p w14:paraId="1C04B777" w14:textId="77777777" w:rsidR="00521900" w:rsidRPr="000160C3" w:rsidRDefault="00521900" w:rsidP="001C47F4">
            <w:pPr>
              <w:pStyle w:val="TableText0"/>
              <w:keepNext/>
              <w:keepLines/>
              <w:spacing w:line="240" w:lineRule="auto"/>
              <w:jc w:val="center"/>
            </w:pPr>
            <w:r w:rsidRPr="000160C3">
              <w:t>41.9 (33.9, 49.6)</w:t>
            </w:r>
          </w:p>
        </w:tc>
      </w:tr>
    </w:tbl>
    <w:p w14:paraId="0146A80B" w14:textId="77777777" w:rsidR="00521900" w:rsidRPr="000160C3" w:rsidRDefault="00521900" w:rsidP="001C47F4">
      <w:pPr>
        <w:pStyle w:val="TableFigureFooter"/>
      </w:pPr>
      <w:r w:rsidRPr="000160C3">
        <w:t xml:space="preserve">Source: Table 2.36, p146 and </w:t>
      </w:r>
      <w:r w:rsidRPr="000160C3">
        <w:rPr>
          <w:rFonts w:eastAsia="Calibri"/>
        </w:rPr>
        <w:t>Table 2.34, p143 of the submission.</w:t>
      </w:r>
    </w:p>
    <w:p w14:paraId="0EA954BD" w14:textId="77777777" w:rsidR="00521900" w:rsidRPr="000160C3" w:rsidRDefault="00521900" w:rsidP="001C47F4">
      <w:pPr>
        <w:pStyle w:val="TableFigureFooter"/>
      </w:pPr>
      <w:r w:rsidRPr="000160C3">
        <w:t xml:space="preserve">Abbreviations: CI = confidence interval; IRC = independent central review; NE = not estimable; PFS = progression free survival; RP2D = recommended phase 2 population; OS = overall survival. </w:t>
      </w:r>
    </w:p>
    <w:p w14:paraId="1124869E" w14:textId="7952AD19" w:rsidR="00521900" w:rsidRPr="000160C3" w:rsidRDefault="00521900" w:rsidP="001C47F4">
      <w:pPr>
        <w:pStyle w:val="Caption"/>
      </w:pPr>
      <w:bookmarkStart w:id="29" w:name="_Ref215994667"/>
      <w:r w:rsidRPr="000160C3">
        <w:t xml:space="preserve">Figure </w:t>
      </w:r>
      <w:r>
        <w:fldChar w:fldCharType="begin"/>
      </w:r>
      <w:r>
        <w:instrText>SEQ Figure \* ARABIC</w:instrText>
      </w:r>
      <w:r>
        <w:fldChar w:fldCharType="separate"/>
      </w:r>
      <w:r w:rsidR="001C47F4">
        <w:rPr>
          <w:noProof/>
        </w:rPr>
        <w:t>1</w:t>
      </w:r>
      <w:r>
        <w:fldChar w:fldCharType="end"/>
      </w:r>
      <w:bookmarkEnd w:id="29"/>
      <w:r w:rsidRPr="000160C3">
        <w:t>: Progression</w:t>
      </w:r>
      <w:r w:rsidR="00EC1990">
        <w:noBreakHyphen/>
      </w:r>
      <w:r w:rsidRPr="000160C3">
        <w:t>free survival by IRC in the MajesTEC</w:t>
      </w:r>
      <w:r w:rsidR="00EC1990">
        <w:noBreakHyphen/>
      </w:r>
      <w:r w:rsidRPr="000160C3">
        <w:t>1 RP2D population (all</w:t>
      </w:r>
      <w:r w:rsidR="00EC1990">
        <w:noBreakHyphen/>
      </w:r>
      <w:r w:rsidRPr="000160C3">
        <w:t>treated analysis sets, unadjusted analysis; median follow</w:t>
      </w:r>
      <w:r w:rsidR="00EC1990">
        <w:noBreakHyphen/>
      </w:r>
      <w:r w:rsidRPr="000160C3">
        <w:t>up: 30.4 months)</w:t>
      </w:r>
    </w:p>
    <w:p w14:paraId="414D23F7" w14:textId="77777777" w:rsidR="00521900" w:rsidRPr="000160C3" w:rsidRDefault="00521900" w:rsidP="001C47F4">
      <w:pPr>
        <w:pStyle w:val="Caption"/>
        <w:jc w:val="center"/>
        <w:rPr>
          <w:rFonts w:ascii="Arial" w:eastAsia="Calibri" w:hAnsi="Arial"/>
          <w:szCs w:val="22"/>
          <w:lang w:eastAsia="en-US"/>
        </w:rPr>
      </w:pPr>
      <w:r w:rsidRPr="000160C3">
        <w:rPr>
          <w:rFonts w:ascii="Arial" w:eastAsia="Calibri" w:hAnsi="Arial"/>
          <w:noProof/>
          <w:szCs w:val="22"/>
          <w:lang w:eastAsia="en-US"/>
        </w:rPr>
        <w:drawing>
          <wp:inline distT="0" distB="0" distL="0" distR="0" wp14:anchorId="68F2C7B8" wp14:editId="74E211FA">
            <wp:extent cx="4465674" cy="3916821"/>
            <wp:effectExtent l="0" t="0" r="0" b="7620"/>
            <wp:docPr id="2010167398" name="Picture 1" descr="Figure 1: Progression free survival by IRC in the MajesTEC 1 RP2D population (all treated analysis sets, unadjusted analysis; median follow up: 30.4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67398" name="Picture 1" descr="Figure 1: Progression free survival by IRC in the MajesTEC 1 RP2D population (all treated analysis sets, unadjusted analysis; median follow up: 30.4 months)"/>
                    <pic:cNvPicPr/>
                  </pic:nvPicPr>
                  <pic:blipFill>
                    <a:blip r:embed="rId11"/>
                    <a:stretch>
                      <a:fillRect/>
                    </a:stretch>
                  </pic:blipFill>
                  <pic:spPr>
                    <a:xfrm>
                      <a:off x="0" y="0"/>
                      <a:ext cx="4469534" cy="3920207"/>
                    </a:xfrm>
                    <a:prstGeom prst="rect">
                      <a:avLst/>
                    </a:prstGeom>
                  </pic:spPr>
                </pic:pic>
              </a:graphicData>
            </a:graphic>
          </wp:inline>
        </w:drawing>
      </w:r>
    </w:p>
    <w:p w14:paraId="4769A4A4" w14:textId="77777777" w:rsidR="00521900" w:rsidRPr="000160C3" w:rsidRDefault="00521900" w:rsidP="001C47F4">
      <w:pPr>
        <w:pStyle w:val="TableFigureFooter"/>
      </w:pPr>
      <w:r w:rsidRPr="000160C3">
        <w:t xml:space="preserve">Source: </w:t>
      </w:r>
      <w:r w:rsidRPr="000160C3">
        <w:rPr>
          <w:rFonts w:eastAsia="Calibri"/>
        </w:rPr>
        <w:t>Figure 2.10, p143 of the submission.</w:t>
      </w:r>
    </w:p>
    <w:p w14:paraId="3ADE0B02" w14:textId="7DBA616D" w:rsidR="00521900" w:rsidRPr="000160C3" w:rsidRDefault="00521900" w:rsidP="001C47F4">
      <w:pPr>
        <w:pStyle w:val="TableFigureFooter"/>
        <w:rPr>
          <w:rFonts w:eastAsia="Calibri"/>
          <w:lang w:eastAsia="en-US"/>
        </w:rPr>
      </w:pPr>
      <w:r w:rsidRPr="000160C3">
        <w:t xml:space="preserve">Abbreviations: IRC = independent central review; RP2D = recommended phase 2 </w:t>
      </w:r>
      <w:r w:rsidR="00D1147A">
        <w:t xml:space="preserve">dose </w:t>
      </w:r>
      <w:r w:rsidRPr="000160C3">
        <w:t>population</w:t>
      </w:r>
    </w:p>
    <w:p w14:paraId="735926FD" w14:textId="67EA45AB" w:rsidR="00521900" w:rsidRPr="000160C3" w:rsidRDefault="00521900" w:rsidP="001C47F4">
      <w:pPr>
        <w:pStyle w:val="Caption"/>
      </w:pPr>
      <w:bookmarkStart w:id="30" w:name="_Ref215995626"/>
      <w:r w:rsidRPr="000160C3">
        <w:lastRenderedPageBreak/>
        <w:t xml:space="preserve">Figure </w:t>
      </w:r>
      <w:r>
        <w:fldChar w:fldCharType="begin"/>
      </w:r>
      <w:r>
        <w:instrText>SEQ Figure \* ARABIC</w:instrText>
      </w:r>
      <w:r>
        <w:fldChar w:fldCharType="separate"/>
      </w:r>
      <w:r w:rsidR="001C47F4">
        <w:rPr>
          <w:noProof/>
        </w:rPr>
        <w:t>2</w:t>
      </w:r>
      <w:r>
        <w:fldChar w:fldCharType="end"/>
      </w:r>
      <w:bookmarkEnd w:id="30"/>
      <w:r w:rsidRPr="000160C3">
        <w:t>: Overall survival in MajesTEC</w:t>
      </w:r>
      <w:r w:rsidR="00EC1990">
        <w:noBreakHyphen/>
      </w:r>
      <w:r w:rsidRPr="000160C3">
        <w:t>1 RP2D population (all</w:t>
      </w:r>
      <w:r w:rsidR="00EC1990">
        <w:noBreakHyphen/>
      </w:r>
      <w:r w:rsidRPr="000160C3">
        <w:t>treated analysis sets, unadjusted analysis; median follow</w:t>
      </w:r>
      <w:r w:rsidR="00EC1990">
        <w:noBreakHyphen/>
      </w:r>
      <w:r w:rsidRPr="000160C3">
        <w:t>up: 30.4 months)</w:t>
      </w:r>
    </w:p>
    <w:p w14:paraId="3E399AE4" w14:textId="77777777" w:rsidR="00521900" w:rsidRPr="000160C3" w:rsidRDefault="00521900" w:rsidP="001C47F4">
      <w:pPr>
        <w:keepNext/>
        <w:jc w:val="center"/>
        <w:rPr>
          <w:rFonts w:ascii="Arial" w:eastAsia="Calibri" w:hAnsi="Arial"/>
          <w:sz w:val="20"/>
          <w:szCs w:val="22"/>
          <w:lang w:eastAsia="en-US"/>
        </w:rPr>
      </w:pPr>
      <w:r w:rsidRPr="000160C3">
        <w:rPr>
          <w:rFonts w:ascii="Arial" w:eastAsia="Calibri" w:hAnsi="Arial"/>
          <w:noProof/>
          <w:sz w:val="20"/>
          <w:szCs w:val="22"/>
          <w:lang w:eastAsia="en-US"/>
        </w:rPr>
        <w:drawing>
          <wp:inline distT="0" distB="0" distL="0" distR="0" wp14:anchorId="1A6F4C50" wp14:editId="53001453">
            <wp:extent cx="4478400" cy="3956886"/>
            <wp:effectExtent l="0" t="0" r="0" b="5715"/>
            <wp:docPr id="172072741" name="Picture 1" descr="Figure 2: Overall survival in MajesTEC 1 RP2D population (all treated analysis sets, unadjusted analysis; median follow up: 30.4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2741" name="Picture 1" descr="Figure 2: Overall survival in MajesTEC 1 RP2D population (all treated analysis sets, unadjusted analysis; median follow up: 30.4 months)"/>
                    <pic:cNvPicPr/>
                  </pic:nvPicPr>
                  <pic:blipFill>
                    <a:blip r:embed="rId12"/>
                    <a:stretch>
                      <a:fillRect/>
                    </a:stretch>
                  </pic:blipFill>
                  <pic:spPr>
                    <a:xfrm>
                      <a:off x="0" y="0"/>
                      <a:ext cx="4478400" cy="3956886"/>
                    </a:xfrm>
                    <a:prstGeom prst="rect">
                      <a:avLst/>
                    </a:prstGeom>
                  </pic:spPr>
                </pic:pic>
              </a:graphicData>
            </a:graphic>
          </wp:inline>
        </w:drawing>
      </w:r>
    </w:p>
    <w:p w14:paraId="42F7F4B8" w14:textId="77777777" w:rsidR="00521900" w:rsidRPr="000160C3" w:rsidRDefault="00521900" w:rsidP="001C47F4">
      <w:pPr>
        <w:pStyle w:val="TableFigureFooter"/>
        <w:spacing w:after="0"/>
        <w:rPr>
          <w:rFonts w:eastAsia="Calibri"/>
        </w:rPr>
      </w:pPr>
      <w:r w:rsidRPr="000160C3">
        <w:t xml:space="preserve">Source: </w:t>
      </w:r>
      <w:r w:rsidRPr="000160C3">
        <w:rPr>
          <w:rFonts w:eastAsia="Calibri"/>
        </w:rPr>
        <w:t>Figure 2.13, p146 of the submission.</w:t>
      </w:r>
    </w:p>
    <w:p w14:paraId="3C745498" w14:textId="3925FD5D" w:rsidR="00521900" w:rsidRPr="000160C3" w:rsidRDefault="00521900" w:rsidP="001C47F4">
      <w:pPr>
        <w:pStyle w:val="TableFigureFooter"/>
      </w:pPr>
      <w:r w:rsidRPr="000160C3">
        <w:t xml:space="preserve">Abbreviations: RP2D = recommended phase 2 </w:t>
      </w:r>
      <w:r w:rsidR="00DD2D6E">
        <w:t xml:space="preserve">dose </w:t>
      </w:r>
      <w:r w:rsidRPr="000160C3">
        <w:t>population.</w:t>
      </w:r>
    </w:p>
    <w:p w14:paraId="135902C5" w14:textId="0C6505E6" w:rsidR="00521900" w:rsidRPr="000160C3" w:rsidRDefault="000C6C03" w:rsidP="001C47F4">
      <w:pPr>
        <w:rPr>
          <w:rFonts w:cstheme="minorHAnsi"/>
          <w:u w:val="single"/>
        </w:rPr>
      </w:pPr>
      <w:r w:rsidRPr="000160C3">
        <w:rPr>
          <w:rFonts w:cstheme="minorHAnsi"/>
          <w:u w:val="single"/>
        </w:rPr>
        <w:t>Indirect</w:t>
      </w:r>
      <w:r w:rsidR="00EC037C" w:rsidRPr="000160C3">
        <w:rPr>
          <w:rFonts w:cstheme="minorHAnsi"/>
          <w:u w:val="single"/>
        </w:rPr>
        <w:t xml:space="preserve"> </w:t>
      </w:r>
      <w:r w:rsidRPr="000160C3">
        <w:rPr>
          <w:rFonts w:cstheme="minorHAnsi"/>
          <w:u w:val="single"/>
        </w:rPr>
        <w:t xml:space="preserve">Comparison: </w:t>
      </w:r>
      <w:r w:rsidR="00521900" w:rsidRPr="000160C3">
        <w:rPr>
          <w:rFonts w:cstheme="minorHAnsi"/>
          <w:u w:val="single"/>
        </w:rPr>
        <w:t>ORR</w:t>
      </w:r>
    </w:p>
    <w:p w14:paraId="6CFF7830" w14:textId="1AF5F1AA" w:rsidR="0058423D" w:rsidRPr="00FB5BFC" w:rsidRDefault="00521900" w:rsidP="001C47F4">
      <w:pPr>
        <w:pStyle w:val="3-BodyText"/>
      </w:pPr>
      <w:r w:rsidRPr="00FB5BFC">
        <w:t>The results of the unanchored MAIC</w:t>
      </w:r>
      <w:r w:rsidR="006C3BF9" w:rsidRPr="00FB5BFC">
        <w:t xml:space="preserve"> base case and sensitivity analyses</w:t>
      </w:r>
      <w:r w:rsidRPr="00FB5BFC">
        <w:t xml:space="preserve"> for ORR are shown in </w:t>
      </w:r>
      <w:r w:rsidRPr="00FB5BFC">
        <w:fldChar w:fldCharType="begin"/>
      </w:r>
      <w:r w:rsidRPr="00FB5BFC">
        <w:instrText xml:space="preserve"> REF _Ref216037137 \h </w:instrText>
      </w:r>
      <w:r w:rsidR="00FB5BFC" w:rsidRPr="00FB5BFC">
        <w:instrText xml:space="preserve"> \* MERGEFORMAT </w:instrText>
      </w:r>
      <w:r w:rsidRPr="00FB5BFC">
        <w:fldChar w:fldCharType="separate"/>
      </w:r>
      <w:r w:rsidR="001C47F4" w:rsidRPr="000160C3">
        <w:t xml:space="preserve">Table </w:t>
      </w:r>
      <w:r w:rsidR="001C47F4">
        <w:t>6</w:t>
      </w:r>
      <w:r w:rsidRPr="00FB5BFC">
        <w:fldChar w:fldCharType="end"/>
      </w:r>
      <w:r w:rsidRPr="00FB5BFC">
        <w:t xml:space="preserve">. </w:t>
      </w:r>
      <w:r w:rsidR="002F6692" w:rsidRPr="00FB5BFC">
        <w:t>Prior to adjusting for covariates</w:t>
      </w:r>
      <w:r w:rsidR="00F4231C" w:rsidRPr="00FB5BFC">
        <w:t xml:space="preserve"> </w:t>
      </w:r>
      <w:r w:rsidR="00D44032" w:rsidRPr="00FB5BFC">
        <w:t xml:space="preserve">and </w:t>
      </w:r>
      <w:r w:rsidR="005E3FA0" w:rsidRPr="00FB5BFC">
        <w:t xml:space="preserve">removing </w:t>
      </w:r>
      <w:r w:rsidR="00D44032" w:rsidRPr="00FB5BFC">
        <w:t xml:space="preserve">patients who died from COVID </w:t>
      </w:r>
      <w:r w:rsidR="00F4231C" w:rsidRPr="00FB5BFC">
        <w:t>(unadjusted</w:t>
      </w:r>
      <w:r w:rsidR="0027402A" w:rsidRPr="00FB5BFC">
        <w:t xml:space="preserve"> results</w:t>
      </w:r>
      <w:r w:rsidR="00F4231C" w:rsidRPr="00FB5BFC">
        <w:t>), the ORR was higher for teclistamab versus elranatamab (64.9% versus 61%)</w:t>
      </w:r>
      <w:r w:rsidR="00D44032" w:rsidRPr="00FB5BFC">
        <w:t xml:space="preserve">. </w:t>
      </w:r>
      <w:r w:rsidR="006272CB" w:rsidRPr="00FB5BFC">
        <w:t>Excluding COVID</w:t>
      </w:r>
      <w:r w:rsidR="00EC1990">
        <w:noBreakHyphen/>
      </w:r>
      <w:r w:rsidR="0065579B" w:rsidRPr="00FB5BFC">
        <w:t>19</w:t>
      </w:r>
      <w:r w:rsidR="006272CB" w:rsidRPr="00FB5BFC">
        <w:t xml:space="preserve"> </w:t>
      </w:r>
      <w:r w:rsidR="001E2C30" w:rsidRPr="00FB5BFC">
        <w:t>deaths</w:t>
      </w:r>
      <w:r w:rsidR="004B26D1" w:rsidRPr="00FB5BFC">
        <w:t xml:space="preserve"> </w:t>
      </w:r>
      <w:r w:rsidR="00F54626" w:rsidRPr="00FB5BFC">
        <w:t>had little impact on the ORR for teclistamab (6</w:t>
      </w:r>
      <w:r w:rsidR="00926598" w:rsidRPr="00FB5BFC">
        <w:t xml:space="preserve">4.5%). </w:t>
      </w:r>
      <w:r w:rsidR="00D47E15" w:rsidRPr="00FB5BFC">
        <w:t>A</w:t>
      </w:r>
      <w:r w:rsidR="004B26D1" w:rsidRPr="00FB5BFC">
        <w:t xml:space="preserve">djusting </w:t>
      </w:r>
      <w:r w:rsidR="00AD6AAD" w:rsidRPr="00FB5BFC">
        <w:t xml:space="preserve">for the chosen covariates versus </w:t>
      </w:r>
      <w:r w:rsidR="00806282" w:rsidRPr="00FB5BFC">
        <w:t xml:space="preserve">the </w:t>
      </w:r>
      <w:r w:rsidR="00AD6AAD" w:rsidRPr="00FB5BFC">
        <w:t>Magne</w:t>
      </w:r>
      <w:r w:rsidR="00806282" w:rsidRPr="00FB5BFC">
        <w:t>tisMM</w:t>
      </w:r>
      <w:r w:rsidR="00EC1990">
        <w:noBreakHyphen/>
      </w:r>
      <w:r w:rsidR="00806282" w:rsidRPr="00FB5BFC">
        <w:t xml:space="preserve">3 cohort </w:t>
      </w:r>
      <w:r w:rsidR="00D47E15" w:rsidRPr="00FB5BFC">
        <w:t xml:space="preserve">and removing COVID deaths </w:t>
      </w:r>
      <w:r w:rsidR="00F54626" w:rsidRPr="00FB5BFC">
        <w:t>(</w:t>
      </w:r>
      <w:r w:rsidR="00A11423" w:rsidRPr="00FB5BFC">
        <w:t>base</w:t>
      </w:r>
      <w:r w:rsidR="00EC1990">
        <w:noBreakHyphen/>
      </w:r>
      <w:r w:rsidR="00F54626" w:rsidRPr="00FB5BFC">
        <w:t xml:space="preserve">case matching set) </w:t>
      </w:r>
      <w:r w:rsidR="00AD6AAD" w:rsidRPr="00FB5BFC">
        <w:t>resulted in a decrease</w:t>
      </w:r>
      <w:r w:rsidR="007232E5" w:rsidRPr="00FB5BFC">
        <w:t xml:space="preserve"> in ORR for teclistamab</w:t>
      </w:r>
      <w:r w:rsidR="00AD6AAD" w:rsidRPr="00FB5BFC">
        <w:t xml:space="preserve"> </w:t>
      </w:r>
      <w:r w:rsidR="00926598" w:rsidRPr="00FB5BFC">
        <w:t>compared to the unadjusted analysis</w:t>
      </w:r>
      <w:r w:rsidR="006272CB" w:rsidRPr="00FB5BFC">
        <w:t xml:space="preserve"> </w:t>
      </w:r>
      <w:r w:rsidR="00AE380F" w:rsidRPr="00FB5BFC">
        <w:t>(63.1%</w:t>
      </w:r>
      <w:r w:rsidR="00D47E15" w:rsidRPr="00FB5BFC">
        <w:t xml:space="preserve"> vs 64.9%</w:t>
      </w:r>
      <w:r w:rsidR="00AE380F" w:rsidRPr="00FB5BFC">
        <w:t>)</w:t>
      </w:r>
      <w:r w:rsidR="00FB1C54" w:rsidRPr="00FB5BFC">
        <w:t xml:space="preserve">. </w:t>
      </w:r>
      <w:r w:rsidR="00611A30" w:rsidRPr="00FB5BFC">
        <w:t xml:space="preserve">The comparison </w:t>
      </w:r>
      <w:r w:rsidR="00813E7E" w:rsidRPr="00FB5BFC">
        <w:t>of MajesTEC</w:t>
      </w:r>
      <w:r w:rsidR="00EC1990">
        <w:noBreakHyphen/>
      </w:r>
      <w:r w:rsidR="00813E7E" w:rsidRPr="00FB5BFC">
        <w:t xml:space="preserve">1 </w:t>
      </w:r>
      <w:r w:rsidR="00611A30" w:rsidRPr="00FB5BFC">
        <w:t>versus MagnetisMM</w:t>
      </w:r>
      <w:r w:rsidR="00EC1990">
        <w:noBreakHyphen/>
      </w:r>
      <w:r w:rsidR="00611A30" w:rsidRPr="00FB5BFC">
        <w:t xml:space="preserve">3 </w:t>
      </w:r>
      <w:r w:rsidR="00813E7E" w:rsidRPr="00FB5BFC">
        <w:t>for the base</w:t>
      </w:r>
      <w:r w:rsidR="00EC1990">
        <w:noBreakHyphen/>
      </w:r>
      <w:r w:rsidR="00813E7E" w:rsidRPr="00FB5BFC">
        <w:t xml:space="preserve">case matching set </w:t>
      </w:r>
      <w:r w:rsidR="00611A30" w:rsidRPr="00FB5BFC">
        <w:t xml:space="preserve">resulted in an </w:t>
      </w:r>
      <w:r w:rsidR="00574FAA" w:rsidRPr="00FB5BFC">
        <w:t>odds ratio (O</w:t>
      </w:r>
      <w:r w:rsidR="00611A30" w:rsidRPr="00FB5BFC">
        <w:t>R</w:t>
      </w:r>
      <w:r w:rsidR="00574FAA" w:rsidRPr="00FB5BFC">
        <w:t>)</w:t>
      </w:r>
      <w:r w:rsidR="00611A30" w:rsidRPr="00FB5BFC">
        <w:t xml:space="preserve"> of 1.10 (95% CI: 0.65</w:t>
      </w:r>
      <w:r w:rsidR="00D5052D" w:rsidRPr="00FB5BFC">
        <w:t>,</w:t>
      </w:r>
      <w:r w:rsidR="00611A30" w:rsidRPr="00FB5BFC">
        <w:t xml:space="preserve"> 1.84)</w:t>
      </w:r>
      <w:r w:rsidR="00BE630C" w:rsidRPr="00FB5BFC">
        <w:t xml:space="preserve">. </w:t>
      </w:r>
      <w:r w:rsidRPr="00FB5BFC">
        <w:t>When considering the MajesTEC</w:t>
      </w:r>
      <w:r w:rsidR="00EC1990">
        <w:noBreakHyphen/>
      </w:r>
      <w:r w:rsidRPr="00FB5BFC">
        <w:t xml:space="preserve">1 RP2D population without </w:t>
      </w:r>
      <w:r w:rsidR="00063F2E" w:rsidRPr="00FB5BFC">
        <w:t xml:space="preserve">the China Cohort and with </w:t>
      </w:r>
      <w:r w:rsidRPr="00FB5BFC">
        <w:t>COVID</w:t>
      </w:r>
      <w:r w:rsidR="00EC1990">
        <w:noBreakHyphen/>
      </w:r>
      <w:r w:rsidRPr="00FB5BFC">
        <w:t>19 deaths</w:t>
      </w:r>
      <w:r w:rsidR="00063F2E" w:rsidRPr="00FB5BFC">
        <w:t xml:space="preserve"> included (Sensitivity </w:t>
      </w:r>
      <w:r w:rsidR="00663A15" w:rsidRPr="00FB5BFC">
        <w:t xml:space="preserve">Analysis </w:t>
      </w:r>
      <w:r w:rsidR="00063F2E" w:rsidRPr="00FB5BFC">
        <w:t>1)</w:t>
      </w:r>
      <w:r w:rsidRPr="00FB5BFC">
        <w:t xml:space="preserve">, the ORR </w:t>
      </w:r>
      <w:r w:rsidR="00767765" w:rsidRPr="00FB5BFC">
        <w:t xml:space="preserve">was </w:t>
      </w:r>
      <w:r w:rsidRPr="00FB5BFC">
        <w:t>numerically lower for teclistamab compared to elranatamab (59.0% vs 61.0%</w:t>
      </w:r>
      <w:r w:rsidR="00BE630C" w:rsidRPr="00FB5BFC">
        <w:t>)</w:t>
      </w:r>
      <w:r w:rsidR="00767765" w:rsidRPr="00FB5BFC">
        <w:t xml:space="preserve">, resulting in </w:t>
      </w:r>
      <w:r w:rsidR="00BE630C" w:rsidRPr="00FB5BFC">
        <w:t xml:space="preserve">an </w:t>
      </w:r>
      <w:r w:rsidRPr="00FB5BFC">
        <w:t xml:space="preserve">OR </w:t>
      </w:r>
      <w:r w:rsidR="00BE630C" w:rsidRPr="00FB5BFC">
        <w:t>of</w:t>
      </w:r>
      <w:r w:rsidRPr="00FB5BFC">
        <w:t xml:space="preserve"> 0.92 </w:t>
      </w:r>
      <w:r w:rsidR="00767765" w:rsidRPr="00FB5BFC">
        <w:t>(</w:t>
      </w:r>
      <w:r w:rsidRPr="00FB5BFC">
        <w:t>95%</w:t>
      </w:r>
      <w:r w:rsidR="009632C5" w:rsidRPr="00FB5BFC">
        <w:t xml:space="preserve"> </w:t>
      </w:r>
      <w:r w:rsidRPr="00FB5BFC">
        <w:t xml:space="preserve">CI: 0.54, 1.55). </w:t>
      </w:r>
      <w:r w:rsidR="006D7C49" w:rsidRPr="00FB5BFC">
        <w:t>For each analysis where the patient characteristics were matched to Magne</w:t>
      </w:r>
      <w:r w:rsidR="00A10CAC" w:rsidRPr="00FB5BFC">
        <w:t>tisMM</w:t>
      </w:r>
      <w:r w:rsidR="00EC1990">
        <w:noBreakHyphen/>
      </w:r>
      <w:r w:rsidR="00A10CAC" w:rsidRPr="00FB5BFC">
        <w:t>3, the ORR decreased</w:t>
      </w:r>
      <w:r w:rsidR="00E02244" w:rsidRPr="00FB5BFC">
        <w:t>,</w:t>
      </w:r>
      <w:r w:rsidR="00A10CAC" w:rsidRPr="00FB5BFC">
        <w:t xml:space="preserve"> indicat</w:t>
      </w:r>
      <w:r w:rsidR="00E02244" w:rsidRPr="00FB5BFC">
        <w:t>ing</w:t>
      </w:r>
      <w:r w:rsidR="00A10CAC" w:rsidRPr="00FB5BFC">
        <w:t xml:space="preserve"> the impact of the differences between the patient populations. </w:t>
      </w:r>
      <w:r w:rsidR="0058423D" w:rsidRPr="00FB5BFC">
        <w:t xml:space="preserve">The ESC noted that there were no statistically significant differences between </w:t>
      </w:r>
      <w:r w:rsidR="00951695" w:rsidRPr="00FB5BFC">
        <w:t>teclistamab and elranatamab in terms of ORR</w:t>
      </w:r>
      <w:r w:rsidR="009B700A" w:rsidRPr="00FB5BFC">
        <w:t xml:space="preserve"> in </w:t>
      </w:r>
      <w:r w:rsidR="00387088" w:rsidRPr="00FB5BFC">
        <w:t>an</w:t>
      </w:r>
      <w:r w:rsidR="00F9741A" w:rsidRPr="00FB5BFC">
        <w:t>y</w:t>
      </w:r>
      <w:r w:rsidR="00387088" w:rsidRPr="00FB5BFC">
        <w:t xml:space="preserve"> of </w:t>
      </w:r>
      <w:r w:rsidR="009B700A" w:rsidRPr="00FB5BFC">
        <w:t>the analyses presented</w:t>
      </w:r>
      <w:r w:rsidR="00951695" w:rsidRPr="00FB5BFC">
        <w:t>.</w:t>
      </w:r>
    </w:p>
    <w:p w14:paraId="2AB39B73" w14:textId="77777777" w:rsidR="00521900" w:rsidRPr="000160C3" w:rsidRDefault="00521900" w:rsidP="001C47F4"/>
    <w:p w14:paraId="26C0A18F" w14:textId="30E0DCBA" w:rsidR="00521900" w:rsidRPr="000160C3" w:rsidRDefault="00521900" w:rsidP="001C47F4">
      <w:pPr>
        <w:pStyle w:val="Caption"/>
      </w:pPr>
      <w:bookmarkStart w:id="31" w:name="_Ref216037137"/>
      <w:r w:rsidRPr="000160C3">
        <w:lastRenderedPageBreak/>
        <w:t xml:space="preserve">Table </w:t>
      </w:r>
      <w:r>
        <w:fldChar w:fldCharType="begin"/>
      </w:r>
      <w:r>
        <w:instrText>SEQ Table \* ARABIC</w:instrText>
      </w:r>
      <w:r>
        <w:fldChar w:fldCharType="separate"/>
      </w:r>
      <w:r w:rsidR="001C47F4">
        <w:rPr>
          <w:noProof/>
        </w:rPr>
        <w:t>6</w:t>
      </w:r>
      <w:r>
        <w:fldChar w:fldCharType="end"/>
      </w:r>
      <w:bookmarkEnd w:id="31"/>
      <w:r w:rsidRPr="000160C3">
        <w:t>: Results of the unanchored MAIC provided in the submission for ORR</w:t>
      </w:r>
    </w:p>
    <w:tbl>
      <w:tblPr>
        <w:tblW w:w="9062" w:type="dxa"/>
        <w:tblLook w:val="04A0" w:firstRow="1" w:lastRow="0" w:firstColumn="1" w:lastColumn="0" w:noHBand="0" w:noVBand="1"/>
        <w:tblCaption w:val="Table 6: Results of the unanchored MAIC provided in the submission for ORR"/>
      </w:tblPr>
      <w:tblGrid>
        <w:gridCol w:w="2405"/>
        <w:gridCol w:w="1134"/>
        <w:gridCol w:w="1134"/>
        <w:gridCol w:w="709"/>
        <w:gridCol w:w="850"/>
        <w:gridCol w:w="709"/>
        <w:gridCol w:w="1418"/>
        <w:gridCol w:w="703"/>
      </w:tblGrid>
      <w:tr w:rsidR="0069288A" w:rsidRPr="000160C3" w14:paraId="084CE722" w14:textId="4900F14B" w:rsidTr="00F376C1">
        <w:trPr>
          <w:trHeight w:val="56"/>
        </w:trPr>
        <w:tc>
          <w:tcPr>
            <w:tcW w:w="2405" w:type="dxa"/>
            <w:vMerge w:val="restart"/>
            <w:tcBorders>
              <w:top w:val="single" w:sz="4" w:space="0" w:color="auto"/>
              <w:left w:val="single" w:sz="4" w:space="0" w:color="auto"/>
              <w:bottom w:val="single" w:sz="8" w:space="0" w:color="000000"/>
              <w:right w:val="single" w:sz="8" w:space="0" w:color="auto"/>
            </w:tcBorders>
            <w:tcMar>
              <w:left w:w="28" w:type="dxa"/>
              <w:right w:w="28" w:type="dxa"/>
            </w:tcMar>
            <w:vAlign w:val="center"/>
            <w:hideMark/>
          </w:tcPr>
          <w:p w14:paraId="4702AEC2" w14:textId="77777777" w:rsidR="0069288A" w:rsidRPr="000160C3" w:rsidRDefault="0069288A" w:rsidP="001C47F4">
            <w:pPr>
              <w:keepNext/>
              <w:keepLines/>
              <w:rPr>
                <w:rFonts w:ascii="Arial Narrow" w:hAnsi="Arial Narrow"/>
                <w:b/>
                <w:bCs/>
                <w:color w:val="000000"/>
                <w:sz w:val="20"/>
                <w:szCs w:val="20"/>
                <w:lang w:eastAsia="zh-CN"/>
              </w:rPr>
            </w:pPr>
            <w:r w:rsidRPr="000160C3">
              <w:rPr>
                <w:rFonts w:ascii="Arial Narrow" w:hAnsi="Arial Narrow"/>
                <w:b/>
                <w:bCs/>
                <w:color w:val="000000"/>
                <w:sz w:val="20"/>
                <w:szCs w:val="20"/>
                <w:lang w:eastAsia="zh-CN"/>
              </w:rPr>
              <w:t> </w:t>
            </w:r>
          </w:p>
        </w:tc>
        <w:tc>
          <w:tcPr>
            <w:tcW w:w="2977" w:type="dxa"/>
            <w:gridSpan w:val="3"/>
            <w:tcBorders>
              <w:top w:val="single" w:sz="4" w:space="0" w:color="auto"/>
              <w:left w:val="nil"/>
              <w:bottom w:val="single" w:sz="8" w:space="0" w:color="auto"/>
              <w:right w:val="single" w:sz="8" w:space="0" w:color="000000"/>
            </w:tcBorders>
            <w:tcMar>
              <w:left w:w="28" w:type="dxa"/>
              <w:right w:w="28" w:type="dxa"/>
            </w:tcMar>
            <w:vAlign w:val="center"/>
            <w:hideMark/>
          </w:tcPr>
          <w:p w14:paraId="4CF73113" w14:textId="77777777" w:rsidR="0069288A" w:rsidRPr="000160C3" w:rsidRDefault="0069288A" w:rsidP="001C47F4">
            <w:pPr>
              <w:keepNext/>
              <w:keepLines/>
              <w:jc w:val="center"/>
              <w:rPr>
                <w:rFonts w:ascii="Arial Narrow" w:hAnsi="Arial Narrow"/>
                <w:b/>
                <w:bCs/>
                <w:color w:val="000000"/>
                <w:sz w:val="20"/>
                <w:szCs w:val="20"/>
                <w:lang w:eastAsia="zh-CN"/>
              </w:rPr>
            </w:pPr>
            <w:r w:rsidRPr="000160C3">
              <w:rPr>
                <w:rFonts w:ascii="Arial Narrow" w:hAnsi="Arial Narrow"/>
                <w:b/>
                <w:bCs/>
                <w:color w:val="000000"/>
                <w:sz w:val="20"/>
                <w:szCs w:val="20"/>
                <w:lang w:eastAsia="zh-CN"/>
              </w:rPr>
              <w:t>Teclistamab</w:t>
            </w:r>
          </w:p>
        </w:tc>
        <w:tc>
          <w:tcPr>
            <w:tcW w:w="1559" w:type="dxa"/>
            <w:gridSpan w:val="2"/>
            <w:tcBorders>
              <w:top w:val="single" w:sz="4" w:space="0" w:color="auto"/>
              <w:left w:val="nil"/>
              <w:bottom w:val="single" w:sz="8" w:space="0" w:color="auto"/>
              <w:right w:val="single" w:sz="8" w:space="0" w:color="000000"/>
            </w:tcBorders>
            <w:tcMar>
              <w:left w:w="28" w:type="dxa"/>
              <w:right w:w="28" w:type="dxa"/>
            </w:tcMar>
            <w:vAlign w:val="center"/>
            <w:hideMark/>
          </w:tcPr>
          <w:p w14:paraId="4222959F" w14:textId="77777777" w:rsidR="0069288A" w:rsidRPr="000160C3" w:rsidRDefault="0069288A" w:rsidP="001C47F4">
            <w:pPr>
              <w:keepNext/>
              <w:keepLines/>
              <w:jc w:val="center"/>
              <w:rPr>
                <w:rFonts w:ascii="Arial Narrow" w:hAnsi="Arial Narrow"/>
                <w:b/>
                <w:bCs/>
                <w:color w:val="000000"/>
                <w:sz w:val="20"/>
                <w:szCs w:val="20"/>
                <w:lang w:eastAsia="zh-CN"/>
              </w:rPr>
            </w:pPr>
            <w:r w:rsidRPr="000160C3">
              <w:rPr>
                <w:rFonts w:ascii="Arial Narrow" w:hAnsi="Arial Narrow"/>
                <w:b/>
                <w:bCs/>
                <w:color w:val="000000"/>
                <w:sz w:val="20"/>
                <w:szCs w:val="20"/>
                <w:lang w:eastAsia="zh-CN"/>
              </w:rPr>
              <w:t>Elranatamab</w:t>
            </w:r>
          </w:p>
        </w:tc>
        <w:tc>
          <w:tcPr>
            <w:tcW w:w="1418" w:type="dxa"/>
            <w:vMerge w:val="restart"/>
            <w:tcBorders>
              <w:top w:val="single" w:sz="4" w:space="0" w:color="auto"/>
              <w:left w:val="nil"/>
              <w:right w:val="single" w:sz="4" w:space="0" w:color="auto"/>
            </w:tcBorders>
            <w:tcMar>
              <w:left w:w="28" w:type="dxa"/>
              <w:right w:w="28" w:type="dxa"/>
            </w:tcMar>
            <w:vAlign w:val="center"/>
            <w:hideMark/>
          </w:tcPr>
          <w:p w14:paraId="43D2C7EF" w14:textId="5F01D81B" w:rsidR="0069288A" w:rsidRPr="000160C3" w:rsidRDefault="0069288A" w:rsidP="001C47F4">
            <w:pPr>
              <w:keepNext/>
              <w:keepLines/>
              <w:jc w:val="center"/>
              <w:rPr>
                <w:rFonts w:ascii="Arial Narrow" w:hAnsi="Arial Narrow"/>
                <w:b/>
                <w:bCs/>
                <w:color w:val="000000"/>
                <w:sz w:val="20"/>
                <w:szCs w:val="20"/>
                <w:lang w:eastAsia="zh-CN"/>
              </w:rPr>
            </w:pPr>
            <w:r w:rsidRPr="000160C3">
              <w:rPr>
                <w:rFonts w:ascii="Arial Narrow" w:hAnsi="Arial Narrow"/>
                <w:b/>
                <w:bCs/>
                <w:color w:val="000000"/>
                <w:sz w:val="20"/>
                <w:szCs w:val="20"/>
                <w:lang w:eastAsia="zh-CN"/>
              </w:rPr>
              <w:t>OR (95% CI)</w:t>
            </w:r>
            <w:r w:rsidR="00506FB7" w:rsidRPr="00506FB7">
              <w:rPr>
                <w:rFonts w:ascii="Arial Narrow" w:hAnsi="Arial Narrow"/>
                <w:b/>
                <w:bCs/>
                <w:color w:val="000000"/>
                <w:sz w:val="20"/>
                <w:szCs w:val="20"/>
                <w:vertAlign w:val="superscript"/>
                <w:lang w:eastAsia="zh-CN"/>
              </w:rPr>
              <w:t>a</w:t>
            </w:r>
          </w:p>
        </w:tc>
        <w:tc>
          <w:tcPr>
            <w:tcW w:w="703" w:type="dxa"/>
            <w:vMerge w:val="restart"/>
            <w:tcBorders>
              <w:top w:val="single" w:sz="4" w:space="0" w:color="auto"/>
              <w:left w:val="nil"/>
              <w:right w:val="single" w:sz="4" w:space="0" w:color="auto"/>
            </w:tcBorders>
            <w:tcMar>
              <w:left w:w="28" w:type="dxa"/>
              <w:right w:w="28" w:type="dxa"/>
            </w:tcMar>
            <w:vAlign w:val="center"/>
          </w:tcPr>
          <w:p w14:paraId="44359AF2" w14:textId="31E287DD" w:rsidR="0069288A" w:rsidRPr="000160C3" w:rsidRDefault="0069288A" w:rsidP="001C47F4">
            <w:pPr>
              <w:keepNext/>
              <w:keepLines/>
              <w:jc w:val="center"/>
              <w:rPr>
                <w:rFonts w:ascii="Arial Narrow" w:hAnsi="Arial Narrow"/>
                <w:b/>
                <w:bCs/>
                <w:color w:val="000000"/>
                <w:sz w:val="20"/>
                <w:szCs w:val="20"/>
                <w:lang w:eastAsia="zh-CN"/>
              </w:rPr>
            </w:pPr>
            <w:r w:rsidRPr="000160C3">
              <w:rPr>
                <w:rFonts w:ascii="Arial Narrow" w:hAnsi="Arial Narrow"/>
                <w:b/>
                <w:bCs/>
                <w:color w:val="000000"/>
                <w:sz w:val="20"/>
                <w:szCs w:val="20"/>
                <w:lang w:eastAsia="zh-CN"/>
              </w:rPr>
              <w:t>p</w:t>
            </w:r>
            <w:r w:rsidR="00EC1990">
              <w:rPr>
                <w:rFonts w:ascii="Arial Narrow" w:hAnsi="Arial Narrow"/>
                <w:b/>
                <w:bCs/>
                <w:color w:val="000000"/>
                <w:sz w:val="20"/>
                <w:szCs w:val="20"/>
                <w:lang w:eastAsia="zh-CN"/>
              </w:rPr>
              <w:noBreakHyphen/>
            </w:r>
            <w:r w:rsidRPr="000160C3">
              <w:rPr>
                <w:rFonts w:ascii="Arial Narrow" w:hAnsi="Arial Narrow"/>
                <w:b/>
                <w:bCs/>
                <w:color w:val="000000"/>
                <w:sz w:val="20"/>
                <w:szCs w:val="20"/>
                <w:lang w:eastAsia="zh-CN"/>
              </w:rPr>
              <w:t>value</w:t>
            </w:r>
          </w:p>
        </w:tc>
      </w:tr>
      <w:tr w:rsidR="0069288A" w:rsidRPr="000160C3" w14:paraId="68CC4487" w14:textId="77777777" w:rsidTr="00F376C1">
        <w:trPr>
          <w:trHeight w:val="291"/>
        </w:trPr>
        <w:tc>
          <w:tcPr>
            <w:tcW w:w="2405" w:type="dxa"/>
            <w:vMerge/>
            <w:tcBorders>
              <w:top w:val="single" w:sz="8" w:space="0" w:color="auto"/>
              <w:left w:val="single" w:sz="4" w:space="0" w:color="auto"/>
              <w:bottom w:val="single" w:sz="8" w:space="0" w:color="000000"/>
              <w:right w:val="single" w:sz="8" w:space="0" w:color="auto"/>
            </w:tcBorders>
            <w:tcMar>
              <w:left w:w="28" w:type="dxa"/>
              <w:right w:w="28" w:type="dxa"/>
            </w:tcMar>
            <w:vAlign w:val="center"/>
            <w:hideMark/>
          </w:tcPr>
          <w:p w14:paraId="094BA586" w14:textId="77777777" w:rsidR="0069288A" w:rsidRPr="000160C3" w:rsidRDefault="0069288A" w:rsidP="001C47F4">
            <w:pPr>
              <w:keepNext/>
              <w:keepLines/>
              <w:rPr>
                <w:rFonts w:ascii="Arial Narrow" w:hAnsi="Arial Narrow"/>
                <w:b/>
                <w:bCs/>
                <w:color w:val="000000"/>
                <w:sz w:val="20"/>
                <w:szCs w:val="20"/>
                <w:lang w:eastAsia="zh-CN"/>
              </w:rPr>
            </w:pPr>
          </w:p>
        </w:tc>
        <w:tc>
          <w:tcPr>
            <w:tcW w:w="1134" w:type="dxa"/>
            <w:tcBorders>
              <w:top w:val="nil"/>
              <w:left w:val="nil"/>
              <w:bottom w:val="single" w:sz="8" w:space="0" w:color="auto"/>
              <w:right w:val="single" w:sz="8" w:space="0" w:color="auto"/>
            </w:tcBorders>
            <w:tcMar>
              <w:left w:w="28" w:type="dxa"/>
              <w:right w:w="28" w:type="dxa"/>
            </w:tcMar>
            <w:vAlign w:val="center"/>
            <w:hideMark/>
          </w:tcPr>
          <w:p w14:paraId="3619B290" w14:textId="77777777" w:rsidR="0069288A" w:rsidRPr="000160C3" w:rsidRDefault="0069288A" w:rsidP="001C47F4">
            <w:pPr>
              <w:keepNext/>
              <w:keepLines/>
              <w:jc w:val="center"/>
              <w:rPr>
                <w:rFonts w:ascii="Arial Narrow" w:hAnsi="Arial Narrow"/>
                <w:b/>
                <w:bCs/>
                <w:color w:val="000000"/>
                <w:sz w:val="20"/>
                <w:szCs w:val="20"/>
                <w:lang w:eastAsia="zh-CN"/>
              </w:rPr>
            </w:pPr>
            <w:r w:rsidRPr="000160C3">
              <w:rPr>
                <w:rFonts w:ascii="Arial Narrow" w:hAnsi="Arial Narrow"/>
                <w:b/>
                <w:bCs/>
                <w:color w:val="000000"/>
                <w:sz w:val="20"/>
                <w:szCs w:val="20"/>
                <w:lang w:eastAsia="zh-CN"/>
              </w:rPr>
              <w:t>N (ESS)</w:t>
            </w:r>
          </w:p>
        </w:tc>
        <w:tc>
          <w:tcPr>
            <w:tcW w:w="1134" w:type="dxa"/>
            <w:tcBorders>
              <w:top w:val="nil"/>
              <w:left w:val="nil"/>
              <w:bottom w:val="single" w:sz="8" w:space="0" w:color="auto"/>
              <w:right w:val="single" w:sz="8" w:space="0" w:color="auto"/>
            </w:tcBorders>
            <w:tcMar>
              <w:left w:w="28" w:type="dxa"/>
              <w:right w:w="28" w:type="dxa"/>
            </w:tcMar>
            <w:vAlign w:val="center"/>
            <w:hideMark/>
          </w:tcPr>
          <w:p w14:paraId="12E41096" w14:textId="77777777" w:rsidR="0069288A" w:rsidRPr="000160C3" w:rsidRDefault="0069288A" w:rsidP="001C47F4">
            <w:pPr>
              <w:keepNext/>
              <w:keepLines/>
              <w:jc w:val="center"/>
              <w:rPr>
                <w:rFonts w:ascii="Arial Narrow" w:hAnsi="Arial Narrow"/>
                <w:b/>
                <w:bCs/>
                <w:color w:val="000000"/>
                <w:sz w:val="20"/>
                <w:szCs w:val="20"/>
                <w:lang w:eastAsia="zh-CN"/>
              </w:rPr>
            </w:pPr>
            <w:r w:rsidRPr="000160C3">
              <w:rPr>
                <w:rFonts w:ascii="Arial Narrow" w:hAnsi="Arial Narrow"/>
                <w:b/>
                <w:bCs/>
                <w:color w:val="000000"/>
                <w:sz w:val="20"/>
                <w:szCs w:val="20"/>
                <w:lang w:eastAsia="zh-CN"/>
              </w:rPr>
              <w:t>Events/N or Events/ESS</w:t>
            </w:r>
          </w:p>
        </w:tc>
        <w:tc>
          <w:tcPr>
            <w:tcW w:w="709" w:type="dxa"/>
            <w:tcBorders>
              <w:top w:val="nil"/>
              <w:left w:val="nil"/>
              <w:bottom w:val="single" w:sz="8" w:space="0" w:color="auto"/>
              <w:right w:val="single" w:sz="8" w:space="0" w:color="auto"/>
            </w:tcBorders>
            <w:tcMar>
              <w:left w:w="28" w:type="dxa"/>
              <w:right w:w="28" w:type="dxa"/>
            </w:tcMar>
            <w:vAlign w:val="center"/>
            <w:hideMark/>
          </w:tcPr>
          <w:p w14:paraId="525D0EE7" w14:textId="77777777" w:rsidR="0069288A" w:rsidRPr="000160C3" w:rsidRDefault="0069288A" w:rsidP="001C47F4">
            <w:pPr>
              <w:keepNext/>
              <w:keepLines/>
              <w:jc w:val="center"/>
              <w:rPr>
                <w:rFonts w:ascii="Arial Narrow" w:hAnsi="Arial Narrow"/>
                <w:b/>
                <w:bCs/>
                <w:color w:val="000000"/>
                <w:sz w:val="20"/>
                <w:szCs w:val="20"/>
                <w:lang w:eastAsia="zh-CN"/>
              </w:rPr>
            </w:pPr>
            <w:r w:rsidRPr="000160C3">
              <w:rPr>
                <w:rFonts w:ascii="Arial Narrow" w:hAnsi="Arial Narrow"/>
                <w:b/>
                <w:bCs/>
                <w:color w:val="000000"/>
                <w:sz w:val="20"/>
                <w:szCs w:val="20"/>
                <w:lang w:eastAsia="zh-CN"/>
              </w:rPr>
              <w:t>ORR</w:t>
            </w:r>
          </w:p>
        </w:tc>
        <w:tc>
          <w:tcPr>
            <w:tcW w:w="850" w:type="dxa"/>
            <w:tcBorders>
              <w:top w:val="nil"/>
              <w:left w:val="nil"/>
              <w:bottom w:val="single" w:sz="8" w:space="0" w:color="auto"/>
              <w:right w:val="single" w:sz="8" w:space="0" w:color="auto"/>
            </w:tcBorders>
            <w:tcMar>
              <w:left w:w="28" w:type="dxa"/>
              <w:right w:w="28" w:type="dxa"/>
            </w:tcMar>
            <w:vAlign w:val="center"/>
            <w:hideMark/>
          </w:tcPr>
          <w:p w14:paraId="57118789" w14:textId="77777777" w:rsidR="0069288A" w:rsidRPr="000160C3" w:rsidRDefault="0069288A" w:rsidP="001C47F4">
            <w:pPr>
              <w:keepNext/>
              <w:keepLines/>
              <w:jc w:val="center"/>
              <w:rPr>
                <w:rFonts w:ascii="Arial Narrow" w:hAnsi="Arial Narrow"/>
                <w:b/>
                <w:bCs/>
                <w:color w:val="000000"/>
                <w:sz w:val="20"/>
                <w:szCs w:val="20"/>
                <w:lang w:eastAsia="zh-CN"/>
              </w:rPr>
            </w:pPr>
            <w:r w:rsidRPr="000160C3">
              <w:rPr>
                <w:rFonts w:ascii="Arial Narrow" w:hAnsi="Arial Narrow"/>
                <w:b/>
                <w:bCs/>
                <w:color w:val="000000"/>
                <w:sz w:val="20"/>
                <w:szCs w:val="20"/>
                <w:lang w:eastAsia="zh-CN"/>
              </w:rPr>
              <w:t>Events/N</w:t>
            </w:r>
          </w:p>
        </w:tc>
        <w:tc>
          <w:tcPr>
            <w:tcW w:w="709" w:type="dxa"/>
            <w:tcBorders>
              <w:top w:val="nil"/>
              <w:left w:val="nil"/>
              <w:bottom w:val="single" w:sz="8" w:space="0" w:color="auto"/>
              <w:right w:val="single" w:sz="8" w:space="0" w:color="auto"/>
            </w:tcBorders>
            <w:tcMar>
              <w:left w:w="28" w:type="dxa"/>
              <w:right w:w="28" w:type="dxa"/>
            </w:tcMar>
            <w:vAlign w:val="center"/>
            <w:hideMark/>
          </w:tcPr>
          <w:p w14:paraId="568987E2" w14:textId="77777777" w:rsidR="0069288A" w:rsidRPr="000160C3" w:rsidRDefault="0069288A" w:rsidP="001C47F4">
            <w:pPr>
              <w:keepNext/>
              <w:keepLines/>
              <w:jc w:val="center"/>
              <w:rPr>
                <w:rFonts w:ascii="Arial Narrow" w:hAnsi="Arial Narrow"/>
                <w:b/>
                <w:bCs/>
                <w:color w:val="000000"/>
                <w:sz w:val="20"/>
                <w:szCs w:val="20"/>
                <w:lang w:eastAsia="zh-CN"/>
              </w:rPr>
            </w:pPr>
            <w:r w:rsidRPr="000160C3">
              <w:rPr>
                <w:rFonts w:ascii="Arial Narrow" w:hAnsi="Arial Narrow"/>
                <w:b/>
                <w:bCs/>
                <w:color w:val="000000"/>
                <w:sz w:val="20"/>
                <w:szCs w:val="20"/>
                <w:lang w:eastAsia="zh-CN"/>
              </w:rPr>
              <w:t>ORR</w:t>
            </w:r>
          </w:p>
        </w:tc>
        <w:tc>
          <w:tcPr>
            <w:tcW w:w="1418" w:type="dxa"/>
            <w:vMerge/>
            <w:tcBorders>
              <w:left w:val="nil"/>
              <w:bottom w:val="single" w:sz="8" w:space="0" w:color="auto"/>
              <w:right w:val="single" w:sz="4" w:space="0" w:color="auto"/>
            </w:tcBorders>
            <w:tcMar>
              <w:left w:w="28" w:type="dxa"/>
              <w:right w:w="28" w:type="dxa"/>
            </w:tcMar>
            <w:vAlign w:val="center"/>
            <w:hideMark/>
          </w:tcPr>
          <w:p w14:paraId="752EBF44" w14:textId="44FF3888" w:rsidR="0069288A" w:rsidRPr="000160C3" w:rsidRDefault="0069288A" w:rsidP="001C47F4">
            <w:pPr>
              <w:keepNext/>
              <w:keepLines/>
              <w:jc w:val="center"/>
              <w:rPr>
                <w:rFonts w:ascii="Arial Narrow" w:hAnsi="Arial Narrow"/>
                <w:b/>
                <w:bCs/>
                <w:color w:val="000000"/>
                <w:sz w:val="20"/>
                <w:szCs w:val="20"/>
                <w:lang w:eastAsia="zh-CN"/>
              </w:rPr>
            </w:pPr>
          </w:p>
        </w:tc>
        <w:tc>
          <w:tcPr>
            <w:tcW w:w="703" w:type="dxa"/>
            <w:vMerge/>
            <w:tcBorders>
              <w:left w:val="single" w:sz="4" w:space="0" w:color="auto"/>
              <w:bottom w:val="single" w:sz="8" w:space="0" w:color="auto"/>
              <w:right w:val="single" w:sz="4" w:space="0" w:color="auto"/>
            </w:tcBorders>
            <w:tcMar>
              <w:left w:w="28" w:type="dxa"/>
              <w:right w:w="28" w:type="dxa"/>
            </w:tcMar>
            <w:vAlign w:val="center"/>
            <w:hideMark/>
          </w:tcPr>
          <w:p w14:paraId="1D6C8F90" w14:textId="7A832B99" w:rsidR="0069288A" w:rsidRPr="000160C3" w:rsidRDefault="0069288A" w:rsidP="001C47F4">
            <w:pPr>
              <w:keepNext/>
              <w:keepLines/>
              <w:jc w:val="center"/>
              <w:rPr>
                <w:rFonts w:ascii="Arial Narrow" w:hAnsi="Arial Narrow"/>
                <w:b/>
                <w:bCs/>
                <w:color w:val="000000"/>
                <w:sz w:val="20"/>
                <w:szCs w:val="20"/>
                <w:lang w:eastAsia="zh-CN"/>
              </w:rPr>
            </w:pPr>
          </w:p>
        </w:tc>
      </w:tr>
      <w:tr w:rsidR="001F3AF9" w:rsidRPr="000160C3" w14:paraId="30DF59FD" w14:textId="77777777" w:rsidTr="00F376C1">
        <w:trPr>
          <w:trHeight w:val="46"/>
        </w:trPr>
        <w:tc>
          <w:tcPr>
            <w:tcW w:w="9062" w:type="dxa"/>
            <w:gridSpan w:val="8"/>
            <w:tcBorders>
              <w:top w:val="single" w:sz="8" w:space="0" w:color="auto"/>
              <w:left w:val="single" w:sz="4" w:space="0" w:color="auto"/>
              <w:bottom w:val="single" w:sz="8" w:space="0" w:color="000000"/>
              <w:right w:val="single" w:sz="4" w:space="0" w:color="auto"/>
            </w:tcBorders>
            <w:tcMar>
              <w:left w:w="28" w:type="dxa"/>
              <w:right w:w="28" w:type="dxa"/>
            </w:tcMar>
            <w:vAlign w:val="center"/>
          </w:tcPr>
          <w:p w14:paraId="7C67B032" w14:textId="2DA02E1A" w:rsidR="001F3AF9" w:rsidRPr="000160C3" w:rsidRDefault="000679C2" w:rsidP="001C47F4">
            <w:pPr>
              <w:keepNext/>
              <w:keepLines/>
              <w:rPr>
                <w:bCs/>
                <w:color w:val="000000"/>
                <w:lang w:eastAsia="zh-CN"/>
              </w:rPr>
            </w:pPr>
            <w:r w:rsidRPr="000160C3">
              <w:rPr>
                <w:rFonts w:ascii="Arial Narrow" w:hAnsi="Arial Narrow"/>
                <w:b/>
                <w:bCs/>
                <w:color w:val="000000"/>
                <w:sz w:val="20"/>
                <w:szCs w:val="20"/>
                <w:lang w:eastAsia="zh-CN"/>
              </w:rPr>
              <w:t>Submission b</w:t>
            </w:r>
            <w:r w:rsidR="001F3AF9" w:rsidRPr="000160C3">
              <w:rPr>
                <w:rFonts w:ascii="Arial Narrow" w:hAnsi="Arial Narrow"/>
                <w:b/>
                <w:bCs/>
                <w:color w:val="000000"/>
                <w:sz w:val="20"/>
                <w:szCs w:val="20"/>
                <w:lang w:eastAsia="zh-CN"/>
              </w:rPr>
              <w:t>ase</w:t>
            </w:r>
            <w:r w:rsidR="00EC1990">
              <w:rPr>
                <w:rFonts w:ascii="Arial Narrow" w:hAnsi="Arial Narrow"/>
                <w:b/>
                <w:bCs/>
                <w:color w:val="000000"/>
                <w:sz w:val="20"/>
                <w:szCs w:val="20"/>
                <w:lang w:eastAsia="zh-CN"/>
              </w:rPr>
              <w:noBreakHyphen/>
            </w:r>
            <w:r w:rsidR="001F3AF9" w:rsidRPr="000160C3">
              <w:rPr>
                <w:rFonts w:ascii="Arial Narrow" w:hAnsi="Arial Narrow"/>
                <w:b/>
                <w:bCs/>
                <w:color w:val="000000"/>
                <w:sz w:val="20"/>
                <w:szCs w:val="20"/>
                <w:lang w:eastAsia="zh-CN"/>
              </w:rPr>
              <w:t>case</w:t>
            </w:r>
            <w:r w:rsidR="00C82DF0" w:rsidRPr="000160C3">
              <w:rPr>
                <w:rFonts w:ascii="Arial Narrow" w:hAnsi="Arial Narrow"/>
                <w:b/>
                <w:bCs/>
                <w:color w:val="000000"/>
                <w:sz w:val="20"/>
                <w:szCs w:val="20"/>
                <w:lang w:eastAsia="zh-CN"/>
              </w:rPr>
              <w:t>:</w:t>
            </w:r>
            <w:r w:rsidR="001F3AF9" w:rsidRPr="000160C3">
              <w:rPr>
                <w:rFonts w:ascii="Arial Narrow" w:hAnsi="Arial Narrow"/>
                <w:b/>
                <w:bCs/>
                <w:color w:val="000000"/>
                <w:sz w:val="20"/>
                <w:szCs w:val="20"/>
                <w:lang w:eastAsia="zh-CN"/>
              </w:rPr>
              <w:t xml:space="preserve"> RP2D population + China Cohort</w:t>
            </w:r>
            <w:r w:rsidR="00B847AB" w:rsidRPr="000160C3">
              <w:rPr>
                <w:rFonts w:ascii="Arial Narrow" w:hAnsi="Arial Narrow"/>
                <w:b/>
                <w:bCs/>
                <w:color w:val="000000"/>
                <w:sz w:val="20"/>
                <w:szCs w:val="20"/>
                <w:lang w:eastAsia="zh-CN"/>
              </w:rPr>
              <w:t>,</w:t>
            </w:r>
            <w:r w:rsidR="00DB3AC9" w:rsidRPr="000160C3">
              <w:rPr>
                <w:rFonts w:ascii="Arial Narrow" w:hAnsi="Arial Narrow"/>
                <w:b/>
                <w:bCs/>
                <w:color w:val="000000"/>
                <w:sz w:val="20"/>
                <w:szCs w:val="20"/>
                <w:lang w:eastAsia="zh-CN"/>
              </w:rPr>
              <w:t xml:space="preserve"> </w:t>
            </w:r>
            <w:r w:rsidR="001F3AF9" w:rsidRPr="000160C3">
              <w:rPr>
                <w:rFonts w:ascii="Arial Narrow" w:hAnsi="Arial Narrow"/>
                <w:b/>
                <w:bCs/>
                <w:color w:val="000000"/>
                <w:sz w:val="20"/>
                <w:szCs w:val="20"/>
                <w:lang w:eastAsia="zh-CN"/>
              </w:rPr>
              <w:t>excluding RP2D patients who died due to COVID</w:t>
            </w:r>
            <w:r w:rsidR="00EC1990">
              <w:rPr>
                <w:rFonts w:ascii="Arial Narrow" w:hAnsi="Arial Narrow"/>
                <w:b/>
                <w:bCs/>
                <w:color w:val="000000"/>
                <w:sz w:val="20"/>
                <w:szCs w:val="20"/>
                <w:lang w:eastAsia="zh-CN"/>
              </w:rPr>
              <w:noBreakHyphen/>
            </w:r>
            <w:r w:rsidR="001F3AF9" w:rsidRPr="000160C3">
              <w:rPr>
                <w:rFonts w:ascii="Arial Narrow" w:hAnsi="Arial Narrow"/>
                <w:b/>
                <w:bCs/>
                <w:color w:val="000000"/>
                <w:sz w:val="20"/>
                <w:szCs w:val="20"/>
                <w:lang w:eastAsia="zh-CN"/>
              </w:rPr>
              <w:t>19</w:t>
            </w:r>
          </w:p>
        </w:tc>
      </w:tr>
      <w:tr w:rsidR="00E512B7" w:rsidRPr="000160C3" w14:paraId="261CAD10" w14:textId="77777777" w:rsidTr="00F376C1">
        <w:trPr>
          <w:trHeight w:val="46"/>
        </w:trPr>
        <w:tc>
          <w:tcPr>
            <w:tcW w:w="2405" w:type="dxa"/>
            <w:tcBorders>
              <w:top w:val="single" w:sz="8" w:space="0" w:color="auto"/>
              <w:left w:val="single" w:sz="4" w:space="0" w:color="auto"/>
              <w:bottom w:val="single" w:sz="8" w:space="0" w:color="000000"/>
              <w:right w:val="single" w:sz="8" w:space="0" w:color="auto"/>
            </w:tcBorders>
            <w:tcMar>
              <w:left w:w="28" w:type="dxa"/>
              <w:right w:w="28" w:type="dxa"/>
            </w:tcMar>
            <w:vAlign w:val="center"/>
          </w:tcPr>
          <w:p w14:paraId="038C0113" w14:textId="5AA2D35C" w:rsidR="00E512B7" w:rsidRPr="000160C3" w:rsidRDefault="00E512B7" w:rsidP="001C47F4">
            <w:pPr>
              <w:pStyle w:val="TableText0"/>
              <w:keepNext/>
              <w:keepLines/>
              <w:spacing w:line="240" w:lineRule="auto"/>
              <w:rPr>
                <w:color w:val="000000"/>
                <w:lang w:eastAsia="zh-CN"/>
              </w:rPr>
            </w:pPr>
            <w:r w:rsidRPr="000160C3">
              <w:t>Unadjusted</w:t>
            </w:r>
          </w:p>
        </w:tc>
        <w:tc>
          <w:tcPr>
            <w:tcW w:w="1134" w:type="dxa"/>
            <w:tcBorders>
              <w:top w:val="nil"/>
              <w:left w:val="nil"/>
              <w:bottom w:val="single" w:sz="8" w:space="0" w:color="auto"/>
              <w:right w:val="single" w:sz="8" w:space="0" w:color="auto"/>
            </w:tcBorders>
            <w:tcMar>
              <w:left w:w="28" w:type="dxa"/>
              <w:right w:w="28" w:type="dxa"/>
            </w:tcMar>
            <w:vAlign w:val="center"/>
          </w:tcPr>
          <w:p w14:paraId="2D11F84A" w14:textId="33935F77" w:rsidR="00E512B7" w:rsidRPr="000160C3" w:rsidRDefault="00E512B7" w:rsidP="001C47F4">
            <w:pPr>
              <w:pStyle w:val="TableText0"/>
              <w:keepNext/>
              <w:keepLines/>
              <w:spacing w:line="240" w:lineRule="auto"/>
              <w:jc w:val="center"/>
              <w:rPr>
                <w:color w:val="000000"/>
                <w:lang w:eastAsia="zh-CN"/>
              </w:rPr>
            </w:pPr>
            <w:r w:rsidRPr="000160C3">
              <w:t>191 (NA)</w:t>
            </w:r>
          </w:p>
        </w:tc>
        <w:tc>
          <w:tcPr>
            <w:tcW w:w="1134" w:type="dxa"/>
            <w:tcBorders>
              <w:top w:val="nil"/>
              <w:left w:val="nil"/>
              <w:bottom w:val="single" w:sz="8" w:space="0" w:color="auto"/>
              <w:right w:val="single" w:sz="8" w:space="0" w:color="auto"/>
            </w:tcBorders>
            <w:tcMar>
              <w:left w:w="28" w:type="dxa"/>
              <w:right w:w="28" w:type="dxa"/>
            </w:tcMar>
            <w:vAlign w:val="center"/>
          </w:tcPr>
          <w:p w14:paraId="256F062D" w14:textId="37C2396A" w:rsidR="00E512B7" w:rsidRPr="000160C3" w:rsidRDefault="00E512B7" w:rsidP="001C47F4">
            <w:pPr>
              <w:pStyle w:val="TableText0"/>
              <w:keepNext/>
              <w:keepLines/>
              <w:spacing w:line="240" w:lineRule="auto"/>
              <w:jc w:val="center"/>
              <w:rPr>
                <w:color w:val="000000"/>
                <w:lang w:eastAsia="zh-CN"/>
              </w:rPr>
            </w:pPr>
            <w:r w:rsidRPr="000160C3">
              <w:t>124/191</w:t>
            </w:r>
          </w:p>
        </w:tc>
        <w:tc>
          <w:tcPr>
            <w:tcW w:w="709" w:type="dxa"/>
            <w:tcBorders>
              <w:top w:val="nil"/>
              <w:left w:val="nil"/>
              <w:bottom w:val="single" w:sz="8" w:space="0" w:color="auto"/>
              <w:right w:val="single" w:sz="8" w:space="0" w:color="auto"/>
            </w:tcBorders>
            <w:tcMar>
              <w:left w:w="28" w:type="dxa"/>
              <w:right w:w="28" w:type="dxa"/>
            </w:tcMar>
            <w:vAlign w:val="center"/>
          </w:tcPr>
          <w:p w14:paraId="2F4CB747" w14:textId="3121618A" w:rsidR="00E512B7" w:rsidRPr="000160C3" w:rsidRDefault="00E512B7" w:rsidP="001C47F4">
            <w:pPr>
              <w:pStyle w:val="TableText0"/>
              <w:keepNext/>
              <w:keepLines/>
              <w:spacing w:line="240" w:lineRule="auto"/>
              <w:jc w:val="center"/>
              <w:rPr>
                <w:color w:val="000000"/>
                <w:lang w:eastAsia="zh-CN"/>
              </w:rPr>
            </w:pPr>
            <w:r w:rsidRPr="000160C3">
              <w:t>64.9%</w:t>
            </w:r>
          </w:p>
        </w:tc>
        <w:tc>
          <w:tcPr>
            <w:tcW w:w="850" w:type="dxa"/>
            <w:vMerge w:val="restart"/>
            <w:tcBorders>
              <w:top w:val="nil"/>
              <w:left w:val="nil"/>
              <w:right w:val="single" w:sz="8" w:space="0" w:color="auto"/>
            </w:tcBorders>
            <w:tcMar>
              <w:left w:w="28" w:type="dxa"/>
              <w:right w:w="28" w:type="dxa"/>
            </w:tcMar>
            <w:vAlign w:val="center"/>
          </w:tcPr>
          <w:p w14:paraId="2D1FEAD9" w14:textId="68A7B04A" w:rsidR="00E512B7" w:rsidRPr="000160C3" w:rsidRDefault="00E512B7" w:rsidP="001C47F4">
            <w:pPr>
              <w:pStyle w:val="TableText0"/>
              <w:keepNext/>
              <w:keepLines/>
              <w:spacing w:line="240" w:lineRule="auto"/>
              <w:jc w:val="center"/>
              <w:rPr>
                <w:color w:val="000000"/>
                <w:lang w:eastAsia="zh-CN"/>
              </w:rPr>
            </w:pPr>
            <w:r w:rsidRPr="000160C3">
              <w:t>75/123</w:t>
            </w:r>
          </w:p>
        </w:tc>
        <w:tc>
          <w:tcPr>
            <w:tcW w:w="709" w:type="dxa"/>
            <w:vMerge w:val="restart"/>
            <w:tcBorders>
              <w:top w:val="nil"/>
              <w:left w:val="nil"/>
              <w:right w:val="single" w:sz="8" w:space="0" w:color="auto"/>
            </w:tcBorders>
            <w:tcMar>
              <w:left w:w="28" w:type="dxa"/>
              <w:right w:w="28" w:type="dxa"/>
            </w:tcMar>
            <w:vAlign w:val="center"/>
          </w:tcPr>
          <w:p w14:paraId="3C814852" w14:textId="0422F9D4" w:rsidR="00E512B7" w:rsidRPr="000160C3" w:rsidRDefault="00E512B7" w:rsidP="001C47F4">
            <w:pPr>
              <w:pStyle w:val="TableText0"/>
              <w:keepNext/>
              <w:keepLines/>
              <w:spacing w:line="240" w:lineRule="auto"/>
              <w:jc w:val="center"/>
              <w:rPr>
                <w:color w:val="000000"/>
                <w:lang w:eastAsia="zh-CN"/>
              </w:rPr>
            </w:pPr>
            <w:r w:rsidRPr="000160C3">
              <w:t>61.0%</w:t>
            </w:r>
          </w:p>
        </w:tc>
        <w:tc>
          <w:tcPr>
            <w:tcW w:w="1418" w:type="dxa"/>
            <w:tcBorders>
              <w:top w:val="nil"/>
              <w:left w:val="nil"/>
              <w:bottom w:val="single" w:sz="8" w:space="0" w:color="auto"/>
              <w:right w:val="single" w:sz="8" w:space="0" w:color="auto"/>
            </w:tcBorders>
            <w:tcMar>
              <w:left w:w="28" w:type="dxa"/>
              <w:right w:w="28" w:type="dxa"/>
            </w:tcMar>
            <w:vAlign w:val="center"/>
          </w:tcPr>
          <w:p w14:paraId="46C04230" w14:textId="4CD6DF8E" w:rsidR="00E512B7" w:rsidRPr="000160C3" w:rsidRDefault="00E512B7" w:rsidP="001C47F4">
            <w:pPr>
              <w:pStyle w:val="TableText0"/>
              <w:keepNext/>
              <w:keepLines/>
              <w:spacing w:line="240" w:lineRule="auto"/>
              <w:jc w:val="center"/>
              <w:rPr>
                <w:color w:val="000000"/>
                <w:lang w:eastAsia="zh-CN"/>
              </w:rPr>
            </w:pPr>
            <w:r w:rsidRPr="000160C3">
              <w:t>1.18 (0.74, 1.89)</w:t>
            </w:r>
          </w:p>
        </w:tc>
        <w:tc>
          <w:tcPr>
            <w:tcW w:w="703" w:type="dxa"/>
            <w:tcBorders>
              <w:top w:val="nil"/>
              <w:left w:val="nil"/>
              <w:bottom w:val="single" w:sz="8" w:space="0" w:color="auto"/>
              <w:right w:val="single" w:sz="4" w:space="0" w:color="auto"/>
            </w:tcBorders>
            <w:tcMar>
              <w:left w:w="28" w:type="dxa"/>
              <w:right w:w="28" w:type="dxa"/>
            </w:tcMar>
            <w:vAlign w:val="center"/>
          </w:tcPr>
          <w:p w14:paraId="58B80174" w14:textId="6A4B247F" w:rsidR="00E512B7" w:rsidRPr="000160C3" w:rsidRDefault="00E512B7" w:rsidP="001C47F4">
            <w:pPr>
              <w:pStyle w:val="TableText0"/>
              <w:keepNext/>
              <w:keepLines/>
              <w:spacing w:line="240" w:lineRule="auto"/>
              <w:jc w:val="center"/>
              <w:rPr>
                <w:color w:val="000000"/>
                <w:lang w:eastAsia="zh-CN"/>
              </w:rPr>
            </w:pPr>
            <w:r w:rsidRPr="000160C3">
              <w:t>0.479</w:t>
            </w:r>
          </w:p>
        </w:tc>
      </w:tr>
      <w:tr w:rsidR="00E512B7" w:rsidRPr="000160C3" w14:paraId="1BF10394" w14:textId="77777777" w:rsidTr="00F376C1">
        <w:trPr>
          <w:trHeight w:val="46"/>
        </w:trPr>
        <w:tc>
          <w:tcPr>
            <w:tcW w:w="2405" w:type="dxa"/>
            <w:tcBorders>
              <w:top w:val="single" w:sz="8" w:space="0" w:color="auto"/>
              <w:left w:val="single" w:sz="4" w:space="0" w:color="auto"/>
              <w:bottom w:val="single" w:sz="8" w:space="0" w:color="000000"/>
              <w:right w:val="single" w:sz="8" w:space="0" w:color="auto"/>
            </w:tcBorders>
            <w:tcMar>
              <w:left w:w="28" w:type="dxa"/>
              <w:right w:w="28" w:type="dxa"/>
            </w:tcMar>
            <w:vAlign w:val="center"/>
          </w:tcPr>
          <w:p w14:paraId="67D1B28B" w14:textId="5FC41B23" w:rsidR="00E512B7" w:rsidRPr="000160C3" w:rsidRDefault="00E512B7" w:rsidP="001C47F4">
            <w:pPr>
              <w:pStyle w:val="TableText0"/>
              <w:keepNext/>
              <w:keepLines/>
              <w:spacing w:line="240" w:lineRule="auto"/>
              <w:rPr>
                <w:color w:val="000000"/>
                <w:lang w:eastAsia="zh-CN"/>
              </w:rPr>
            </w:pPr>
            <w:r w:rsidRPr="000160C3">
              <w:t>Excluding COVID deaths</w:t>
            </w:r>
          </w:p>
        </w:tc>
        <w:tc>
          <w:tcPr>
            <w:tcW w:w="1134" w:type="dxa"/>
            <w:tcBorders>
              <w:top w:val="nil"/>
              <w:left w:val="nil"/>
              <w:bottom w:val="single" w:sz="8" w:space="0" w:color="auto"/>
              <w:right w:val="single" w:sz="8" w:space="0" w:color="auto"/>
            </w:tcBorders>
            <w:tcMar>
              <w:left w:w="28" w:type="dxa"/>
              <w:right w:w="28" w:type="dxa"/>
            </w:tcMar>
            <w:vAlign w:val="center"/>
          </w:tcPr>
          <w:p w14:paraId="72BB709A" w14:textId="0152095A" w:rsidR="00E512B7" w:rsidRPr="000160C3" w:rsidRDefault="00E512B7" w:rsidP="001C47F4">
            <w:pPr>
              <w:pStyle w:val="TableText0"/>
              <w:keepNext/>
              <w:keepLines/>
              <w:spacing w:line="240" w:lineRule="auto"/>
              <w:jc w:val="center"/>
              <w:rPr>
                <w:color w:val="000000"/>
                <w:lang w:eastAsia="zh-CN"/>
              </w:rPr>
            </w:pPr>
            <w:r w:rsidRPr="000160C3">
              <w:t>172 (NA)</w:t>
            </w:r>
          </w:p>
        </w:tc>
        <w:tc>
          <w:tcPr>
            <w:tcW w:w="1134" w:type="dxa"/>
            <w:tcBorders>
              <w:top w:val="nil"/>
              <w:left w:val="nil"/>
              <w:bottom w:val="single" w:sz="8" w:space="0" w:color="auto"/>
              <w:right w:val="single" w:sz="8" w:space="0" w:color="auto"/>
            </w:tcBorders>
            <w:tcMar>
              <w:left w:w="28" w:type="dxa"/>
              <w:right w:w="28" w:type="dxa"/>
            </w:tcMar>
            <w:vAlign w:val="center"/>
          </w:tcPr>
          <w:p w14:paraId="1BDBA701" w14:textId="433D69EF" w:rsidR="00E512B7" w:rsidRPr="000160C3" w:rsidRDefault="00E512B7" w:rsidP="001C47F4">
            <w:pPr>
              <w:pStyle w:val="TableText0"/>
              <w:keepNext/>
              <w:keepLines/>
              <w:spacing w:line="240" w:lineRule="auto"/>
              <w:jc w:val="center"/>
              <w:rPr>
                <w:color w:val="000000"/>
                <w:lang w:eastAsia="zh-CN"/>
              </w:rPr>
            </w:pPr>
            <w:r w:rsidRPr="000160C3">
              <w:t>111/172</w:t>
            </w:r>
          </w:p>
        </w:tc>
        <w:tc>
          <w:tcPr>
            <w:tcW w:w="709" w:type="dxa"/>
            <w:tcBorders>
              <w:top w:val="nil"/>
              <w:left w:val="nil"/>
              <w:bottom w:val="single" w:sz="8" w:space="0" w:color="auto"/>
              <w:right w:val="single" w:sz="8" w:space="0" w:color="auto"/>
            </w:tcBorders>
            <w:tcMar>
              <w:left w:w="28" w:type="dxa"/>
              <w:right w:w="28" w:type="dxa"/>
            </w:tcMar>
            <w:vAlign w:val="center"/>
          </w:tcPr>
          <w:p w14:paraId="54A289EF" w14:textId="2615BE0F" w:rsidR="00E512B7" w:rsidRPr="000160C3" w:rsidRDefault="00E512B7" w:rsidP="001C47F4">
            <w:pPr>
              <w:pStyle w:val="TableText0"/>
              <w:keepNext/>
              <w:keepLines/>
              <w:spacing w:line="240" w:lineRule="auto"/>
              <w:jc w:val="center"/>
              <w:rPr>
                <w:color w:val="000000"/>
                <w:lang w:eastAsia="zh-CN"/>
              </w:rPr>
            </w:pPr>
            <w:r w:rsidRPr="000160C3">
              <w:t>64.5%</w:t>
            </w:r>
          </w:p>
        </w:tc>
        <w:tc>
          <w:tcPr>
            <w:tcW w:w="850" w:type="dxa"/>
            <w:vMerge/>
            <w:tcBorders>
              <w:left w:val="nil"/>
              <w:right w:val="single" w:sz="8" w:space="0" w:color="auto"/>
            </w:tcBorders>
            <w:tcMar>
              <w:left w:w="28" w:type="dxa"/>
              <w:right w:w="28" w:type="dxa"/>
            </w:tcMar>
            <w:vAlign w:val="center"/>
          </w:tcPr>
          <w:p w14:paraId="7A9274FB" w14:textId="77777777" w:rsidR="00E512B7" w:rsidRPr="000160C3" w:rsidRDefault="00E512B7" w:rsidP="001C47F4">
            <w:pPr>
              <w:pStyle w:val="TableText0"/>
              <w:keepNext/>
              <w:keepLines/>
              <w:spacing w:line="240" w:lineRule="auto"/>
              <w:rPr>
                <w:color w:val="000000"/>
                <w:lang w:eastAsia="zh-CN"/>
              </w:rPr>
            </w:pPr>
          </w:p>
        </w:tc>
        <w:tc>
          <w:tcPr>
            <w:tcW w:w="709" w:type="dxa"/>
            <w:vMerge/>
            <w:tcBorders>
              <w:left w:val="nil"/>
              <w:right w:val="single" w:sz="8" w:space="0" w:color="auto"/>
            </w:tcBorders>
            <w:tcMar>
              <w:left w:w="28" w:type="dxa"/>
              <w:right w:w="28" w:type="dxa"/>
            </w:tcMar>
            <w:vAlign w:val="center"/>
          </w:tcPr>
          <w:p w14:paraId="5F9EB53F" w14:textId="77777777" w:rsidR="00E512B7" w:rsidRPr="000160C3" w:rsidRDefault="00E512B7" w:rsidP="001C47F4">
            <w:pPr>
              <w:pStyle w:val="TableText0"/>
              <w:keepNext/>
              <w:keepLines/>
              <w:spacing w:line="240" w:lineRule="auto"/>
              <w:rPr>
                <w:color w:val="000000"/>
                <w:lang w:eastAsia="zh-CN"/>
              </w:rPr>
            </w:pPr>
          </w:p>
        </w:tc>
        <w:tc>
          <w:tcPr>
            <w:tcW w:w="1418" w:type="dxa"/>
            <w:tcBorders>
              <w:top w:val="nil"/>
              <w:left w:val="nil"/>
              <w:bottom w:val="single" w:sz="8" w:space="0" w:color="auto"/>
              <w:right w:val="single" w:sz="8" w:space="0" w:color="auto"/>
            </w:tcBorders>
            <w:tcMar>
              <w:left w:w="28" w:type="dxa"/>
              <w:right w:w="28" w:type="dxa"/>
            </w:tcMar>
            <w:vAlign w:val="center"/>
          </w:tcPr>
          <w:p w14:paraId="669C19A9" w14:textId="2B290849" w:rsidR="00E512B7" w:rsidRPr="000160C3" w:rsidRDefault="00E512B7" w:rsidP="001C47F4">
            <w:pPr>
              <w:pStyle w:val="TableText0"/>
              <w:keepNext/>
              <w:keepLines/>
              <w:spacing w:line="240" w:lineRule="auto"/>
              <w:jc w:val="center"/>
              <w:rPr>
                <w:color w:val="000000"/>
                <w:lang w:eastAsia="zh-CN"/>
              </w:rPr>
            </w:pPr>
            <w:r w:rsidRPr="000160C3">
              <w:t>1.16 (0.72, 1.88)</w:t>
            </w:r>
          </w:p>
        </w:tc>
        <w:tc>
          <w:tcPr>
            <w:tcW w:w="703" w:type="dxa"/>
            <w:tcBorders>
              <w:top w:val="nil"/>
              <w:left w:val="nil"/>
              <w:bottom w:val="single" w:sz="8" w:space="0" w:color="auto"/>
              <w:right w:val="single" w:sz="4" w:space="0" w:color="auto"/>
            </w:tcBorders>
            <w:tcMar>
              <w:left w:w="28" w:type="dxa"/>
              <w:right w:w="28" w:type="dxa"/>
            </w:tcMar>
            <w:vAlign w:val="center"/>
          </w:tcPr>
          <w:p w14:paraId="0D915831" w14:textId="602FB342" w:rsidR="00E512B7" w:rsidRPr="000160C3" w:rsidRDefault="00E512B7" w:rsidP="001C47F4">
            <w:pPr>
              <w:pStyle w:val="TableText0"/>
              <w:keepNext/>
              <w:keepLines/>
              <w:spacing w:line="240" w:lineRule="auto"/>
              <w:jc w:val="center"/>
              <w:rPr>
                <w:color w:val="000000"/>
                <w:lang w:eastAsia="zh-CN"/>
              </w:rPr>
            </w:pPr>
            <w:r w:rsidRPr="000160C3">
              <w:t>0.532</w:t>
            </w:r>
          </w:p>
        </w:tc>
      </w:tr>
      <w:tr w:rsidR="00E512B7" w:rsidRPr="000160C3" w14:paraId="647B483E" w14:textId="77777777" w:rsidTr="00F376C1">
        <w:trPr>
          <w:trHeight w:val="46"/>
        </w:trPr>
        <w:tc>
          <w:tcPr>
            <w:tcW w:w="2405" w:type="dxa"/>
            <w:tcBorders>
              <w:top w:val="single" w:sz="8" w:space="0" w:color="auto"/>
              <w:left w:val="single" w:sz="4" w:space="0" w:color="auto"/>
              <w:bottom w:val="single" w:sz="8" w:space="0" w:color="000000"/>
              <w:right w:val="single" w:sz="8" w:space="0" w:color="auto"/>
            </w:tcBorders>
            <w:tcMar>
              <w:left w:w="28" w:type="dxa"/>
              <w:right w:w="28" w:type="dxa"/>
            </w:tcMar>
            <w:vAlign w:val="center"/>
          </w:tcPr>
          <w:p w14:paraId="08230BF4" w14:textId="537220FE" w:rsidR="00E512B7" w:rsidRPr="000160C3" w:rsidRDefault="00E512B7" w:rsidP="001C47F4">
            <w:pPr>
              <w:pStyle w:val="TableText0"/>
              <w:keepNext/>
              <w:keepLines/>
              <w:spacing w:line="240" w:lineRule="auto"/>
              <w:rPr>
                <w:color w:val="000000"/>
                <w:lang w:eastAsia="zh-CN"/>
              </w:rPr>
            </w:pPr>
            <w:r w:rsidRPr="000160C3">
              <w:t>Base</w:t>
            </w:r>
            <w:r w:rsidR="00EC1990">
              <w:noBreakHyphen/>
            </w:r>
            <w:r w:rsidRPr="000160C3">
              <w:t>case matching set</w:t>
            </w:r>
          </w:p>
        </w:tc>
        <w:tc>
          <w:tcPr>
            <w:tcW w:w="1134" w:type="dxa"/>
            <w:tcBorders>
              <w:top w:val="nil"/>
              <w:left w:val="nil"/>
              <w:bottom w:val="single" w:sz="8" w:space="0" w:color="auto"/>
              <w:right w:val="single" w:sz="8" w:space="0" w:color="auto"/>
            </w:tcBorders>
            <w:tcMar>
              <w:left w:w="28" w:type="dxa"/>
              <w:right w:w="28" w:type="dxa"/>
            </w:tcMar>
            <w:vAlign w:val="center"/>
          </w:tcPr>
          <w:p w14:paraId="438E322F" w14:textId="1BE679CC" w:rsidR="00E512B7" w:rsidRPr="000160C3" w:rsidRDefault="00E512B7" w:rsidP="001C47F4">
            <w:pPr>
              <w:pStyle w:val="TableText0"/>
              <w:keepNext/>
              <w:keepLines/>
              <w:spacing w:line="240" w:lineRule="auto"/>
              <w:jc w:val="center"/>
              <w:rPr>
                <w:color w:val="000000"/>
                <w:lang w:eastAsia="zh-CN"/>
              </w:rPr>
            </w:pPr>
            <w:r w:rsidRPr="000160C3">
              <w:t>172 (123)</w:t>
            </w:r>
          </w:p>
        </w:tc>
        <w:tc>
          <w:tcPr>
            <w:tcW w:w="1134" w:type="dxa"/>
            <w:tcBorders>
              <w:top w:val="nil"/>
              <w:left w:val="nil"/>
              <w:bottom w:val="single" w:sz="8" w:space="0" w:color="auto"/>
              <w:right w:val="single" w:sz="8" w:space="0" w:color="auto"/>
            </w:tcBorders>
            <w:tcMar>
              <w:left w:w="28" w:type="dxa"/>
              <w:right w:w="28" w:type="dxa"/>
            </w:tcMar>
            <w:vAlign w:val="center"/>
          </w:tcPr>
          <w:p w14:paraId="412804CC" w14:textId="73DB59D4" w:rsidR="00E512B7" w:rsidRPr="000160C3" w:rsidRDefault="00E512B7" w:rsidP="001C47F4">
            <w:pPr>
              <w:pStyle w:val="TableText0"/>
              <w:keepNext/>
              <w:keepLines/>
              <w:spacing w:line="240" w:lineRule="auto"/>
              <w:jc w:val="center"/>
              <w:rPr>
                <w:color w:val="000000"/>
                <w:lang w:eastAsia="zh-CN"/>
              </w:rPr>
            </w:pPr>
            <w:r w:rsidRPr="000160C3">
              <w:t>78/123</w:t>
            </w:r>
          </w:p>
        </w:tc>
        <w:tc>
          <w:tcPr>
            <w:tcW w:w="709" w:type="dxa"/>
            <w:tcBorders>
              <w:top w:val="nil"/>
              <w:left w:val="nil"/>
              <w:bottom w:val="single" w:sz="8" w:space="0" w:color="auto"/>
              <w:right w:val="single" w:sz="8" w:space="0" w:color="auto"/>
            </w:tcBorders>
            <w:tcMar>
              <w:left w:w="28" w:type="dxa"/>
              <w:right w:w="28" w:type="dxa"/>
            </w:tcMar>
            <w:vAlign w:val="center"/>
          </w:tcPr>
          <w:p w14:paraId="374CEA24" w14:textId="4112083C" w:rsidR="00E512B7" w:rsidRPr="000160C3" w:rsidRDefault="00E512B7" w:rsidP="001C47F4">
            <w:pPr>
              <w:pStyle w:val="TableText0"/>
              <w:keepNext/>
              <w:keepLines/>
              <w:spacing w:line="240" w:lineRule="auto"/>
              <w:jc w:val="center"/>
              <w:rPr>
                <w:color w:val="000000"/>
                <w:lang w:eastAsia="zh-CN"/>
              </w:rPr>
            </w:pPr>
            <w:r w:rsidRPr="000160C3">
              <w:t>63.1%</w:t>
            </w:r>
          </w:p>
        </w:tc>
        <w:tc>
          <w:tcPr>
            <w:tcW w:w="850" w:type="dxa"/>
            <w:vMerge/>
            <w:tcBorders>
              <w:left w:val="nil"/>
              <w:right w:val="single" w:sz="8" w:space="0" w:color="auto"/>
            </w:tcBorders>
            <w:tcMar>
              <w:left w:w="28" w:type="dxa"/>
              <w:right w:w="28" w:type="dxa"/>
            </w:tcMar>
            <w:vAlign w:val="center"/>
          </w:tcPr>
          <w:p w14:paraId="1CBF2D5D" w14:textId="77777777" w:rsidR="00E512B7" w:rsidRPr="000160C3" w:rsidRDefault="00E512B7" w:rsidP="001C47F4">
            <w:pPr>
              <w:pStyle w:val="TableText0"/>
              <w:keepNext/>
              <w:keepLines/>
              <w:spacing w:line="240" w:lineRule="auto"/>
              <w:rPr>
                <w:color w:val="000000"/>
                <w:lang w:eastAsia="zh-CN"/>
              </w:rPr>
            </w:pPr>
          </w:p>
        </w:tc>
        <w:tc>
          <w:tcPr>
            <w:tcW w:w="709" w:type="dxa"/>
            <w:vMerge/>
            <w:tcBorders>
              <w:left w:val="nil"/>
              <w:right w:val="single" w:sz="8" w:space="0" w:color="auto"/>
            </w:tcBorders>
            <w:tcMar>
              <w:left w:w="28" w:type="dxa"/>
              <w:right w:w="28" w:type="dxa"/>
            </w:tcMar>
            <w:vAlign w:val="center"/>
          </w:tcPr>
          <w:p w14:paraId="6D3C0ACB" w14:textId="77777777" w:rsidR="00E512B7" w:rsidRPr="000160C3" w:rsidRDefault="00E512B7" w:rsidP="001C47F4">
            <w:pPr>
              <w:pStyle w:val="TableText0"/>
              <w:keepNext/>
              <w:keepLines/>
              <w:spacing w:line="240" w:lineRule="auto"/>
              <w:rPr>
                <w:color w:val="000000"/>
                <w:lang w:eastAsia="zh-CN"/>
              </w:rPr>
            </w:pPr>
          </w:p>
        </w:tc>
        <w:tc>
          <w:tcPr>
            <w:tcW w:w="1418" w:type="dxa"/>
            <w:tcBorders>
              <w:top w:val="nil"/>
              <w:left w:val="nil"/>
              <w:bottom w:val="single" w:sz="8" w:space="0" w:color="auto"/>
              <w:right w:val="single" w:sz="8" w:space="0" w:color="auto"/>
            </w:tcBorders>
            <w:tcMar>
              <w:left w:w="28" w:type="dxa"/>
              <w:right w:w="28" w:type="dxa"/>
            </w:tcMar>
            <w:vAlign w:val="center"/>
          </w:tcPr>
          <w:p w14:paraId="33770EEC" w14:textId="6BD2C720" w:rsidR="00E512B7" w:rsidRPr="000160C3" w:rsidRDefault="00E512B7" w:rsidP="001C47F4">
            <w:pPr>
              <w:pStyle w:val="TableText0"/>
              <w:keepNext/>
              <w:keepLines/>
              <w:spacing w:line="240" w:lineRule="auto"/>
              <w:jc w:val="center"/>
              <w:rPr>
                <w:color w:val="000000"/>
                <w:lang w:eastAsia="zh-CN"/>
              </w:rPr>
            </w:pPr>
            <w:r w:rsidRPr="000160C3">
              <w:t>1.10 (0.65, 1.84)</w:t>
            </w:r>
          </w:p>
        </w:tc>
        <w:tc>
          <w:tcPr>
            <w:tcW w:w="703" w:type="dxa"/>
            <w:tcBorders>
              <w:top w:val="nil"/>
              <w:left w:val="nil"/>
              <w:bottom w:val="single" w:sz="8" w:space="0" w:color="auto"/>
              <w:right w:val="single" w:sz="4" w:space="0" w:color="auto"/>
            </w:tcBorders>
            <w:tcMar>
              <w:left w:w="28" w:type="dxa"/>
              <w:right w:w="28" w:type="dxa"/>
            </w:tcMar>
            <w:vAlign w:val="center"/>
          </w:tcPr>
          <w:p w14:paraId="79845344" w14:textId="102E14F5" w:rsidR="00E512B7" w:rsidRPr="000160C3" w:rsidRDefault="00E512B7" w:rsidP="001C47F4">
            <w:pPr>
              <w:pStyle w:val="TableText0"/>
              <w:keepNext/>
              <w:keepLines/>
              <w:spacing w:line="240" w:lineRule="auto"/>
              <w:jc w:val="center"/>
              <w:rPr>
                <w:color w:val="000000"/>
                <w:lang w:eastAsia="zh-CN"/>
              </w:rPr>
            </w:pPr>
            <w:r w:rsidRPr="000160C3">
              <w:t>0.731</w:t>
            </w:r>
          </w:p>
        </w:tc>
      </w:tr>
      <w:tr w:rsidR="00E512B7" w:rsidRPr="000160C3" w14:paraId="75F3E0D8" w14:textId="77777777" w:rsidTr="00F376C1">
        <w:trPr>
          <w:trHeight w:val="46"/>
        </w:trPr>
        <w:tc>
          <w:tcPr>
            <w:tcW w:w="2405" w:type="dxa"/>
            <w:tcBorders>
              <w:top w:val="single" w:sz="8" w:space="0" w:color="auto"/>
              <w:left w:val="single" w:sz="4" w:space="0" w:color="auto"/>
              <w:bottom w:val="single" w:sz="8" w:space="0" w:color="000000"/>
              <w:right w:val="single" w:sz="8" w:space="0" w:color="auto"/>
            </w:tcBorders>
            <w:tcMar>
              <w:left w:w="28" w:type="dxa"/>
              <w:right w:w="28" w:type="dxa"/>
            </w:tcMar>
            <w:vAlign w:val="center"/>
          </w:tcPr>
          <w:p w14:paraId="3EED66F7" w14:textId="52E6B812" w:rsidR="00E512B7" w:rsidRPr="000160C3" w:rsidRDefault="00E512B7" w:rsidP="001C47F4">
            <w:pPr>
              <w:pStyle w:val="TableText0"/>
              <w:keepNext/>
              <w:keepLines/>
              <w:spacing w:line="240" w:lineRule="auto"/>
              <w:rPr>
                <w:color w:val="000000"/>
                <w:lang w:eastAsia="zh-CN"/>
              </w:rPr>
            </w:pPr>
            <w:r w:rsidRPr="000160C3">
              <w:t>Full matching set</w:t>
            </w:r>
          </w:p>
        </w:tc>
        <w:tc>
          <w:tcPr>
            <w:tcW w:w="1134" w:type="dxa"/>
            <w:tcBorders>
              <w:top w:val="nil"/>
              <w:left w:val="nil"/>
              <w:bottom w:val="single" w:sz="8" w:space="0" w:color="auto"/>
              <w:right w:val="single" w:sz="8" w:space="0" w:color="auto"/>
            </w:tcBorders>
            <w:tcMar>
              <w:left w:w="28" w:type="dxa"/>
              <w:right w:w="28" w:type="dxa"/>
            </w:tcMar>
            <w:vAlign w:val="center"/>
          </w:tcPr>
          <w:p w14:paraId="3493F6CF" w14:textId="783065CC" w:rsidR="00E512B7" w:rsidRPr="000160C3" w:rsidRDefault="00E512B7" w:rsidP="001C47F4">
            <w:pPr>
              <w:pStyle w:val="TableText0"/>
              <w:keepNext/>
              <w:keepLines/>
              <w:spacing w:line="240" w:lineRule="auto"/>
              <w:jc w:val="center"/>
              <w:rPr>
                <w:color w:val="000000"/>
                <w:lang w:eastAsia="zh-CN"/>
              </w:rPr>
            </w:pPr>
            <w:r w:rsidRPr="000160C3">
              <w:t>172 (97)</w:t>
            </w:r>
          </w:p>
        </w:tc>
        <w:tc>
          <w:tcPr>
            <w:tcW w:w="1134" w:type="dxa"/>
            <w:tcBorders>
              <w:top w:val="nil"/>
              <w:left w:val="nil"/>
              <w:bottom w:val="single" w:sz="8" w:space="0" w:color="auto"/>
              <w:right w:val="single" w:sz="8" w:space="0" w:color="auto"/>
            </w:tcBorders>
            <w:tcMar>
              <w:left w:w="28" w:type="dxa"/>
              <w:right w:w="28" w:type="dxa"/>
            </w:tcMar>
            <w:vAlign w:val="center"/>
          </w:tcPr>
          <w:p w14:paraId="2B703E50" w14:textId="73BE4C73" w:rsidR="00E512B7" w:rsidRPr="000160C3" w:rsidRDefault="00E512B7" w:rsidP="001C47F4">
            <w:pPr>
              <w:pStyle w:val="TableText0"/>
              <w:keepNext/>
              <w:keepLines/>
              <w:spacing w:line="240" w:lineRule="auto"/>
              <w:jc w:val="center"/>
              <w:rPr>
                <w:color w:val="000000"/>
                <w:lang w:eastAsia="zh-CN"/>
              </w:rPr>
            </w:pPr>
            <w:r w:rsidRPr="000160C3">
              <w:t>62/97</w:t>
            </w:r>
          </w:p>
        </w:tc>
        <w:tc>
          <w:tcPr>
            <w:tcW w:w="709" w:type="dxa"/>
            <w:tcBorders>
              <w:top w:val="nil"/>
              <w:left w:val="nil"/>
              <w:bottom w:val="single" w:sz="8" w:space="0" w:color="auto"/>
              <w:right w:val="single" w:sz="8" w:space="0" w:color="auto"/>
            </w:tcBorders>
            <w:tcMar>
              <w:left w:w="28" w:type="dxa"/>
              <w:right w:w="28" w:type="dxa"/>
            </w:tcMar>
            <w:vAlign w:val="center"/>
          </w:tcPr>
          <w:p w14:paraId="0C13581C" w14:textId="6687D608" w:rsidR="00E512B7" w:rsidRPr="000160C3" w:rsidRDefault="00E512B7" w:rsidP="001C47F4">
            <w:pPr>
              <w:pStyle w:val="TableText0"/>
              <w:keepNext/>
              <w:keepLines/>
              <w:spacing w:line="240" w:lineRule="auto"/>
              <w:jc w:val="center"/>
              <w:rPr>
                <w:color w:val="000000"/>
                <w:lang w:eastAsia="zh-CN"/>
              </w:rPr>
            </w:pPr>
            <w:r w:rsidRPr="000160C3">
              <w:t>64.1%</w:t>
            </w:r>
          </w:p>
        </w:tc>
        <w:tc>
          <w:tcPr>
            <w:tcW w:w="850" w:type="dxa"/>
            <w:vMerge/>
            <w:tcBorders>
              <w:left w:val="nil"/>
              <w:bottom w:val="single" w:sz="8" w:space="0" w:color="auto"/>
              <w:right w:val="single" w:sz="8" w:space="0" w:color="auto"/>
            </w:tcBorders>
            <w:tcMar>
              <w:left w:w="28" w:type="dxa"/>
              <w:right w:w="28" w:type="dxa"/>
            </w:tcMar>
            <w:vAlign w:val="center"/>
          </w:tcPr>
          <w:p w14:paraId="5D27E3DD" w14:textId="77777777" w:rsidR="00E512B7" w:rsidRPr="000160C3" w:rsidRDefault="00E512B7" w:rsidP="001C47F4">
            <w:pPr>
              <w:pStyle w:val="TableText0"/>
              <w:keepNext/>
              <w:keepLines/>
              <w:spacing w:line="240" w:lineRule="auto"/>
              <w:rPr>
                <w:color w:val="000000"/>
                <w:lang w:eastAsia="zh-CN"/>
              </w:rPr>
            </w:pPr>
          </w:p>
        </w:tc>
        <w:tc>
          <w:tcPr>
            <w:tcW w:w="709" w:type="dxa"/>
            <w:vMerge/>
            <w:tcBorders>
              <w:left w:val="nil"/>
              <w:bottom w:val="single" w:sz="8" w:space="0" w:color="auto"/>
              <w:right w:val="single" w:sz="8" w:space="0" w:color="auto"/>
            </w:tcBorders>
            <w:tcMar>
              <w:left w:w="28" w:type="dxa"/>
              <w:right w:w="28" w:type="dxa"/>
            </w:tcMar>
            <w:vAlign w:val="center"/>
          </w:tcPr>
          <w:p w14:paraId="5E5D903E" w14:textId="77777777" w:rsidR="00E512B7" w:rsidRPr="000160C3" w:rsidRDefault="00E512B7" w:rsidP="001C47F4">
            <w:pPr>
              <w:pStyle w:val="TableText0"/>
              <w:keepNext/>
              <w:keepLines/>
              <w:spacing w:line="240" w:lineRule="auto"/>
              <w:rPr>
                <w:color w:val="000000"/>
                <w:lang w:eastAsia="zh-CN"/>
              </w:rPr>
            </w:pPr>
          </w:p>
        </w:tc>
        <w:tc>
          <w:tcPr>
            <w:tcW w:w="1418" w:type="dxa"/>
            <w:tcBorders>
              <w:top w:val="nil"/>
              <w:left w:val="nil"/>
              <w:bottom w:val="single" w:sz="8" w:space="0" w:color="auto"/>
              <w:right w:val="single" w:sz="8" w:space="0" w:color="auto"/>
            </w:tcBorders>
            <w:tcMar>
              <w:left w:w="28" w:type="dxa"/>
              <w:right w:w="28" w:type="dxa"/>
            </w:tcMar>
            <w:vAlign w:val="center"/>
          </w:tcPr>
          <w:p w14:paraId="46737722" w14:textId="042ACD4C" w:rsidR="00E512B7" w:rsidRPr="000160C3" w:rsidRDefault="00E512B7" w:rsidP="001C47F4">
            <w:pPr>
              <w:pStyle w:val="TableText0"/>
              <w:keepNext/>
              <w:keepLines/>
              <w:spacing w:line="240" w:lineRule="auto"/>
              <w:jc w:val="center"/>
              <w:rPr>
                <w:color w:val="000000"/>
                <w:lang w:eastAsia="zh-CN"/>
              </w:rPr>
            </w:pPr>
            <w:r w:rsidRPr="000160C3">
              <w:t>1.14 (0.66, 1.97)</w:t>
            </w:r>
          </w:p>
        </w:tc>
        <w:tc>
          <w:tcPr>
            <w:tcW w:w="703" w:type="dxa"/>
            <w:tcBorders>
              <w:top w:val="nil"/>
              <w:left w:val="nil"/>
              <w:bottom w:val="single" w:sz="8" w:space="0" w:color="auto"/>
              <w:right w:val="single" w:sz="4" w:space="0" w:color="auto"/>
            </w:tcBorders>
            <w:tcMar>
              <w:left w:w="28" w:type="dxa"/>
              <w:right w:w="28" w:type="dxa"/>
            </w:tcMar>
            <w:vAlign w:val="center"/>
          </w:tcPr>
          <w:p w14:paraId="56AE40AC" w14:textId="79128EA9" w:rsidR="00E512B7" w:rsidRPr="000160C3" w:rsidRDefault="00E512B7" w:rsidP="001C47F4">
            <w:pPr>
              <w:pStyle w:val="TableText0"/>
              <w:keepNext/>
              <w:keepLines/>
              <w:spacing w:line="240" w:lineRule="auto"/>
              <w:jc w:val="center"/>
              <w:rPr>
                <w:color w:val="000000"/>
                <w:lang w:eastAsia="zh-CN"/>
              </w:rPr>
            </w:pPr>
            <w:r w:rsidRPr="000160C3">
              <w:t>0.635</w:t>
            </w:r>
          </w:p>
        </w:tc>
      </w:tr>
      <w:tr w:rsidR="001F3AF9" w:rsidRPr="000160C3" w14:paraId="340D9D43" w14:textId="77777777" w:rsidTr="00F376C1">
        <w:trPr>
          <w:trHeight w:val="46"/>
        </w:trPr>
        <w:tc>
          <w:tcPr>
            <w:tcW w:w="9062" w:type="dxa"/>
            <w:gridSpan w:val="8"/>
            <w:tcBorders>
              <w:top w:val="single" w:sz="8" w:space="0" w:color="auto"/>
              <w:left w:val="single" w:sz="4" w:space="0" w:color="auto"/>
              <w:bottom w:val="single" w:sz="8" w:space="0" w:color="000000"/>
              <w:right w:val="single" w:sz="4" w:space="0" w:color="auto"/>
            </w:tcBorders>
            <w:tcMar>
              <w:left w:w="28" w:type="dxa"/>
              <w:right w:w="28" w:type="dxa"/>
            </w:tcMar>
            <w:vAlign w:val="center"/>
          </w:tcPr>
          <w:p w14:paraId="7F6DD83D" w14:textId="3278C158" w:rsidR="001F3AF9" w:rsidRPr="000160C3" w:rsidRDefault="008B1987" w:rsidP="001C47F4">
            <w:pPr>
              <w:keepNext/>
              <w:keepLines/>
              <w:rPr>
                <w:rFonts w:ascii="Arial Narrow" w:hAnsi="Arial Narrow"/>
                <w:color w:val="000000"/>
                <w:sz w:val="20"/>
                <w:szCs w:val="20"/>
                <w:lang w:eastAsia="zh-CN"/>
              </w:rPr>
            </w:pPr>
            <w:r w:rsidRPr="000160C3">
              <w:rPr>
                <w:rFonts w:ascii="Arial Narrow" w:hAnsi="Arial Narrow"/>
                <w:b/>
                <w:bCs/>
                <w:color w:val="000000"/>
                <w:sz w:val="20"/>
                <w:szCs w:val="20"/>
                <w:lang w:eastAsia="zh-CN"/>
              </w:rPr>
              <w:t>Sensitivity</w:t>
            </w:r>
            <w:r w:rsidR="00063F2E" w:rsidRPr="000160C3">
              <w:rPr>
                <w:rFonts w:ascii="Arial Narrow" w:hAnsi="Arial Narrow"/>
                <w:b/>
                <w:bCs/>
                <w:color w:val="000000"/>
                <w:sz w:val="20"/>
                <w:szCs w:val="20"/>
                <w:lang w:eastAsia="zh-CN"/>
              </w:rPr>
              <w:t xml:space="preserve"> 1</w:t>
            </w:r>
            <w:r w:rsidRPr="000160C3">
              <w:rPr>
                <w:rFonts w:ascii="Arial Narrow" w:hAnsi="Arial Narrow"/>
                <w:b/>
                <w:bCs/>
                <w:color w:val="000000"/>
                <w:sz w:val="20"/>
                <w:szCs w:val="20"/>
                <w:lang w:eastAsia="zh-CN"/>
              </w:rPr>
              <w:t xml:space="preserve">: </w:t>
            </w:r>
            <w:r w:rsidR="001F3AF9" w:rsidRPr="000160C3">
              <w:rPr>
                <w:rFonts w:ascii="Arial Narrow" w:hAnsi="Arial Narrow"/>
                <w:b/>
                <w:bCs/>
                <w:color w:val="000000"/>
                <w:sz w:val="20"/>
                <w:szCs w:val="20"/>
                <w:lang w:eastAsia="zh-CN"/>
              </w:rPr>
              <w:t>RP2D population only</w:t>
            </w:r>
            <w:r w:rsidR="00B847AB" w:rsidRPr="000160C3">
              <w:rPr>
                <w:rFonts w:ascii="Arial Narrow" w:hAnsi="Arial Narrow"/>
                <w:b/>
                <w:bCs/>
                <w:color w:val="000000"/>
                <w:sz w:val="20"/>
                <w:szCs w:val="20"/>
                <w:lang w:eastAsia="zh-CN"/>
              </w:rPr>
              <w:t>,</w:t>
            </w:r>
            <w:r w:rsidR="001F3AF9" w:rsidRPr="000160C3">
              <w:rPr>
                <w:rFonts w:ascii="Arial Narrow" w:hAnsi="Arial Narrow"/>
                <w:b/>
                <w:bCs/>
                <w:color w:val="000000"/>
                <w:sz w:val="20"/>
                <w:szCs w:val="20"/>
                <w:lang w:eastAsia="zh-CN"/>
              </w:rPr>
              <w:t xml:space="preserve"> including RP2D patients who died due to COVID</w:t>
            </w:r>
            <w:r w:rsidR="00EC1990">
              <w:rPr>
                <w:rFonts w:ascii="Arial Narrow" w:hAnsi="Arial Narrow"/>
                <w:b/>
                <w:bCs/>
                <w:color w:val="000000"/>
                <w:sz w:val="20"/>
                <w:szCs w:val="20"/>
                <w:lang w:eastAsia="zh-CN"/>
              </w:rPr>
              <w:noBreakHyphen/>
            </w:r>
            <w:r w:rsidR="001F3AF9" w:rsidRPr="000160C3">
              <w:rPr>
                <w:rFonts w:ascii="Arial Narrow" w:hAnsi="Arial Narrow"/>
                <w:b/>
                <w:bCs/>
                <w:color w:val="000000"/>
                <w:sz w:val="20"/>
                <w:szCs w:val="20"/>
                <w:lang w:eastAsia="zh-CN"/>
              </w:rPr>
              <w:t>19</w:t>
            </w:r>
          </w:p>
        </w:tc>
      </w:tr>
      <w:tr w:rsidR="001F3AF9" w:rsidRPr="000160C3" w14:paraId="27046197" w14:textId="77777777" w:rsidTr="00F376C1">
        <w:trPr>
          <w:trHeight w:val="46"/>
        </w:trPr>
        <w:tc>
          <w:tcPr>
            <w:tcW w:w="2405" w:type="dxa"/>
            <w:tcBorders>
              <w:top w:val="single" w:sz="8" w:space="0" w:color="auto"/>
              <w:left w:val="single" w:sz="4" w:space="0" w:color="auto"/>
              <w:bottom w:val="single" w:sz="8" w:space="0" w:color="000000"/>
              <w:right w:val="single" w:sz="8" w:space="0" w:color="auto"/>
            </w:tcBorders>
            <w:tcMar>
              <w:left w:w="28" w:type="dxa"/>
              <w:right w:w="28" w:type="dxa"/>
            </w:tcMar>
            <w:vAlign w:val="center"/>
          </w:tcPr>
          <w:p w14:paraId="0956EBFC" w14:textId="77777777" w:rsidR="001F3AF9" w:rsidRPr="000160C3" w:rsidRDefault="001F3AF9" w:rsidP="001C47F4">
            <w:pPr>
              <w:keepNext/>
              <w:keepLines/>
              <w:rPr>
                <w:rFonts w:ascii="Arial Narrow" w:hAnsi="Arial Narrow"/>
                <w:b/>
                <w:bCs/>
                <w:color w:val="000000"/>
                <w:sz w:val="20"/>
                <w:szCs w:val="20"/>
                <w:lang w:eastAsia="zh-CN"/>
              </w:rPr>
            </w:pPr>
            <w:r w:rsidRPr="000160C3">
              <w:rPr>
                <w:rFonts w:ascii="Arial Narrow" w:hAnsi="Arial Narrow"/>
                <w:color w:val="000000"/>
                <w:sz w:val="20"/>
                <w:szCs w:val="20"/>
                <w:lang w:eastAsia="zh-CN"/>
              </w:rPr>
              <w:t>Unadjusted</w:t>
            </w:r>
          </w:p>
        </w:tc>
        <w:tc>
          <w:tcPr>
            <w:tcW w:w="1134" w:type="dxa"/>
            <w:tcBorders>
              <w:top w:val="nil"/>
              <w:left w:val="nil"/>
              <w:bottom w:val="single" w:sz="8" w:space="0" w:color="auto"/>
              <w:right w:val="single" w:sz="8" w:space="0" w:color="auto"/>
            </w:tcBorders>
            <w:tcMar>
              <w:left w:w="28" w:type="dxa"/>
              <w:right w:w="28" w:type="dxa"/>
            </w:tcMar>
            <w:vAlign w:val="center"/>
          </w:tcPr>
          <w:p w14:paraId="66A7D173" w14:textId="77777777" w:rsidR="001F3AF9" w:rsidRPr="000160C3" w:rsidRDefault="001F3AF9" w:rsidP="001C47F4">
            <w:pPr>
              <w:keepNext/>
              <w:keepLines/>
              <w:jc w:val="center"/>
              <w:rPr>
                <w:rFonts w:ascii="Arial Narrow" w:hAnsi="Arial Narrow"/>
                <w:b/>
                <w:bCs/>
                <w:color w:val="000000"/>
                <w:sz w:val="20"/>
                <w:szCs w:val="20"/>
                <w:lang w:eastAsia="zh-CN"/>
              </w:rPr>
            </w:pPr>
            <w:r w:rsidRPr="000160C3">
              <w:rPr>
                <w:rFonts w:ascii="Arial Narrow" w:hAnsi="Arial Narrow"/>
                <w:color w:val="000000"/>
                <w:sz w:val="20"/>
                <w:szCs w:val="20"/>
                <w:lang w:eastAsia="zh-CN"/>
              </w:rPr>
              <w:t>165 (NA)</w:t>
            </w:r>
          </w:p>
        </w:tc>
        <w:tc>
          <w:tcPr>
            <w:tcW w:w="1134" w:type="dxa"/>
            <w:tcBorders>
              <w:top w:val="nil"/>
              <w:left w:val="nil"/>
              <w:bottom w:val="single" w:sz="8" w:space="0" w:color="auto"/>
              <w:right w:val="single" w:sz="8" w:space="0" w:color="auto"/>
            </w:tcBorders>
            <w:tcMar>
              <w:left w:w="28" w:type="dxa"/>
              <w:right w:w="28" w:type="dxa"/>
            </w:tcMar>
            <w:vAlign w:val="center"/>
          </w:tcPr>
          <w:p w14:paraId="4F1B1DBD" w14:textId="77777777" w:rsidR="001F3AF9" w:rsidRPr="000160C3" w:rsidRDefault="001F3AF9" w:rsidP="001C47F4">
            <w:pPr>
              <w:keepNext/>
              <w:keepLines/>
              <w:jc w:val="center"/>
              <w:rPr>
                <w:rFonts w:ascii="Arial Narrow" w:hAnsi="Arial Narrow"/>
                <w:b/>
                <w:bCs/>
                <w:color w:val="000000"/>
                <w:sz w:val="20"/>
                <w:szCs w:val="20"/>
                <w:lang w:eastAsia="zh-CN"/>
              </w:rPr>
            </w:pPr>
            <w:r w:rsidRPr="000160C3">
              <w:rPr>
                <w:rFonts w:ascii="Arial Narrow" w:hAnsi="Arial Narrow"/>
                <w:color w:val="000000"/>
                <w:sz w:val="20"/>
                <w:szCs w:val="20"/>
                <w:lang w:eastAsia="zh-CN"/>
              </w:rPr>
              <w:t>104/165</w:t>
            </w:r>
          </w:p>
        </w:tc>
        <w:tc>
          <w:tcPr>
            <w:tcW w:w="709" w:type="dxa"/>
            <w:tcBorders>
              <w:top w:val="nil"/>
              <w:left w:val="nil"/>
              <w:bottom w:val="single" w:sz="8" w:space="0" w:color="auto"/>
              <w:right w:val="single" w:sz="8" w:space="0" w:color="auto"/>
            </w:tcBorders>
            <w:tcMar>
              <w:left w:w="28" w:type="dxa"/>
              <w:right w:w="28" w:type="dxa"/>
            </w:tcMar>
            <w:vAlign w:val="center"/>
          </w:tcPr>
          <w:p w14:paraId="5E50CA41" w14:textId="0FE4733E" w:rsidR="001F3AF9" w:rsidRPr="000160C3" w:rsidRDefault="001F3AF9" w:rsidP="001C47F4">
            <w:pPr>
              <w:keepNext/>
              <w:keepLines/>
              <w:jc w:val="center"/>
              <w:rPr>
                <w:rFonts w:ascii="Arial Narrow" w:hAnsi="Arial Narrow"/>
                <w:b/>
                <w:bCs/>
                <w:color w:val="000000"/>
                <w:sz w:val="20"/>
                <w:szCs w:val="20"/>
                <w:lang w:eastAsia="zh-CN"/>
              </w:rPr>
            </w:pPr>
            <w:r w:rsidRPr="000160C3">
              <w:rPr>
                <w:rFonts w:ascii="Arial Narrow" w:hAnsi="Arial Narrow"/>
                <w:color w:val="000000"/>
                <w:sz w:val="20"/>
                <w:szCs w:val="20"/>
                <w:lang w:eastAsia="zh-CN"/>
              </w:rPr>
              <w:t>63.0%</w:t>
            </w:r>
          </w:p>
        </w:tc>
        <w:tc>
          <w:tcPr>
            <w:tcW w:w="850" w:type="dxa"/>
            <w:vMerge w:val="restart"/>
            <w:tcBorders>
              <w:top w:val="nil"/>
              <w:left w:val="nil"/>
              <w:right w:val="single" w:sz="8" w:space="0" w:color="auto"/>
            </w:tcBorders>
            <w:tcMar>
              <w:left w:w="28" w:type="dxa"/>
              <w:right w:w="28" w:type="dxa"/>
            </w:tcMar>
            <w:vAlign w:val="center"/>
          </w:tcPr>
          <w:p w14:paraId="5C6BFD59" w14:textId="77777777" w:rsidR="001F3AF9" w:rsidRPr="000160C3" w:rsidRDefault="001F3AF9" w:rsidP="001C47F4">
            <w:pPr>
              <w:keepNext/>
              <w:keepLines/>
              <w:jc w:val="center"/>
              <w:rPr>
                <w:rFonts w:ascii="Arial Narrow" w:hAnsi="Arial Narrow"/>
                <w:b/>
                <w:bCs/>
                <w:color w:val="000000"/>
                <w:sz w:val="20"/>
                <w:szCs w:val="20"/>
                <w:lang w:eastAsia="zh-CN"/>
              </w:rPr>
            </w:pPr>
            <w:r w:rsidRPr="000160C3">
              <w:rPr>
                <w:rFonts w:ascii="Arial Narrow" w:hAnsi="Arial Narrow"/>
                <w:color w:val="000000"/>
                <w:sz w:val="20"/>
                <w:szCs w:val="20"/>
                <w:lang w:eastAsia="zh-CN"/>
              </w:rPr>
              <w:t>75/123</w:t>
            </w:r>
          </w:p>
        </w:tc>
        <w:tc>
          <w:tcPr>
            <w:tcW w:w="709" w:type="dxa"/>
            <w:vMerge w:val="restart"/>
            <w:tcBorders>
              <w:top w:val="nil"/>
              <w:left w:val="nil"/>
              <w:right w:val="single" w:sz="8" w:space="0" w:color="auto"/>
            </w:tcBorders>
            <w:tcMar>
              <w:left w:w="28" w:type="dxa"/>
              <w:right w:w="28" w:type="dxa"/>
            </w:tcMar>
            <w:vAlign w:val="center"/>
          </w:tcPr>
          <w:p w14:paraId="35E32217" w14:textId="004AEB9F" w:rsidR="001F3AF9" w:rsidRPr="000160C3" w:rsidRDefault="001F3AF9" w:rsidP="001C47F4">
            <w:pPr>
              <w:keepNext/>
              <w:keepLines/>
              <w:jc w:val="center"/>
              <w:rPr>
                <w:rFonts w:ascii="Arial Narrow" w:hAnsi="Arial Narrow"/>
                <w:b/>
                <w:bCs/>
                <w:color w:val="000000"/>
                <w:sz w:val="20"/>
                <w:szCs w:val="20"/>
                <w:lang w:eastAsia="zh-CN"/>
              </w:rPr>
            </w:pPr>
            <w:r w:rsidRPr="000160C3">
              <w:rPr>
                <w:rFonts w:ascii="Arial Narrow" w:hAnsi="Arial Narrow"/>
                <w:color w:val="000000"/>
                <w:sz w:val="20"/>
                <w:szCs w:val="20"/>
                <w:lang w:eastAsia="zh-CN"/>
              </w:rPr>
              <w:t>61.0%</w:t>
            </w:r>
          </w:p>
        </w:tc>
        <w:tc>
          <w:tcPr>
            <w:tcW w:w="1418" w:type="dxa"/>
            <w:tcBorders>
              <w:top w:val="nil"/>
              <w:left w:val="nil"/>
              <w:bottom w:val="single" w:sz="8" w:space="0" w:color="auto"/>
              <w:right w:val="single" w:sz="8" w:space="0" w:color="auto"/>
            </w:tcBorders>
            <w:tcMar>
              <w:left w:w="28" w:type="dxa"/>
              <w:right w:w="28" w:type="dxa"/>
            </w:tcMar>
            <w:vAlign w:val="center"/>
          </w:tcPr>
          <w:p w14:paraId="659F8F44" w14:textId="77777777" w:rsidR="001F3AF9" w:rsidRPr="000160C3" w:rsidRDefault="001F3AF9" w:rsidP="001C47F4">
            <w:pPr>
              <w:keepNext/>
              <w:keepLines/>
              <w:jc w:val="center"/>
              <w:rPr>
                <w:rFonts w:ascii="Arial Narrow" w:hAnsi="Arial Narrow"/>
                <w:b/>
                <w:bCs/>
                <w:color w:val="000000"/>
                <w:sz w:val="20"/>
                <w:szCs w:val="20"/>
                <w:lang w:eastAsia="zh-CN"/>
              </w:rPr>
            </w:pPr>
            <w:r w:rsidRPr="000160C3">
              <w:rPr>
                <w:rFonts w:ascii="Arial Narrow" w:hAnsi="Arial Narrow"/>
                <w:color w:val="000000"/>
                <w:sz w:val="20"/>
                <w:szCs w:val="20"/>
                <w:lang w:eastAsia="zh-CN"/>
              </w:rPr>
              <w:t>1.09 (0.67, 1.76)</w:t>
            </w:r>
          </w:p>
        </w:tc>
        <w:tc>
          <w:tcPr>
            <w:tcW w:w="703" w:type="dxa"/>
            <w:tcBorders>
              <w:top w:val="nil"/>
              <w:left w:val="nil"/>
              <w:bottom w:val="single" w:sz="8" w:space="0" w:color="auto"/>
              <w:right w:val="single" w:sz="4" w:space="0" w:color="auto"/>
            </w:tcBorders>
            <w:tcMar>
              <w:left w:w="28" w:type="dxa"/>
              <w:right w:w="28" w:type="dxa"/>
            </w:tcMar>
            <w:vAlign w:val="center"/>
          </w:tcPr>
          <w:p w14:paraId="35480569" w14:textId="77777777" w:rsidR="001F3AF9" w:rsidRPr="000160C3" w:rsidRDefault="001F3AF9" w:rsidP="001C47F4">
            <w:pPr>
              <w:keepNext/>
              <w:keepLines/>
              <w:jc w:val="center"/>
              <w:rPr>
                <w:rFonts w:ascii="Arial Narrow" w:hAnsi="Arial Narrow"/>
                <w:b/>
                <w:bCs/>
                <w:color w:val="000000"/>
                <w:sz w:val="20"/>
                <w:szCs w:val="20"/>
                <w:lang w:eastAsia="zh-CN"/>
              </w:rPr>
            </w:pPr>
            <w:r w:rsidRPr="000160C3">
              <w:rPr>
                <w:rFonts w:ascii="Arial Narrow" w:hAnsi="Arial Narrow"/>
                <w:color w:val="000000"/>
                <w:sz w:val="20"/>
                <w:szCs w:val="20"/>
                <w:lang w:eastAsia="zh-CN"/>
              </w:rPr>
              <w:t>0.722</w:t>
            </w:r>
          </w:p>
        </w:tc>
      </w:tr>
      <w:tr w:rsidR="001F3AF9" w:rsidRPr="000160C3" w14:paraId="4BE7BE8E" w14:textId="77777777" w:rsidTr="00F376C1">
        <w:trPr>
          <w:trHeight w:val="46"/>
        </w:trPr>
        <w:tc>
          <w:tcPr>
            <w:tcW w:w="2405" w:type="dxa"/>
            <w:tcBorders>
              <w:top w:val="single" w:sz="8" w:space="0" w:color="auto"/>
              <w:left w:val="single" w:sz="4" w:space="0" w:color="auto"/>
              <w:bottom w:val="single" w:sz="8" w:space="0" w:color="000000"/>
              <w:right w:val="single" w:sz="8" w:space="0" w:color="auto"/>
            </w:tcBorders>
            <w:tcMar>
              <w:left w:w="28" w:type="dxa"/>
              <w:right w:w="28" w:type="dxa"/>
            </w:tcMar>
            <w:vAlign w:val="center"/>
          </w:tcPr>
          <w:p w14:paraId="6E20AC87" w14:textId="72A576C0" w:rsidR="001F3AF9" w:rsidRPr="000160C3" w:rsidRDefault="001F3AF9" w:rsidP="001C47F4">
            <w:pPr>
              <w:keepNext/>
              <w:keepLines/>
              <w:rPr>
                <w:rFonts w:ascii="Arial Narrow" w:hAnsi="Arial Narrow"/>
                <w:b/>
                <w:bCs/>
                <w:color w:val="000000"/>
                <w:sz w:val="20"/>
                <w:szCs w:val="20"/>
                <w:lang w:eastAsia="zh-CN"/>
              </w:rPr>
            </w:pPr>
            <w:r w:rsidRPr="000160C3">
              <w:rPr>
                <w:rFonts w:ascii="Arial Narrow" w:hAnsi="Arial Narrow"/>
                <w:color w:val="000000"/>
                <w:sz w:val="20"/>
                <w:szCs w:val="20"/>
                <w:lang w:eastAsia="zh-CN"/>
              </w:rPr>
              <w:t>B</w:t>
            </w:r>
            <w:r w:rsidR="0035548A" w:rsidRPr="000160C3">
              <w:rPr>
                <w:rFonts w:ascii="Arial Narrow" w:hAnsi="Arial Narrow"/>
                <w:color w:val="000000"/>
                <w:sz w:val="20"/>
                <w:szCs w:val="20"/>
                <w:lang w:eastAsia="zh-CN"/>
              </w:rPr>
              <w:t>ase case</w:t>
            </w:r>
            <w:r w:rsidRPr="000160C3">
              <w:rPr>
                <w:rFonts w:ascii="Arial Narrow" w:hAnsi="Arial Narrow"/>
                <w:color w:val="000000"/>
                <w:sz w:val="20"/>
                <w:szCs w:val="20"/>
                <w:lang w:eastAsia="zh-CN"/>
              </w:rPr>
              <w:t xml:space="preserve"> matching set</w:t>
            </w:r>
          </w:p>
        </w:tc>
        <w:tc>
          <w:tcPr>
            <w:tcW w:w="1134" w:type="dxa"/>
            <w:tcBorders>
              <w:top w:val="nil"/>
              <w:left w:val="nil"/>
              <w:bottom w:val="single" w:sz="8" w:space="0" w:color="auto"/>
              <w:right w:val="single" w:sz="8" w:space="0" w:color="auto"/>
            </w:tcBorders>
            <w:tcMar>
              <w:left w:w="28" w:type="dxa"/>
              <w:right w:w="28" w:type="dxa"/>
            </w:tcMar>
            <w:vAlign w:val="center"/>
          </w:tcPr>
          <w:p w14:paraId="7687AC9A" w14:textId="77777777" w:rsidR="001F3AF9" w:rsidRPr="000160C3" w:rsidRDefault="001F3AF9" w:rsidP="001C47F4">
            <w:pPr>
              <w:keepNext/>
              <w:keepLines/>
              <w:jc w:val="center"/>
              <w:rPr>
                <w:rFonts w:ascii="Arial Narrow" w:hAnsi="Arial Narrow"/>
                <w:b/>
                <w:bCs/>
                <w:color w:val="000000"/>
                <w:sz w:val="20"/>
                <w:szCs w:val="20"/>
                <w:lang w:eastAsia="zh-CN"/>
              </w:rPr>
            </w:pPr>
            <w:r w:rsidRPr="000160C3">
              <w:rPr>
                <w:rFonts w:ascii="Arial Narrow" w:hAnsi="Arial Narrow"/>
                <w:color w:val="000000"/>
                <w:sz w:val="20"/>
                <w:szCs w:val="20"/>
                <w:lang w:eastAsia="zh-CN"/>
              </w:rPr>
              <w:t>165 (115)</w:t>
            </w:r>
          </w:p>
        </w:tc>
        <w:tc>
          <w:tcPr>
            <w:tcW w:w="1134" w:type="dxa"/>
            <w:tcBorders>
              <w:top w:val="nil"/>
              <w:left w:val="nil"/>
              <w:bottom w:val="single" w:sz="8" w:space="0" w:color="auto"/>
              <w:right w:val="single" w:sz="8" w:space="0" w:color="auto"/>
            </w:tcBorders>
            <w:tcMar>
              <w:left w:w="28" w:type="dxa"/>
              <w:right w:w="28" w:type="dxa"/>
            </w:tcMar>
            <w:vAlign w:val="center"/>
          </w:tcPr>
          <w:p w14:paraId="4DF58FFF" w14:textId="77777777" w:rsidR="001F3AF9" w:rsidRPr="000160C3" w:rsidRDefault="001F3AF9" w:rsidP="001C47F4">
            <w:pPr>
              <w:keepNext/>
              <w:keepLines/>
              <w:jc w:val="center"/>
              <w:rPr>
                <w:rFonts w:ascii="Arial Narrow" w:hAnsi="Arial Narrow"/>
                <w:b/>
                <w:bCs/>
                <w:color w:val="000000"/>
                <w:sz w:val="20"/>
                <w:szCs w:val="20"/>
                <w:lang w:eastAsia="zh-CN"/>
              </w:rPr>
            </w:pPr>
            <w:r w:rsidRPr="000160C3">
              <w:rPr>
                <w:rFonts w:ascii="Arial Narrow" w:hAnsi="Arial Narrow"/>
                <w:color w:val="000000"/>
                <w:sz w:val="20"/>
                <w:szCs w:val="20"/>
                <w:lang w:eastAsia="zh-CN"/>
              </w:rPr>
              <w:t>68/115</w:t>
            </w:r>
          </w:p>
        </w:tc>
        <w:tc>
          <w:tcPr>
            <w:tcW w:w="709" w:type="dxa"/>
            <w:tcBorders>
              <w:top w:val="nil"/>
              <w:left w:val="nil"/>
              <w:bottom w:val="single" w:sz="8" w:space="0" w:color="auto"/>
              <w:right w:val="single" w:sz="8" w:space="0" w:color="auto"/>
            </w:tcBorders>
            <w:tcMar>
              <w:left w:w="28" w:type="dxa"/>
              <w:right w:w="28" w:type="dxa"/>
            </w:tcMar>
            <w:vAlign w:val="center"/>
          </w:tcPr>
          <w:p w14:paraId="60A213CF" w14:textId="03C58346" w:rsidR="001F3AF9" w:rsidRPr="000160C3" w:rsidRDefault="001F3AF9" w:rsidP="001C47F4">
            <w:pPr>
              <w:keepNext/>
              <w:keepLines/>
              <w:jc w:val="center"/>
              <w:rPr>
                <w:rFonts w:ascii="Arial Narrow" w:hAnsi="Arial Narrow"/>
                <w:b/>
                <w:bCs/>
                <w:color w:val="000000"/>
                <w:sz w:val="20"/>
                <w:szCs w:val="20"/>
                <w:lang w:eastAsia="zh-CN"/>
              </w:rPr>
            </w:pPr>
            <w:r w:rsidRPr="000160C3">
              <w:rPr>
                <w:rFonts w:ascii="Arial Narrow" w:hAnsi="Arial Narrow"/>
                <w:color w:val="000000"/>
                <w:sz w:val="20"/>
                <w:szCs w:val="20"/>
                <w:lang w:eastAsia="zh-CN"/>
              </w:rPr>
              <w:t>59.0%</w:t>
            </w:r>
          </w:p>
        </w:tc>
        <w:tc>
          <w:tcPr>
            <w:tcW w:w="850" w:type="dxa"/>
            <w:vMerge/>
            <w:tcBorders>
              <w:left w:val="nil"/>
              <w:right w:val="single" w:sz="8" w:space="0" w:color="auto"/>
            </w:tcBorders>
            <w:tcMar>
              <w:left w:w="28" w:type="dxa"/>
              <w:right w:w="28" w:type="dxa"/>
            </w:tcMar>
            <w:vAlign w:val="center"/>
          </w:tcPr>
          <w:p w14:paraId="44DED4CD" w14:textId="77777777" w:rsidR="001F3AF9" w:rsidRPr="000160C3" w:rsidRDefault="001F3AF9" w:rsidP="001C47F4">
            <w:pPr>
              <w:keepNext/>
              <w:keepLines/>
              <w:jc w:val="center"/>
              <w:rPr>
                <w:rFonts w:ascii="Arial Narrow" w:hAnsi="Arial Narrow"/>
                <w:b/>
                <w:bCs/>
                <w:color w:val="000000"/>
                <w:sz w:val="20"/>
                <w:szCs w:val="20"/>
                <w:lang w:eastAsia="zh-CN"/>
              </w:rPr>
            </w:pPr>
          </w:p>
        </w:tc>
        <w:tc>
          <w:tcPr>
            <w:tcW w:w="709" w:type="dxa"/>
            <w:vMerge/>
            <w:tcBorders>
              <w:left w:val="nil"/>
              <w:right w:val="single" w:sz="8" w:space="0" w:color="auto"/>
            </w:tcBorders>
            <w:tcMar>
              <w:left w:w="28" w:type="dxa"/>
              <w:right w:w="28" w:type="dxa"/>
            </w:tcMar>
            <w:vAlign w:val="center"/>
          </w:tcPr>
          <w:p w14:paraId="339685D4" w14:textId="77777777" w:rsidR="001F3AF9" w:rsidRPr="000160C3" w:rsidRDefault="001F3AF9" w:rsidP="001C47F4">
            <w:pPr>
              <w:keepNext/>
              <w:keepLines/>
              <w:jc w:val="center"/>
              <w:rPr>
                <w:rFonts w:ascii="Arial Narrow" w:hAnsi="Arial Narrow"/>
                <w:b/>
                <w:bCs/>
                <w:color w:val="000000"/>
                <w:sz w:val="20"/>
                <w:szCs w:val="20"/>
                <w:lang w:eastAsia="zh-CN"/>
              </w:rPr>
            </w:pPr>
          </w:p>
        </w:tc>
        <w:tc>
          <w:tcPr>
            <w:tcW w:w="1418" w:type="dxa"/>
            <w:tcBorders>
              <w:top w:val="nil"/>
              <w:left w:val="nil"/>
              <w:bottom w:val="single" w:sz="8" w:space="0" w:color="auto"/>
              <w:right w:val="single" w:sz="8" w:space="0" w:color="auto"/>
            </w:tcBorders>
            <w:tcMar>
              <w:left w:w="28" w:type="dxa"/>
              <w:right w:w="28" w:type="dxa"/>
            </w:tcMar>
            <w:vAlign w:val="center"/>
          </w:tcPr>
          <w:p w14:paraId="3098E930" w14:textId="77777777" w:rsidR="001F3AF9" w:rsidRPr="000160C3" w:rsidRDefault="001F3AF9" w:rsidP="001C47F4">
            <w:pPr>
              <w:keepNext/>
              <w:keepLines/>
              <w:jc w:val="center"/>
              <w:rPr>
                <w:rFonts w:ascii="Arial Narrow" w:hAnsi="Arial Narrow"/>
                <w:b/>
                <w:bCs/>
                <w:color w:val="000000"/>
                <w:sz w:val="20"/>
                <w:szCs w:val="20"/>
                <w:lang w:eastAsia="zh-CN"/>
              </w:rPr>
            </w:pPr>
            <w:r w:rsidRPr="000160C3">
              <w:rPr>
                <w:rFonts w:ascii="Arial Narrow" w:hAnsi="Arial Narrow"/>
                <w:color w:val="000000"/>
                <w:sz w:val="20"/>
                <w:szCs w:val="20"/>
                <w:lang w:eastAsia="zh-CN"/>
              </w:rPr>
              <w:t>0.92 (0.54, 1.55)</w:t>
            </w:r>
          </w:p>
        </w:tc>
        <w:tc>
          <w:tcPr>
            <w:tcW w:w="703" w:type="dxa"/>
            <w:tcBorders>
              <w:top w:val="nil"/>
              <w:left w:val="nil"/>
              <w:bottom w:val="single" w:sz="8" w:space="0" w:color="auto"/>
              <w:right w:val="single" w:sz="4" w:space="0" w:color="auto"/>
            </w:tcBorders>
            <w:tcMar>
              <w:left w:w="28" w:type="dxa"/>
              <w:right w:w="28" w:type="dxa"/>
            </w:tcMar>
            <w:vAlign w:val="center"/>
          </w:tcPr>
          <w:p w14:paraId="7536A1BD" w14:textId="77777777" w:rsidR="001F3AF9" w:rsidRPr="000160C3" w:rsidRDefault="001F3AF9" w:rsidP="001C47F4">
            <w:pPr>
              <w:keepNext/>
              <w:keepLines/>
              <w:jc w:val="center"/>
              <w:rPr>
                <w:rFonts w:ascii="Arial Narrow" w:hAnsi="Arial Narrow"/>
                <w:b/>
                <w:bCs/>
                <w:color w:val="000000"/>
                <w:sz w:val="20"/>
                <w:szCs w:val="20"/>
                <w:lang w:eastAsia="zh-CN"/>
              </w:rPr>
            </w:pPr>
            <w:r w:rsidRPr="000160C3">
              <w:rPr>
                <w:rFonts w:ascii="Arial Narrow" w:hAnsi="Arial Narrow"/>
                <w:color w:val="000000"/>
                <w:sz w:val="20"/>
                <w:szCs w:val="20"/>
                <w:lang w:eastAsia="zh-CN"/>
              </w:rPr>
              <w:t>0.752</w:t>
            </w:r>
          </w:p>
        </w:tc>
      </w:tr>
      <w:tr w:rsidR="001F3AF9" w:rsidRPr="000160C3" w14:paraId="46503690" w14:textId="77777777" w:rsidTr="00F376C1">
        <w:trPr>
          <w:trHeight w:val="46"/>
        </w:trPr>
        <w:tc>
          <w:tcPr>
            <w:tcW w:w="2405" w:type="dxa"/>
            <w:tcBorders>
              <w:top w:val="single" w:sz="8" w:space="0" w:color="auto"/>
              <w:left w:val="single" w:sz="4" w:space="0" w:color="auto"/>
              <w:bottom w:val="single" w:sz="8" w:space="0" w:color="000000"/>
              <w:right w:val="single" w:sz="8" w:space="0" w:color="auto"/>
            </w:tcBorders>
            <w:tcMar>
              <w:left w:w="28" w:type="dxa"/>
              <w:right w:w="28" w:type="dxa"/>
            </w:tcMar>
            <w:vAlign w:val="center"/>
          </w:tcPr>
          <w:p w14:paraId="148620D6" w14:textId="77777777" w:rsidR="001F3AF9" w:rsidRPr="000160C3" w:rsidRDefault="001F3AF9" w:rsidP="001C47F4">
            <w:pPr>
              <w:keepNext/>
              <w:keepLines/>
              <w:rPr>
                <w:rFonts w:ascii="Arial Narrow" w:hAnsi="Arial Narrow"/>
                <w:b/>
                <w:bCs/>
                <w:color w:val="000000"/>
                <w:sz w:val="20"/>
                <w:szCs w:val="20"/>
                <w:lang w:eastAsia="zh-CN"/>
              </w:rPr>
            </w:pPr>
            <w:r w:rsidRPr="000160C3">
              <w:rPr>
                <w:rFonts w:ascii="Arial Narrow" w:hAnsi="Arial Narrow"/>
                <w:color w:val="000000"/>
                <w:sz w:val="20"/>
                <w:szCs w:val="20"/>
                <w:lang w:eastAsia="zh-CN"/>
              </w:rPr>
              <w:t>Full matching set</w:t>
            </w:r>
          </w:p>
        </w:tc>
        <w:tc>
          <w:tcPr>
            <w:tcW w:w="1134" w:type="dxa"/>
            <w:tcBorders>
              <w:top w:val="nil"/>
              <w:left w:val="nil"/>
              <w:bottom w:val="single" w:sz="8" w:space="0" w:color="auto"/>
              <w:right w:val="single" w:sz="8" w:space="0" w:color="auto"/>
            </w:tcBorders>
            <w:tcMar>
              <w:left w:w="28" w:type="dxa"/>
              <w:right w:w="28" w:type="dxa"/>
            </w:tcMar>
            <w:vAlign w:val="center"/>
          </w:tcPr>
          <w:p w14:paraId="78A65DA6" w14:textId="77777777" w:rsidR="001F3AF9" w:rsidRPr="000160C3" w:rsidRDefault="001F3AF9" w:rsidP="001C47F4">
            <w:pPr>
              <w:keepNext/>
              <w:keepLines/>
              <w:jc w:val="center"/>
              <w:rPr>
                <w:rFonts w:ascii="Arial Narrow" w:hAnsi="Arial Narrow"/>
                <w:b/>
                <w:bCs/>
                <w:color w:val="000000"/>
                <w:sz w:val="20"/>
                <w:szCs w:val="20"/>
                <w:lang w:eastAsia="zh-CN"/>
              </w:rPr>
            </w:pPr>
            <w:r w:rsidRPr="000160C3">
              <w:rPr>
                <w:rFonts w:ascii="Arial Narrow" w:hAnsi="Arial Narrow"/>
                <w:color w:val="000000"/>
                <w:sz w:val="20"/>
                <w:szCs w:val="20"/>
                <w:lang w:eastAsia="zh-CN"/>
              </w:rPr>
              <w:t>165 (65)</w:t>
            </w:r>
          </w:p>
        </w:tc>
        <w:tc>
          <w:tcPr>
            <w:tcW w:w="1134" w:type="dxa"/>
            <w:tcBorders>
              <w:top w:val="nil"/>
              <w:left w:val="nil"/>
              <w:bottom w:val="single" w:sz="8" w:space="0" w:color="auto"/>
              <w:right w:val="single" w:sz="8" w:space="0" w:color="auto"/>
            </w:tcBorders>
            <w:tcMar>
              <w:left w:w="28" w:type="dxa"/>
              <w:right w:w="28" w:type="dxa"/>
            </w:tcMar>
            <w:vAlign w:val="center"/>
          </w:tcPr>
          <w:p w14:paraId="21639414" w14:textId="77777777" w:rsidR="001F3AF9" w:rsidRPr="000160C3" w:rsidRDefault="001F3AF9" w:rsidP="001C47F4">
            <w:pPr>
              <w:keepNext/>
              <w:keepLines/>
              <w:jc w:val="center"/>
              <w:rPr>
                <w:rFonts w:ascii="Arial Narrow" w:hAnsi="Arial Narrow"/>
                <w:b/>
                <w:bCs/>
                <w:color w:val="000000"/>
                <w:sz w:val="20"/>
                <w:szCs w:val="20"/>
                <w:lang w:eastAsia="zh-CN"/>
              </w:rPr>
            </w:pPr>
            <w:r w:rsidRPr="000160C3">
              <w:rPr>
                <w:rFonts w:ascii="Arial Narrow" w:hAnsi="Arial Narrow"/>
                <w:color w:val="000000"/>
                <w:sz w:val="20"/>
                <w:szCs w:val="20"/>
                <w:lang w:eastAsia="zh-CN"/>
              </w:rPr>
              <w:t>37/65</w:t>
            </w:r>
          </w:p>
        </w:tc>
        <w:tc>
          <w:tcPr>
            <w:tcW w:w="709" w:type="dxa"/>
            <w:tcBorders>
              <w:top w:val="nil"/>
              <w:left w:val="nil"/>
              <w:bottom w:val="single" w:sz="8" w:space="0" w:color="auto"/>
              <w:right w:val="single" w:sz="8" w:space="0" w:color="auto"/>
            </w:tcBorders>
            <w:tcMar>
              <w:left w:w="28" w:type="dxa"/>
              <w:right w:w="28" w:type="dxa"/>
            </w:tcMar>
            <w:vAlign w:val="center"/>
          </w:tcPr>
          <w:p w14:paraId="043496F7" w14:textId="38B0D063" w:rsidR="001F3AF9" w:rsidRPr="000160C3" w:rsidRDefault="001F3AF9" w:rsidP="001C47F4">
            <w:pPr>
              <w:keepNext/>
              <w:keepLines/>
              <w:jc w:val="center"/>
              <w:rPr>
                <w:rFonts w:ascii="Arial Narrow" w:hAnsi="Arial Narrow"/>
                <w:b/>
                <w:bCs/>
                <w:color w:val="000000"/>
                <w:sz w:val="20"/>
                <w:szCs w:val="20"/>
                <w:lang w:eastAsia="zh-CN"/>
              </w:rPr>
            </w:pPr>
            <w:r w:rsidRPr="000160C3">
              <w:rPr>
                <w:rFonts w:ascii="Arial Narrow" w:hAnsi="Arial Narrow"/>
                <w:color w:val="000000"/>
                <w:sz w:val="20"/>
                <w:szCs w:val="20"/>
                <w:lang w:eastAsia="zh-CN"/>
              </w:rPr>
              <w:t>57.5%</w:t>
            </w:r>
          </w:p>
        </w:tc>
        <w:tc>
          <w:tcPr>
            <w:tcW w:w="850" w:type="dxa"/>
            <w:vMerge/>
            <w:tcBorders>
              <w:left w:val="nil"/>
              <w:bottom w:val="single" w:sz="8" w:space="0" w:color="auto"/>
              <w:right w:val="single" w:sz="8" w:space="0" w:color="auto"/>
            </w:tcBorders>
            <w:tcMar>
              <w:left w:w="28" w:type="dxa"/>
              <w:right w:w="28" w:type="dxa"/>
            </w:tcMar>
            <w:vAlign w:val="center"/>
          </w:tcPr>
          <w:p w14:paraId="70903115" w14:textId="77777777" w:rsidR="001F3AF9" w:rsidRPr="000160C3" w:rsidRDefault="001F3AF9" w:rsidP="001C47F4">
            <w:pPr>
              <w:keepNext/>
              <w:keepLines/>
              <w:jc w:val="center"/>
              <w:rPr>
                <w:rFonts w:ascii="Arial Narrow" w:hAnsi="Arial Narrow"/>
                <w:b/>
                <w:bCs/>
                <w:color w:val="000000"/>
                <w:sz w:val="20"/>
                <w:szCs w:val="20"/>
                <w:lang w:eastAsia="zh-CN"/>
              </w:rPr>
            </w:pPr>
          </w:p>
        </w:tc>
        <w:tc>
          <w:tcPr>
            <w:tcW w:w="709" w:type="dxa"/>
            <w:vMerge/>
            <w:tcBorders>
              <w:left w:val="nil"/>
              <w:bottom w:val="single" w:sz="8" w:space="0" w:color="auto"/>
              <w:right w:val="single" w:sz="8" w:space="0" w:color="auto"/>
            </w:tcBorders>
            <w:tcMar>
              <w:left w:w="28" w:type="dxa"/>
              <w:right w:w="28" w:type="dxa"/>
            </w:tcMar>
            <w:vAlign w:val="center"/>
          </w:tcPr>
          <w:p w14:paraId="66B7EB09" w14:textId="77777777" w:rsidR="001F3AF9" w:rsidRPr="000160C3" w:rsidRDefault="001F3AF9" w:rsidP="001C47F4">
            <w:pPr>
              <w:keepNext/>
              <w:keepLines/>
              <w:jc w:val="center"/>
              <w:rPr>
                <w:rFonts w:ascii="Arial Narrow" w:hAnsi="Arial Narrow"/>
                <w:b/>
                <w:bCs/>
                <w:color w:val="000000"/>
                <w:sz w:val="20"/>
                <w:szCs w:val="20"/>
                <w:lang w:eastAsia="zh-CN"/>
              </w:rPr>
            </w:pPr>
          </w:p>
        </w:tc>
        <w:tc>
          <w:tcPr>
            <w:tcW w:w="1418" w:type="dxa"/>
            <w:tcBorders>
              <w:top w:val="nil"/>
              <w:left w:val="nil"/>
              <w:bottom w:val="single" w:sz="8" w:space="0" w:color="auto"/>
              <w:right w:val="single" w:sz="8" w:space="0" w:color="auto"/>
            </w:tcBorders>
            <w:tcMar>
              <w:left w:w="28" w:type="dxa"/>
              <w:right w:w="28" w:type="dxa"/>
            </w:tcMar>
            <w:vAlign w:val="center"/>
          </w:tcPr>
          <w:p w14:paraId="38C0B494" w14:textId="77777777" w:rsidR="001F3AF9" w:rsidRPr="000160C3" w:rsidRDefault="001F3AF9" w:rsidP="001C47F4">
            <w:pPr>
              <w:keepNext/>
              <w:keepLines/>
              <w:jc w:val="center"/>
              <w:rPr>
                <w:rFonts w:ascii="Arial Narrow" w:hAnsi="Arial Narrow"/>
                <w:b/>
                <w:bCs/>
                <w:color w:val="000000"/>
                <w:sz w:val="20"/>
                <w:szCs w:val="20"/>
                <w:lang w:eastAsia="zh-CN"/>
              </w:rPr>
            </w:pPr>
            <w:r w:rsidRPr="000160C3">
              <w:rPr>
                <w:rFonts w:ascii="Arial Narrow" w:hAnsi="Arial Narrow"/>
                <w:color w:val="000000"/>
                <w:sz w:val="20"/>
                <w:szCs w:val="20"/>
                <w:lang w:eastAsia="zh-CN"/>
              </w:rPr>
              <w:t>0.87 (0.47, 1.59)</w:t>
            </w:r>
          </w:p>
        </w:tc>
        <w:tc>
          <w:tcPr>
            <w:tcW w:w="703" w:type="dxa"/>
            <w:tcBorders>
              <w:top w:val="nil"/>
              <w:left w:val="nil"/>
              <w:bottom w:val="single" w:sz="8" w:space="0" w:color="auto"/>
              <w:right w:val="single" w:sz="4" w:space="0" w:color="auto"/>
            </w:tcBorders>
            <w:tcMar>
              <w:left w:w="28" w:type="dxa"/>
              <w:right w:w="28" w:type="dxa"/>
            </w:tcMar>
            <w:vAlign w:val="center"/>
          </w:tcPr>
          <w:p w14:paraId="53DC525A" w14:textId="77777777" w:rsidR="001F3AF9" w:rsidRPr="000160C3" w:rsidRDefault="001F3AF9" w:rsidP="001C47F4">
            <w:pPr>
              <w:keepNext/>
              <w:keepLines/>
              <w:jc w:val="center"/>
              <w:rPr>
                <w:rFonts w:ascii="Arial Narrow" w:hAnsi="Arial Narrow"/>
                <w:b/>
                <w:bCs/>
                <w:color w:val="000000"/>
                <w:sz w:val="20"/>
                <w:szCs w:val="20"/>
                <w:lang w:eastAsia="zh-CN"/>
              </w:rPr>
            </w:pPr>
            <w:r w:rsidRPr="000160C3">
              <w:rPr>
                <w:rFonts w:ascii="Arial Narrow" w:hAnsi="Arial Narrow"/>
                <w:color w:val="000000"/>
                <w:sz w:val="20"/>
                <w:szCs w:val="20"/>
                <w:lang w:eastAsia="zh-CN"/>
              </w:rPr>
              <w:t>0.643</w:t>
            </w:r>
          </w:p>
        </w:tc>
      </w:tr>
      <w:tr w:rsidR="001F3AF9" w:rsidRPr="000160C3" w14:paraId="4AD7D94B" w14:textId="77777777" w:rsidTr="00F376C1">
        <w:trPr>
          <w:trHeight w:val="46"/>
        </w:trPr>
        <w:tc>
          <w:tcPr>
            <w:tcW w:w="9062" w:type="dxa"/>
            <w:gridSpan w:val="8"/>
            <w:tcBorders>
              <w:top w:val="single" w:sz="8" w:space="0" w:color="auto"/>
              <w:left w:val="single" w:sz="4" w:space="0" w:color="auto"/>
              <w:bottom w:val="single" w:sz="8" w:space="0" w:color="auto"/>
              <w:right w:val="single" w:sz="4" w:space="0" w:color="auto"/>
            </w:tcBorders>
            <w:tcMar>
              <w:left w:w="28" w:type="dxa"/>
              <w:right w:w="28" w:type="dxa"/>
            </w:tcMar>
            <w:vAlign w:val="center"/>
            <w:hideMark/>
          </w:tcPr>
          <w:p w14:paraId="0E4A136C" w14:textId="170FE734" w:rsidR="001F3AF9" w:rsidRPr="000160C3" w:rsidRDefault="00771C14" w:rsidP="001C47F4">
            <w:pPr>
              <w:keepNext/>
              <w:keepLines/>
              <w:rPr>
                <w:rFonts w:ascii="Arial Narrow" w:hAnsi="Arial Narrow"/>
                <w:b/>
                <w:bCs/>
                <w:color w:val="000000"/>
                <w:sz w:val="20"/>
                <w:szCs w:val="20"/>
                <w:lang w:eastAsia="zh-CN"/>
              </w:rPr>
            </w:pPr>
            <w:r w:rsidRPr="000160C3">
              <w:rPr>
                <w:rFonts w:ascii="Arial Narrow" w:hAnsi="Arial Narrow"/>
                <w:b/>
                <w:bCs/>
                <w:color w:val="000000"/>
                <w:sz w:val="20"/>
                <w:szCs w:val="20"/>
                <w:lang w:eastAsia="zh-CN"/>
              </w:rPr>
              <w:t>Sensitivity</w:t>
            </w:r>
            <w:r w:rsidR="00063F2E" w:rsidRPr="000160C3">
              <w:rPr>
                <w:rFonts w:ascii="Arial Narrow" w:hAnsi="Arial Narrow"/>
                <w:b/>
                <w:bCs/>
                <w:color w:val="000000"/>
                <w:sz w:val="20"/>
                <w:szCs w:val="20"/>
                <w:lang w:eastAsia="zh-CN"/>
              </w:rPr>
              <w:t xml:space="preserve"> 2</w:t>
            </w:r>
            <w:r w:rsidRPr="000160C3">
              <w:rPr>
                <w:rFonts w:ascii="Arial Narrow" w:hAnsi="Arial Narrow"/>
                <w:b/>
                <w:bCs/>
                <w:color w:val="000000"/>
                <w:sz w:val="20"/>
                <w:szCs w:val="20"/>
                <w:lang w:eastAsia="zh-CN"/>
              </w:rPr>
              <w:t xml:space="preserve">: </w:t>
            </w:r>
            <w:r w:rsidR="001F3AF9" w:rsidRPr="000160C3">
              <w:rPr>
                <w:rFonts w:ascii="Arial Narrow" w:hAnsi="Arial Narrow"/>
                <w:b/>
                <w:bCs/>
                <w:color w:val="000000"/>
                <w:sz w:val="20"/>
                <w:szCs w:val="20"/>
                <w:lang w:eastAsia="zh-CN"/>
              </w:rPr>
              <w:t>RP2D population only</w:t>
            </w:r>
            <w:r w:rsidR="00B847AB" w:rsidRPr="000160C3">
              <w:rPr>
                <w:rFonts w:ascii="Arial Narrow" w:hAnsi="Arial Narrow"/>
                <w:b/>
                <w:bCs/>
                <w:color w:val="000000"/>
                <w:sz w:val="20"/>
                <w:szCs w:val="20"/>
                <w:lang w:eastAsia="zh-CN"/>
              </w:rPr>
              <w:t>,</w:t>
            </w:r>
            <w:r w:rsidR="003D2499" w:rsidRPr="000160C3">
              <w:rPr>
                <w:rFonts w:ascii="Arial Narrow" w:hAnsi="Arial Narrow"/>
                <w:b/>
                <w:bCs/>
                <w:color w:val="000000"/>
                <w:sz w:val="20"/>
                <w:szCs w:val="20"/>
                <w:lang w:eastAsia="zh-CN"/>
              </w:rPr>
              <w:t xml:space="preserve"> excluding RP2D patients who died due to COVID</w:t>
            </w:r>
            <w:r w:rsidR="00EC1990">
              <w:rPr>
                <w:rFonts w:ascii="Arial Narrow" w:hAnsi="Arial Narrow"/>
                <w:b/>
                <w:bCs/>
                <w:color w:val="000000"/>
                <w:sz w:val="20"/>
                <w:szCs w:val="20"/>
                <w:lang w:eastAsia="zh-CN"/>
              </w:rPr>
              <w:noBreakHyphen/>
            </w:r>
            <w:r w:rsidR="003D2499" w:rsidRPr="000160C3">
              <w:rPr>
                <w:rFonts w:ascii="Arial Narrow" w:hAnsi="Arial Narrow"/>
                <w:b/>
                <w:bCs/>
                <w:color w:val="000000"/>
                <w:sz w:val="20"/>
                <w:szCs w:val="20"/>
                <w:lang w:eastAsia="zh-CN"/>
              </w:rPr>
              <w:t>19</w:t>
            </w:r>
          </w:p>
        </w:tc>
      </w:tr>
      <w:tr w:rsidR="001F3AF9" w:rsidRPr="000160C3" w14:paraId="7528056D" w14:textId="77777777" w:rsidTr="00F376C1">
        <w:trPr>
          <w:trHeight w:val="46"/>
        </w:trPr>
        <w:tc>
          <w:tcPr>
            <w:tcW w:w="2405" w:type="dxa"/>
            <w:tcBorders>
              <w:top w:val="nil"/>
              <w:left w:val="single" w:sz="4" w:space="0" w:color="auto"/>
              <w:bottom w:val="single" w:sz="8" w:space="0" w:color="auto"/>
              <w:right w:val="single" w:sz="8" w:space="0" w:color="auto"/>
            </w:tcBorders>
            <w:tcMar>
              <w:left w:w="28" w:type="dxa"/>
              <w:right w:w="28" w:type="dxa"/>
            </w:tcMar>
            <w:vAlign w:val="center"/>
            <w:hideMark/>
          </w:tcPr>
          <w:p w14:paraId="55B801E3" w14:textId="77777777" w:rsidR="001F3AF9" w:rsidRPr="000160C3" w:rsidRDefault="001F3AF9" w:rsidP="001C47F4">
            <w:pPr>
              <w:keepNext/>
              <w:keepLines/>
              <w:rPr>
                <w:rFonts w:ascii="Arial Narrow" w:hAnsi="Arial Narrow"/>
                <w:color w:val="000000"/>
                <w:sz w:val="20"/>
                <w:szCs w:val="20"/>
                <w:lang w:eastAsia="zh-CN"/>
              </w:rPr>
            </w:pPr>
            <w:r w:rsidRPr="000160C3">
              <w:rPr>
                <w:rFonts w:ascii="Arial Narrow" w:hAnsi="Arial Narrow"/>
                <w:color w:val="000000"/>
                <w:sz w:val="20"/>
                <w:szCs w:val="20"/>
                <w:lang w:eastAsia="zh-CN"/>
              </w:rPr>
              <w:t>Unadjusted</w:t>
            </w:r>
          </w:p>
        </w:tc>
        <w:tc>
          <w:tcPr>
            <w:tcW w:w="1134" w:type="dxa"/>
            <w:tcBorders>
              <w:top w:val="nil"/>
              <w:left w:val="nil"/>
              <w:bottom w:val="single" w:sz="8" w:space="0" w:color="auto"/>
              <w:right w:val="single" w:sz="8" w:space="0" w:color="auto"/>
            </w:tcBorders>
            <w:tcMar>
              <w:left w:w="28" w:type="dxa"/>
              <w:right w:w="28" w:type="dxa"/>
            </w:tcMar>
            <w:vAlign w:val="center"/>
            <w:hideMark/>
          </w:tcPr>
          <w:p w14:paraId="0F2D5409" w14:textId="77777777"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165 (NA)</w:t>
            </w:r>
          </w:p>
        </w:tc>
        <w:tc>
          <w:tcPr>
            <w:tcW w:w="1134" w:type="dxa"/>
            <w:tcBorders>
              <w:top w:val="nil"/>
              <w:left w:val="nil"/>
              <w:bottom w:val="single" w:sz="8" w:space="0" w:color="auto"/>
              <w:right w:val="single" w:sz="8" w:space="0" w:color="auto"/>
            </w:tcBorders>
            <w:tcMar>
              <w:left w:w="28" w:type="dxa"/>
              <w:right w:w="28" w:type="dxa"/>
            </w:tcMar>
            <w:vAlign w:val="center"/>
            <w:hideMark/>
          </w:tcPr>
          <w:p w14:paraId="58FD8654" w14:textId="77777777"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104/165</w:t>
            </w:r>
          </w:p>
        </w:tc>
        <w:tc>
          <w:tcPr>
            <w:tcW w:w="709" w:type="dxa"/>
            <w:tcBorders>
              <w:top w:val="nil"/>
              <w:left w:val="nil"/>
              <w:bottom w:val="single" w:sz="8" w:space="0" w:color="auto"/>
              <w:right w:val="single" w:sz="8" w:space="0" w:color="auto"/>
            </w:tcBorders>
            <w:tcMar>
              <w:left w:w="28" w:type="dxa"/>
              <w:right w:w="28" w:type="dxa"/>
            </w:tcMar>
            <w:vAlign w:val="center"/>
            <w:hideMark/>
          </w:tcPr>
          <w:p w14:paraId="1117330A" w14:textId="565C0642"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63.0%</w:t>
            </w:r>
          </w:p>
        </w:tc>
        <w:tc>
          <w:tcPr>
            <w:tcW w:w="850" w:type="dxa"/>
            <w:vMerge w:val="restart"/>
            <w:tcBorders>
              <w:top w:val="nil"/>
              <w:left w:val="single" w:sz="8" w:space="0" w:color="auto"/>
              <w:bottom w:val="single" w:sz="8" w:space="0" w:color="000000"/>
              <w:right w:val="single" w:sz="8" w:space="0" w:color="auto"/>
            </w:tcBorders>
            <w:tcMar>
              <w:left w:w="28" w:type="dxa"/>
              <w:right w:w="28" w:type="dxa"/>
            </w:tcMar>
            <w:vAlign w:val="center"/>
            <w:hideMark/>
          </w:tcPr>
          <w:p w14:paraId="420DB709" w14:textId="77777777"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75/123</w:t>
            </w:r>
          </w:p>
        </w:tc>
        <w:tc>
          <w:tcPr>
            <w:tcW w:w="709" w:type="dxa"/>
            <w:vMerge w:val="restart"/>
            <w:tcBorders>
              <w:top w:val="nil"/>
              <w:left w:val="single" w:sz="8" w:space="0" w:color="auto"/>
              <w:bottom w:val="single" w:sz="8" w:space="0" w:color="000000"/>
              <w:right w:val="single" w:sz="8" w:space="0" w:color="auto"/>
            </w:tcBorders>
            <w:tcMar>
              <w:left w:w="28" w:type="dxa"/>
              <w:right w:w="28" w:type="dxa"/>
            </w:tcMar>
            <w:vAlign w:val="center"/>
            <w:hideMark/>
          </w:tcPr>
          <w:p w14:paraId="2333BB26" w14:textId="48FD4480"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61.0%</w:t>
            </w:r>
          </w:p>
        </w:tc>
        <w:tc>
          <w:tcPr>
            <w:tcW w:w="1418" w:type="dxa"/>
            <w:tcBorders>
              <w:top w:val="nil"/>
              <w:left w:val="nil"/>
              <w:bottom w:val="single" w:sz="8" w:space="0" w:color="auto"/>
              <w:right w:val="single" w:sz="8" w:space="0" w:color="auto"/>
            </w:tcBorders>
            <w:tcMar>
              <w:left w:w="28" w:type="dxa"/>
              <w:right w:w="28" w:type="dxa"/>
            </w:tcMar>
            <w:vAlign w:val="center"/>
            <w:hideMark/>
          </w:tcPr>
          <w:p w14:paraId="129F6358" w14:textId="77777777"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1.09 (0.67, 1.76)</w:t>
            </w:r>
          </w:p>
        </w:tc>
        <w:tc>
          <w:tcPr>
            <w:tcW w:w="703" w:type="dxa"/>
            <w:tcBorders>
              <w:top w:val="nil"/>
              <w:left w:val="nil"/>
              <w:bottom w:val="single" w:sz="8" w:space="0" w:color="auto"/>
              <w:right w:val="single" w:sz="4" w:space="0" w:color="auto"/>
            </w:tcBorders>
            <w:tcMar>
              <w:left w:w="28" w:type="dxa"/>
              <w:right w:w="28" w:type="dxa"/>
            </w:tcMar>
            <w:vAlign w:val="center"/>
            <w:hideMark/>
          </w:tcPr>
          <w:p w14:paraId="07B2E5D6" w14:textId="77777777"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0.722</w:t>
            </w:r>
          </w:p>
        </w:tc>
      </w:tr>
      <w:tr w:rsidR="001F3AF9" w:rsidRPr="000160C3" w14:paraId="0D959F74" w14:textId="77777777" w:rsidTr="00F376C1">
        <w:trPr>
          <w:trHeight w:val="46"/>
        </w:trPr>
        <w:tc>
          <w:tcPr>
            <w:tcW w:w="2405" w:type="dxa"/>
            <w:tcBorders>
              <w:top w:val="nil"/>
              <w:left w:val="single" w:sz="4" w:space="0" w:color="auto"/>
              <w:bottom w:val="single" w:sz="8" w:space="0" w:color="auto"/>
              <w:right w:val="single" w:sz="8" w:space="0" w:color="auto"/>
            </w:tcBorders>
            <w:tcMar>
              <w:left w:w="28" w:type="dxa"/>
              <w:right w:w="28" w:type="dxa"/>
            </w:tcMar>
            <w:vAlign w:val="center"/>
            <w:hideMark/>
          </w:tcPr>
          <w:p w14:paraId="1B6519C4" w14:textId="77777777" w:rsidR="001F3AF9" w:rsidRPr="000160C3" w:rsidRDefault="001F3AF9" w:rsidP="001C47F4">
            <w:pPr>
              <w:keepNext/>
              <w:keepLines/>
              <w:jc w:val="left"/>
              <w:rPr>
                <w:rFonts w:ascii="Arial Narrow" w:hAnsi="Arial Narrow"/>
                <w:color w:val="000000"/>
                <w:sz w:val="20"/>
                <w:szCs w:val="20"/>
                <w:lang w:eastAsia="zh-CN"/>
              </w:rPr>
            </w:pPr>
            <w:r w:rsidRPr="000160C3">
              <w:rPr>
                <w:rFonts w:ascii="Arial Narrow" w:hAnsi="Arial Narrow"/>
                <w:color w:val="000000"/>
                <w:sz w:val="20"/>
                <w:szCs w:val="20"/>
                <w:lang w:eastAsia="zh-CN"/>
              </w:rPr>
              <w:t>Excluding COVID deaths</w:t>
            </w:r>
          </w:p>
        </w:tc>
        <w:tc>
          <w:tcPr>
            <w:tcW w:w="1134" w:type="dxa"/>
            <w:tcBorders>
              <w:top w:val="nil"/>
              <w:left w:val="nil"/>
              <w:bottom w:val="single" w:sz="8" w:space="0" w:color="auto"/>
              <w:right w:val="single" w:sz="8" w:space="0" w:color="auto"/>
            </w:tcBorders>
            <w:tcMar>
              <w:left w:w="28" w:type="dxa"/>
              <w:right w:w="28" w:type="dxa"/>
            </w:tcMar>
            <w:vAlign w:val="center"/>
            <w:hideMark/>
          </w:tcPr>
          <w:p w14:paraId="109A2EBA" w14:textId="77777777"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146 (NA)</w:t>
            </w:r>
          </w:p>
        </w:tc>
        <w:tc>
          <w:tcPr>
            <w:tcW w:w="1134" w:type="dxa"/>
            <w:tcBorders>
              <w:top w:val="nil"/>
              <w:left w:val="nil"/>
              <w:bottom w:val="single" w:sz="8" w:space="0" w:color="auto"/>
              <w:right w:val="single" w:sz="8" w:space="0" w:color="auto"/>
            </w:tcBorders>
            <w:tcMar>
              <w:left w:w="28" w:type="dxa"/>
              <w:right w:w="28" w:type="dxa"/>
            </w:tcMar>
            <w:vAlign w:val="center"/>
            <w:hideMark/>
          </w:tcPr>
          <w:p w14:paraId="05FF43BB" w14:textId="77777777"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91/146</w:t>
            </w:r>
          </w:p>
        </w:tc>
        <w:tc>
          <w:tcPr>
            <w:tcW w:w="709" w:type="dxa"/>
            <w:tcBorders>
              <w:top w:val="nil"/>
              <w:left w:val="nil"/>
              <w:bottom w:val="single" w:sz="8" w:space="0" w:color="auto"/>
              <w:right w:val="single" w:sz="8" w:space="0" w:color="auto"/>
            </w:tcBorders>
            <w:tcMar>
              <w:left w:w="28" w:type="dxa"/>
              <w:right w:w="28" w:type="dxa"/>
            </w:tcMar>
            <w:vAlign w:val="center"/>
            <w:hideMark/>
          </w:tcPr>
          <w:p w14:paraId="2CD60C37" w14:textId="4358B07A"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62.3%</w:t>
            </w:r>
          </w:p>
        </w:tc>
        <w:tc>
          <w:tcPr>
            <w:tcW w:w="850"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2A9F650F" w14:textId="77777777" w:rsidR="001F3AF9" w:rsidRPr="000160C3" w:rsidRDefault="001F3AF9" w:rsidP="001C47F4">
            <w:pPr>
              <w:keepNext/>
              <w:keepLines/>
              <w:rPr>
                <w:rFonts w:ascii="Arial Narrow" w:hAnsi="Arial Narrow"/>
                <w:color w:val="000000"/>
                <w:sz w:val="20"/>
                <w:szCs w:val="20"/>
                <w:lang w:eastAsia="zh-CN"/>
              </w:rPr>
            </w:pPr>
          </w:p>
        </w:tc>
        <w:tc>
          <w:tcPr>
            <w:tcW w:w="709"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3FF4CA70" w14:textId="77777777" w:rsidR="001F3AF9" w:rsidRPr="000160C3" w:rsidRDefault="001F3AF9" w:rsidP="001C47F4">
            <w:pPr>
              <w:keepNext/>
              <w:keepLines/>
              <w:rPr>
                <w:rFonts w:ascii="Arial Narrow" w:hAnsi="Arial Narrow"/>
                <w:color w:val="000000"/>
                <w:sz w:val="20"/>
                <w:szCs w:val="20"/>
                <w:lang w:eastAsia="zh-CN"/>
              </w:rPr>
            </w:pPr>
          </w:p>
        </w:tc>
        <w:tc>
          <w:tcPr>
            <w:tcW w:w="1418" w:type="dxa"/>
            <w:tcBorders>
              <w:top w:val="nil"/>
              <w:left w:val="nil"/>
              <w:bottom w:val="single" w:sz="8" w:space="0" w:color="auto"/>
              <w:right w:val="single" w:sz="8" w:space="0" w:color="auto"/>
            </w:tcBorders>
            <w:tcMar>
              <w:left w:w="28" w:type="dxa"/>
              <w:right w:w="28" w:type="dxa"/>
            </w:tcMar>
            <w:vAlign w:val="center"/>
            <w:hideMark/>
          </w:tcPr>
          <w:p w14:paraId="2D070A4C" w14:textId="77777777"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1.06 (0.65, 1.73)</w:t>
            </w:r>
          </w:p>
        </w:tc>
        <w:tc>
          <w:tcPr>
            <w:tcW w:w="703" w:type="dxa"/>
            <w:tcBorders>
              <w:top w:val="nil"/>
              <w:left w:val="nil"/>
              <w:bottom w:val="single" w:sz="8" w:space="0" w:color="auto"/>
              <w:right w:val="single" w:sz="4" w:space="0" w:color="auto"/>
            </w:tcBorders>
            <w:tcMar>
              <w:left w:w="28" w:type="dxa"/>
              <w:right w:w="28" w:type="dxa"/>
            </w:tcMar>
            <w:vAlign w:val="center"/>
            <w:hideMark/>
          </w:tcPr>
          <w:p w14:paraId="0222D6C3" w14:textId="77777777"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0.82</w:t>
            </w:r>
          </w:p>
        </w:tc>
      </w:tr>
      <w:tr w:rsidR="001F3AF9" w:rsidRPr="000160C3" w14:paraId="78DB24AF" w14:textId="77777777" w:rsidTr="00F376C1">
        <w:trPr>
          <w:trHeight w:val="46"/>
        </w:trPr>
        <w:tc>
          <w:tcPr>
            <w:tcW w:w="2405" w:type="dxa"/>
            <w:tcBorders>
              <w:top w:val="nil"/>
              <w:left w:val="single" w:sz="4" w:space="0" w:color="auto"/>
              <w:bottom w:val="single" w:sz="8" w:space="0" w:color="auto"/>
              <w:right w:val="single" w:sz="8" w:space="0" w:color="auto"/>
            </w:tcBorders>
            <w:tcMar>
              <w:left w:w="28" w:type="dxa"/>
              <w:right w:w="28" w:type="dxa"/>
            </w:tcMar>
            <w:vAlign w:val="center"/>
            <w:hideMark/>
          </w:tcPr>
          <w:p w14:paraId="4012E9DA" w14:textId="26FBDDC9" w:rsidR="001F3AF9" w:rsidRPr="000160C3" w:rsidRDefault="001F3AF9" w:rsidP="001C47F4">
            <w:pPr>
              <w:keepNext/>
              <w:keepLines/>
              <w:rPr>
                <w:rFonts w:ascii="Arial Narrow" w:hAnsi="Arial Narrow"/>
                <w:color w:val="000000"/>
                <w:sz w:val="20"/>
                <w:szCs w:val="20"/>
                <w:lang w:eastAsia="zh-CN"/>
              </w:rPr>
            </w:pPr>
            <w:r w:rsidRPr="000160C3">
              <w:rPr>
                <w:rFonts w:ascii="Arial Narrow" w:hAnsi="Arial Narrow"/>
                <w:color w:val="000000"/>
                <w:sz w:val="20"/>
                <w:szCs w:val="20"/>
                <w:lang w:eastAsia="zh-CN"/>
              </w:rPr>
              <w:t>B</w:t>
            </w:r>
            <w:r w:rsidR="0035548A" w:rsidRPr="000160C3">
              <w:rPr>
                <w:rFonts w:ascii="Arial Narrow" w:hAnsi="Arial Narrow"/>
                <w:color w:val="000000"/>
                <w:sz w:val="20"/>
                <w:szCs w:val="20"/>
                <w:lang w:eastAsia="zh-CN"/>
              </w:rPr>
              <w:t xml:space="preserve">ase case </w:t>
            </w:r>
            <w:r w:rsidRPr="000160C3">
              <w:rPr>
                <w:rFonts w:ascii="Arial Narrow" w:hAnsi="Arial Narrow"/>
                <w:color w:val="000000"/>
                <w:sz w:val="20"/>
                <w:szCs w:val="20"/>
                <w:lang w:eastAsia="zh-CN"/>
              </w:rPr>
              <w:t>matching set</w:t>
            </w:r>
          </w:p>
        </w:tc>
        <w:tc>
          <w:tcPr>
            <w:tcW w:w="1134" w:type="dxa"/>
            <w:tcBorders>
              <w:top w:val="nil"/>
              <w:left w:val="nil"/>
              <w:bottom w:val="single" w:sz="8" w:space="0" w:color="auto"/>
              <w:right w:val="single" w:sz="8" w:space="0" w:color="auto"/>
            </w:tcBorders>
            <w:tcMar>
              <w:left w:w="28" w:type="dxa"/>
              <w:right w:w="28" w:type="dxa"/>
            </w:tcMar>
            <w:vAlign w:val="center"/>
            <w:hideMark/>
          </w:tcPr>
          <w:p w14:paraId="30A23054" w14:textId="77777777"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146 (103)</w:t>
            </w:r>
          </w:p>
        </w:tc>
        <w:tc>
          <w:tcPr>
            <w:tcW w:w="1134" w:type="dxa"/>
            <w:tcBorders>
              <w:top w:val="nil"/>
              <w:left w:val="nil"/>
              <w:bottom w:val="single" w:sz="8" w:space="0" w:color="auto"/>
              <w:right w:val="single" w:sz="8" w:space="0" w:color="auto"/>
            </w:tcBorders>
            <w:tcMar>
              <w:left w:w="28" w:type="dxa"/>
              <w:right w:w="28" w:type="dxa"/>
            </w:tcMar>
            <w:vAlign w:val="center"/>
            <w:hideMark/>
          </w:tcPr>
          <w:p w14:paraId="5924E214" w14:textId="77777777"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61/103</w:t>
            </w:r>
          </w:p>
        </w:tc>
        <w:tc>
          <w:tcPr>
            <w:tcW w:w="709" w:type="dxa"/>
            <w:tcBorders>
              <w:top w:val="nil"/>
              <w:left w:val="nil"/>
              <w:bottom w:val="single" w:sz="8" w:space="0" w:color="auto"/>
              <w:right w:val="single" w:sz="8" w:space="0" w:color="auto"/>
            </w:tcBorders>
            <w:tcMar>
              <w:left w:w="28" w:type="dxa"/>
              <w:right w:w="28" w:type="dxa"/>
            </w:tcMar>
            <w:vAlign w:val="center"/>
            <w:hideMark/>
          </w:tcPr>
          <w:p w14:paraId="7701F1C1" w14:textId="0699D169"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59.3%</w:t>
            </w:r>
          </w:p>
        </w:tc>
        <w:tc>
          <w:tcPr>
            <w:tcW w:w="850"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20A466CF" w14:textId="77777777" w:rsidR="001F3AF9" w:rsidRPr="000160C3" w:rsidRDefault="001F3AF9" w:rsidP="001C47F4">
            <w:pPr>
              <w:keepNext/>
              <w:keepLines/>
              <w:rPr>
                <w:rFonts w:ascii="Arial Narrow" w:hAnsi="Arial Narrow"/>
                <w:color w:val="000000"/>
                <w:sz w:val="20"/>
                <w:szCs w:val="20"/>
                <w:lang w:eastAsia="zh-CN"/>
              </w:rPr>
            </w:pPr>
          </w:p>
        </w:tc>
        <w:tc>
          <w:tcPr>
            <w:tcW w:w="709"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5E08EA0A" w14:textId="77777777" w:rsidR="001F3AF9" w:rsidRPr="000160C3" w:rsidRDefault="001F3AF9" w:rsidP="001C47F4">
            <w:pPr>
              <w:keepNext/>
              <w:keepLines/>
              <w:rPr>
                <w:rFonts w:ascii="Arial Narrow" w:hAnsi="Arial Narrow"/>
                <w:color w:val="000000"/>
                <w:sz w:val="20"/>
                <w:szCs w:val="20"/>
                <w:lang w:eastAsia="zh-CN"/>
              </w:rPr>
            </w:pPr>
          </w:p>
        </w:tc>
        <w:tc>
          <w:tcPr>
            <w:tcW w:w="1418" w:type="dxa"/>
            <w:tcBorders>
              <w:top w:val="nil"/>
              <w:left w:val="nil"/>
              <w:bottom w:val="single" w:sz="8" w:space="0" w:color="auto"/>
              <w:right w:val="single" w:sz="8" w:space="0" w:color="auto"/>
            </w:tcBorders>
            <w:tcMar>
              <w:left w:w="28" w:type="dxa"/>
              <w:right w:w="28" w:type="dxa"/>
            </w:tcMar>
            <w:vAlign w:val="center"/>
            <w:hideMark/>
          </w:tcPr>
          <w:p w14:paraId="17076F7B" w14:textId="77777777"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0.93 (0.54, 1.60)</w:t>
            </w:r>
          </w:p>
        </w:tc>
        <w:tc>
          <w:tcPr>
            <w:tcW w:w="703" w:type="dxa"/>
            <w:tcBorders>
              <w:top w:val="nil"/>
              <w:left w:val="nil"/>
              <w:bottom w:val="single" w:sz="8" w:space="0" w:color="auto"/>
              <w:right w:val="single" w:sz="4" w:space="0" w:color="auto"/>
            </w:tcBorders>
            <w:tcMar>
              <w:left w:w="28" w:type="dxa"/>
              <w:right w:w="28" w:type="dxa"/>
            </w:tcMar>
            <w:vAlign w:val="center"/>
            <w:hideMark/>
          </w:tcPr>
          <w:p w14:paraId="134C801A" w14:textId="77777777"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0.796</w:t>
            </w:r>
          </w:p>
        </w:tc>
      </w:tr>
      <w:tr w:rsidR="001F3AF9" w:rsidRPr="000160C3" w14:paraId="6686A1D8" w14:textId="77777777" w:rsidTr="00F376C1">
        <w:trPr>
          <w:trHeight w:val="46"/>
        </w:trPr>
        <w:tc>
          <w:tcPr>
            <w:tcW w:w="2405" w:type="dxa"/>
            <w:tcBorders>
              <w:top w:val="nil"/>
              <w:left w:val="single" w:sz="4" w:space="0" w:color="auto"/>
              <w:bottom w:val="single" w:sz="8" w:space="0" w:color="auto"/>
              <w:right w:val="single" w:sz="8" w:space="0" w:color="auto"/>
            </w:tcBorders>
            <w:tcMar>
              <w:left w:w="28" w:type="dxa"/>
              <w:right w:w="28" w:type="dxa"/>
            </w:tcMar>
            <w:vAlign w:val="center"/>
            <w:hideMark/>
          </w:tcPr>
          <w:p w14:paraId="0A1B331B" w14:textId="77777777" w:rsidR="001F3AF9" w:rsidRPr="000160C3" w:rsidRDefault="001F3AF9" w:rsidP="001C47F4">
            <w:pPr>
              <w:keepNext/>
              <w:keepLines/>
              <w:rPr>
                <w:rFonts w:ascii="Arial Narrow" w:hAnsi="Arial Narrow"/>
                <w:color w:val="000000"/>
                <w:sz w:val="20"/>
                <w:szCs w:val="20"/>
                <w:lang w:eastAsia="zh-CN"/>
              </w:rPr>
            </w:pPr>
            <w:r w:rsidRPr="000160C3">
              <w:rPr>
                <w:rFonts w:ascii="Arial Narrow" w:hAnsi="Arial Narrow"/>
                <w:color w:val="000000"/>
                <w:sz w:val="20"/>
                <w:szCs w:val="20"/>
                <w:lang w:eastAsia="zh-CN"/>
              </w:rPr>
              <w:t>Full matching set</w:t>
            </w:r>
          </w:p>
        </w:tc>
        <w:tc>
          <w:tcPr>
            <w:tcW w:w="1134" w:type="dxa"/>
            <w:tcBorders>
              <w:top w:val="nil"/>
              <w:left w:val="nil"/>
              <w:bottom w:val="single" w:sz="8" w:space="0" w:color="auto"/>
              <w:right w:val="single" w:sz="8" w:space="0" w:color="auto"/>
            </w:tcBorders>
            <w:tcMar>
              <w:left w:w="28" w:type="dxa"/>
              <w:right w:w="28" w:type="dxa"/>
            </w:tcMar>
            <w:vAlign w:val="center"/>
            <w:hideMark/>
          </w:tcPr>
          <w:p w14:paraId="50844B14" w14:textId="77777777"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146 (62)</w:t>
            </w:r>
          </w:p>
        </w:tc>
        <w:tc>
          <w:tcPr>
            <w:tcW w:w="1134" w:type="dxa"/>
            <w:tcBorders>
              <w:top w:val="nil"/>
              <w:left w:val="nil"/>
              <w:bottom w:val="single" w:sz="8" w:space="0" w:color="auto"/>
              <w:right w:val="single" w:sz="8" w:space="0" w:color="auto"/>
            </w:tcBorders>
            <w:tcMar>
              <w:left w:w="28" w:type="dxa"/>
              <w:right w:w="28" w:type="dxa"/>
            </w:tcMar>
            <w:vAlign w:val="center"/>
            <w:hideMark/>
          </w:tcPr>
          <w:p w14:paraId="7E4127E9" w14:textId="77777777"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36/62</w:t>
            </w:r>
          </w:p>
        </w:tc>
        <w:tc>
          <w:tcPr>
            <w:tcW w:w="709" w:type="dxa"/>
            <w:tcBorders>
              <w:top w:val="nil"/>
              <w:left w:val="nil"/>
              <w:bottom w:val="single" w:sz="8" w:space="0" w:color="auto"/>
              <w:right w:val="single" w:sz="8" w:space="0" w:color="auto"/>
            </w:tcBorders>
            <w:tcMar>
              <w:left w:w="28" w:type="dxa"/>
              <w:right w:w="28" w:type="dxa"/>
            </w:tcMar>
            <w:vAlign w:val="center"/>
            <w:hideMark/>
          </w:tcPr>
          <w:p w14:paraId="24A51A32" w14:textId="6131E3A1"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58.1%</w:t>
            </w:r>
          </w:p>
        </w:tc>
        <w:tc>
          <w:tcPr>
            <w:tcW w:w="850"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6CEAB013" w14:textId="77777777" w:rsidR="001F3AF9" w:rsidRPr="000160C3" w:rsidRDefault="001F3AF9" w:rsidP="001C47F4">
            <w:pPr>
              <w:keepNext/>
              <w:keepLines/>
              <w:rPr>
                <w:rFonts w:ascii="Arial Narrow" w:hAnsi="Arial Narrow"/>
                <w:color w:val="000000"/>
                <w:sz w:val="20"/>
                <w:szCs w:val="20"/>
                <w:lang w:eastAsia="zh-CN"/>
              </w:rPr>
            </w:pPr>
          </w:p>
        </w:tc>
        <w:tc>
          <w:tcPr>
            <w:tcW w:w="709"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0271C6C9" w14:textId="77777777" w:rsidR="001F3AF9" w:rsidRPr="000160C3" w:rsidRDefault="001F3AF9" w:rsidP="001C47F4">
            <w:pPr>
              <w:keepNext/>
              <w:keepLines/>
              <w:rPr>
                <w:rFonts w:ascii="Arial Narrow" w:hAnsi="Arial Narrow"/>
                <w:color w:val="000000"/>
                <w:sz w:val="20"/>
                <w:szCs w:val="20"/>
                <w:lang w:eastAsia="zh-CN"/>
              </w:rPr>
            </w:pPr>
          </w:p>
        </w:tc>
        <w:tc>
          <w:tcPr>
            <w:tcW w:w="1418" w:type="dxa"/>
            <w:tcBorders>
              <w:top w:val="nil"/>
              <w:left w:val="nil"/>
              <w:bottom w:val="single" w:sz="8" w:space="0" w:color="auto"/>
              <w:right w:val="single" w:sz="8" w:space="0" w:color="auto"/>
            </w:tcBorders>
            <w:tcMar>
              <w:left w:w="28" w:type="dxa"/>
              <w:right w:w="28" w:type="dxa"/>
            </w:tcMar>
            <w:vAlign w:val="center"/>
            <w:hideMark/>
          </w:tcPr>
          <w:p w14:paraId="61E3C67D" w14:textId="77777777"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0.89 (0.48, 1.65)</w:t>
            </w:r>
          </w:p>
        </w:tc>
        <w:tc>
          <w:tcPr>
            <w:tcW w:w="703" w:type="dxa"/>
            <w:tcBorders>
              <w:top w:val="nil"/>
              <w:left w:val="nil"/>
              <w:bottom w:val="single" w:sz="8" w:space="0" w:color="auto"/>
              <w:right w:val="single" w:sz="4" w:space="0" w:color="auto"/>
            </w:tcBorders>
            <w:tcMar>
              <w:left w:w="28" w:type="dxa"/>
              <w:right w:w="28" w:type="dxa"/>
            </w:tcMar>
            <w:vAlign w:val="center"/>
            <w:hideMark/>
          </w:tcPr>
          <w:p w14:paraId="7A428F76" w14:textId="77777777" w:rsidR="001F3AF9" w:rsidRPr="000160C3" w:rsidRDefault="001F3AF9" w:rsidP="001C47F4">
            <w:pPr>
              <w:keepNext/>
              <w:keepLines/>
              <w:jc w:val="center"/>
              <w:rPr>
                <w:rFonts w:ascii="Arial Narrow" w:hAnsi="Arial Narrow"/>
                <w:color w:val="000000"/>
                <w:sz w:val="20"/>
                <w:szCs w:val="20"/>
                <w:lang w:eastAsia="zh-CN"/>
              </w:rPr>
            </w:pPr>
            <w:r w:rsidRPr="000160C3">
              <w:rPr>
                <w:rFonts w:ascii="Arial Narrow" w:hAnsi="Arial Narrow"/>
                <w:color w:val="000000"/>
                <w:sz w:val="20"/>
                <w:szCs w:val="20"/>
                <w:lang w:eastAsia="zh-CN"/>
              </w:rPr>
              <w:t>0.706</w:t>
            </w:r>
          </w:p>
        </w:tc>
      </w:tr>
    </w:tbl>
    <w:p w14:paraId="55FBBE99" w14:textId="77777777" w:rsidR="00521900" w:rsidRPr="000160C3" w:rsidRDefault="00521900" w:rsidP="001C47F4">
      <w:pPr>
        <w:pStyle w:val="TableFigureFooter"/>
        <w:keepNext/>
      </w:pPr>
      <w:r w:rsidRPr="000160C3">
        <w:t>Source: Table 2.58, p 188 of the submission.</w:t>
      </w:r>
    </w:p>
    <w:p w14:paraId="35CBD956" w14:textId="277834D3" w:rsidR="00521900" w:rsidRPr="000160C3" w:rsidRDefault="00521900" w:rsidP="001C47F4">
      <w:pPr>
        <w:pStyle w:val="TableFigureFooter"/>
        <w:keepNext/>
      </w:pPr>
      <w:r w:rsidRPr="000160C3">
        <w:t>Abbreviations:</w:t>
      </w:r>
      <w:r w:rsidR="00C12DE7" w:rsidRPr="000160C3">
        <w:t xml:space="preserve"> </w:t>
      </w:r>
      <w:r w:rsidRPr="000160C3">
        <w:t>CI = confidence interval; ESS = effective sample size; NA = not applicable; ORR = overall response rate; OR = odds ratio; RD = risk difference; RP2D = recommended phase 2 dose; RR = relative risk.</w:t>
      </w:r>
    </w:p>
    <w:p w14:paraId="60E4571E" w14:textId="27B03E55" w:rsidR="0038316B" w:rsidRPr="000160C3" w:rsidRDefault="00506FB7" w:rsidP="001C47F4">
      <w:pPr>
        <w:pStyle w:val="TableFigureFooter"/>
        <w:keepNext/>
      </w:pPr>
      <w:r w:rsidRPr="00506FB7">
        <w:rPr>
          <w:b/>
          <w:bCs/>
          <w:color w:val="000000"/>
          <w:sz w:val="20"/>
          <w:szCs w:val="20"/>
          <w:vertAlign w:val="superscript"/>
          <w:lang w:eastAsia="zh-CN"/>
        </w:rPr>
        <w:t>a</w:t>
      </w:r>
      <w:r w:rsidRPr="000160C3">
        <w:t xml:space="preserve"> </w:t>
      </w:r>
      <w:r w:rsidR="00521900" w:rsidRPr="000160C3">
        <w:t>An OR greater than 1 favours teclistamab over elranatamab.</w:t>
      </w:r>
    </w:p>
    <w:p w14:paraId="77E6C32D" w14:textId="77777777" w:rsidR="004075B5" w:rsidRDefault="004075B5" w:rsidP="001C47F4">
      <w:pPr>
        <w:pStyle w:val="TableFigureFooter"/>
        <w:keepNext/>
      </w:pPr>
      <w:r>
        <w:t>Notes:</w:t>
      </w:r>
    </w:p>
    <w:p w14:paraId="64BE5494" w14:textId="57872D6E" w:rsidR="00303916" w:rsidRPr="000160C3" w:rsidRDefault="00303916" w:rsidP="001C47F4">
      <w:pPr>
        <w:pStyle w:val="TableFigureFooter"/>
        <w:keepNext/>
      </w:pPr>
      <w:r w:rsidRPr="000160C3">
        <w:t>Unadjusted</w:t>
      </w:r>
      <w:r w:rsidR="002E18A0" w:rsidRPr="000160C3">
        <w:t xml:space="preserve">: observed </w:t>
      </w:r>
      <w:r w:rsidR="00A028E8" w:rsidRPr="000160C3">
        <w:t xml:space="preserve">(pooled) </w:t>
      </w:r>
      <w:r w:rsidR="00AF2B48" w:rsidRPr="000160C3">
        <w:t>study</w:t>
      </w:r>
      <w:r w:rsidR="002E18A0" w:rsidRPr="000160C3">
        <w:t xml:space="preserve"> results</w:t>
      </w:r>
      <w:r w:rsidR="00506FB7">
        <w:t>:</w:t>
      </w:r>
      <w:r w:rsidR="002E18A0" w:rsidRPr="000160C3">
        <w:t xml:space="preserve"> </w:t>
      </w:r>
    </w:p>
    <w:p w14:paraId="0369D55C" w14:textId="05C73254" w:rsidR="002E18A0" w:rsidRPr="000160C3" w:rsidRDefault="00404058" w:rsidP="001C47F4">
      <w:pPr>
        <w:pStyle w:val="TableFigureFooter"/>
        <w:keepNext/>
      </w:pPr>
      <w:r w:rsidRPr="000160C3">
        <w:t>Excluding COVID</w:t>
      </w:r>
      <w:r w:rsidR="00EC1990">
        <w:noBreakHyphen/>
      </w:r>
      <w:r w:rsidRPr="000160C3">
        <w:t>19 deaths</w:t>
      </w:r>
      <w:r w:rsidR="002E18A0" w:rsidRPr="000160C3">
        <w:t>: RP2D patients who died from COVID</w:t>
      </w:r>
      <w:r w:rsidR="00EC1990">
        <w:noBreakHyphen/>
      </w:r>
      <w:r w:rsidR="002E18A0" w:rsidRPr="000160C3">
        <w:t>19 (n =19) are removed from analysis</w:t>
      </w:r>
    </w:p>
    <w:p w14:paraId="741C2250" w14:textId="5024A48F" w:rsidR="00303916" w:rsidRPr="000160C3" w:rsidRDefault="00303916" w:rsidP="001C47F4">
      <w:pPr>
        <w:pStyle w:val="TableFigureFooter"/>
        <w:keepNext/>
      </w:pPr>
      <w:r w:rsidRPr="000160C3">
        <w:t>Base</w:t>
      </w:r>
      <w:r w:rsidR="00EC1990">
        <w:noBreakHyphen/>
      </w:r>
      <w:r w:rsidRPr="000160C3">
        <w:t>case matching set</w:t>
      </w:r>
      <w:r w:rsidR="002E18A0" w:rsidRPr="000160C3">
        <w:t>:</w:t>
      </w:r>
      <w:r w:rsidRPr="000160C3">
        <w:t xml:space="preserve"> patients</w:t>
      </w:r>
      <w:r w:rsidR="002E18A0" w:rsidRPr="000160C3">
        <w:t xml:space="preserve"> in Ma</w:t>
      </w:r>
      <w:r w:rsidR="0081280E" w:rsidRPr="000160C3">
        <w:t>j</w:t>
      </w:r>
      <w:r w:rsidR="002E18A0" w:rsidRPr="000160C3">
        <w:t>esTEC</w:t>
      </w:r>
      <w:r w:rsidR="00EC1990">
        <w:noBreakHyphen/>
      </w:r>
      <w:r w:rsidR="002E18A0" w:rsidRPr="000160C3">
        <w:t>1</w:t>
      </w:r>
      <w:r w:rsidRPr="000160C3">
        <w:t xml:space="preserve"> were reweighted </w:t>
      </w:r>
      <w:r w:rsidR="002E18A0" w:rsidRPr="000160C3">
        <w:t>for</w:t>
      </w:r>
      <w:r w:rsidRPr="000160C3">
        <w:t xml:space="preserve"> refractory status, R</w:t>
      </w:r>
      <w:r w:rsidR="00EC1990">
        <w:noBreakHyphen/>
      </w:r>
      <w:r w:rsidRPr="000160C3">
        <w:t>ISS stage, cytogenetic profile</w:t>
      </w:r>
      <w:r w:rsidR="002E18A0" w:rsidRPr="000160C3">
        <w:t xml:space="preserve">, </w:t>
      </w:r>
      <w:r w:rsidRPr="000160C3">
        <w:t>presence of extramedullary disease, and number of prior lines of therapy.</w:t>
      </w:r>
    </w:p>
    <w:p w14:paraId="685D8557" w14:textId="24EA61DE" w:rsidR="00521900" w:rsidRPr="000160C3" w:rsidRDefault="00303916" w:rsidP="001C47F4">
      <w:pPr>
        <w:pStyle w:val="TableFigureFooter"/>
        <w:keepNext/>
      </w:pPr>
      <w:r w:rsidRPr="000160C3">
        <w:t>Full matching set</w:t>
      </w:r>
      <w:r w:rsidR="002E18A0" w:rsidRPr="000160C3">
        <w:t>: patients reweighted for all identified comparable covariates between Ma</w:t>
      </w:r>
      <w:r w:rsidR="0081280E" w:rsidRPr="000160C3">
        <w:t>j</w:t>
      </w:r>
      <w:r w:rsidR="002E18A0" w:rsidRPr="000160C3">
        <w:t>esTEC</w:t>
      </w:r>
      <w:r w:rsidR="00EC1990">
        <w:noBreakHyphen/>
      </w:r>
      <w:r w:rsidR="002E18A0" w:rsidRPr="000160C3">
        <w:t>1 and MagnetisMM</w:t>
      </w:r>
      <w:r w:rsidR="00EC1990">
        <w:noBreakHyphen/>
      </w:r>
      <w:r w:rsidR="002E18A0" w:rsidRPr="000160C3">
        <w:t xml:space="preserve">3 </w:t>
      </w:r>
    </w:p>
    <w:p w14:paraId="66D15749" w14:textId="352FEF8F" w:rsidR="00521900" w:rsidRPr="000160C3" w:rsidRDefault="00305580" w:rsidP="001C47F4">
      <w:pPr>
        <w:rPr>
          <w:rFonts w:cstheme="minorHAnsi"/>
          <w:u w:val="single"/>
        </w:rPr>
      </w:pPr>
      <w:r w:rsidRPr="000160C3">
        <w:rPr>
          <w:rFonts w:cstheme="minorHAnsi"/>
          <w:u w:val="single"/>
        </w:rPr>
        <w:t xml:space="preserve">Indirect Comparison: </w:t>
      </w:r>
      <w:r w:rsidR="00521900" w:rsidRPr="000160C3">
        <w:rPr>
          <w:rFonts w:cstheme="minorHAnsi"/>
          <w:u w:val="single"/>
        </w:rPr>
        <w:t>PFS</w:t>
      </w:r>
    </w:p>
    <w:p w14:paraId="080E6EF4" w14:textId="0C50E5FE" w:rsidR="00521900" w:rsidRPr="000160C3" w:rsidRDefault="00D33428" w:rsidP="001C47F4">
      <w:pPr>
        <w:pStyle w:val="3-BodyText"/>
        <w:rPr>
          <w:i/>
          <w:iCs/>
        </w:rPr>
      </w:pPr>
      <w:r w:rsidRPr="000160C3">
        <w:t>The results of the unanchored MAIC base case and sensitivity analyses for PFS are shown in</w:t>
      </w:r>
      <w:r w:rsidR="00521900" w:rsidRPr="000160C3">
        <w:t xml:space="preserve"> </w:t>
      </w:r>
      <w:r w:rsidR="00521900" w:rsidRPr="000160C3">
        <w:fldChar w:fldCharType="begin"/>
      </w:r>
      <w:r w:rsidR="00521900" w:rsidRPr="000160C3">
        <w:instrText xml:space="preserve"> REF _Ref216038511 \h  \* MERGEFORMAT </w:instrText>
      </w:r>
      <w:r w:rsidR="00521900" w:rsidRPr="000160C3">
        <w:fldChar w:fldCharType="separate"/>
      </w:r>
      <w:r w:rsidR="001C47F4" w:rsidRPr="000160C3">
        <w:t xml:space="preserve">Table </w:t>
      </w:r>
      <w:r w:rsidR="001C47F4">
        <w:t>7</w:t>
      </w:r>
      <w:r w:rsidR="00521900" w:rsidRPr="000160C3">
        <w:fldChar w:fldCharType="end"/>
      </w:r>
      <w:r w:rsidR="00521900" w:rsidRPr="000160C3">
        <w:t>.</w:t>
      </w:r>
      <w:r w:rsidR="00521900" w:rsidRPr="000160C3">
        <w:rPr>
          <w:i/>
          <w:iCs/>
        </w:rPr>
        <w:t xml:space="preserve"> </w:t>
      </w:r>
      <w:r w:rsidR="00EA7C26" w:rsidRPr="000160C3">
        <w:t xml:space="preserve">Prior to adjusting for covariates and </w:t>
      </w:r>
      <w:r w:rsidR="005E3FA0" w:rsidRPr="000160C3">
        <w:t xml:space="preserve">removing </w:t>
      </w:r>
      <w:r w:rsidR="00EA7C26" w:rsidRPr="000160C3">
        <w:t>patients who died from COVID</w:t>
      </w:r>
      <w:r w:rsidR="00EC1990">
        <w:noBreakHyphen/>
      </w:r>
      <w:r w:rsidR="00EA7C26" w:rsidRPr="000160C3">
        <w:t xml:space="preserve">19 (unadjusted results), the </w:t>
      </w:r>
      <w:r w:rsidR="0065579B" w:rsidRPr="000160C3">
        <w:t xml:space="preserve">median </w:t>
      </w:r>
      <w:r w:rsidR="00EA7C26" w:rsidRPr="000160C3">
        <w:t xml:space="preserve">PFS </w:t>
      </w:r>
      <w:r w:rsidR="0065579B" w:rsidRPr="000160C3">
        <w:t>for teclistamab was 13.1 months compared to 17.3 months for elranatamab. Excluding COVID</w:t>
      </w:r>
      <w:r w:rsidR="00EC1990">
        <w:noBreakHyphen/>
      </w:r>
      <w:r w:rsidR="0065579B" w:rsidRPr="000160C3">
        <w:t>19 deaths increased median PFS for teclistamab only marginally to 13.8 months</w:t>
      </w:r>
      <w:r w:rsidR="00B84832" w:rsidRPr="000160C3">
        <w:t xml:space="preserve"> </w:t>
      </w:r>
      <w:r w:rsidR="00642016" w:rsidRPr="000160C3">
        <w:t xml:space="preserve">and </w:t>
      </w:r>
      <w:r w:rsidR="00B84832" w:rsidRPr="000160C3">
        <w:t>a</w:t>
      </w:r>
      <w:r w:rsidR="00AE3DCF" w:rsidRPr="000160C3">
        <w:t xml:space="preserve">djusting for the chosen </w:t>
      </w:r>
      <w:r w:rsidR="00CD1C86" w:rsidRPr="000160C3">
        <w:t>covariate’s</w:t>
      </w:r>
      <w:r w:rsidR="00AE3DCF" w:rsidRPr="000160C3">
        <w:t xml:space="preserve"> vs MagnetisMM</w:t>
      </w:r>
      <w:r w:rsidR="00EC1990">
        <w:noBreakHyphen/>
      </w:r>
      <w:r w:rsidR="00AE3DCF" w:rsidRPr="000160C3">
        <w:t xml:space="preserve">3 (base case matching set) </w:t>
      </w:r>
      <w:r w:rsidR="00376378" w:rsidRPr="000160C3">
        <w:t>reduced the median PFS to 13.1 months. The comparison of M</w:t>
      </w:r>
      <w:r w:rsidR="00CD1C86" w:rsidRPr="000160C3">
        <w:t>a</w:t>
      </w:r>
      <w:r w:rsidR="0081280E" w:rsidRPr="000160C3">
        <w:t>j</w:t>
      </w:r>
      <w:r w:rsidR="00CD1C86" w:rsidRPr="000160C3">
        <w:t>es</w:t>
      </w:r>
      <w:r w:rsidR="00376378" w:rsidRPr="000160C3">
        <w:t>TEC</w:t>
      </w:r>
      <w:r w:rsidR="00EC1990">
        <w:noBreakHyphen/>
      </w:r>
      <w:r w:rsidR="00376378" w:rsidRPr="000160C3">
        <w:t>1 versus MagnetisMM</w:t>
      </w:r>
      <w:r w:rsidR="00EC1990">
        <w:noBreakHyphen/>
      </w:r>
      <w:r w:rsidR="00376378" w:rsidRPr="000160C3">
        <w:t xml:space="preserve">3 for the base case matching set resulted in a HR of </w:t>
      </w:r>
      <w:r w:rsidR="00CD1C86" w:rsidRPr="000160C3">
        <w:t>1.14 (95% CI: 0.80</w:t>
      </w:r>
      <w:r w:rsidR="00A11423" w:rsidRPr="000160C3">
        <w:t>,</w:t>
      </w:r>
      <w:r w:rsidR="00CD1C86" w:rsidRPr="000160C3">
        <w:t xml:space="preserve"> 1.61</w:t>
      </w:r>
      <w:r w:rsidR="00003BDA">
        <w:t>)</w:t>
      </w:r>
      <w:r w:rsidR="00CD1C86" w:rsidRPr="000160C3">
        <w:t xml:space="preserve">. </w:t>
      </w:r>
      <w:r w:rsidR="00521900" w:rsidRPr="000160C3">
        <w:t>Excluding COVID</w:t>
      </w:r>
      <w:r w:rsidR="00EC1990">
        <w:noBreakHyphen/>
      </w:r>
      <w:r w:rsidR="00521900" w:rsidRPr="000160C3">
        <w:t>19</w:t>
      </w:r>
      <w:r w:rsidR="0029019D" w:rsidRPr="000160C3">
        <w:t xml:space="preserve"> </w:t>
      </w:r>
      <w:r w:rsidR="00521900" w:rsidRPr="000160C3">
        <w:t xml:space="preserve">related deaths led to a more favourable PFS estimate </w:t>
      </w:r>
      <w:r w:rsidR="00D06312" w:rsidRPr="000160C3">
        <w:t xml:space="preserve">for teclistamab </w:t>
      </w:r>
      <w:r w:rsidR="00521900" w:rsidRPr="000160C3">
        <w:t>across all scenarios</w:t>
      </w:r>
      <w:r w:rsidR="00041BEC" w:rsidRPr="000160C3">
        <w:t>;</w:t>
      </w:r>
      <w:r w:rsidR="00521900" w:rsidRPr="000160C3">
        <w:t xml:space="preserve"> however, median PFS for elranatamab </w:t>
      </w:r>
      <w:r w:rsidR="00077957" w:rsidRPr="000160C3">
        <w:t>remained numerically higher.</w:t>
      </w:r>
    </w:p>
    <w:p w14:paraId="2CC33B8B" w14:textId="6DA950B3" w:rsidR="00521900" w:rsidRPr="000160C3" w:rsidRDefault="00003840" w:rsidP="001C47F4">
      <w:pPr>
        <w:pStyle w:val="3-BodyText"/>
        <w:rPr>
          <w:i/>
          <w:iCs/>
        </w:rPr>
      </w:pPr>
      <w:r w:rsidRPr="004D2BA3">
        <w:t>The ESC noted that</w:t>
      </w:r>
      <w:r w:rsidRPr="000160C3">
        <w:t xml:space="preserve"> w</w:t>
      </w:r>
      <w:r w:rsidR="000A7688" w:rsidRPr="000160C3">
        <w:t xml:space="preserve">hen </w:t>
      </w:r>
      <w:r w:rsidR="00BB5698" w:rsidRPr="000160C3">
        <w:t xml:space="preserve">considering the </w:t>
      </w:r>
      <w:r w:rsidR="009E6F06" w:rsidRPr="000160C3">
        <w:t>Ma</w:t>
      </w:r>
      <w:r w:rsidR="0081280E" w:rsidRPr="000160C3">
        <w:t>j</w:t>
      </w:r>
      <w:r w:rsidR="009E6F06" w:rsidRPr="000160C3">
        <w:t>esTEC</w:t>
      </w:r>
      <w:r w:rsidR="00EC1990">
        <w:noBreakHyphen/>
      </w:r>
      <w:r w:rsidR="009E6F06" w:rsidRPr="000160C3">
        <w:t>1 RP2D population without the China cohort and with COVID</w:t>
      </w:r>
      <w:r w:rsidR="00EC1990">
        <w:noBreakHyphen/>
      </w:r>
      <w:r w:rsidR="009E6F06" w:rsidRPr="000160C3">
        <w:t xml:space="preserve">19 deaths included (Sensitivity </w:t>
      </w:r>
      <w:r w:rsidR="00242C91" w:rsidRPr="000160C3">
        <w:t xml:space="preserve">Analysis </w:t>
      </w:r>
      <w:r w:rsidR="009E6F06" w:rsidRPr="000160C3">
        <w:t>1)</w:t>
      </w:r>
      <w:r w:rsidR="00A93139" w:rsidRPr="000160C3">
        <w:t>, the median PFS</w:t>
      </w:r>
      <w:r w:rsidR="00033D19" w:rsidRPr="000160C3">
        <w:t xml:space="preserve"> for teclistamab</w:t>
      </w:r>
      <w:r w:rsidR="00A93139" w:rsidRPr="000160C3">
        <w:t xml:space="preserve"> </w:t>
      </w:r>
      <w:r w:rsidR="00041BEC" w:rsidRPr="000160C3">
        <w:t xml:space="preserve">decreased </w:t>
      </w:r>
      <w:r w:rsidR="00A93139" w:rsidRPr="000160C3">
        <w:t>from 13.1 months (unadjusted observed data) to 10.1 months.</w:t>
      </w:r>
      <w:r w:rsidR="00EC1990">
        <w:t xml:space="preserve"> </w:t>
      </w:r>
      <w:r w:rsidR="00206515" w:rsidRPr="000160C3">
        <w:t>T</w:t>
      </w:r>
      <w:r w:rsidR="00A93139" w:rsidRPr="000160C3">
        <w:t xml:space="preserve">he median PFS for elranatamab </w:t>
      </w:r>
      <w:r w:rsidR="00206515" w:rsidRPr="000160C3">
        <w:t>in MagnetisMM</w:t>
      </w:r>
      <w:r w:rsidR="00EC1990">
        <w:noBreakHyphen/>
      </w:r>
      <w:r w:rsidR="00206515" w:rsidRPr="000160C3">
        <w:t xml:space="preserve">3 </w:t>
      </w:r>
      <w:r w:rsidR="00A93139" w:rsidRPr="000160C3">
        <w:t>was 17.3 months, resulting in a HR of 1.40 (95% CI: 0.99, 1.98).</w:t>
      </w:r>
      <w:r w:rsidR="009E6F06" w:rsidRPr="000160C3">
        <w:t xml:space="preserve"> </w:t>
      </w:r>
    </w:p>
    <w:p w14:paraId="3EA1305A" w14:textId="27151633" w:rsidR="00521900" w:rsidRPr="000160C3" w:rsidRDefault="00521900" w:rsidP="001C47F4">
      <w:pPr>
        <w:pStyle w:val="Caption"/>
      </w:pPr>
      <w:bookmarkStart w:id="32" w:name="_Ref216038511"/>
      <w:r w:rsidRPr="000160C3">
        <w:lastRenderedPageBreak/>
        <w:t xml:space="preserve">Table </w:t>
      </w:r>
      <w:r>
        <w:fldChar w:fldCharType="begin"/>
      </w:r>
      <w:r>
        <w:instrText>SEQ Table \* ARABIC</w:instrText>
      </w:r>
      <w:r>
        <w:fldChar w:fldCharType="separate"/>
      </w:r>
      <w:r w:rsidR="001C47F4">
        <w:rPr>
          <w:noProof/>
        </w:rPr>
        <w:t>7</w:t>
      </w:r>
      <w:r>
        <w:fldChar w:fldCharType="end"/>
      </w:r>
      <w:bookmarkEnd w:id="32"/>
      <w:r w:rsidRPr="000160C3">
        <w:t>: Results of the unanchored MAIC for PFS</w:t>
      </w:r>
    </w:p>
    <w:tbl>
      <w:tblPr>
        <w:tblStyle w:val="TableGrid"/>
        <w:tblW w:w="8926" w:type="dxa"/>
        <w:tblLook w:val="04A0" w:firstRow="1" w:lastRow="0" w:firstColumn="1" w:lastColumn="0" w:noHBand="0" w:noVBand="1"/>
        <w:tblCaption w:val="Table 7: Results of the unanchored MAIC for PFS"/>
      </w:tblPr>
      <w:tblGrid>
        <w:gridCol w:w="1555"/>
        <w:gridCol w:w="1275"/>
        <w:gridCol w:w="1843"/>
        <w:gridCol w:w="1843"/>
        <w:gridCol w:w="1559"/>
        <w:gridCol w:w="851"/>
      </w:tblGrid>
      <w:tr w:rsidR="001169ED" w:rsidRPr="000160C3" w14:paraId="732EAF73" w14:textId="77777777" w:rsidTr="005E59DC">
        <w:trPr>
          <w:trHeight w:val="56"/>
        </w:trPr>
        <w:tc>
          <w:tcPr>
            <w:tcW w:w="1555" w:type="dxa"/>
            <w:vMerge w:val="restart"/>
            <w:tcMar>
              <w:left w:w="28" w:type="dxa"/>
              <w:right w:w="28" w:type="dxa"/>
            </w:tcMar>
            <w:vAlign w:val="center"/>
            <w:hideMark/>
          </w:tcPr>
          <w:p w14:paraId="48C8C20A" w14:textId="23E4D559" w:rsidR="001169ED" w:rsidRPr="000160C3" w:rsidRDefault="001169ED" w:rsidP="001C47F4">
            <w:pPr>
              <w:pStyle w:val="In-tableHeading"/>
            </w:pPr>
          </w:p>
        </w:tc>
        <w:tc>
          <w:tcPr>
            <w:tcW w:w="3118" w:type="dxa"/>
            <w:gridSpan w:val="2"/>
            <w:tcMar>
              <w:left w:w="28" w:type="dxa"/>
              <w:right w:w="28" w:type="dxa"/>
            </w:tcMar>
            <w:vAlign w:val="center"/>
            <w:hideMark/>
          </w:tcPr>
          <w:p w14:paraId="58C8CF33" w14:textId="77777777" w:rsidR="001169ED" w:rsidRPr="000160C3" w:rsidRDefault="001169ED" w:rsidP="001C47F4">
            <w:pPr>
              <w:pStyle w:val="In-tableHeading"/>
            </w:pPr>
            <w:r w:rsidRPr="000160C3">
              <w:t>Teclistamab</w:t>
            </w:r>
          </w:p>
        </w:tc>
        <w:tc>
          <w:tcPr>
            <w:tcW w:w="1843" w:type="dxa"/>
            <w:tcMar>
              <w:left w:w="28" w:type="dxa"/>
              <w:right w:w="28" w:type="dxa"/>
            </w:tcMar>
            <w:vAlign w:val="center"/>
            <w:hideMark/>
          </w:tcPr>
          <w:p w14:paraId="2AC1C201" w14:textId="77777777" w:rsidR="001169ED" w:rsidRPr="000160C3" w:rsidRDefault="001169ED" w:rsidP="001C47F4">
            <w:pPr>
              <w:pStyle w:val="In-tableHeading"/>
            </w:pPr>
            <w:r w:rsidRPr="000160C3">
              <w:t>Elranatamab (N=123)</w:t>
            </w:r>
          </w:p>
        </w:tc>
        <w:tc>
          <w:tcPr>
            <w:tcW w:w="1559" w:type="dxa"/>
            <w:vMerge w:val="restart"/>
            <w:tcMar>
              <w:left w:w="28" w:type="dxa"/>
              <w:right w:w="28" w:type="dxa"/>
            </w:tcMar>
            <w:vAlign w:val="center"/>
            <w:hideMark/>
          </w:tcPr>
          <w:p w14:paraId="663C581C" w14:textId="1D9F2DA7" w:rsidR="001169ED" w:rsidRPr="000160C3" w:rsidRDefault="001169ED" w:rsidP="001C47F4">
            <w:pPr>
              <w:pStyle w:val="In-tableHeading"/>
            </w:pPr>
            <w:r w:rsidRPr="000160C3">
              <w:t>HR (95% CI)</w:t>
            </w:r>
            <w:r w:rsidR="000D61DA" w:rsidRPr="000160C3">
              <w:t>*</w:t>
            </w:r>
          </w:p>
        </w:tc>
        <w:tc>
          <w:tcPr>
            <w:tcW w:w="851" w:type="dxa"/>
            <w:vMerge w:val="restart"/>
            <w:tcMar>
              <w:left w:w="28" w:type="dxa"/>
              <w:right w:w="28" w:type="dxa"/>
            </w:tcMar>
            <w:vAlign w:val="center"/>
            <w:hideMark/>
          </w:tcPr>
          <w:p w14:paraId="340D0968" w14:textId="2039DAC6" w:rsidR="001169ED" w:rsidRPr="000160C3" w:rsidRDefault="001169ED" w:rsidP="001C47F4">
            <w:pPr>
              <w:pStyle w:val="In-tableHeading"/>
            </w:pPr>
            <w:r w:rsidRPr="000160C3">
              <w:t>p</w:t>
            </w:r>
            <w:r w:rsidR="00EC1990">
              <w:noBreakHyphen/>
            </w:r>
            <w:r w:rsidRPr="000160C3">
              <w:t>value</w:t>
            </w:r>
          </w:p>
        </w:tc>
      </w:tr>
      <w:tr w:rsidR="001169ED" w:rsidRPr="000160C3" w14:paraId="0DA12EF6" w14:textId="77777777" w:rsidTr="005E59DC">
        <w:trPr>
          <w:trHeight w:val="315"/>
        </w:trPr>
        <w:tc>
          <w:tcPr>
            <w:tcW w:w="1555" w:type="dxa"/>
            <w:vMerge/>
            <w:tcMar>
              <w:left w:w="28" w:type="dxa"/>
              <w:right w:w="28" w:type="dxa"/>
            </w:tcMar>
            <w:vAlign w:val="center"/>
            <w:hideMark/>
          </w:tcPr>
          <w:p w14:paraId="610DB25B" w14:textId="77777777" w:rsidR="001169ED" w:rsidRPr="000160C3" w:rsidRDefault="001169ED" w:rsidP="001C47F4">
            <w:pPr>
              <w:pStyle w:val="TableText0"/>
              <w:keepNext/>
              <w:keepLines/>
              <w:rPr>
                <w:b/>
                <w:bCs w:val="0"/>
              </w:rPr>
            </w:pPr>
          </w:p>
        </w:tc>
        <w:tc>
          <w:tcPr>
            <w:tcW w:w="1275" w:type="dxa"/>
            <w:tcMar>
              <w:left w:w="28" w:type="dxa"/>
              <w:right w:w="28" w:type="dxa"/>
            </w:tcMar>
            <w:vAlign w:val="center"/>
            <w:hideMark/>
          </w:tcPr>
          <w:p w14:paraId="65803655" w14:textId="77777777" w:rsidR="001169ED" w:rsidRPr="000160C3" w:rsidRDefault="001169ED" w:rsidP="001C47F4">
            <w:pPr>
              <w:pStyle w:val="TableText0"/>
              <w:keepNext/>
              <w:keepLines/>
              <w:jc w:val="center"/>
              <w:rPr>
                <w:b/>
                <w:bCs w:val="0"/>
              </w:rPr>
            </w:pPr>
            <w:r w:rsidRPr="000160C3">
              <w:rPr>
                <w:b/>
                <w:bCs w:val="0"/>
              </w:rPr>
              <w:t>N (ESS)</w:t>
            </w:r>
          </w:p>
        </w:tc>
        <w:tc>
          <w:tcPr>
            <w:tcW w:w="1843" w:type="dxa"/>
            <w:tcMar>
              <w:left w:w="28" w:type="dxa"/>
              <w:right w:w="28" w:type="dxa"/>
            </w:tcMar>
            <w:vAlign w:val="center"/>
            <w:hideMark/>
          </w:tcPr>
          <w:p w14:paraId="02B13C97" w14:textId="5F9A8A76" w:rsidR="001169ED" w:rsidRPr="000160C3" w:rsidRDefault="001169ED" w:rsidP="001C47F4">
            <w:pPr>
              <w:pStyle w:val="In-tableHeading"/>
            </w:pPr>
            <w:r w:rsidRPr="000160C3">
              <w:t>Median PFS</w:t>
            </w:r>
            <w:r w:rsidR="005E59DC" w:rsidRPr="000160C3">
              <w:t>, months</w:t>
            </w:r>
            <w:r w:rsidRPr="000160C3">
              <w:t xml:space="preserve"> (95% CI)</w:t>
            </w:r>
          </w:p>
        </w:tc>
        <w:tc>
          <w:tcPr>
            <w:tcW w:w="1843" w:type="dxa"/>
            <w:tcMar>
              <w:left w:w="28" w:type="dxa"/>
              <w:right w:w="28" w:type="dxa"/>
            </w:tcMar>
            <w:vAlign w:val="center"/>
            <w:hideMark/>
          </w:tcPr>
          <w:p w14:paraId="646E1AEF" w14:textId="3DDC73F0" w:rsidR="001169ED" w:rsidRPr="000160C3" w:rsidRDefault="001169ED" w:rsidP="001C47F4">
            <w:pPr>
              <w:pStyle w:val="In-tableHeading"/>
            </w:pPr>
            <w:r w:rsidRPr="000160C3">
              <w:t>Median PFS</w:t>
            </w:r>
            <w:r w:rsidR="005E59DC" w:rsidRPr="000160C3">
              <w:t>,</w:t>
            </w:r>
            <w:r w:rsidRPr="000160C3">
              <w:t xml:space="preserve"> </w:t>
            </w:r>
            <w:r w:rsidR="005E59DC" w:rsidRPr="000160C3">
              <w:t xml:space="preserve">months </w:t>
            </w:r>
            <w:r w:rsidRPr="000160C3">
              <w:t>(95% CI)</w:t>
            </w:r>
          </w:p>
        </w:tc>
        <w:tc>
          <w:tcPr>
            <w:tcW w:w="1559" w:type="dxa"/>
            <w:vMerge/>
            <w:tcMar>
              <w:left w:w="28" w:type="dxa"/>
              <w:right w:w="28" w:type="dxa"/>
            </w:tcMar>
            <w:vAlign w:val="center"/>
            <w:hideMark/>
          </w:tcPr>
          <w:p w14:paraId="6F0C37DD" w14:textId="77777777" w:rsidR="001169ED" w:rsidRPr="000160C3" w:rsidRDefault="001169ED" w:rsidP="001C47F4">
            <w:pPr>
              <w:pStyle w:val="TableText0"/>
              <w:keepNext/>
              <w:keepLines/>
              <w:jc w:val="center"/>
              <w:rPr>
                <w:b/>
                <w:bCs w:val="0"/>
              </w:rPr>
            </w:pPr>
          </w:p>
        </w:tc>
        <w:tc>
          <w:tcPr>
            <w:tcW w:w="851" w:type="dxa"/>
            <w:vMerge/>
            <w:tcMar>
              <w:left w:w="28" w:type="dxa"/>
              <w:right w:w="28" w:type="dxa"/>
            </w:tcMar>
            <w:vAlign w:val="center"/>
            <w:hideMark/>
          </w:tcPr>
          <w:p w14:paraId="42C7FF7D" w14:textId="77777777" w:rsidR="001169ED" w:rsidRPr="000160C3" w:rsidRDefault="001169ED" w:rsidP="001C47F4">
            <w:pPr>
              <w:pStyle w:val="TableText0"/>
              <w:keepNext/>
              <w:keepLines/>
              <w:jc w:val="center"/>
              <w:rPr>
                <w:b/>
                <w:bCs w:val="0"/>
              </w:rPr>
            </w:pPr>
          </w:p>
        </w:tc>
      </w:tr>
      <w:tr w:rsidR="00FD0D97" w:rsidRPr="000160C3" w14:paraId="0F26EA6E" w14:textId="77777777" w:rsidTr="00F376C1">
        <w:trPr>
          <w:trHeight w:val="56"/>
        </w:trPr>
        <w:tc>
          <w:tcPr>
            <w:tcW w:w="8926" w:type="dxa"/>
            <w:gridSpan w:val="6"/>
            <w:tcMar>
              <w:left w:w="28" w:type="dxa"/>
              <w:right w:w="28" w:type="dxa"/>
            </w:tcMar>
            <w:vAlign w:val="center"/>
          </w:tcPr>
          <w:p w14:paraId="39C9D616" w14:textId="7FA97C33" w:rsidR="00FD0D97" w:rsidRPr="000160C3" w:rsidRDefault="00AE70B7" w:rsidP="001C47F4">
            <w:pPr>
              <w:pStyle w:val="TableText0"/>
              <w:keepNext/>
              <w:keepLines/>
              <w:rPr>
                <w:b/>
                <w:bCs w:val="0"/>
              </w:rPr>
            </w:pPr>
            <w:r w:rsidRPr="000160C3">
              <w:rPr>
                <w:b/>
                <w:bCs w:val="0"/>
              </w:rPr>
              <w:t>Submission b</w:t>
            </w:r>
            <w:r w:rsidR="00A2313C" w:rsidRPr="000160C3">
              <w:rPr>
                <w:b/>
                <w:bCs w:val="0"/>
              </w:rPr>
              <w:t>ase</w:t>
            </w:r>
            <w:r w:rsidR="00EC1990">
              <w:rPr>
                <w:b/>
                <w:bCs w:val="0"/>
              </w:rPr>
              <w:noBreakHyphen/>
            </w:r>
            <w:r w:rsidR="00A2313C" w:rsidRPr="000160C3">
              <w:rPr>
                <w:b/>
                <w:bCs w:val="0"/>
              </w:rPr>
              <w:t>case: RP2D population + China Cohort, excluding RP2D patients who died due to COVID</w:t>
            </w:r>
            <w:r w:rsidR="00EC1990">
              <w:rPr>
                <w:b/>
                <w:bCs w:val="0"/>
              </w:rPr>
              <w:noBreakHyphen/>
            </w:r>
            <w:r w:rsidR="00A2313C" w:rsidRPr="000160C3">
              <w:rPr>
                <w:b/>
                <w:bCs w:val="0"/>
              </w:rPr>
              <w:t>19</w:t>
            </w:r>
          </w:p>
        </w:tc>
      </w:tr>
      <w:tr w:rsidR="003132F4" w:rsidRPr="000160C3" w14:paraId="46A95D33" w14:textId="77777777" w:rsidTr="005E59DC">
        <w:trPr>
          <w:trHeight w:val="56"/>
        </w:trPr>
        <w:tc>
          <w:tcPr>
            <w:tcW w:w="1555" w:type="dxa"/>
            <w:tcMar>
              <w:left w:w="28" w:type="dxa"/>
              <w:right w:w="28" w:type="dxa"/>
            </w:tcMar>
            <w:vAlign w:val="center"/>
          </w:tcPr>
          <w:p w14:paraId="7719E651" w14:textId="4E0E8274" w:rsidR="003132F4" w:rsidRPr="000160C3" w:rsidRDefault="003132F4" w:rsidP="001C47F4">
            <w:pPr>
              <w:pStyle w:val="TableText0"/>
              <w:keepNext/>
              <w:keepLines/>
            </w:pPr>
            <w:r w:rsidRPr="000160C3">
              <w:t>Unadjusted</w:t>
            </w:r>
          </w:p>
        </w:tc>
        <w:tc>
          <w:tcPr>
            <w:tcW w:w="1275" w:type="dxa"/>
            <w:tcMar>
              <w:left w:w="28" w:type="dxa"/>
              <w:right w:w="28" w:type="dxa"/>
            </w:tcMar>
            <w:vAlign w:val="center"/>
          </w:tcPr>
          <w:p w14:paraId="37A5AF02" w14:textId="1DAF8904" w:rsidR="003132F4" w:rsidRPr="000160C3" w:rsidRDefault="003132F4" w:rsidP="001C47F4">
            <w:pPr>
              <w:pStyle w:val="TableText0"/>
              <w:keepNext/>
              <w:keepLines/>
              <w:jc w:val="center"/>
            </w:pPr>
            <w:r w:rsidRPr="000160C3">
              <w:t>191 (NA)</w:t>
            </w:r>
          </w:p>
        </w:tc>
        <w:tc>
          <w:tcPr>
            <w:tcW w:w="1843" w:type="dxa"/>
            <w:tcMar>
              <w:left w:w="28" w:type="dxa"/>
              <w:right w:w="28" w:type="dxa"/>
            </w:tcMar>
            <w:vAlign w:val="center"/>
          </w:tcPr>
          <w:p w14:paraId="6A37A3AF" w14:textId="72280F01" w:rsidR="003132F4" w:rsidRPr="000160C3" w:rsidRDefault="003132F4" w:rsidP="001C47F4">
            <w:pPr>
              <w:pStyle w:val="TableText0"/>
              <w:keepNext/>
              <w:keepLines/>
              <w:jc w:val="center"/>
            </w:pPr>
            <w:r w:rsidRPr="000160C3">
              <w:rPr>
                <w:rFonts w:eastAsiaTheme="minorHAnsi" w:cstheme="minorBidi"/>
              </w:rPr>
              <w:t>13.1 (9.7, 17.6)</w:t>
            </w:r>
          </w:p>
        </w:tc>
        <w:tc>
          <w:tcPr>
            <w:tcW w:w="1843" w:type="dxa"/>
            <w:vMerge w:val="restart"/>
            <w:tcMar>
              <w:left w:w="28" w:type="dxa"/>
              <w:right w:w="28" w:type="dxa"/>
            </w:tcMar>
            <w:vAlign w:val="center"/>
          </w:tcPr>
          <w:p w14:paraId="738F671C" w14:textId="05D48E2E" w:rsidR="003132F4" w:rsidRPr="000160C3" w:rsidRDefault="003132F4" w:rsidP="001C47F4">
            <w:pPr>
              <w:pStyle w:val="TableText0"/>
              <w:keepNext/>
              <w:keepLines/>
              <w:jc w:val="center"/>
            </w:pPr>
            <w:r w:rsidRPr="000160C3">
              <w:rPr>
                <w:rFonts w:eastAsiaTheme="minorHAnsi" w:cstheme="minorBidi"/>
              </w:rPr>
              <w:t>17.3 (10.0, NA)</w:t>
            </w:r>
          </w:p>
        </w:tc>
        <w:tc>
          <w:tcPr>
            <w:tcW w:w="1559" w:type="dxa"/>
            <w:tcMar>
              <w:left w:w="28" w:type="dxa"/>
              <w:right w:w="28" w:type="dxa"/>
            </w:tcMar>
            <w:vAlign w:val="center"/>
          </w:tcPr>
          <w:p w14:paraId="5F7384A5" w14:textId="465F3514" w:rsidR="003132F4" w:rsidRPr="000160C3" w:rsidRDefault="003132F4" w:rsidP="001C47F4">
            <w:pPr>
              <w:pStyle w:val="TableText0"/>
              <w:keepNext/>
              <w:keepLines/>
              <w:jc w:val="center"/>
            </w:pPr>
            <w:r w:rsidRPr="000160C3">
              <w:rPr>
                <w:rFonts w:eastAsiaTheme="minorHAnsi" w:cstheme="minorBidi"/>
              </w:rPr>
              <w:t>1.24 (0.91, 1.69)</w:t>
            </w:r>
          </w:p>
        </w:tc>
        <w:tc>
          <w:tcPr>
            <w:tcW w:w="851" w:type="dxa"/>
            <w:tcMar>
              <w:left w:w="28" w:type="dxa"/>
              <w:right w:w="28" w:type="dxa"/>
            </w:tcMar>
            <w:vAlign w:val="center"/>
          </w:tcPr>
          <w:p w14:paraId="6DB4A84C" w14:textId="4D842D36" w:rsidR="003132F4" w:rsidRPr="000160C3" w:rsidRDefault="003132F4" w:rsidP="001C47F4">
            <w:pPr>
              <w:pStyle w:val="TableText0"/>
              <w:keepNext/>
              <w:keepLines/>
              <w:jc w:val="center"/>
            </w:pPr>
            <w:r w:rsidRPr="000160C3">
              <w:rPr>
                <w:rFonts w:eastAsiaTheme="minorHAnsi" w:cstheme="minorBidi"/>
              </w:rPr>
              <w:t>0.175</w:t>
            </w:r>
          </w:p>
        </w:tc>
      </w:tr>
      <w:tr w:rsidR="003132F4" w:rsidRPr="000160C3" w14:paraId="792A7D76" w14:textId="77777777" w:rsidTr="005E59DC">
        <w:trPr>
          <w:trHeight w:val="56"/>
        </w:trPr>
        <w:tc>
          <w:tcPr>
            <w:tcW w:w="1555" w:type="dxa"/>
            <w:tcMar>
              <w:left w:w="28" w:type="dxa"/>
              <w:right w:w="28" w:type="dxa"/>
            </w:tcMar>
            <w:vAlign w:val="center"/>
          </w:tcPr>
          <w:p w14:paraId="6A695573" w14:textId="62C74E80" w:rsidR="003132F4" w:rsidRPr="000160C3" w:rsidRDefault="003132F4" w:rsidP="001C47F4">
            <w:pPr>
              <w:pStyle w:val="TableText0"/>
              <w:keepNext/>
              <w:keepLines/>
            </w:pPr>
            <w:r w:rsidRPr="000160C3">
              <w:t>Excl COVID deaths</w:t>
            </w:r>
          </w:p>
        </w:tc>
        <w:tc>
          <w:tcPr>
            <w:tcW w:w="1275" w:type="dxa"/>
            <w:tcMar>
              <w:left w:w="28" w:type="dxa"/>
              <w:right w:w="28" w:type="dxa"/>
            </w:tcMar>
            <w:vAlign w:val="center"/>
          </w:tcPr>
          <w:p w14:paraId="66001A81" w14:textId="131B7532" w:rsidR="003132F4" w:rsidRPr="000160C3" w:rsidRDefault="003132F4" w:rsidP="001C47F4">
            <w:pPr>
              <w:pStyle w:val="TableText0"/>
              <w:keepNext/>
              <w:keepLines/>
              <w:jc w:val="center"/>
            </w:pPr>
            <w:r w:rsidRPr="000160C3">
              <w:t>172 (NA)</w:t>
            </w:r>
          </w:p>
        </w:tc>
        <w:tc>
          <w:tcPr>
            <w:tcW w:w="1843" w:type="dxa"/>
            <w:tcMar>
              <w:left w:w="28" w:type="dxa"/>
              <w:right w:w="28" w:type="dxa"/>
            </w:tcMar>
            <w:vAlign w:val="center"/>
          </w:tcPr>
          <w:p w14:paraId="2D05BF20" w14:textId="1F6BB9D6" w:rsidR="003132F4" w:rsidRPr="000160C3" w:rsidRDefault="003132F4" w:rsidP="001C47F4">
            <w:pPr>
              <w:pStyle w:val="TableText0"/>
              <w:keepNext/>
              <w:keepLines/>
              <w:jc w:val="center"/>
            </w:pPr>
            <w:r w:rsidRPr="000160C3">
              <w:rPr>
                <w:rFonts w:eastAsiaTheme="minorHAnsi" w:cstheme="minorBidi"/>
              </w:rPr>
              <w:t>13.8 (9.9, 21.7)</w:t>
            </w:r>
          </w:p>
        </w:tc>
        <w:tc>
          <w:tcPr>
            <w:tcW w:w="1843" w:type="dxa"/>
            <w:vMerge/>
            <w:tcMar>
              <w:left w:w="28" w:type="dxa"/>
              <w:right w:w="28" w:type="dxa"/>
            </w:tcMar>
            <w:vAlign w:val="center"/>
          </w:tcPr>
          <w:p w14:paraId="5081F68E" w14:textId="77777777" w:rsidR="003132F4" w:rsidRPr="000160C3" w:rsidRDefault="003132F4" w:rsidP="001C47F4">
            <w:pPr>
              <w:pStyle w:val="TableText0"/>
              <w:keepNext/>
              <w:keepLines/>
              <w:jc w:val="center"/>
            </w:pPr>
          </w:p>
        </w:tc>
        <w:tc>
          <w:tcPr>
            <w:tcW w:w="1559" w:type="dxa"/>
            <w:tcMar>
              <w:left w:w="28" w:type="dxa"/>
              <w:right w:w="28" w:type="dxa"/>
            </w:tcMar>
            <w:vAlign w:val="center"/>
          </w:tcPr>
          <w:p w14:paraId="24DC8DD0" w14:textId="02C502D7" w:rsidR="003132F4" w:rsidRPr="000160C3" w:rsidRDefault="003132F4" w:rsidP="001C47F4">
            <w:pPr>
              <w:pStyle w:val="TableText0"/>
              <w:keepNext/>
              <w:keepLines/>
              <w:jc w:val="center"/>
            </w:pPr>
            <w:r w:rsidRPr="000160C3">
              <w:rPr>
                <w:rFonts w:eastAsiaTheme="minorHAnsi" w:cstheme="minorBidi"/>
              </w:rPr>
              <w:t>1.14 (0.83, 1.57)</w:t>
            </w:r>
          </w:p>
        </w:tc>
        <w:tc>
          <w:tcPr>
            <w:tcW w:w="851" w:type="dxa"/>
            <w:tcMar>
              <w:left w:w="28" w:type="dxa"/>
              <w:right w:w="28" w:type="dxa"/>
            </w:tcMar>
            <w:vAlign w:val="center"/>
          </w:tcPr>
          <w:p w14:paraId="3C393171" w14:textId="5B0A9924" w:rsidR="003132F4" w:rsidRPr="000160C3" w:rsidRDefault="003132F4" w:rsidP="001C47F4">
            <w:pPr>
              <w:pStyle w:val="TableText0"/>
              <w:keepNext/>
              <w:keepLines/>
              <w:jc w:val="center"/>
            </w:pPr>
            <w:r w:rsidRPr="000160C3">
              <w:rPr>
                <w:rFonts w:eastAsiaTheme="minorHAnsi" w:cstheme="minorBidi"/>
              </w:rPr>
              <w:t>0.421</w:t>
            </w:r>
          </w:p>
        </w:tc>
      </w:tr>
      <w:tr w:rsidR="003132F4" w:rsidRPr="000160C3" w14:paraId="56FC4BD5" w14:textId="77777777" w:rsidTr="005E59DC">
        <w:trPr>
          <w:trHeight w:val="56"/>
        </w:trPr>
        <w:tc>
          <w:tcPr>
            <w:tcW w:w="1555" w:type="dxa"/>
            <w:tcMar>
              <w:left w:w="28" w:type="dxa"/>
              <w:right w:w="28" w:type="dxa"/>
            </w:tcMar>
            <w:vAlign w:val="center"/>
          </w:tcPr>
          <w:p w14:paraId="64613802" w14:textId="40A1EC45" w:rsidR="003132F4" w:rsidRPr="000160C3" w:rsidRDefault="003132F4" w:rsidP="001C47F4">
            <w:pPr>
              <w:pStyle w:val="TableText0"/>
              <w:keepNext/>
              <w:keepLines/>
            </w:pPr>
            <w:r w:rsidRPr="000160C3">
              <w:t>BC matching set</w:t>
            </w:r>
          </w:p>
        </w:tc>
        <w:tc>
          <w:tcPr>
            <w:tcW w:w="1275" w:type="dxa"/>
            <w:tcMar>
              <w:left w:w="28" w:type="dxa"/>
              <w:right w:w="28" w:type="dxa"/>
            </w:tcMar>
            <w:vAlign w:val="center"/>
          </w:tcPr>
          <w:p w14:paraId="00AE8CBB" w14:textId="1EF1FD04" w:rsidR="003132F4" w:rsidRPr="000160C3" w:rsidRDefault="003132F4" w:rsidP="001C47F4">
            <w:pPr>
              <w:pStyle w:val="TableText0"/>
              <w:keepNext/>
              <w:keepLines/>
              <w:jc w:val="center"/>
            </w:pPr>
            <w:r w:rsidRPr="000160C3">
              <w:t>172 123)</w:t>
            </w:r>
          </w:p>
        </w:tc>
        <w:tc>
          <w:tcPr>
            <w:tcW w:w="1843" w:type="dxa"/>
            <w:tcMar>
              <w:left w:w="28" w:type="dxa"/>
              <w:right w:w="28" w:type="dxa"/>
            </w:tcMar>
            <w:vAlign w:val="center"/>
          </w:tcPr>
          <w:p w14:paraId="435999E8" w14:textId="44845626" w:rsidR="003132F4" w:rsidRPr="000160C3" w:rsidRDefault="003132F4" w:rsidP="001C47F4">
            <w:pPr>
              <w:pStyle w:val="TableText0"/>
              <w:keepNext/>
              <w:keepLines/>
              <w:jc w:val="center"/>
            </w:pPr>
            <w:r w:rsidRPr="000160C3">
              <w:rPr>
                <w:rFonts w:eastAsiaTheme="minorHAnsi" w:cstheme="minorBidi"/>
              </w:rPr>
              <w:t>13.5 (8.8, 22.8)</w:t>
            </w:r>
          </w:p>
        </w:tc>
        <w:tc>
          <w:tcPr>
            <w:tcW w:w="1843" w:type="dxa"/>
            <w:vMerge/>
            <w:tcMar>
              <w:left w:w="28" w:type="dxa"/>
              <w:right w:w="28" w:type="dxa"/>
            </w:tcMar>
            <w:vAlign w:val="center"/>
          </w:tcPr>
          <w:p w14:paraId="5F72270E" w14:textId="77777777" w:rsidR="003132F4" w:rsidRPr="000160C3" w:rsidRDefault="003132F4" w:rsidP="001C47F4">
            <w:pPr>
              <w:pStyle w:val="TableText0"/>
              <w:keepNext/>
              <w:keepLines/>
              <w:jc w:val="center"/>
            </w:pPr>
          </w:p>
        </w:tc>
        <w:tc>
          <w:tcPr>
            <w:tcW w:w="1559" w:type="dxa"/>
            <w:tcMar>
              <w:left w:w="28" w:type="dxa"/>
              <w:right w:w="28" w:type="dxa"/>
            </w:tcMar>
            <w:vAlign w:val="center"/>
          </w:tcPr>
          <w:p w14:paraId="39513E38" w14:textId="23E9C586" w:rsidR="003132F4" w:rsidRPr="000160C3" w:rsidRDefault="003132F4" w:rsidP="001C47F4">
            <w:pPr>
              <w:pStyle w:val="TableText0"/>
              <w:keepNext/>
              <w:keepLines/>
              <w:jc w:val="center"/>
            </w:pPr>
            <w:r w:rsidRPr="000160C3">
              <w:rPr>
                <w:rFonts w:eastAsiaTheme="minorHAnsi" w:cstheme="minorBidi"/>
              </w:rPr>
              <w:t>1.14 (0.80, 1.61)</w:t>
            </w:r>
          </w:p>
        </w:tc>
        <w:tc>
          <w:tcPr>
            <w:tcW w:w="851" w:type="dxa"/>
            <w:tcMar>
              <w:left w:w="28" w:type="dxa"/>
              <w:right w:w="28" w:type="dxa"/>
            </w:tcMar>
            <w:vAlign w:val="center"/>
          </w:tcPr>
          <w:p w14:paraId="7CCCC707" w14:textId="5A4B77BA" w:rsidR="003132F4" w:rsidRPr="000160C3" w:rsidRDefault="003132F4" w:rsidP="001C47F4">
            <w:pPr>
              <w:pStyle w:val="TableText0"/>
              <w:keepNext/>
              <w:keepLines/>
              <w:jc w:val="center"/>
            </w:pPr>
            <w:r w:rsidRPr="000160C3">
              <w:rPr>
                <w:rFonts w:eastAsiaTheme="minorHAnsi" w:cstheme="minorBidi"/>
              </w:rPr>
              <w:t>0.476</w:t>
            </w:r>
          </w:p>
        </w:tc>
      </w:tr>
      <w:tr w:rsidR="003132F4" w:rsidRPr="000160C3" w14:paraId="337AEA4D" w14:textId="77777777" w:rsidTr="005E59DC">
        <w:trPr>
          <w:trHeight w:val="56"/>
        </w:trPr>
        <w:tc>
          <w:tcPr>
            <w:tcW w:w="1555" w:type="dxa"/>
            <w:tcMar>
              <w:left w:w="28" w:type="dxa"/>
              <w:right w:w="28" w:type="dxa"/>
            </w:tcMar>
            <w:vAlign w:val="center"/>
          </w:tcPr>
          <w:p w14:paraId="27F600A0" w14:textId="1C3CF071" w:rsidR="003132F4" w:rsidRPr="000160C3" w:rsidRDefault="003132F4" w:rsidP="001C47F4">
            <w:pPr>
              <w:pStyle w:val="TableText0"/>
              <w:keepNext/>
              <w:keepLines/>
            </w:pPr>
            <w:r w:rsidRPr="000160C3">
              <w:t>Full matching set</w:t>
            </w:r>
          </w:p>
        </w:tc>
        <w:tc>
          <w:tcPr>
            <w:tcW w:w="1275" w:type="dxa"/>
            <w:tcMar>
              <w:left w:w="28" w:type="dxa"/>
              <w:right w:w="28" w:type="dxa"/>
            </w:tcMar>
            <w:vAlign w:val="center"/>
          </w:tcPr>
          <w:p w14:paraId="2382B03A" w14:textId="68E0D8AB" w:rsidR="003132F4" w:rsidRPr="000160C3" w:rsidRDefault="003132F4" w:rsidP="001C47F4">
            <w:pPr>
              <w:pStyle w:val="TableText0"/>
              <w:keepNext/>
              <w:keepLines/>
              <w:jc w:val="center"/>
            </w:pPr>
            <w:r w:rsidRPr="000160C3">
              <w:t>172 (97)</w:t>
            </w:r>
          </w:p>
        </w:tc>
        <w:tc>
          <w:tcPr>
            <w:tcW w:w="1843" w:type="dxa"/>
            <w:tcMar>
              <w:left w:w="28" w:type="dxa"/>
              <w:right w:w="28" w:type="dxa"/>
            </w:tcMar>
            <w:vAlign w:val="center"/>
          </w:tcPr>
          <w:p w14:paraId="67AF5A17" w14:textId="14E50C1D" w:rsidR="003132F4" w:rsidRPr="000160C3" w:rsidRDefault="003132F4" w:rsidP="001C47F4">
            <w:pPr>
              <w:pStyle w:val="TableText0"/>
              <w:keepNext/>
              <w:keepLines/>
              <w:jc w:val="center"/>
            </w:pPr>
            <w:r w:rsidRPr="000160C3">
              <w:rPr>
                <w:rFonts w:eastAsiaTheme="minorHAnsi" w:cstheme="minorBidi"/>
              </w:rPr>
              <w:t>14.4 (9.2, NA)</w:t>
            </w:r>
          </w:p>
        </w:tc>
        <w:tc>
          <w:tcPr>
            <w:tcW w:w="1843" w:type="dxa"/>
            <w:vMerge/>
            <w:tcMar>
              <w:left w:w="28" w:type="dxa"/>
              <w:right w:w="28" w:type="dxa"/>
            </w:tcMar>
            <w:vAlign w:val="center"/>
          </w:tcPr>
          <w:p w14:paraId="4D2006F6" w14:textId="77777777" w:rsidR="003132F4" w:rsidRPr="000160C3" w:rsidRDefault="003132F4" w:rsidP="001C47F4">
            <w:pPr>
              <w:pStyle w:val="TableText0"/>
              <w:keepNext/>
              <w:keepLines/>
              <w:jc w:val="center"/>
            </w:pPr>
          </w:p>
        </w:tc>
        <w:tc>
          <w:tcPr>
            <w:tcW w:w="1559" w:type="dxa"/>
            <w:tcMar>
              <w:left w:w="28" w:type="dxa"/>
              <w:right w:w="28" w:type="dxa"/>
            </w:tcMar>
            <w:vAlign w:val="center"/>
          </w:tcPr>
          <w:p w14:paraId="60B7E6B4" w14:textId="320E6EE8" w:rsidR="003132F4" w:rsidRPr="000160C3" w:rsidRDefault="003132F4" w:rsidP="001C47F4">
            <w:pPr>
              <w:pStyle w:val="TableText0"/>
              <w:keepNext/>
              <w:keepLines/>
              <w:jc w:val="center"/>
            </w:pPr>
            <w:r w:rsidRPr="000160C3">
              <w:rPr>
                <w:rFonts w:eastAsiaTheme="minorHAnsi" w:cstheme="minorBidi"/>
              </w:rPr>
              <w:t>1.07 (0.73, 1.55)</w:t>
            </w:r>
          </w:p>
        </w:tc>
        <w:tc>
          <w:tcPr>
            <w:tcW w:w="851" w:type="dxa"/>
            <w:tcMar>
              <w:left w:w="28" w:type="dxa"/>
              <w:right w:w="28" w:type="dxa"/>
            </w:tcMar>
            <w:vAlign w:val="center"/>
          </w:tcPr>
          <w:p w14:paraId="0A1A7158" w14:textId="6EC180DC" w:rsidR="003132F4" w:rsidRPr="000160C3" w:rsidRDefault="003132F4" w:rsidP="001C47F4">
            <w:pPr>
              <w:pStyle w:val="TableText0"/>
              <w:keepNext/>
              <w:keepLines/>
              <w:jc w:val="center"/>
            </w:pPr>
            <w:r w:rsidRPr="000160C3">
              <w:rPr>
                <w:rFonts w:eastAsiaTheme="minorHAnsi" w:cstheme="minorBidi"/>
              </w:rPr>
              <w:t>0.735</w:t>
            </w:r>
          </w:p>
        </w:tc>
      </w:tr>
      <w:tr w:rsidR="00423816" w:rsidRPr="000160C3" w14:paraId="5D95ACAE" w14:textId="77777777" w:rsidTr="00F376C1">
        <w:trPr>
          <w:trHeight w:val="56"/>
        </w:trPr>
        <w:tc>
          <w:tcPr>
            <w:tcW w:w="8926" w:type="dxa"/>
            <w:gridSpan w:val="6"/>
            <w:tcMar>
              <w:left w:w="28" w:type="dxa"/>
              <w:right w:w="28" w:type="dxa"/>
            </w:tcMar>
            <w:vAlign w:val="center"/>
          </w:tcPr>
          <w:p w14:paraId="7B9350F4" w14:textId="5FD307F5" w:rsidR="00423816" w:rsidRPr="000160C3" w:rsidRDefault="00A2313C" w:rsidP="001C47F4">
            <w:pPr>
              <w:pStyle w:val="TableText0"/>
              <w:keepNext/>
              <w:keepLines/>
              <w:rPr>
                <w:b/>
                <w:bCs w:val="0"/>
              </w:rPr>
            </w:pPr>
            <w:r w:rsidRPr="000160C3">
              <w:rPr>
                <w:b/>
                <w:bCs w:val="0"/>
              </w:rPr>
              <w:t>Sensitivity</w:t>
            </w:r>
            <w:r w:rsidR="00063F2E" w:rsidRPr="000160C3">
              <w:rPr>
                <w:b/>
                <w:bCs w:val="0"/>
              </w:rPr>
              <w:t xml:space="preserve"> 1</w:t>
            </w:r>
            <w:r w:rsidRPr="000160C3">
              <w:rPr>
                <w:b/>
                <w:bCs w:val="0"/>
              </w:rPr>
              <w:t>: RP2D population only</w:t>
            </w:r>
            <w:r w:rsidR="00186DD5" w:rsidRPr="000160C3">
              <w:rPr>
                <w:b/>
                <w:bCs w:val="0"/>
              </w:rPr>
              <w:t>,</w:t>
            </w:r>
            <w:r w:rsidRPr="000160C3">
              <w:rPr>
                <w:b/>
                <w:bCs w:val="0"/>
              </w:rPr>
              <w:t xml:space="preserve"> including RP2D patients who died due to COVID</w:t>
            </w:r>
            <w:r w:rsidR="00EC1990">
              <w:rPr>
                <w:b/>
                <w:bCs w:val="0"/>
              </w:rPr>
              <w:noBreakHyphen/>
            </w:r>
            <w:r w:rsidRPr="000160C3">
              <w:rPr>
                <w:b/>
                <w:bCs w:val="0"/>
              </w:rPr>
              <w:t>19</w:t>
            </w:r>
          </w:p>
        </w:tc>
      </w:tr>
      <w:tr w:rsidR="00423816" w:rsidRPr="000160C3" w14:paraId="069A8122" w14:textId="77777777" w:rsidTr="00C6478C">
        <w:trPr>
          <w:trHeight w:val="56"/>
        </w:trPr>
        <w:tc>
          <w:tcPr>
            <w:tcW w:w="1555" w:type="dxa"/>
            <w:tcMar>
              <w:left w:w="28" w:type="dxa"/>
              <w:right w:w="28" w:type="dxa"/>
            </w:tcMar>
            <w:vAlign w:val="center"/>
          </w:tcPr>
          <w:p w14:paraId="520E7BC8" w14:textId="77777777" w:rsidR="00423816" w:rsidRPr="000160C3" w:rsidRDefault="00423816" w:rsidP="001C47F4">
            <w:pPr>
              <w:pStyle w:val="TableText0"/>
              <w:keepNext/>
              <w:keepLines/>
            </w:pPr>
            <w:r w:rsidRPr="000160C3">
              <w:t>Unadjusted</w:t>
            </w:r>
          </w:p>
        </w:tc>
        <w:tc>
          <w:tcPr>
            <w:tcW w:w="1275" w:type="dxa"/>
            <w:tcMar>
              <w:left w:w="28" w:type="dxa"/>
              <w:right w:w="28" w:type="dxa"/>
            </w:tcMar>
            <w:vAlign w:val="center"/>
          </w:tcPr>
          <w:p w14:paraId="10AF8911" w14:textId="77777777" w:rsidR="00423816" w:rsidRPr="00F018AE" w:rsidRDefault="00423816" w:rsidP="001C47F4">
            <w:pPr>
              <w:pStyle w:val="In-tableHeading"/>
              <w:jc w:val="center"/>
              <w:rPr>
                <w:b w:val="0"/>
                <w:bCs/>
              </w:rPr>
            </w:pPr>
            <w:r w:rsidRPr="00F018AE">
              <w:rPr>
                <w:b w:val="0"/>
                <w:bCs/>
              </w:rPr>
              <w:t>165 (NA)</w:t>
            </w:r>
          </w:p>
        </w:tc>
        <w:tc>
          <w:tcPr>
            <w:tcW w:w="1843" w:type="dxa"/>
            <w:tcMar>
              <w:left w:w="28" w:type="dxa"/>
              <w:right w:w="28" w:type="dxa"/>
            </w:tcMar>
            <w:vAlign w:val="center"/>
          </w:tcPr>
          <w:p w14:paraId="392A09BF" w14:textId="77777777" w:rsidR="00423816" w:rsidRPr="000160C3" w:rsidRDefault="00423816" w:rsidP="001C47F4">
            <w:pPr>
              <w:pStyle w:val="TableText0"/>
              <w:keepNext/>
              <w:keepLines/>
              <w:jc w:val="center"/>
            </w:pPr>
            <w:r w:rsidRPr="000160C3">
              <w:t>11.4 (8.8, 16.4)</w:t>
            </w:r>
          </w:p>
        </w:tc>
        <w:tc>
          <w:tcPr>
            <w:tcW w:w="1843" w:type="dxa"/>
            <w:vMerge w:val="restart"/>
            <w:tcMar>
              <w:left w:w="28" w:type="dxa"/>
              <w:right w:w="28" w:type="dxa"/>
            </w:tcMar>
            <w:vAlign w:val="center"/>
          </w:tcPr>
          <w:p w14:paraId="1CC4C38C" w14:textId="77777777" w:rsidR="00423816" w:rsidRPr="000160C3" w:rsidRDefault="00423816" w:rsidP="001C47F4">
            <w:pPr>
              <w:pStyle w:val="TableText0"/>
              <w:keepNext/>
              <w:keepLines/>
              <w:jc w:val="center"/>
            </w:pPr>
            <w:r w:rsidRPr="000160C3">
              <w:t>17.3 (10.0, NA)</w:t>
            </w:r>
          </w:p>
        </w:tc>
        <w:tc>
          <w:tcPr>
            <w:tcW w:w="1559" w:type="dxa"/>
            <w:tcMar>
              <w:left w:w="28" w:type="dxa"/>
              <w:right w:w="28" w:type="dxa"/>
            </w:tcMar>
            <w:vAlign w:val="center"/>
          </w:tcPr>
          <w:p w14:paraId="438E9F8F" w14:textId="77777777" w:rsidR="00423816" w:rsidRPr="000160C3" w:rsidRDefault="00423816" w:rsidP="001C47F4">
            <w:pPr>
              <w:pStyle w:val="TableText0"/>
              <w:keepNext/>
              <w:keepLines/>
              <w:jc w:val="center"/>
            </w:pPr>
            <w:r w:rsidRPr="000160C3">
              <w:t>1.31 (0.96, 1.80)</w:t>
            </w:r>
          </w:p>
        </w:tc>
        <w:tc>
          <w:tcPr>
            <w:tcW w:w="851" w:type="dxa"/>
            <w:tcMar>
              <w:left w:w="28" w:type="dxa"/>
              <w:right w:w="28" w:type="dxa"/>
            </w:tcMar>
            <w:vAlign w:val="center"/>
          </w:tcPr>
          <w:p w14:paraId="518C18A6" w14:textId="77777777" w:rsidR="00423816" w:rsidRPr="000160C3" w:rsidRDefault="00423816" w:rsidP="001C47F4">
            <w:pPr>
              <w:pStyle w:val="TableText0"/>
              <w:keepNext/>
              <w:keepLines/>
              <w:jc w:val="center"/>
            </w:pPr>
            <w:r w:rsidRPr="000160C3">
              <w:t>0.09</w:t>
            </w:r>
          </w:p>
        </w:tc>
      </w:tr>
      <w:tr w:rsidR="00423816" w:rsidRPr="000160C3" w14:paraId="3834E56E" w14:textId="77777777" w:rsidTr="00C6478C">
        <w:trPr>
          <w:trHeight w:val="63"/>
        </w:trPr>
        <w:tc>
          <w:tcPr>
            <w:tcW w:w="1555" w:type="dxa"/>
            <w:tcMar>
              <w:left w:w="28" w:type="dxa"/>
              <w:right w:w="28" w:type="dxa"/>
            </w:tcMar>
            <w:vAlign w:val="center"/>
          </w:tcPr>
          <w:p w14:paraId="7058AD3F" w14:textId="77777777" w:rsidR="00423816" w:rsidRPr="000160C3" w:rsidRDefault="00423816" w:rsidP="001C47F4">
            <w:pPr>
              <w:pStyle w:val="TableText0"/>
              <w:keepNext/>
              <w:keepLines/>
            </w:pPr>
            <w:r w:rsidRPr="000160C3">
              <w:t>BC matching set</w:t>
            </w:r>
          </w:p>
        </w:tc>
        <w:tc>
          <w:tcPr>
            <w:tcW w:w="1275" w:type="dxa"/>
            <w:tcMar>
              <w:left w:w="28" w:type="dxa"/>
              <w:right w:w="28" w:type="dxa"/>
            </w:tcMar>
            <w:vAlign w:val="center"/>
          </w:tcPr>
          <w:p w14:paraId="14FB370F" w14:textId="77777777" w:rsidR="00423816" w:rsidRPr="00F018AE" w:rsidRDefault="00423816" w:rsidP="001C47F4">
            <w:pPr>
              <w:pStyle w:val="In-tableHeading"/>
              <w:jc w:val="center"/>
              <w:rPr>
                <w:b w:val="0"/>
                <w:bCs/>
              </w:rPr>
            </w:pPr>
            <w:r w:rsidRPr="00F018AE">
              <w:rPr>
                <w:b w:val="0"/>
                <w:bCs/>
              </w:rPr>
              <w:t>165 (115)</w:t>
            </w:r>
          </w:p>
        </w:tc>
        <w:tc>
          <w:tcPr>
            <w:tcW w:w="1843" w:type="dxa"/>
            <w:tcMar>
              <w:left w:w="28" w:type="dxa"/>
              <w:right w:w="28" w:type="dxa"/>
            </w:tcMar>
            <w:vAlign w:val="center"/>
          </w:tcPr>
          <w:p w14:paraId="047C06F4" w14:textId="77777777" w:rsidR="00423816" w:rsidRPr="00F018AE" w:rsidRDefault="00423816" w:rsidP="001C47F4">
            <w:pPr>
              <w:pStyle w:val="In-tableHeading"/>
              <w:jc w:val="center"/>
              <w:rPr>
                <w:b w:val="0"/>
                <w:bCs/>
              </w:rPr>
            </w:pPr>
            <w:r w:rsidRPr="00F018AE">
              <w:rPr>
                <w:b w:val="0"/>
                <w:bCs/>
              </w:rPr>
              <w:t>10.1 (6.4, 16.0)</w:t>
            </w:r>
          </w:p>
        </w:tc>
        <w:tc>
          <w:tcPr>
            <w:tcW w:w="1843" w:type="dxa"/>
            <w:vMerge/>
            <w:tcMar>
              <w:left w:w="28" w:type="dxa"/>
              <w:right w:w="28" w:type="dxa"/>
            </w:tcMar>
            <w:vAlign w:val="center"/>
          </w:tcPr>
          <w:p w14:paraId="25238394" w14:textId="77777777" w:rsidR="00423816" w:rsidRPr="000160C3" w:rsidRDefault="00423816" w:rsidP="001C47F4">
            <w:pPr>
              <w:pStyle w:val="In-tableHeading"/>
            </w:pPr>
          </w:p>
        </w:tc>
        <w:tc>
          <w:tcPr>
            <w:tcW w:w="1559" w:type="dxa"/>
            <w:tcMar>
              <w:left w:w="28" w:type="dxa"/>
              <w:right w:w="28" w:type="dxa"/>
            </w:tcMar>
            <w:vAlign w:val="center"/>
          </w:tcPr>
          <w:p w14:paraId="5E7B7C70" w14:textId="77777777" w:rsidR="00423816" w:rsidRPr="000160C3" w:rsidRDefault="00423816" w:rsidP="001C47F4">
            <w:pPr>
              <w:pStyle w:val="TableText0"/>
              <w:keepNext/>
              <w:keepLines/>
              <w:jc w:val="center"/>
            </w:pPr>
            <w:r w:rsidRPr="000160C3">
              <w:t>1.40 (0.99, 1.98)</w:t>
            </w:r>
          </w:p>
        </w:tc>
        <w:tc>
          <w:tcPr>
            <w:tcW w:w="851" w:type="dxa"/>
            <w:tcMar>
              <w:left w:w="28" w:type="dxa"/>
              <w:right w:w="28" w:type="dxa"/>
            </w:tcMar>
            <w:vAlign w:val="center"/>
          </w:tcPr>
          <w:p w14:paraId="4261ACF4" w14:textId="77777777" w:rsidR="00423816" w:rsidRPr="000160C3" w:rsidRDefault="00423816" w:rsidP="001C47F4">
            <w:pPr>
              <w:pStyle w:val="TableText0"/>
              <w:keepNext/>
              <w:keepLines/>
              <w:jc w:val="center"/>
            </w:pPr>
            <w:r w:rsidRPr="000160C3">
              <w:t>0.057</w:t>
            </w:r>
          </w:p>
        </w:tc>
      </w:tr>
      <w:tr w:rsidR="00423816" w:rsidRPr="000160C3" w14:paraId="1F0B9593" w14:textId="77777777" w:rsidTr="003B6EFC">
        <w:trPr>
          <w:trHeight w:val="56"/>
        </w:trPr>
        <w:tc>
          <w:tcPr>
            <w:tcW w:w="1555" w:type="dxa"/>
            <w:tcMar>
              <w:left w:w="28" w:type="dxa"/>
              <w:right w:w="28" w:type="dxa"/>
            </w:tcMar>
            <w:vAlign w:val="center"/>
          </w:tcPr>
          <w:p w14:paraId="6052902A" w14:textId="77777777" w:rsidR="00423816" w:rsidRPr="000160C3" w:rsidRDefault="00423816" w:rsidP="001C47F4">
            <w:pPr>
              <w:pStyle w:val="TableText0"/>
              <w:keepNext/>
              <w:keepLines/>
            </w:pPr>
            <w:r w:rsidRPr="000160C3">
              <w:t>Full matching set</w:t>
            </w:r>
          </w:p>
        </w:tc>
        <w:tc>
          <w:tcPr>
            <w:tcW w:w="1275" w:type="dxa"/>
            <w:tcMar>
              <w:left w:w="28" w:type="dxa"/>
              <w:right w:w="28" w:type="dxa"/>
            </w:tcMar>
            <w:vAlign w:val="center"/>
          </w:tcPr>
          <w:p w14:paraId="5A7187FA" w14:textId="77777777" w:rsidR="00423816" w:rsidRPr="00F018AE" w:rsidRDefault="00423816" w:rsidP="001C47F4">
            <w:pPr>
              <w:pStyle w:val="In-tableHeading"/>
              <w:jc w:val="center"/>
              <w:rPr>
                <w:b w:val="0"/>
                <w:bCs/>
              </w:rPr>
            </w:pPr>
            <w:r w:rsidRPr="00F018AE">
              <w:rPr>
                <w:b w:val="0"/>
                <w:bCs/>
              </w:rPr>
              <w:t>165 (65)</w:t>
            </w:r>
          </w:p>
        </w:tc>
        <w:tc>
          <w:tcPr>
            <w:tcW w:w="1843" w:type="dxa"/>
            <w:tcMar>
              <w:left w:w="28" w:type="dxa"/>
              <w:right w:w="28" w:type="dxa"/>
            </w:tcMar>
            <w:vAlign w:val="center"/>
          </w:tcPr>
          <w:p w14:paraId="507A712A" w14:textId="77777777" w:rsidR="00423816" w:rsidRPr="00F018AE" w:rsidRDefault="00423816" w:rsidP="001C47F4">
            <w:pPr>
              <w:pStyle w:val="In-tableHeading"/>
              <w:jc w:val="center"/>
              <w:rPr>
                <w:b w:val="0"/>
                <w:bCs/>
              </w:rPr>
            </w:pPr>
            <w:r w:rsidRPr="00F018AE">
              <w:rPr>
                <w:b w:val="0"/>
                <w:bCs/>
              </w:rPr>
              <w:t>8.8 (4.2, 17.2)</w:t>
            </w:r>
          </w:p>
        </w:tc>
        <w:tc>
          <w:tcPr>
            <w:tcW w:w="1843" w:type="dxa"/>
            <w:vMerge/>
            <w:tcMar>
              <w:left w:w="28" w:type="dxa"/>
              <w:right w:w="28" w:type="dxa"/>
            </w:tcMar>
            <w:vAlign w:val="center"/>
          </w:tcPr>
          <w:p w14:paraId="04542EF4" w14:textId="77777777" w:rsidR="00423816" w:rsidRPr="000160C3" w:rsidRDefault="00423816" w:rsidP="001C47F4">
            <w:pPr>
              <w:pStyle w:val="In-tableHeading"/>
            </w:pPr>
          </w:p>
        </w:tc>
        <w:tc>
          <w:tcPr>
            <w:tcW w:w="1559" w:type="dxa"/>
            <w:tcMar>
              <w:left w:w="28" w:type="dxa"/>
              <w:right w:w="28" w:type="dxa"/>
            </w:tcMar>
            <w:vAlign w:val="center"/>
          </w:tcPr>
          <w:p w14:paraId="2C9A0030" w14:textId="77777777" w:rsidR="00423816" w:rsidRPr="000160C3" w:rsidRDefault="00423816" w:rsidP="001C47F4">
            <w:pPr>
              <w:pStyle w:val="TableText0"/>
              <w:keepNext/>
              <w:keepLines/>
              <w:jc w:val="center"/>
            </w:pPr>
            <w:r w:rsidRPr="000160C3">
              <w:t>1.43 (0.96, 2.15)</w:t>
            </w:r>
          </w:p>
        </w:tc>
        <w:tc>
          <w:tcPr>
            <w:tcW w:w="851" w:type="dxa"/>
            <w:tcMar>
              <w:left w:w="28" w:type="dxa"/>
              <w:right w:w="28" w:type="dxa"/>
            </w:tcMar>
            <w:vAlign w:val="center"/>
          </w:tcPr>
          <w:p w14:paraId="2B05F819" w14:textId="77777777" w:rsidR="00423816" w:rsidRPr="000160C3" w:rsidRDefault="00423816" w:rsidP="001C47F4">
            <w:pPr>
              <w:pStyle w:val="TableText0"/>
              <w:keepNext/>
              <w:keepLines/>
              <w:jc w:val="center"/>
            </w:pPr>
            <w:r w:rsidRPr="000160C3">
              <w:t>0.082</w:t>
            </w:r>
          </w:p>
        </w:tc>
      </w:tr>
      <w:tr w:rsidR="00423816" w:rsidRPr="000160C3" w14:paraId="394FB814" w14:textId="77777777" w:rsidTr="00F376C1">
        <w:trPr>
          <w:trHeight w:val="56"/>
        </w:trPr>
        <w:tc>
          <w:tcPr>
            <w:tcW w:w="8926" w:type="dxa"/>
            <w:gridSpan w:val="6"/>
            <w:tcMar>
              <w:left w:w="28" w:type="dxa"/>
              <w:right w:w="28" w:type="dxa"/>
            </w:tcMar>
            <w:vAlign w:val="center"/>
          </w:tcPr>
          <w:p w14:paraId="1A75EE9D" w14:textId="19FC988C" w:rsidR="00423816" w:rsidRPr="000160C3" w:rsidRDefault="00A2313C" w:rsidP="001C47F4">
            <w:pPr>
              <w:pStyle w:val="TableText0"/>
              <w:keepNext/>
              <w:keepLines/>
              <w:rPr>
                <w:b/>
                <w:bCs w:val="0"/>
              </w:rPr>
            </w:pPr>
            <w:r w:rsidRPr="000160C3">
              <w:rPr>
                <w:b/>
                <w:bCs w:val="0"/>
              </w:rPr>
              <w:t>Sensitivity</w:t>
            </w:r>
            <w:r w:rsidR="00063F2E" w:rsidRPr="000160C3">
              <w:rPr>
                <w:b/>
                <w:bCs w:val="0"/>
              </w:rPr>
              <w:t xml:space="preserve"> 2</w:t>
            </w:r>
            <w:r w:rsidRPr="000160C3">
              <w:rPr>
                <w:b/>
                <w:bCs w:val="0"/>
              </w:rPr>
              <w:t>: RP2D population only</w:t>
            </w:r>
            <w:r w:rsidR="00186DD5" w:rsidRPr="000160C3">
              <w:rPr>
                <w:b/>
                <w:bCs w:val="0"/>
              </w:rPr>
              <w:t>,</w:t>
            </w:r>
            <w:r w:rsidRPr="000160C3">
              <w:rPr>
                <w:b/>
                <w:bCs w:val="0"/>
              </w:rPr>
              <w:t xml:space="preserve"> excluding RP2D patients who died due to COVID</w:t>
            </w:r>
            <w:r w:rsidR="00EC1990">
              <w:rPr>
                <w:b/>
                <w:bCs w:val="0"/>
              </w:rPr>
              <w:noBreakHyphen/>
            </w:r>
            <w:r w:rsidRPr="000160C3">
              <w:rPr>
                <w:b/>
                <w:bCs w:val="0"/>
              </w:rPr>
              <w:t>19</w:t>
            </w:r>
          </w:p>
        </w:tc>
      </w:tr>
      <w:tr w:rsidR="00423816" w:rsidRPr="000160C3" w14:paraId="01ED9E98" w14:textId="77777777" w:rsidTr="005E59DC">
        <w:trPr>
          <w:trHeight w:val="56"/>
        </w:trPr>
        <w:tc>
          <w:tcPr>
            <w:tcW w:w="1555" w:type="dxa"/>
            <w:tcMar>
              <w:left w:w="28" w:type="dxa"/>
              <w:right w:w="28" w:type="dxa"/>
            </w:tcMar>
            <w:vAlign w:val="center"/>
            <w:hideMark/>
          </w:tcPr>
          <w:p w14:paraId="4255B633" w14:textId="77777777" w:rsidR="00423816" w:rsidRPr="000160C3" w:rsidRDefault="00423816" w:rsidP="001C47F4">
            <w:pPr>
              <w:pStyle w:val="TableText0"/>
              <w:keepNext/>
              <w:keepLines/>
            </w:pPr>
            <w:r w:rsidRPr="000160C3">
              <w:t>Unadjusted</w:t>
            </w:r>
          </w:p>
        </w:tc>
        <w:tc>
          <w:tcPr>
            <w:tcW w:w="1275" w:type="dxa"/>
            <w:tcMar>
              <w:left w:w="28" w:type="dxa"/>
              <w:right w:w="28" w:type="dxa"/>
            </w:tcMar>
            <w:vAlign w:val="center"/>
            <w:hideMark/>
          </w:tcPr>
          <w:p w14:paraId="6D3BA1AF" w14:textId="77777777" w:rsidR="00423816" w:rsidRPr="000160C3" w:rsidRDefault="00423816" w:rsidP="001C47F4">
            <w:pPr>
              <w:pStyle w:val="TableText0"/>
              <w:keepNext/>
              <w:keepLines/>
              <w:jc w:val="center"/>
            </w:pPr>
            <w:r w:rsidRPr="000160C3">
              <w:t>165 (NA)</w:t>
            </w:r>
          </w:p>
        </w:tc>
        <w:tc>
          <w:tcPr>
            <w:tcW w:w="1843" w:type="dxa"/>
            <w:tcMar>
              <w:left w:w="28" w:type="dxa"/>
              <w:right w:w="28" w:type="dxa"/>
            </w:tcMar>
            <w:vAlign w:val="center"/>
            <w:hideMark/>
          </w:tcPr>
          <w:p w14:paraId="23B6AAA4" w14:textId="77777777" w:rsidR="00423816" w:rsidRPr="000160C3" w:rsidRDefault="00423816" w:rsidP="001C47F4">
            <w:pPr>
              <w:pStyle w:val="TableText0"/>
              <w:keepNext/>
              <w:keepLines/>
              <w:jc w:val="center"/>
            </w:pPr>
            <w:r w:rsidRPr="000160C3">
              <w:t>11.4 (8.8, 16.4)</w:t>
            </w:r>
          </w:p>
        </w:tc>
        <w:tc>
          <w:tcPr>
            <w:tcW w:w="1843" w:type="dxa"/>
            <w:vMerge w:val="restart"/>
            <w:tcMar>
              <w:left w:w="28" w:type="dxa"/>
              <w:right w:w="28" w:type="dxa"/>
            </w:tcMar>
            <w:vAlign w:val="center"/>
            <w:hideMark/>
          </w:tcPr>
          <w:p w14:paraId="31BD16FE" w14:textId="77777777" w:rsidR="00423816" w:rsidRPr="000160C3" w:rsidRDefault="00423816" w:rsidP="001C47F4">
            <w:pPr>
              <w:pStyle w:val="TableText0"/>
              <w:keepNext/>
              <w:keepLines/>
              <w:jc w:val="center"/>
            </w:pPr>
            <w:r w:rsidRPr="000160C3">
              <w:t>17.3 (10.0, NA)</w:t>
            </w:r>
          </w:p>
        </w:tc>
        <w:tc>
          <w:tcPr>
            <w:tcW w:w="1559" w:type="dxa"/>
            <w:tcMar>
              <w:left w:w="28" w:type="dxa"/>
              <w:right w:w="28" w:type="dxa"/>
            </w:tcMar>
            <w:vAlign w:val="center"/>
            <w:hideMark/>
          </w:tcPr>
          <w:p w14:paraId="3E27D7B4" w14:textId="77777777" w:rsidR="00423816" w:rsidRPr="000160C3" w:rsidRDefault="00423816" w:rsidP="001C47F4">
            <w:pPr>
              <w:pStyle w:val="TableText0"/>
              <w:keepNext/>
              <w:keepLines/>
              <w:jc w:val="center"/>
            </w:pPr>
            <w:r w:rsidRPr="000160C3">
              <w:t>1.31 (0.96, 1.80)</w:t>
            </w:r>
          </w:p>
        </w:tc>
        <w:tc>
          <w:tcPr>
            <w:tcW w:w="851" w:type="dxa"/>
            <w:tcMar>
              <w:left w:w="28" w:type="dxa"/>
              <w:right w:w="28" w:type="dxa"/>
            </w:tcMar>
            <w:vAlign w:val="center"/>
            <w:hideMark/>
          </w:tcPr>
          <w:p w14:paraId="198AEE88" w14:textId="77777777" w:rsidR="00423816" w:rsidRPr="000160C3" w:rsidRDefault="00423816" w:rsidP="001C47F4">
            <w:pPr>
              <w:pStyle w:val="TableText0"/>
              <w:keepNext/>
              <w:keepLines/>
              <w:jc w:val="center"/>
            </w:pPr>
            <w:r w:rsidRPr="000160C3">
              <w:t>0.09</w:t>
            </w:r>
          </w:p>
        </w:tc>
      </w:tr>
      <w:tr w:rsidR="00423816" w:rsidRPr="000160C3" w14:paraId="03453D15" w14:textId="77777777" w:rsidTr="005E59DC">
        <w:trPr>
          <w:trHeight w:val="56"/>
        </w:trPr>
        <w:tc>
          <w:tcPr>
            <w:tcW w:w="1555" w:type="dxa"/>
            <w:tcMar>
              <w:left w:w="28" w:type="dxa"/>
              <w:right w:w="28" w:type="dxa"/>
            </w:tcMar>
            <w:vAlign w:val="center"/>
            <w:hideMark/>
          </w:tcPr>
          <w:p w14:paraId="13E9CFC4" w14:textId="77777777" w:rsidR="00423816" w:rsidRPr="000160C3" w:rsidRDefault="00423816" w:rsidP="001C47F4">
            <w:pPr>
              <w:pStyle w:val="TableText0"/>
              <w:keepNext/>
              <w:keepLines/>
            </w:pPr>
            <w:r w:rsidRPr="000160C3">
              <w:t>Excl COVID deaths</w:t>
            </w:r>
          </w:p>
        </w:tc>
        <w:tc>
          <w:tcPr>
            <w:tcW w:w="1275" w:type="dxa"/>
            <w:tcMar>
              <w:left w:w="28" w:type="dxa"/>
              <w:right w:w="28" w:type="dxa"/>
            </w:tcMar>
            <w:vAlign w:val="center"/>
            <w:hideMark/>
          </w:tcPr>
          <w:p w14:paraId="0BD43B92" w14:textId="77777777" w:rsidR="00423816" w:rsidRPr="000160C3" w:rsidRDefault="00423816" w:rsidP="001C47F4">
            <w:pPr>
              <w:pStyle w:val="TableText0"/>
              <w:keepNext/>
              <w:keepLines/>
              <w:jc w:val="center"/>
            </w:pPr>
            <w:r w:rsidRPr="000160C3">
              <w:t>146 (NA)</w:t>
            </w:r>
          </w:p>
        </w:tc>
        <w:tc>
          <w:tcPr>
            <w:tcW w:w="1843" w:type="dxa"/>
            <w:tcMar>
              <w:left w:w="28" w:type="dxa"/>
              <w:right w:w="28" w:type="dxa"/>
            </w:tcMar>
            <w:vAlign w:val="center"/>
            <w:hideMark/>
          </w:tcPr>
          <w:p w14:paraId="67FDFE58" w14:textId="77777777" w:rsidR="00423816" w:rsidRPr="000160C3" w:rsidRDefault="00423816" w:rsidP="001C47F4">
            <w:pPr>
              <w:pStyle w:val="TableText0"/>
              <w:keepNext/>
              <w:keepLines/>
              <w:jc w:val="center"/>
            </w:pPr>
            <w:r w:rsidRPr="000160C3">
              <w:t>13.1 (8.8, 20.2)</w:t>
            </w:r>
          </w:p>
        </w:tc>
        <w:tc>
          <w:tcPr>
            <w:tcW w:w="1843" w:type="dxa"/>
            <w:vMerge/>
            <w:tcMar>
              <w:left w:w="28" w:type="dxa"/>
              <w:right w:w="28" w:type="dxa"/>
            </w:tcMar>
            <w:vAlign w:val="center"/>
            <w:hideMark/>
          </w:tcPr>
          <w:p w14:paraId="1613598D" w14:textId="77777777" w:rsidR="00423816" w:rsidRPr="000160C3" w:rsidRDefault="00423816" w:rsidP="001C47F4">
            <w:pPr>
              <w:pStyle w:val="TableText0"/>
              <w:keepNext/>
              <w:keepLines/>
              <w:jc w:val="center"/>
            </w:pPr>
          </w:p>
        </w:tc>
        <w:tc>
          <w:tcPr>
            <w:tcW w:w="1559" w:type="dxa"/>
            <w:tcMar>
              <w:left w:w="28" w:type="dxa"/>
              <w:right w:w="28" w:type="dxa"/>
            </w:tcMar>
            <w:vAlign w:val="center"/>
            <w:hideMark/>
          </w:tcPr>
          <w:p w14:paraId="7F5F390E" w14:textId="77777777" w:rsidR="00423816" w:rsidRPr="000160C3" w:rsidRDefault="00423816" w:rsidP="001C47F4">
            <w:pPr>
              <w:pStyle w:val="TableText0"/>
              <w:keepNext/>
              <w:keepLines/>
              <w:jc w:val="center"/>
            </w:pPr>
            <w:r w:rsidRPr="000160C3">
              <w:t>1.21 (0.87, 1.68)</w:t>
            </w:r>
          </w:p>
        </w:tc>
        <w:tc>
          <w:tcPr>
            <w:tcW w:w="851" w:type="dxa"/>
            <w:tcMar>
              <w:left w:w="28" w:type="dxa"/>
              <w:right w:w="28" w:type="dxa"/>
            </w:tcMar>
            <w:vAlign w:val="center"/>
            <w:hideMark/>
          </w:tcPr>
          <w:p w14:paraId="031CCF31" w14:textId="77777777" w:rsidR="00423816" w:rsidRPr="000160C3" w:rsidRDefault="00423816" w:rsidP="001C47F4">
            <w:pPr>
              <w:pStyle w:val="TableText0"/>
              <w:keepNext/>
              <w:keepLines/>
              <w:jc w:val="center"/>
            </w:pPr>
            <w:r w:rsidRPr="000160C3">
              <w:t>0.254</w:t>
            </w:r>
          </w:p>
        </w:tc>
      </w:tr>
      <w:tr w:rsidR="00423816" w:rsidRPr="000160C3" w14:paraId="4A549EDB" w14:textId="77777777" w:rsidTr="005E59DC">
        <w:trPr>
          <w:trHeight w:val="56"/>
        </w:trPr>
        <w:tc>
          <w:tcPr>
            <w:tcW w:w="1555" w:type="dxa"/>
            <w:tcMar>
              <w:left w:w="28" w:type="dxa"/>
              <w:right w:w="28" w:type="dxa"/>
            </w:tcMar>
            <w:vAlign w:val="center"/>
            <w:hideMark/>
          </w:tcPr>
          <w:p w14:paraId="1244FD8A" w14:textId="77777777" w:rsidR="00423816" w:rsidRPr="000160C3" w:rsidRDefault="00423816" w:rsidP="001C47F4">
            <w:pPr>
              <w:pStyle w:val="TableText0"/>
              <w:keepNext/>
              <w:keepLines/>
            </w:pPr>
            <w:r w:rsidRPr="000160C3">
              <w:t>BC matching set</w:t>
            </w:r>
          </w:p>
        </w:tc>
        <w:tc>
          <w:tcPr>
            <w:tcW w:w="1275" w:type="dxa"/>
            <w:tcMar>
              <w:left w:w="28" w:type="dxa"/>
              <w:right w:w="28" w:type="dxa"/>
            </w:tcMar>
            <w:vAlign w:val="center"/>
            <w:hideMark/>
          </w:tcPr>
          <w:p w14:paraId="7BBF565D" w14:textId="77777777" w:rsidR="00423816" w:rsidRPr="000160C3" w:rsidRDefault="00423816" w:rsidP="001C47F4">
            <w:pPr>
              <w:pStyle w:val="TableText0"/>
              <w:keepNext/>
              <w:keepLines/>
              <w:jc w:val="center"/>
            </w:pPr>
            <w:r w:rsidRPr="000160C3">
              <w:t>146 (103)</w:t>
            </w:r>
          </w:p>
        </w:tc>
        <w:tc>
          <w:tcPr>
            <w:tcW w:w="1843" w:type="dxa"/>
            <w:tcMar>
              <w:left w:w="28" w:type="dxa"/>
              <w:right w:w="28" w:type="dxa"/>
            </w:tcMar>
            <w:vAlign w:val="center"/>
            <w:hideMark/>
          </w:tcPr>
          <w:p w14:paraId="7661320D" w14:textId="77777777" w:rsidR="00423816" w:rsidRPr="000160C3" w:rsidRDefault="00423816" w:rsidP="001C47F4">
            <w:pPr>
              <w:pStyle w:val="TableText0"/>
              <w:keepNext/>
              <w:keepLines/>
              <w:jc w:val="center"/>
            </w:pPr>
            <w:r w:rsidRPr="000160C3">
              <w:t>10.8 (7.6, 20.2)</w:t>
            </w:r>
          </w:p>
        </w:tc>
        <w:tc>
          <w:tcPr>
            <w:tcW w:w="1843" w:type="dxa"/>
            <w:vMerge/>
            <w:tcMar>
              <w:left w:w="28" w:type="dxa"/>
              <w:right w:w="28" w:type="dxa"/>
            </w:tcMar>
            <w:vAlign w:val="center"/>
            <w:hideMark/>
          </w:tcPr>
          <w:p w14:paraId="09CA058D" w14:textId="77777777" w:rsidR="00423816" w:rsidRPr="000160C3" w:rsidRDefault="00423816" w:rsidP="001C47F4">
            <w:pPr>
              <w:pStyle w:val="TableText0"/>
              <w:keepNext/>
              <w:keepLines/>
              <w:jc w:val="center"/>
            </w:pPr>
          </w:p>
        </w:tc>
        <w:tc>
          <w:tcPr>
            <w:tcW w:w="1559" w:type="dxa"/>
            <w:tcMar>
              <w:left w:w="28" w:type="dxa"/>
              <w:right w:w="28" w:type="dxa"/>
            </w:tcMar>
            <w:vAlign w:val="center"/>
            <w:hideMark/>
          </w:tcPr>
          <w:p w14:paraId="2643AA32" w14:textId="77777777" w:rsidR="00423816" w:rsidRPr="000160C3" w:rsidRDefault="00423816" w:rsidP="001C47F4">
            <w:pPr>
              <w:pStyle w:val="TableText0"/>
              <w:keepNext/>
              <w:keepLines/>
              <w:jc w:val="center"/>
            </w:pPr>
            <w:r w:rsidRPr="000160C3">
              <w:t>1.27 (0.89, 1.82)</w:t>
            </w:r>
          </w:p>
        </w:tc>
        <w:tc>
          <w:tcPr>
            <w:tcW w:w="851" w:type="dxa"/>
            <w:tcMar>
              <w:left w:w="28" w:type="dxa"/>
              <w:right w:w="28" w:type="dxa"/>
            </w:tcMar>
            <w:vAlign w:val="center"/>
            <w:hideMark/>
          </w:tcPr>
          <w:p w14:paraId="0CE50DF1" w14:textId="77777777" w:rsidR="00423816" w:rsidRPr="000160C3" w:rsidRDefault="00423816" w:rsidP="001C47F4">
            <w:pPr>
              <w:pStyle w:val="TableText0"/>
              <w:keepNext/>
              <w:keepLines/>
              <w:jc w:val="center"/>
            </w:pPr>
            <w:r w:rsidRPr="000160C3">
              <w:t>0.19</w:t>
            </w:r>
          </w:p>
        </w:tc>
      </w:tr>
      <w:tr w:rsidR="00423816" w:rsidRPr="000160C3" w14:paraId="326D0A1B" w14:textId="77777777" w:rsidTr="005E59DC">
        <w:trPr>
          <w:trHeight w:val="56"/>
        </w:trPr>
        <w:tc>
          <w:tcPr>
            <w:tcW w:w="1555" w:type="dxa"/>
            <w:tcMar>
              <w:left w:w="28" w:type="dxa"/>
              <w:right w:w="28" w:type="dxa"/>
            </w:tcMar>
            <w:vAlign w:val="center"/>
            <w:hideMark/>
          </w:tcPr>
          <w:p w14:paraId="2B5F1C44" w14:textId="77777777" w:rsidR="00423816" w:rsidRPr="000160C3" w:rsidRDefault="00423816" w:rsidP="001C47F4">
            <w:pPr>
              <w:pStyle w:val="TableText0"/>
              <w:keepNext/>
              <w:keepLines/>
            </w:pPr>
            <w:r w:rsidRPr="000160C3">
              <w:t>Full matching set</w:t>
            </w:r>
          </w:p>
        </w:tc>
        <w:tc>
          <w:tcPr>
            <w:tcW w:w="1275" w:type="dxa"/>
            <w:tcMar>
              <w:left w:w="28" w:type="dxa"/>
              <w:right w:w="28" w:type="dxa"/>
            </w:tcMar>
            <w:vAlign w:val="center"/>
            <w:hideMark/>
          </w:tcPr>
          <w:p w14:paraId="7ACC14F9" w14:textId="77777777" w:rsidR="00423816" w:rsidRPr="000160C3" w:rsidRDefault="00423816" w:rsidP="001C47F4">
            <w:pPr>
              <w:pStyle w:val="TableText0"/>
              <w:keepNext/>
              <w:keepLines/>
              <w:jc w:val="center"/>
            </w:pPr>
            <w:r w:rsidRPr="000160C3">
              <w:t>146 (62)</w:t>
            </w:r>
          </w:p>
        </w:tc>
        <w:tc>
          <w:tcPr>
            <w:tcW w:w="1843" w:type="dxa"/>
            <w:tcMar>
              <w:left w:w="28" w:type="dxa"/>
              <w:right w:w="28" w:type="dxa"/>
            </w:tcMar>
            <w:vAlign w:val="center"/>
            <w:hideMark/>
          </w:tcPr>
          <w:p w14:paraId="024D7E1C" w14:textId="77777777" w:rsidR="00423816" w:rsidRPr="000160C3" w:rsidRDefault="00423816" w:rsidP="001C47F4">
            <w:pPr>
              <w:pStyle w:val="TableText0"/>
              <w:keepNext/>
              <w:keepLines/>
              <w:jc w:val="center"/>
            </w:pPr>
            <w:r w:rsidRPr="000160C3">
              <w:t>9.2 (4.2, 19.4)</w:t>
            </w:r>
          </w:p>
        </w:tc>
        <w:tc>
          <w:tcPr>
            <w:tcW w:w="1843" w:type="dxa"/>
            <w:vMerge/>
            <w:tcMar>
              <w:left w:w="28" w:type="dxa"/>
              <w:right w:w="28" w:type="dxa"/>
            </w:tcMar>
            <w:vAlign w:val="center"/>
            <w:hideMark/>
          </w:tcPr>
          <w:p w14:paraId="71EBAFFE" w14:textId="77777777" w:rsidR="00423816" w:rsidRPr="000160C3" w:rsidRDefault="00423816" w:rsidP="001C47F4">
            <w:pPr>
              <w:pStyle w:val="TableText0"/>
              <w:keepNext/>
              <w:keepLines/>
              <w:jc w:val="center"/>
            </w:pPr>
          </w:p>
        </w:tc>
        <w:tc>
          <w:tcPr>
            <w:tcW w:w="1559" w:type="dxa"/>
            <w:tcMar>
              <w:left w:w="28" w:type="dxa"/>
              <w:right w:w="28" w:type="dxa"/>
            </w:tcMar>
            <w:vAlign w:val="center"/>
            <w:hideMark/>
          </w:tcPr>
          <w:p w14:paraId="79CB897A" w14:textId="77777777" w:rsidR="00423816" w:rsidRPr="000160C3" w:rsidRDefault="00423816" w:rsidP="001C47F4">
            <w:pPr>
              <w:pStyle w:val="TableText0"/>
              <w:keepNext/>
              <w:keepLines/>
              <w:jc w:val="center"/>
            </w:pPr>
            <w:r w:rsidRPr="000160C3">
              <w:t>1.36 (0.90, 2.06)</w:t>
            </w:r>
          </w:p>
        </w:tc>
        <w:tc>
          <w:tcPr>
            <w:tcW w:w="851" w:type="dxa"/>
            <w:tcMar>
              <w:left w:w="28" w:type="dxa"/>
              <w:right w:w="28" w:type="dxa"/>
            </w:tcMar>
            <w:vAlign w:val="center"/>
            <w:hideMark/>
          </w:tcPr>
          <w:p w14:paraId="1065F4CD" w14:textId="77777777" w:rsidR="00423816" w:rsidRPr="000160C3" w:rsidRDefault="00423816" w:rsidP="001C47F4">
            <w:pPr>
              <w:pStyle w:val="TableText0"/>
              <w:keepNext/>
              <w:keepLines/>
              <w:jc w:val="center"/>
            </w:pPr>
            <w:r w:rsidRPr="000160C3">
              <w:t>0.14</w:t>
            </w:r>
          </w:p>
        </w:tc>
      </w:tr>
    </w:tbl>
    <w:p w14:paraId="1C29790A" w14:textId="77777777" w:rsidR="00521900" w:rsidRPr="000160C3" w:rsidRDefault="00521900" w:rsidP="001C47F4">
      <w:pPr>
        <w:pStyle w:val="TableFigureFooter"/>
        <w:keepNext/>
      </w:pPr>
      <w:r w:rsidRPr="000160C3">
        <w:t>Source: Table 2.59, p193 of the submission.</w:t>
      </w:r>
    </w:p>
    <w:p w14:paraId="7E153631" w14:textId="1C18B034" w:rsidR="00521900" w:rsidRPr="000160C3" w:rsidRDefault="00521900" w:rsidP="001C47F4">
      <w:pPr>
        <w:pStyle w:val="TableFigureFooter"/>
        <w:keepNext/>
      </w:pPr>
      <w:r w:rsidRPr="000160C3">
        <w:t>Abbreviations: BC = base</w:t>
      </w:r>
      <w:r w:rsidR="00EC1990">
        <w:noBreakHyphen/>
      </w:r>
      <w:r w:rsidRPr="000160C3">
        <w:t>case; CI = confidence interval; ESS = effective sample size; HR = hazard ratio; NA = not applicable; PFS = progression</w:t>
      </w:r>
      <w:r w:rsidR="00EC1990">
        <w:noBreakHyphen/>
      </w:r>
      <w:r w:rsidRPr="000160C3">
        <w:t>free survival; RD = risk difference; RP2D = recommended phase 2 dose; RR = relative risk.</w:t>
      </w:r>
    </w:p>
    <w:p w14:paraId="1210B9A9" w14:textId="789239CD" w:rsidR="00EA1320" w:rsidRPr="000160C3" w:rsidRDefault="000D61DA" w:rsidP="001C47F4">
      <w:pPr>
        <w:pStyle w:val="TableFigureFooter"/>
        <w:keepNext/>
      </w:pPr>
      <w:r w:rsidRPr="000160C3">
        <w:t>*</w:t>
      </w:r>
      <w:r w:rsidR="001856C5" w:rsidRPr="000160C3">
        <w:t xml:space="preserve"> </w:t>
      </w:r>
      <w:r w:rsidR="00521900" w:rsidRPr="000160C3">
        <w:t xml:space="preserve">A </w:t>
      </w:r>
      <w:r w:rsidR="00AE70B7" w:rsidRPr="000160C3">
        <w:t>HR</w:t>
      </w:r>
      <w:r w:rsidR="00521900" w:rsidRPr="000160C3">
        <w:t xml:space="preserve"> greater than 1 favours elranatamab over teclistamab.</w:t>
      </w:r>
    </w:p>
    <w:p w14:paraId="58F64B45" w14:textId="60612C81" w:rsidR="00A2313C" w:rsidRPr="000160C3" w:rsidRDefault="00A2313C" w:rsidP="001C47F4">
      <w:pPr>
        <w:pStyle w:val="TableFigureFooter"/>
        <w:keepNext/>
      </w:pPr>
      <w:bookmarkStart w:id="33" w:name="_Hlk216438580"/>
      <w:r w:rsidRPr="000160C3">
        <w:t xml:space="preserve">Unadjusted: observed (pooled) </w:t>
      </w:r>
      <w:r w:rsidR="00AF2B48" w:rsidRPr="000160C3">
        <w:t>study</w:t>
      </w:r>
      <w:r w:rsidRPr="000160C3">
        <w:t xml:space="preserve"> results </w:t>
      </w:r>
    </w:p>
    <w:p w14:paraId="7BB28269" w14:textId="4099C943" w:rsidR="00A2313C" w:rsidRPr="000160C3" w:rsidRDefault="00A2313C" w:rsidP="001C47F4">
      <w:pPr>
        <w:pStyle w:val="TableFigureFooter"/>
        <w:keepNext/>
      </w:pPr>
      <w:r w:rsidRPr="000160C3">
        <w:t>Excluding COVID</w:t>
      </w:r>
      <w:r w:rsidR="00EC1990">
        <w:noBreakHyphen/>
      </w:r>
      <w:r w:rsidRPr="000160C3">
        <w:t>19 deaths: RP2D patients who died from COVID</w:t>
      </w:r>
      <w:r w:rsidR="00EC1990">
        <w:noBreakHyphen/>
      </w:r>
      <w:r w:rsidRPr="000160C3">
        <w:t>19 (n =19) are removed from analysis</w:t>
      </w:r>
    </w:p>
    <w:p w14:paraId="0A41E903" w14:textId="48284584" w:rsidR="00A2313C" w:rsidRPr="000160C3" w:rsidRDefault="00A2313C" w:rsidP="001C47F4">
      <w:pPr>
        <w:pStyle w:val="TableFigureFooter"/>
        <w:keepNext/>
      </w:pPr>
      <w:r w:rsidRPr="000160C3">
        <w:t>Base</w:t>
      </w:r>
      <w:r w:rsidR="00EC1990">
        <w:noBreakHyphen/>
      </w:r>
      <w:r w:rsidRPr="000160C3">
        <w:t>case matching set: patients in Ma</w:t>
      </w:r>
      <w:r w:rsidR="0081280E" w:rsidRPr="000160C3">
        <w:t>j</w:t>
      </w:r>
      <w:r w:rsidRPr="000160C3">
        <w:t>esTEC</w:t>
      </w:r>
      <w:r w:rsidR="00EC1990">
        <w:noBreakHyphen/>
      </w:r>
      <w:r w:rsidRPr="000160C3">
        <w:t>1 were reweighted for refractory status, R</w:t>
      </w:r>
      <w:r w:rsidR="00EC1990">
        <w:noBreakHyphen/>
      </w:r>
      <w:r w:rsidRPr="000160C3">
        <w:t>ISS stage, cytogenetic profile, presence of extramedullary disease, and number of prior lines of therapy.</w:t>
      </w:r>
    </w:p>
    <w:p w14:paraId="1D94DD1A" w14:textId="219664F5" w:rsidR="00A2313C" w:rsidRPr="000160C3" w:rsidRDefault="00A2313C" w:rsidP="001C47F4">
      <w:pPr>
        <w:pStyle w:val="TableFigureFooter"/>
        <w:keepNext/>
      </w:pPr>
      <w:r w:rsidRPr="000160C3">
        <w:t>Full matching set: patients reweighted for all identified comparable covariates between Ma</w:t>
      </w:r>
      <w:r w:rsidR="0081280E" w:rsidRPr="000160C3">
        <w:t>j</w:t>
      </w:r>
      <w:r w:rsidRPr="000160C3">
        <w:t>esTEC</w:t>
      </w:r>
      <w:r w:rsidR="00EC1990">
        <w:noBreakHyphen/>
      </w:r>
      <w:r w:rsidRPr="000160C3">
        <w:t>1 and MagnetisMM</w:t>
      </w:r>
      <w:r w:rsidR="00EC1990">
        <w:noBreakHyphen/>
      </w:r>
      <w:r w:rsidRPr="000160C3">
        <w:t xml:space="preserve">3 </w:t>
      </w:r>
    </w:p>
    <w:bookmarkEnd w:id="33"/>
    <w:p w14:paraId="2A87C957" w14:textId="608C6963" w:rsidR="00521900" w:rsidRPr="000160C3" w:rsidRDefault="00521900" w:rsidP="001C47F4">
      <w:pPr>
        <w:pStyle w:val="TableFigureFooter"/>
      </w:pPr>
    </w:p>
    <w:p w14:paraId="3643D005" w14:textId="2360567B" w:rsidR="00521900" w:rsidRPr="000160C3" w:rsidRDefault="00B82CB8" w:rsidP="001C47F4">
      <w:pPr>
        <w:rPr>
          <w:rFonts w:cstheme="minorHAnsi"/>
          <w:u w:val="single"/>
        </w:rPr>
      </w:pPr>
      <w:r w:rsidRPr="000160C3">
        <w:rPr>
          <w:rFonts w:cstheme="minorHAnsi"/>
          <w:u w:val="single"/>
        </w:rPr>
        <w:t xml:space="preserve">Indirect Comparison: </w:t>
      </w:r>
      <w:r w:rsidR="00521900" w:rsidRPr="000160C3">
        <w:rPr>
          <w:rFonts w:cstheme="minorHAnsi"/>
          <w:u w:val="single"/>
        </w:rPr>
        <w:t>OS</w:t>
      </w:r>
    </w:p>
    <w:p w14:paraId="7A423DBD" w14:textId="28052C77" w:rsidR="00C71C96" w:rsidRPr="00FB5BFC" w:rsidRDefault="00521900" w:rsidP="001C47F4">
      <w:pPr>
        <w:pStyle w:val="3-BodyText"/>
      </w:pPr>
      <w:r w:rsidRPr="00FB5BFC">
        <w:t>Across all OS analyses</w:t>
      </w:r>
      <w:r w:rsidR="00B26466" w:rsidRPr="00FB5BFC">
        <w:t>,</w:t>
      </w:r>
      <w:r w:rsidRPr="00FB5BFC">
        <w:t xml:space="preserve"> excluding COVID</w:t>
      </w:r>
      <w:r w:rsidR="00EC1990">
        <w:noBreakHyphen/>
      </w:r>
      <w:r w:rsidRPr="00FB5BFC">
        <w:t>19 deaths</w:t>
      </w:r>
      <w:r w:rsidR="005D74E7" w:rsidRPr="00FB5BFC">
        <w:t xml:space="preserve"> </w:t>
      </w:r>
      <w:r w:rsidRPr="00FB5BFC">
        <w:t xml:space="preserve">consistently </w:t>
      </w:r>
      <w:r w:rsidR="005D74E7" w:rsidRPr="00FB5BFC">
        <w:t xml:space="preserve">resulted in </w:t>
      </w:r>
      <w:r w:rsidRPr="00FB5BFC">
        <w:t xml:space="preserve">higher </w:t>
      </w:r>
      <w:r w:rsidR="00621CCA" w:rsidRPr="00FB5BFC">
        <w:t>median OS</w:t>
      </w:r>
      <w:r w:rsidR="006068EA" w:rsidRPr="00FB5BFC">
        <w:t xml:space="preserve"> </w:t>
      </w:r>
      <w:r w:rsidRPr="00FB5BFC">
        <w:t xml:space="preserve">for </w:t>
      </w:r>
      <w:r w:rsidR="006068EA" w:rsidRPr="00FB5BFC">
        <w:t xml:space="preserve">patients treated with </w:t>
      </w:r>
      <w:r w:rsidRPr="00FB5BFC">
        <w:t>teclistamab relative to the unadjusted analyses (</w:t>
      </w:r>
      <w:r w:rsidRPr="00FB5BFC">
        <w:fldChar w:fldCharType="begin"/>
      </w:r>
      <w:r w:rsidRPr="00FB5BFC">
        <w:instrText xml:space="preserve"> REF _Ref216039347 \h  \* MERGEFORMAT </w:instrText>
      </w:r>
      <w:r w:rsidRPr="00FB5BFC">
        <w:fldChar w:fldCharType="separate"/>
      </w:r>
      <w:r w:rsidR="001C47F4" w:rsidRPr="000160C3">
        <w:t xml:space="preserve">Table </w:t>
      </w:r>
      <w:r w:rsidR="001C47F4">
        <w:t>8</w:t>
      </w:r>
      <w:r w:rsidRPr="00FB5BFC">
        <w:fldChar w:fldCharType="end"/>
      </w:r>
      <w:r w:rsidRPr="00FB5BFC">
        <w:t xml:space="preserve">). </w:t>
      </w:r>
      <w:r w:rsidR="00C526C1" w:rsidRPr="00FB5BFC">
        <w:t>I</w:t>
      </w:r>
      <w:r w:rsidRPr="00FB5BFC">
        <w:t xml:space="preserve">n the comparative results </w:t>
      </w:r>
      <w:r w:rsidR="00A766BD" w:rsidRPr="00FB5BFC">
        <w:t xml:space="preserve">for OS </w:t>
      </w:r>
      <w:r w:rsidRPr="00FB5BFC">
        <w:t xml:space="preserve">presented in the submission, several </w:t>
      </w:r>
      <w:r w:rsidR="007A11B3" w:rsidRPr="00FB5BFC">
        <w:t xml:space="preserve">of the </w:t>
      </w:r>
      <w:r w:rsidRPr="00FB5BFC">
        <w:t xml:space="preserve">HRs </w:t>
      </w:r>
      <w:r w:rsidR="00C526C1" w:rsidRPr="00FB5BFC">
        <w:t xml:space="preserve">were </w:t>
      </w:r>
      <w:r w:rsidRPr="00FB5BFC">
        <w:t>inconsistent with the direction of the underlying absolute event rates.</w:t>
      </w:r>
      <w:r w:rsidR="00EC1990">
        <w:t xml:space="preserve"> </w:t>
      </w:r>
      <w:r w:rsidR="00C526C1" w:rsidRPr="00FB5BFC">
        <w:t xml:space="preserve">The PSCR stated that this was due to </w:t>
      </w:r>
      <w:r w:rsidR="008956CB" w:rsidRPr="00FB5BFC">
        <w:t xml:space="preserve">the </w:t>
      </w:r>
      <w:r w:rsidR="00FA376E" w:rsidRPr="00FB5BFC">
        <w:t xml:space="preserve">proportional hazard </w:t>
      </w:r>
      <w:r w:rsidR="008956CB" w:rsidRPr="00FB5BFC">
        <w:t>assumption be</w:t>
      </w:r>
      <w:r w:rsidR="00B32420" w:rsidRPr="00FB5BFC">
        <w:t>ing</w:t>
      </w:r>
      <w:r w:rsidR="008956CB" w:rsidRPr="00FB5BFC">
        <w:t xml:space="preserve"> violated. The OS Kaplan Meier curves</w:t>
      </w:r>
      <w:r w:rsidR="00B32420" w:rsidRPr="00FB5BFC">
        <w:t xml:space="preserve"> for teclistamab and elranatamab </w:t>
      </w:r>
      <w:r w:rsidR="0041044C" w:rsidRPr="00FB5BFC">
        <w:t>followed a</w:t>
      </w:r>
      <w:r w:rsidR="005B3610" w:rsidRPr="00FB5BFC">
        <w:t xml:space="preserve"> similar </w:t>
      </w:r>
      <w:r w:rsidR="0041044C" w:rsidRPr="00FB5BFC">
        <w:t xml:space="preserve">trajectory </w:t>
      </w:r>
      <w:r w:rsidR="005B3610" w:rsidRPr="00FB5BFC">
        <w:t xml:space="preserve">with some crossover points, </w:t>
      </w:r>
      <w:r w:rsidR="0041044C" w:rsidRPr="00FB5BFC">
        <w:t>therefore</w:t>
      </w:r>
      <w:r w:rsidR="005B3610" w:rsidRPr="00FB5BFC">
        <w:t xml:space="preserve"> it </w:t>
      </w:r>
      <w:r w:rsidR="00F9741A" w:rsidRPr="00FB5BFC">
        <w:t>was</w:t>
      </w:r>
      <w:r w:rsidR="005B3610" w:rsidRPr="00FB5BFC">
        <w:t xml:space="preserve"> expected that the </w:t>
      </w:r>
      <w:r w:rsidR="0045284A" w:rsidRPr="00FB5BFC">
        <w:t xml:space="preserve">medians and HRs </w:t>
      </w:r>
      <w:r w:rsidR="00F9741A" w:rsidRPr="00FB5BFC">
        <w:t xml:space="preserve">did </w:t>
      </w:r>
      <w:r w:rsidR="0045284A" w:rsidRPr="00FB5BFC">
        <w:t>not move in the same direction for all analyses.</w:t>
      </w:r>
    </w:p>
    <w:p w14:paraId="48AC2A4A" w14:textId="6E31F4F9" w:rsidR="009B700A" w:rsidRPr="00FB5BFC" w:rsidRDefault="009B700A" w:rsidP="001C47F4">
      <w:pPr>
        <w:pStyle w:val="3-BodyText"/>
      </w:pPr>
      <w:r w:rsidRPr="00FB5BFC">
        <w:t xml:space="preserve">The ESC noted that there were no statistically significant differences between teclistamab and elranatamab in terms of OS in </w:t>
      </w:r>
      <w:r w:rsidR="00F9741A" w:rsidRPr="00FB5BFC">
        <w:t xml:space="preserve">any of </w:t>
      </w:r>
      <w:r w:rsidRPr="00FB5BFC">
        <w:t>the analyses presented.</w:t>
      </w:r>
    </w:p>
    <w:p w14:paraId="4074C9A1" w14:textId="77777777" w:rsidR="00350BFB" w:rsidRPr="000160C3" w:rsidRDefault="00350BFB" w:rsidP="001C47F4">
      <w:pPr>
        <w:pStyle w:val="3-BodyText"/>
        <w:numPr>
          <w:ilvl w:val="0"/>
          <w:numId w:val="0"/>
        </w:numPr>
        <w:rPr>
          <w:i/>
          <w:iCs/>
        </w:rPr>
      </w:pPr>
    </w:p>
    <w:p w14:paraId="4D256006" w14:textId="2366B20A" w:rsidR="00521900" w:rsidRPr="000160C3" w:rsidRDefault="00521900" w:rsidP="001C47F4">
      <w:pPr>
        <w:pStyle w:val="Caption"/>
        <w:pageBreakBefore/>
      </w:pPr>
      <w:bookmarkStart w:id="34" w:name="_Ref216039347"/>
      <w:r w:rsidRPr="000160C3">
        <w:lastRenderedPageBreak/>
        <w:t xml:space="preserve">Table </w:t>
      </w:r>
      <w:r>
        <w:fldChar w:fldCharType="begin"/>
      </w:r>
      <w:r>
        <w:instrText>SEQ Table \* ARABIC</w:instrText>
      </w:r>
      <w:r>
        <w:fldChar w:fldCharType="separate"/>
      </w:r>
      <w:r w:rsidR="001C47F4">
        <w:rPr>
          <w:noProof/>
        </w:rPr>
        <w:t>8</w:t>
      </w:r>
      <w:r>
        <w:fldChar w:fldCharType="end"/>
      </w:r>
      <w:bookmarkEnd w:id="34"/>
      <w:r w:rsidRPr="000160C3">
        <w:t>: Results of the unanchored MAIC for OS</w:t>
      </w:r>
    </w:p>
    <w:tbl>
      <w:tblPr>
        <w:tblStyle w:val="TableGrid"/>
        <w:tblW w:w="0" w:type="auto"/>
        <w:tblLook w:val="04A0" w:firstRow="1" w:lastRow="0" w:firstColumn="1" w:lastColumn="0" w:noHBand="0" w:noVBand="1"/>
        <w:tblCaption w:val="Table 8: Results of the unanchored MAIC for OS"/>
      </w:tblPr>
      <w:tblGrid>
        <w:gridCol w:w="1980"/>
        <w:gridCol w:w="1276"/>
        <w:gridCol w:w="1701"/>
        <w:gridCol w:w="1842"/>
        <w:gridCol w:w="1418"/>
        <w:gridCol w:w="800"/>
      </w:tblGrid>
      <w:tr w:rsidR="00521900" w:rsidRPr="000160C3" w14:paraId="72358206" w14:textId="77777777" w:rsidTr="005E59DC">
        <w:trPr>
          <w:trHeight w:val="77"/>
        </w:trPr>
        <w:tc>
          <w:tcPr>
            <w:tcW w:w="1980" w:type="dxa"/>
            <w:vMerge w:val="restart"/>
            <w:tcMar>
              <w:left w:w="28" w:type="dxa"/>
              <w:right w:w="28" w:type="dxa"/>
            </w:tcMar>
            <w:vAlign w:val="center"/>
            <w:hideMark/>
          </w:tcPr>
          <w:p w14:paraId="2DE1B3BA" w14:textId="77777777" w:rsidR="00521900" w:rsidRPr="000160C3" w:rsidRDefault="00521900" w:rsidP="001C47F4">
            <w:pPr>
              <w:pStyle w:val="In-tableHeading"/>
            </w:pPr>
          </w:p>
        </w:tc>
        <w:tc>
          <w:tcPr>
            <w:tcW w:w="2977" w:type="dxa"/>
            <w:gridSpan w:val="2"/>
            <w:tcMar>
              <w:left w:w="28" w:type="dxa"/>
              <w:right w:w="28" w:type="dxa"/>
            </w:tcMar>
            <w:vAlign w:val="center"/>
            <w:hideMark/>
          </w:tcPr>
          <w:p w14:paraId="46B8AF7A" w14:textId="77777777" w:rsidR="00521900" w:rsidRPr="000160C3" w:rsidRDefault="00521900" w:rsidP="001C47F4">
            <w:pPr>
              <w:pStyle w:val="In-tableHeading"/>
            </w:pPr>
            <w:r w:rsidRPr="000160C3">
              <w:t>Teclistamab</w:t>
            </w:r>
          </w:p>
        </w:tc>
        <w:tc>
          <w:tcPr>
            <w:tcW w:w="1842" w:type="dxa"/>
            <w:tcMar>
              <w:left w:w="28" w:type="dxa"/>
              <w:right w:w="28" w:type="dxa"/>
            </w:tcMar>
            <w:vAlign w:val="center"/>
            <w:hideMark/>
          </w:tcPr>
          <w:p w14:paraId="3630AB0C" w14:textId="77777777" w:rsidR="00521900" w:rsidRPr="000160C3" w:rsidRDefault="00521900" w:rsidP="001C47F4">
            <w:pPr>
              <w:pStyle w:val="In-tableHeading"/>
            </w:pPr>
            <w:r w:rsidRPr="000160C3">
              <w:t>Elranatamab (N=123)</w:t>
            </w:r>
          </w:p>
        </w:tc>
        <w:tc>
          <w:tcPr>
            <w:tcW w:w="1418" w:type="dxa"/>
            <w:vMerge w:val="restart"/>
            <w:tcMar>
              <w:left w:w="28" w:type="dxa"/>
              <w:right w:w="28" w:type="dxa"/>
            </w:tcMar>
            <w:vAlign w:val="center"/>
            <w:hideMark/>
          </w:tcPr>
          <w:p w14:paraId="041EA908" w14:textId="68B9F7D7" w:rsidR="00521900" w:rsidRPr="000160C3" w:rsidRDefault="00521900" w:rsidP="001C47F4">
            <w:pPr>
              <w:pStyle w:val="In-tableHeading"/>
            </w:pPr>
            <w:r w:rsidRPr="000160C3">
              <w:t>HR (95% CI)</w:t>
            </w:r>
          </w:p>
        </w:tc>
        <w:tc>
          <w:tcPr>
            <w:tcW w:w="800" w:type="dxa"/>
            <w:vMerge w:val="restart"/>
            <w:tcMar>
              <w:left w:w="28" w:type="dxa"/>
              <w:right w:w="28" w:type="dxa"/>
            </w:tcMar>
            <w:vAlign w:val="center"/>
            <w:hideMark/>
          </w:tcPr>
          <w:p w14:paraId="274737D4" w14:textId="4368C225" w:rsidR="00521900" w:rsidRPr="000160C3" w:rsidRDefault="00521900" w:rsidP="001C47F4">
            <w:pPr>
              <w:pStyle w:val="In-tableHeading"/>
            </w:pPr>
            <w:r w:rsidRPr="000160C3">
              <w:t>p</w:t>
            </w:r>
            <w:r w:rsidR="00EC1990">
              <w:noBreakHyphen/>
            </w:r>
            <w:r w:rsidRPr="000160C3">
              <w:t>value</w:t>
            </w:r>
          </w:p>
        </w:tc>
      </w:tr>
      <w:tr w:rsidR="00521900" w:rsidRPr="000160C3" w14:paraId="741DFDB6" w14:textId="77777777" w:rsidTr="005E59DC">
        <w:trPr>
          <w:trHeight w:val="525"/>
        </w:trPr>
        <w:tc>
          <w:tcPr>
            <w:tcW w:w="1980" w:type="dxa"/>
            <w:vMerge/>
            <w:tcMar>
              <w:left w:w="28" w:type="dxa"/>
              <w:right w:w="28" w:type="dxa"/>
            </w:tcMar>
            <w:vAlign w:val="center"/>
            <w:hideMark/>
          </w:tcPr>
          <w:p w14:paraId="09CA215C" w14:textId="77777777" w:rsidR="00521900" w:rsidRPr="000160C3" w:rsidRDefault="00521900" w:rsidP="001C47F4">
            <w:pPr>
              <w:pStyle w:val="TableText0"/>
              <w:keepNext/>
              <w:keepLines/>
              <w:spacing w:line="240" w:lineRule="auto"/>
            </w:pPr>
          </w:p>
        </w:tc>
        <w:tc>
          <w:tcPr>
            <w:tcW w:w="1276" w:type="dxa"/>
            <w:tcMar>
              <w:left w:w="28" w:type="dxa"/>
              <w:right w:w="28" w:type="dxa"/>
            </w:tcMar>
            <w:vAlign w:val="center"/>
            <w:hideMark/>
          </w:tcPr>
          <w:p w14:paraId="2A6E7F98" w14:textId="77777777" w:rsidR="00521900" w:rsidRPr="000160C3" w:rsidRDefault="00521900" w:rsidP="001C47F4">
            <w:pPr>
              <w:pStyle w:val="In-tableHeading"/>
            </w:pPr>
            <w:r w:rsidRPr="000160C3">
              <w:t>N (ESS)</w:t>
            </w:r>
          </w:p>
        </w:tc>
        <w:tc>
          <w:tcPr>
            <w:tcW w:w="1701" w:type="dxa"/>
            <w:tcMar>
              <w:left w:w="28" w:type="dxa"/>
              <w:right w:w="28" w:type="dxa"/>
            </w:tcMar>
            <w:vAlign w:val="center"/>
            <w:hideMark/>
          </w:tcPr>
          <w:p w14:paraId="6C21B465" w14:textId="733CC1BD" w:rsidR="00521900" w:rsidRPr="000160C3" w:rsidRDefault="00521900" w:rsidP="001C47F4">
            <w:pPr>
              <w:pStyle w:val="In-tableHeading"/>
            </w:pPr>
            <w:r w:rsidRPr="000160C3">
              <w:t>Median OS</w:t>
            </w:r>
            <w:r w:rsidR="005E59DC" w:rsidRPr="000160C3">
              <w:t>, months</w:t>
            </w:r>
            <w:r w:rsidRPr="000160C3">
              <w:t xml:space="preserve"> (95% CI)</w:t>
            </w:r>
          </w:p>
        </w:tc>
        <w:tc>
          <w:tcPr>
            <w:tcW w:w="1842" w:type="dxa"/>
            <w:tcMar>
              <w:left w:w="28" w:type="dxa"/>
              <w:right w:w="28" w:type="dxa"/>
            </w:tcMar>
            <w:vAlign w:val="center"/>
            <w:hideMark/>
          </w:tcPr>
          <w:p w14:paraId="64128026" w14:textId="60C82F1C" w:rsidR="00521900" w:rsidRPr="000160C3" w:rsidRDefault="00521900" w:rsidP="001C47F4">
            <w:pPr>
              <w:pStyle w:val="In-tableHeading"/>
            </w:pPr>
            <w:r w:rsidRPr="000160C3">
              <w:t>Median OS</w:t>
            </w:r>
            <w:r w:rsidR="005E59DC" w:rsidRPr="000160C3">
              <w:t>, months</w:t>
            </w:r>
            <w:r w:rsidRPr="000160C3">
              <w:t xml:space="preserve"> (95% CI)</w:t>
            </w:r>
          </w:p>
        </w:tc>
        <w:tc>
          <w:tcPr>
            <w:tcW w:w="1418" w:type="dxa"/>
            <w:vMerge/>
            <w:tcMar>
              <w:left w:w="28" w:type="dxa"/>
              <w:right w:w="28" w:type="dxa"/>
            </w:tcMar>
            <w:vAlign w:val="center"/>
            <w:hideMark/>
          </w:tcPr>
          <w:p w14:paraId="34CB1C94" w14:textId="77777777" w:rsidR="00521900" w:rsidRPr="000160C3" w:rsidRDefault="00521900" w:rsidP="001C47F4">
            <w:pPr>
              <w:pStyle w:val="TableText0"/>
              <w:keepNext/>
              <w:keepLines/>
              <w:spacing w:line="240" w:lineRule="auto"/>
              <w:jc w:val="center"/>
            </w:pPr>
          </w:p>
        </w:tc>
        <w:tc>
          <w:tcPr>
            <w:tcW w:w="800" w:type="dxa"/>
            <w:vMerge/>
            <w:tcMar>
              <w:left w:w="28" w:type="dxa"/>
              <w:right w:w="28" w:type="dxa"/>
            </w:tcMar>
            <w:vAlign w:val="center"/>
            <w:hideMark/>
          </w:tcPr>
          <w:p w14:paraId="6F142D62" w14:textId="77777777" w:rsidR="00521900" w:rsidRPr="000160C3" w:rsidRDefault="00521900" w:rsidP="001C47F4">
            <w:pPr>
              <w:pStyle w:val="TableText0"/>
              <w:keepNext/>
              <w:keepLines/>
              <w:spacing w:line="240" w:lineRule="auto"/>
              <w:jc w:val="center"/>
            </w:pPr>
          </w:p>
        </w:tc>
      </w:tr>
      <w:tr w:rsidR="00AB3763" w:rsidRPr="000160C3" w14:paraId="42935447" w14:textId="77777777" w:rsidTr="005E59DC">
        <w:trPr>
          <w:trHeight w:val="198"/>
        </w:trPr>
        <w:tc>
          <w:tcPr>
            <w:tcW w:w="9017" w:type="dxa"/>
            <w:gridSpan w:val="6"/>
            <w:tcMar>
              <w:left w:w="28" w:type="dxa"/>
              <w:right w:w="28" w:type="dxa"/>
            </w:tcMar>
            <w:vAlign w:val="center"/>
          </w:tcPr>
          <w:p w14:paraId="3A7556E5" w14:textId="7799269F" w:rsidR="00AB3763" w:rsidRPr="000160C3" w:rsidRDefault="001E7565" w:rsidP="001C47F4">
            <w:pPr>
              <w:pStyle w:val="TableText0"/>
              <w:keepNext/>
              <w:keepLines/>
              <w:spacing w:line="240" w:lineRule="auto"/>
              <w:rPr>
                <w:b/>
                <w:bCs w:val="0"/>
              </w:rPr>
            </w:pPr>
            <w:r w:rsidRPr="000160C3">
              <w:rPr>
                <w:b/>
                <w:bCs w:val="0"/>
              </w:rPr>
              <w:t>Submission b</w:t>
            </w:r>
            <w:r w:rsidR="00AB3763" w:rsidRPr="000160C3">
              <w:rPr>
                <w:b/>
                <w:bCs w:val="0"/>
              </w:rPr>
              <w:t>ase</w:t>
            </w:r>
            <w:r w:rsidR="00EC1990">
              <w:rPr>
                <w:b/>
                <w:bCs w:val="0"/>
              </w:rPr>
              <w:noBreakHyphen/>
            </w:r>
            <w:r w:rsidR="00AB3763" w:rsidRPr="000160C3">
              <w:rPr>
                <w:b/>
                <w:bCs w:val="0"/>
              </w:rPr>
              <w:t>case: RP2D population + China Cohort, excluding RP2D patients who died due to COVID</w:t>
            </w:r>
            <w:r w:rsidR="00EC1990">
              <w:rPr>
                <w:b/>
                <w:bCs w:val="0"/>
              </w:rPr>
              <w:noBreakHyphen/>
            </w:r>
            <w:r w:rsidR="00AB3763" w:rsidRPr="000160C3">
              <w:rPr>
                <w:b/>
                <w:bCs w:val="0"/>
              </w:rPr>
              <w:t>19</w:t>
            </w:r>
          </w:p>
        </w:tc>
      </w:tr>
      <w:tr w:rsidR="00AB3763" w:rsidRPr="000160C3" w14:paraId="1E7C35BD" w14:textId="77777777" w:rsidTr="005E59DC">
        <w:trPr>
          <w:trHeight w:val="56"/>
        </w:trPr>
        <w:tc>
          <w:tcPr>
            <w:tcW w:w="1980" w:type="dxa"/>
            <w:tcMar>
              <w:left w:w="28" w:type="dxa"/>
              <w:right w:w="28" w:type="dxa"/>
            </w:tcMar>
            <w:vAlign w:val="center"/>
          </w:tcPr>
          <w:p w14:paraId="4BFAC1F2" w14:textId="19D47F0B" w:rsidR="00AB3763" w:rsidRPr="000160C3" w:rsidRDefault="00AB3763" w:rsidP="001C47F4">
            <w:pPr>
              <w:pStyle w:val="TableText0"/>
              <w:keepNext/>
              <w:keepLines/>
              <w:spacing w:line="240" w:lineRule="auto"/>
            </w:pPr>
            <w:r w:rsidRPr="000160C3">
              <w:t>Unadjusted</w:t>
            </w:r>
          </w:p>
        </w:tc>
        <w:tc>
          <w:tcPr>
            <w:tcW w:w="1276" w:type="dxa"/>
            <w:tcMar>
              <w:left w:w="28" w:type="dxa"/>
              <w:right w:w="28" w:type="dxa"/>
            </w:tcMar>
            <w:vAlign w:val="center"/>
          </w:tcPr>
          <w:p w14:paraId="6DEF44A4" w14:textId="081A8C96" w:rsidR="00AB3763" w:rsidRPr="000160C3" w:rsidRDefault="00AB3763" w:rsidP="001C47F4">
            <w:pPr>
              <w:pStyle w:val="TableText0"/>
              <w:keepNext/>
              <w:keepLines/>
              <w:spacing w:line="240" w:lineRule="auto"/>
              <w:jc w:val="center"/>
            </w:pPr>
            <w:r w:rsidRPr="000160C3">
              <w:rPr>
                <w:rFonts w:eastAsiaTheme="minorHAnsi" w:cstheme="minorBidi"/>
              </w:rPr>
              <w:t>191 (NA)</w:t>
            </w:r>
          </w:p>
        </w:tc>
        <w:tc>
          <w:tcPr>
            <w:tcW w:w="1701" w:type="dxa"/>
            <w:tcMar>
              <w:left w:w="28" w:type="dxa"/>
              <w:right w:w="28" w:type="dxa"/>
            </w:tcMar>
            <w:vAlign w:val="center"/>
          </w:tcPr>
          <w:p w14:paraId="0F293EB8" w14:textId="7D9003D2" w:rsidR="00AB3763" w:rsidRPr="000160C3" w:rsidRDefault="00AB3763" w:rsidP="001C47F4">
            <w:pPr>
              <w:pStyle w:val="TableText0"/>
              <w:keepNext/>
              <w:keepLines/>
              <w:spacing w:line="240" w:lineRule="auto"/>
              <w:jc w:val="center"/>
            </w:pPr>
            <w:r w:rsidRPr="000160C3">
              <w:rPr>
                <w:rFonts w:eastAsiaTheme="minorHAnsi" w:cstheme="minorBidi"/>
              </w:rPr>
              <w:t>26.3 (18.1, 35.5)</w:t>
            </w:r>
          </w:p>
        </w:tc>
        <w:tc>
          <w:tcPr>
            <w:tcW w:w="1842" w:type="dxa"/>
            <w:vMerge w:val="restart"/>
            <w:tcMar>
              <w:left w:w="28" w:type="dxa"/>
              <w:right w:w="28" w:type="dxa"/>
            </w:tcMar>
            <w:vAlign w:val="center"/>
          </w:tcPr>
          <w:p w14:paraId="3C57C520" w14:textId="18EF8B5F" w:rsidR="00AB3763" w:rsidRPr="000160C3" w:rsidRDefault="00AB3763" w:rsidP="001C47F4">
            <w:pPr>
              <w:pStyle w:val="TableText0"/>
              <w:keepNext/>
              <w:keepLines/>
              <w:spacing w:line="240" w:lineRule="auto"/>
              <w:jc w:val="center"/>
            </w:pPr>
            <w:r w:rsidRPr="000160C3">
              <w:rPr>
                <w:rFonts w:eastAsiaTheme="minorHAnsi" w:cstheme="minorBidi"/>
              </w:rPr>
              <w:t>23.6 (13.6, NA)</w:t>
            </w:r>
          </w:p>
        </w:tc>
        <w:tc>
          <w:tcPr>
            <w:tcW w:w="1418" w:type="dxa"/>
            <w:tcMar>
              <w:left w:w="28" w:type="dxa"/>
              <w:right w:w="28" w:type="dxa"/>
            </w:tcMar>
            <w:vAlign w:val="center"/>
          </w:tcPr>
          <w:p w14:paraId="0E3243E1" w14:textId="38C28D8F" w:rsidR="00AB3763" w:rsidRPr="000160C3" w:rsidRDefault="00AB3763" w:rsidP="001C47F4">
            <w:pPr>
              <w:pStyle w:val="TableText0"/>
              <w:keepNext/>
              <w:keepLines/>
              <w:spacing w:line="240" w:lineRule="auto"/>
              <w:jc w:val="center"/>
            </w:pPr>
            <w:r w:rsidRPr="000160C3">
              <w:rPr>
                <w:rFonts w:eastAsiaTheme="minorHAnsi" w:cstheme="minorBidi"/>
              </w:rPr>
              <w:t>0.98 (0.71, 1.33)</w:t>
            </w:r>
          </w:p>
        </w:tc>
        <w:tc>
          <w:tcPr>
            <w:tcW w:w="800" w:type="dxa"/>
            <w:tcMar>
              <w:left w:w="28" w:type="dxa"/>
              <w:right w:w="28" w:type="dxa"/>
            </w:tcMar>
            <w:vAlign w:val="center"/>
          </w:tcPr>
          <w:p w14:paraId="3962CDC1" w14:textId="1ABD7CD2" w:rsidR="00AB3763" w:rsidRPr="000160C3" w:rsidRDefault="00AB3763" w:rsidP="001C47F4">
            <w:pPr>
              <w:pStyle w:val="TableText0"/>
              <w:keepNext/>
              <w:keepLines/>
              <w:spacing w:line="240" w:lineRule="auto"/>
              <w:jc w:val="center"/>
            </w:pPr>
            <w:r w:rsidRPr="000160C3">
              <w:rPr>
                <w:rFonts w:eastAsiaTheme="minorHAnsi" w:cstheme="minorBidi"/>
              </w:rPr>
              <w:t>0.874</w:t>
            </w:r>
          </w:p>
        </w:tc>
      </w:tr>
      <w:tr w:rsidR="00AB3763" w:rsidRPr="000160C3" w14:paraId="2F068DE2" w14:textId="77777777" w:rsidTr="005E59DC">
        <w:trPr>
          <w:trHeight w:val="90"/>
        </w:trPr>
        <w:tc>
          <w:tcPr>
            <w:tcW w:w="1980" w:type="dxa"/>
            <w:tcMar>
              <w:left w:w="28" w:type="dxa"/>
              <w:right w:w="28" w:type="dxa"/>
            </w:tcMar>
            <w:vAlign w:val="center"/>
          </w:tcPr>
          <w:p w14:paraId="1E265839" w14:textId="726A3DE8" w:rsidR="00AB3763" w:rsidRPr="000160C3" w:rsidRDefault="00AB3763" w:rsidP="001C47F4">
            <w:pPr>
              <w:pStyle w:val="TableText0"/>
              <w:keepNext/>
              <w:keepLines/>
              <w:spacing w:line="240" w:lineRule="auto"/>
            </w:pPr>
            <w:r w:rsidRPr="000160C3">
              <w:t>Excluding COVID deaths</w:t>
            </w:r>
          </w:p>
        </w:tc>
        <w:tc>
          <w:tcPr>
            <w:tcW w:w="1276" w:type="dxa"/>
            <w:tcMar>
              <w:left w:w="28" w:type="dxa"/>
              <w:right w:w="28" w:type="dxa"/>
            </w:tcMar>
            <w:vAlign w:val="center"/>
          </w:tcPr>
          <w:p w14:paraId="40133DE7" w14:textId="70D5E145" w:rsidR="00AB3763" w:rsidRPr="000160C3" w:rsidRDefault="00AB3763" w:rsidP="001C47F4">
            <w:pPr>
              <w:pStyle w:val="TableText0"/>
              <w:keepNext/>
              <w:keepLines/>
              <w:spacing w:line="240" w:lineRule="auto"/>
              <w:jc w:val="center"/>
            </w:pPr>
            <w:r w:rsidRPr="000160C3">
              <w:rPr>
                <w:rFonts w:eastAsiaTheme="minorHAnsi" w:cstheme="minorBidi"/>
              </w:rPr>
              <w:t>172 (NA)</w:t>
            </w:r>
          </w:p>
        </w:tc>
        <w:tc>
          <w:tcPr>
            <w:tcW w:w="1701" w:type="dxa"/>
            <w:tcMar>
              <w:left w:w="28" w:type="dxa"/>
              <w:right w:w="28" w:type="dxa"/>
            </w:tcMar>
            <w:vAlign w:val="center"/>
          </w:tcPr>
          <w:p w14:paraId="3D3A8D6D" w14:textId="582FF4CC" w:rsidR="00AB3763" w:rsidRPr="000160C3" w:rsidRDefault="00AB3763" w:rsidP="001C47F4">
            <w:pPr>
              <w:pStyle w:val="TableText0"/>
              <w:keepNext/>
              <w:keepLines/>
              <w:spacing w:line="240" w:lineRule="auto"/>
              <w:jc w:val="center"/>
            </w:pPr>
            <w:r w:rsidRPr="000160C3">
              <w:rPr>
                <w:rFonts w:eastAsiaTheme="minorHAnsi" w:cstheme="minorBidi"/>
              </w:rPr>
              <w:t>30.7 (23.2, NA)</w:t>
            </w:r>
          </w:p>
        </w:tc>
        <w:tc>
          <w:tcPr>
            <w:tcW w:w="1842" w:type="dxa"/>
            <w:vMerge/>
            <w:tcMar>
              <w:left w:w="28" w:type="dxa"/>
              <w:right w:w="28" w:type="dxa"/>
            </w:tcMar>
            <w:vAlign w:val="center"/>
          </w:tcPr>
          <w:p w14:paraId="0A506585" w14:textId="77777777" w:rsidR="00AB3763" w:rsidRPr="000160C3" w:rsidRDefault="00AB3763" w:rsidP="001C47F4">
            <w:pPr>
              <w:pStyle w:val="TableText0"/>
              <w:keepNext/>
              <w:keepLines/>
              <w:spacing w:line="240" w:lineRule="auto"/>
              <w:jc w:val="center"/>
            </w:pPr>
          </w:p>
        </w:tc>
        <w:tc>
          <w:tcPr>
            <w:tcW w:w="1418" w:type="dxa"/>
            <w:tcMar>
              <w:left w:w="28" w:type="dxa"/>
              <w:right w:w="28" w:type="dxa"/>
            </w:tcMar>
            <w:vAlign w:val="center"/>
          </w:tcPr>
          <w:p w14:paraId="49534767" w14:textId="42CF2321" w:rsidR="00AB3763" w:rsidRPr="000160C3" w:rsidRDefault="00AB3763" w:rsidP="001C47F4">
            <w:pPr>
              <w:pStyle w:val="TableText0"/>
              <w:keepNext/>
              <w:keepLines/>
              <w:spacing w:line="240" w:lineRule="auto"/>
              <w:jc w:val="center"/>
            </w:pPr>
            <w:r w:rsidRPr="000160C3">
              <w:rPr>
                <w:rFonts w:eastAsiaTheme="minorHAnsi" w:cstheme="minorBidi"/>
              </w:rPr>
              <w:t>0.85 (0.61, 1.17)</w:t>
            </w:r>
          </w:p>
        </w:tc>
        <w:tc>
          <w:tcPr>
            <w:tcW w:w="800" w:type="dxa"/>
            <w:tcMar>
              <w:left w:w="28" w:type="dxa"/>
              <w:right w:w="28" w:type="dxa"/>
            </w:tcMar>
            <w:vAlign w:val="center"/>
          </w:tcPr>
          <w:p w14:paraId="1AE71B14" w14:textId="1F838DD8" w:rsidR="00AB3763" w:rsidRPr="000160C3" w:rsidRDefault="00AB3763" w:rsidP="001C47F4">
            <w:pPr>
              <w:pStyle w:val="TableText0"/>
              <w:keepNext/>
              <w:keepLines/>
              <w:spacing w:line="240" w:lineRule="auto"/>
              <w:jc w:val="center"/>
            </w:pPr>
            <w:r w:rsidRPr="000160C3">
              <w:rPr>
                <w:rFonts w:eastAsiaTheme="minorHAnsi" w:cstheme="minorBidi"/>
              </w:rPr>
              <w:t>0.321</w:t>
            </w:r>
          </w:p>
        </w:tc>
      </w:tr>
      <w:tr w:rsidR="00AB3763" w:rsidRPr="000160C3" w14:paraId="3ACAF8EE" w14:textId="77777777" w:rsidTr="005E59DC">
        <w:trPr>
          <w:trHeight w:val="56"/>
        </w:trPr>
        <w:tc>
          <w:tcPr>
            <w:tcW w:w="1980" w:type="dxa"/>
            <w:tcMar>
              <w:left w:w="28" w:type="dxa"/>
              <w:right w:w="28" w:type="dxa"/>
            </w:tcMar>
            <w:vAlign w:val="center"/>
          </w:tcPr>
          <w:p w14:paraId="1B748FC4" w14:textId="3FE101AF" w:rsidR="00AB3763" w:rsidRPr="000160C3" w:rsidRDefault="00AB3763" w:rsidP="001C47F4">
            <w:pPr>
              <w:pStyle w:val="TableText0"/>
              <w:keepNext/>
              <w:keepLines/>
              <w:spacing w:line="240" w:lineRule="auto"/>
            </w:pPr>
            <w:r w:rsidRPr="000160C3">
              <w:t>Base</w:t>
            </w:r>
            <w:r w:rsidR="00EC1990">
              <w:noBreakHyphen/>
            </w:r>
            <w:r w:rsidRPr="000160C3">
              <w:t>case matching set</w:t>
            </w:r>
          </w:p>
        </w:tc>
        <w:tc>
          <w:tcPr>
            <w:tcW w:w="1276" w:type="dxa"/>
            <w:tcMar>
              <w:left w:w="28" w:type="dxa"/>
              <w:right w:w="28" w:type="dxa"/>
            </w:tcMar>
            <w:vAlign w:val="center"/>
          </w:tcPr>
          <w:p w14:paraId="61BC0F6B" w14:textId="3E479741" w:rsidR="00AB3763" w:rsidRPr="000160C3" w:rsidRDefault="00AB3763" w:rsidP="001C47F4">
            <w:pPr>
              <w:pStyle w:val="TableText0"/>
              <w:keepNext/>
              <w:keepLines/>
              <w:spacing w:line="240" w:lineRule="auto"/>
              <w:jc w:val="center"/>
            </w:pPr>
            <w:r w:rsidRPr="000160C3">
              <w:rPr>
                <w:rFonts w:eastAsiaTheme="minorHAnsi" w:cstheme="minorBidi"/>
              </w:rPr>
              <w:t>172 (123)</w:t>
            </w:r>
          </w:p>
        </w:tc>
        <w:tc>
          <w:tcPr>
            <w:tcW w:w="1701" w:type="dxa"/>
            <w:tcMar>
              <w:left w:w="28" w:type="dxa"/>
              <w:right w:w="28" w:type="dxa"/>
            </w:tcMar>
            <w:vAlign w:val="center"/>
          </w:tcPr>
          <w:p w14:paraId="06A86513" w14:textId="5B82778C" w:rsidR="00AB3763" w:rsidRPr="000160C3" w:rsidRDefault="00AB3763" w:rsidP="001C47F4">
            <w:pPr>
              <w:pStyle w:val="TableText0"/>
              <w:keepNext/>
              <w:keepLines/>
              <w:spacing w:line="240" w:lineRule="auto"/>
              <w:jc w:val="center"/>
            </w:pPr>
            <w:r w:rsidRPr="000160C3">
              <w:rPr>
                <w:rFonts w:eastAsiaTheme="minorHAnsi" w:cstheme="minorBidi"/>
              </w:rPr>
              <w:t>29.9 (21.7, NA)</w:t>
            </w:r>
          </w:p>
        </w:tc>
        <w:tc>
          <w:tcPr>
            <w:tcW w:w="1842" w:type="dxa"/>
            <w:vMerge/>
            <w:tcMar>
              <w:left w:w="28" w:type="dxa"/>
              <w:right w:w="28" w:type="dxa"/>
            </w:tcMar>
            <w:vAlign w:val="center"/>
          </w:tcPr>
          <w:p w14:paraId="053A3E48" w14:textId="77777777" w:rsidR="00AB3763" w:rsidRPr="000160C3" w:rsidRDefault="00AB3763" w:rsidP="001C47F4">
            <w:pPr>
              <w:pStyle w:val="TableText0"/>
              <w:keepNext/>
              <w:keepLines/>
              <w:spacing w:line="240" w:lineRule="auto"/>
              <w:jc w:val="center"/>
            </w:pPr>
          </w:p>
        </w:tc>
        <w:tc>
          <w:tcPr>
            <w:tcW w:w="1418" w:type="dxa"/>
            <w:tcMar>
              <w:left w:w="28" w:type="dxa"/>
              <w:right w:w="28" w:type="dxa"/>
            </w:tcMar>
            <w:vAlign w:val="center"/>
          </w:tcPr>
          <w:p w14:paraId="2674025C" w14:textId="37311505" w:rsidR="00AB3763" w:rsidRPr="000160C3" w:rsidRDefault="00AB3763" w:rsidP="001C47F4">
            <w:pPr>
              <w:pStyle w:val="TableText0"/>
              <w:keepNext/>
              <w:keepLines/>
              <w:spacing w:line="240" w:lineRule="auto"/>
              <w:jc w:val="center"/>
            </w:pPr>
            <w:r w:rsidRPr="000160C3">
              <w:rPr>
                <w:rFonts w:eastAsiaTheme="minorHAnsi" w:cstheme="minorBidi"/>
              </w:rPr>
              <w:t>0.88 (0.62, 1.26)</w:t>
            </w:r>
          </w:p>
        </w:tc>
        <w:tc>
          <w:tcPr>
            <w:tcW w:w="800" w:type="dxa"/>
            <w:tcMar>
              <w:left w:w="28" w:type="dxa"/>
              <w:right w:w="28" w:type="dxa"/>
            </w:tcMar>
            <w:vAlign w:val="center"/>
          </w:tcPr>
          <w:p w14:paraId="4B8B51B9" w14:textId="71002E84" w:rsidR="00AB3763" w:rsidRPr="000160C3" w:rsidRDefault="00AB3763" w:rsidP="001C47F4">
            <w:pPr>
              <w:pStyle w:val="TableText0"/>
              <w:keepNext/>
              <w:keepLines/>
              <w:spacing w:line="240" w:lineRule="auto"/>
              <w:jc w:val="center"/>
            </w:pPr>
            <w:r w:rsidRPr="000160C3">
              <w:rPr>
                <w:rFonts w:eastAsiaTheme="minorHAnsi" w:cstheme="minorBidi"/>
              </w:rPr>
              <w:t>0.502</w:t>
            </w:r>
          </w:p>
        </w:tc>
      </w:tr>
      <w:tr w:rsidR="00AB3763" w:rsidRPr="000160C3" w14:paraId="68CC9690" w14:textId="77777777" w:rsidTr="005E59DC">
        <w:trPr>
          <w:trHeight w:val="56"/>
        </w:trPr>
        <w:tc>
          <w:tcPr>
            <w:tcW w:w="1980" w:type="dxa"/>
            <w:tcMar>
              <w:left w:w="28" w:type="dxa"/>
              <w:right w:w="28" w:type="dxa"/>
            </w:tcMar>
            <w:vAlign w:val="center"/>
          </w:tcPr>
          <w:p w14:paraId="17BC8A52" w14:textId="2F0565A8" w:rsidR="00AB3763" w:rsidRPr="000160C3" w:rsidRDefault="00AB3763" w:rsidP="001C47F4">
            <w:pPr>
              <w:pStyle w:val="TableText0"/>
              <w:keepNext/>
              <w:keepLines/>
              <w:spacing w:line="240" w:lineRule="auto"/>
            </w:pPr>
            <w:r w:rsidRPr="000160C3">
              <w:t>Full matching set</w:t>
            </w:r>
          </w:p>
        </w:tc>
        <w:tc>
          <w:tcPr>
            <w:tcW w:w="1276" w:type="dxa"/>
            <w:tcMar>
              <w:left w:w="28" w:type="dxa"/>
              <w:right w:w="28" w:type="dxa"/>
            </w:tcMar>
            <w:vAlign w:val="center"/>
          </w:tcPr>
          <w:p w14:paraId="371326AF" w14:textId="7D19A07D" w:rsidR="00AB3763" w:rsidRPr="000160C3" w:rsidRDefault="00AB3763" w:rsidP="001C47F4">
            <w:pPr>
              <w:pStyle w:val="TableText0"/>
              <w:keepNext/>
              <w:keepLines/>
              <w:spacing w:line="240" w:lineRule="auto"/>
              <w:jc w:val="center"/>
            </w:pPr>
            <w:r w:rsidRPr="000160C3">
              <w:rPr>
                <w:rFonts w:eastAsiaTheme="minorHAnsi" w:cstheme="minorBidi"/>
              </w:rPr>
              <w:t>172 (97)</w:t>
            </w:r>
          </w:p>
        </w:tc>
        <w:tc>
          <w:tcPr>
            <w:tcW w:w="1701" w:type="dxa"/>
            <w:tcMar>
              <w:left w:w="28" w:type="dxa"/>
              <w:right w:w="28" w:type="dxa"/>
            </w:tcMar>
            <w:vAlign w:val="center"/>
          </w:tcPr>
          <w:p w14:paraId="74BFD892" w14:textId="5B2EE008" w:rsidR="00AB3763" w:rsidRPr="000160C3" w:rsidRDefault="00AB3763" w:rsidP="001C47F4">
            <w:pPr>
              <w:pStyle w:val="TableText0"/>
              <w:keepNext/>
              <w:keepLines/>
              <w:spacing w:line="240" w:lineRule="auto"/>
              <w:jc w:val="center"/>
            </w:pPr>
            <w:r w:rsidRPr="000160C3">
              <w:rPr>
                <w:rFonts w:eastAsiaTheme="minorHAnsi" w:cstheme="minorBidi"/>
              </w:rPr>
              <w:t>29.7 (18.3, NA)</w:t>
            </w:r>
          </w:p>
        </w:tc>
        <w:tc>
          <w:tcPr>
            <w:tcW w:w="1842" w:type="dxa"/>
            <w:vMerge/>
            <w:tcMar>
              <w:left w:w="28" w:type="dxa"/>
              <w:right w:w="28" w:type="dxa"/>
            </w:tcMar>
            <w:vAlign w:val="center"/>
          </w:tcPr>
          <w:p w14:paraId="7EE44070" w14:textId="77777777" w:rsidR="00AB3763" w:rsidRPr="000160C3" w:rsidRDefault="00AB3763" w:rsidP="001C47F4">
            <w:pPr>
              <w:pStyle w:val="TableText0"/>
              <w:keepNext/>
              <w:keepLines/>
              <w:spacing w:line="240" w:lineRule="auto"/>
              <w:jc w:val="center"/>
            </w:pPr>
          </w:p>
        </w:tc>
        <w:tc>
          <w:tcPr>
            <w:tcW w:w="1418" w:type="dxa"/>
            <w:tcMar>
              <w:left w:w="28" w:type="dxa"/>
              <w:right w:w="28" w:type="dxa"/>
            </w:tcMar>
            <w:vAlign w:val="center"/>
          </w:tcPr>
          <w:p w14:paraId="1588FC01" w14:textId="3055803A" w:rsidR="00AB3763" w:rsidRPr="000160C3" w:rsidRDefault="00AB3763" w:rsidP="001C47F4">
            <w:pPr>
              <w:pStyle w:val="TableText0"/>
              <w:keepNext/>
              <w:keepLines/>
              <w:spacing w:line="240" w:lineRule="auto"/>
              <w:jc w:val="center"/>
            </w:pPr>
            <w:r w:rsidRPr="000160C3">
              <w:rPr>
                <w:rFonts w:eastAsiaTheme="minorHAnsi" w:cstheme="minorBidi"/>
              </w:rPr>
              <w:t>0.91 (0.63, 1.32)</w:t>
            </w:r>
          </w:p>
        </w:tc>
        <w:tc>
          <w:tcPr>
            <w:tcW w:w="800" w:type="dxa"/>
            <w:tcMar>
              <w:left w:w="28" w:type="dxa"/>
              <w:right w:w="28" w:type="dxa"/>
            </w:tcMar>
            <w:vAlign w:val="center"/>
          </w:tcPr>
          <w:p w14:paraId="43387AD2" w14:textId="5B250B6F" w:rsidR="00AB3763" w:rsidRPr="000160C3" w:rsidRDefault="00AB3763" w:rsidP="001C47F4">
            <w:pPr>
              <w:pStyle w:val="TableText0"/>
              <w:keepNext/>
              <w:keepLines/>
              <w:spacing w:line="240" w:lineRule="auto"/>
              <w:jc w:val="center"/>
            </w:pPr>
            <w:r w:rsidRPr="000160C3">
              <w:rPr>
                <w:rFonts w:eastAsiaTheme="minorHAnsi" w:cstheme="minorBidi"/>
              </w:rPr>
              <w:t>0.623</w:t>
            </w:r>
          </w:p>
        </w:tc>
      </w:tr>
      <w:tr w:rsidR="00AB3763" w:rsidRPr="000160C3" w14:paraId="04E934BF" w14:textId="77777777" w:rsidTr="005E59DC">
        <w:trPr>
          <w:trHeight w:val="56"/>
        </w:trPr>
        <w:tc>
          <w:tcPr>
            <w:tcW w:w="9017" w:type="dxa"/>
            <w:gridSpan w:val="6"/>
            <w:tcMar>
              <w:left w:w="28" w:type="dxa"/>
              <w:right w:w="28" w:type="dxa"/>
            </w:tcMar>
            <w:vAlign w:val="center"/>
          </w:tcPr>
          <w:p w14:paraId="3D9B2BB9" w14:textId="4911897B" w:rsidR="00AB3763" w:rsidRPr="000160C3" w:rsidRDefault="00AB3763" w:rsidP="001C47F4">
            <w:pPr>
              <w:pStyle w:val="TableText0"/>
              <w:keepNext/>
              <w:keepLines/>
              <w:spacing w:line="240" w:lineRule="auto"/>
              <w:rPr>
                <w:b/>
                <w:bCs w:val="0"/>
              </w:rPr>
            </w:pPr>
            <w:r w:rsidRPr="000160C3">
              <w:rPr>
                <w:b/>
                <w:bCs w:val="0"/>
              </w:rPr>
              <w:t>Sensitivity 1: RP2D population only, including RP2D patients who died due to COVID</w:t>
            </w:r>
            <w:r w:rsidR="00EC1990">
              <w:rPr>
                <w:b/>
                <w:bCs w:val="0"/>
              </w:rPr>
              <w:noBreakHyphen/>
            </w:r>
            <w:r w:rsidRPr="000160C3">
              <w:rPr>
                <w:b/>
                <w:bCs w:val="0"/>
              </w:rPr>
              <w:t>19</w:t>
            </w:r>
          </w:p>
        </w:tc>
      </w:tr>
      <w:tr w:rsidR="00AB3763" w:rsidRPr="000160C3" w14:paraId="339F8CD9" w14:textId="77777777" w:rsidTr="00C87D1B">
        <w:trPr>
          <w:trHeight w:val="56"/>
        </w:trPr>
        <w:tc>
          <w:tcPr>
            <w:tcW w:w="1980" w:type="dxa"/>
            <w:tcMar>
              <w:left w:w="28" w:type="dxa"/>
              <w:right w:w="28" w:type="dxa"/>
            </w:tcMar>
            <w:vAlign w:val="center"/>
          </w:tcPr>
          <w:p w14:paraId="01994361" w14:textId="77777777" w:rsidR="00AB3763" w:rsidRPr="000160C3" w:rsidRDefault="00AB3763" w:rsidP="001C47F4">
            <w:pPr>
              <w:pStyle w:val="TableText0"/>
              <w:keepNext/>
              <w:keepLines/>
              <w:spacing w:line="240" w:lineRule="auto"/>
            </w:pPr>
            <w:r w:rsidRPr="000160C3">
              <w:t>Unadjusted</w:t>
            </w:r>
          </w:p>
        </w:tc>
        <w:tc>
          <w:tcPr>
            <w:tcW w:w="1276" w:type="dxa"/>
            <w:tcMar>
              <w:left w:w="28" w:type="dxa"/>
              <w:right w:w="28" w:type="dxa"/>
            </w:tcMar>
            <w:vAlign w:val="center"/>
          </w:tcPr>
          <w:p w14:paraId="6FBA985B" w14:textId="77777777" w:rsidR="00AB3763" w:rsidRPr="00F018AE" w:rsidRDefault="00AB3763" w:rsidP="001C47F4">
            <w:pPr>
              <w:pStyle w:val="In-tableHeading"/>
              <w:jc w:val="center"/>
              <w:rPr>
                <w:b w:val="0"/>
                <w:bCs/>
              </w:rPr>
            </w:pPr>
            <w:r w:rsidRPr="00F018AE">
              <w:rPr>
                <w:b w:val="0"/>
                <w:bCs/>
              </w:rPr>
              <w:t>165 (NA)</w:t>
            </w:r>
          </w:p>
        </w:tc>
        <w:tc>
          <w:tcPr>
            <w:tcW w:w="1701" w:type="dxa"/>
            <w:tcMar>
              <w:left w:w="28" w:type="dxa"/>
              <w:right w:w="28" w:type="dxa"/>
            </w:tcMar>
            <w:vAlign w:val="center"/>
          </w:tcPr>
          <w:p w14:paraId="6473DD22" w14:textId="77777777" w:rsidR="00AB3763" w:rsidRPr="00F018AE" w:rsidRDefault="00AB3763" w:rsidP="001C47F4">
            <w:pPr>
              <w:pStyle w:val="In-tableHeading"/>
              <w:jc w:val="center"/>
              <w:rPr>
                <w:b w:val="0"/>
                <w:bCs/>
              </w:rPr>
            </w:pPr>
            <w:r w:rsidRPr="00F018AE">
              <w:rPr>
                <w:b w:val="0"/>
                <w:bCs/>
              </w:rPr>
              <w:t>22.2 (15.1, 29.9)</w:t>
            </w:r>
          </w:p>
        </w:tc>
        <w:tc>
          <w:tcPr>
            <w:tcW w:w="1842" w:type="dxa"/>
            <w:vMerge w:val="restart"/>
            <w:tcMar>
              <w:left w:w="28" w:type="dxa"/>
              <w:right w:w="28" w:type="dxa"/>
            </w:tcMar>
            <w:vAlign w:val="center"/>
          </w:tcPr>
          <w:p w14:paraId="4BF75351" w14:textId="7FDE559E" w:rsidR="00AB3763" w:rsidRPr="00F018AE" w:rsidRDefault="00EC1990" w:rsidP="001C47F4">
            <w:pPr>
              <w:pStyle w:val="In-tableHeading"/>
              <w:rPr>
                <w:b w:val="0"/>
                <w:bCs/>
              </w:rPr>
            </w:pPr>
            <w:r>
              <w:rPr>
                <w:b w:val="0"/>
                <w:bCs/>
              </w:rPr>
              <w:t xml:space="preserve">   </w:t>
            </w:r>
            <w:r w:rsidR="00F018AE">
              <w:rPr>
                <w:b w:val="0"/>
                <w:bCs/>
              </w:rPr>
              <w:t xml:space="preserve"> </w:t>
            </w:r>
            <w:r w:rsidR="00AB3763" w:rsidRPr="00F018AE">
              <w:rPr>
                <w:b w:val="0"/>
                <w:bCs/>
              </w:rPr>
              <w:t>23.6 (13.6, NA)</w:t>
            </w:r>
          </w:p>
        </w:tc>
        <w:tc>
          <w:tcPr>
            <w:tcW w:w="1418" w:type="dxa"/>
            <w:tcMar>
              <w:left w:w="28" w:type="dxa"/>
              <w:right w:w="28" w:type="dxa"/>
            </w:tcMar>
            <w:vAlign w:val="center"/>
          </w:tcPr>
          <w:p w14:paraId="6A442ED4" w14:textId="77777777" w:rsidR="00AB3763" w:rsidRPr="000160C3" w:rsidRDefault="00AB3763" w:rsidP="001C47F4">
            <w:pPr>
              <w:pStyle w:val="TableText0"/>
              <w:keepNext/>
              <w:keepLines/>
              <w:spacing w:line="240" w:lineRule="auto"/>
              <w:jc w:val="center"/>
            </w:pPr>
            <w:r w:rsidRPr="000160C3">
              <w:t>1.08 (0.78, 1.48)</w:t>
            </w:r>
          </w:p>
        </w:tc>
        <w:tc>
          <w:tcPr>
            <w:tcW w:w="800" w:type="dxa"/>
            <w:tcMar>
              <w:left w:w="28" w:type="dxa"/>
              <w:right w:w="28" w:type="dxa"/>
            </w:tcMar>
            <w:vAlign w:val="center"/>
          </w:tcPr>
          <w:p w14:paraId="54C56424" w14:textId="77777777" w:rsidR="00AB3763" w:rsidRPr="000160C3" w:rsidRDefault="00AB3763" w:rsidP="001C47F4">
            <w:pPr>
              <w:pStyle w:val="TableText0"/>
              <w:keepNext/>
              <w:keepLines/>
              <w:spacing w:line="240" w:lineRule="auto"/>
              <w:jc w:val="center"/>
            </w:pPr>
            <w:r w:rsidRPr="000160C3">
              <w:t>0.647</w:t>
            </w:r>
          </w:p>
        </w:tc>
      </w:tr>
      <w:tr w:rsidR="00AB3763" w:rsidRPr="000160C3" w14:paraId="30345931" w14:textId="77777777" w:rsidTr="00C87D1B">
        <w:trPr>
          <w:trHeight w:val="56"/>
        </w:trPr>
        <w:tc>
          <w:tcPr>
            <w:tcW w:w="1980" w:type="dxa"/>
            <w:tcMar>
              <w:left w:w="28" w:type="dxa"/>
              <w:right w:w="28" w:type="dxa"/>
            </w:tcMar>
            <w:vAlign w:val="center"/>
          </w:tcPr>
          <w:p w14:paraId="0AEB3D86" w14:textId="2459655C" w:rsidR="00AB3763" w:rsidRPr="000160C3" w:rsidRDefault="00AB3763" w:rsidP="001C47F4">
            <w:pPr>
              <w:pStyle w:val="TableText0"/>
              <w:keepNext/>
              <w:keepLines/>
              <w:spacing w:line="240" w:lineRule="auto"/>
            </w:pPr>
            <w:r w:rsidRPr="000160C3">
              <w:t>Base</w:t>
            </w:r>
            <w:r w:rsidR="00EC1990">
              <w:noBreakHyphen/>
            </w:r>
            <w:r w:rsidRPr="000160C3">
              <w:t>case matching set</w:t>
            </w:r>
          </w:p>
        </w:tc>
        <w:tc>
          <w:tcPr>
            <w:tcW w:w="1276" w:type="dxa"/>
            <w:tcMar>
              <w:left w:w="28" w:type="dxa"/>
              <w:right w:w="28" w:type="dxa"/>
            </w:tcMar>
            <w:vAlign w:val="center"/>
          </w:tcPr>
          <w:p w14:paraId="7DA3E53D" w14:textId="77777777" w:rsidR="00AB3763" w:rsidRPr="00F018AE" w:rsidRDefault="00AB3763" w:rsidP="001C47F4">
            <w:pPr>
              <w:pStyle w:val="In-tableHeading"/>
              <w:jc w:val="center"/>
              <w:rPr>
                <w:b w:val="0"/>
                <w:bCs/>
              </w:rPr>
            </w:pPr>
            <w:r w:rsidRPr="00F018AE">
              <w:rPr>
                <w:b w:val="0"/>
                <w:bCs/>
              </w:rPr>
              <w:t>165 (115)</w:t>
            </w:r>
          </w:p>
        </w:tc>
        <w:tc>
          <w:tcPr>
            <w:tcW w:w="1701" w:type="dxa"/>
            <w:tcMar>
              <w:left w:w="28" w:type="dxa"/>
              <w:right w:w="28" w:type="dxa"/>
            </w:tcMar>
            <w:vAlign w:val="center"/>
          </w:tcPr>
          <w:p w14:paraId="139E51C5" w14:textId="77777777" w:rsidR="00AB3763" w:rsidRPr="00F018AE" w:rsidRDefault="00AB3763" w:rsidP="001C47F4">
            <w:pPr>
              <w:pStyle w:val="In-tableHeading"/>
              <w:jc w:val="center"/>
              <w:rPr>
                <w:b w:val="0"/>
                <w:bCs/>
              </w:rPr>
            </w:pPr>
            <w:r w:rsidRPr="00F018AE">
              <w:rPr>
                <w:b w:val="0"/>
                <w:bCs/>
              </w:rPr>
              <w:t>19.8 (12.7, 29.7)</w:t>
            </w:r>
          </w:p>
        </w:tc>
        <w:tc>
          <w:tcPr>
            <w:tcW w:w="1842" w:type="dxa"/>
            <w:vMerge/>
            <w:tcMar>
              <w:left w:w="28" w:type="dxa"/>
              <w:right w:w="28" w:type="dxa"/>
            </w:tcMar>
            <w:vAlign w:val="center"/>
          </w:tcPr>
          <w:p w14:paraId="3BB3A8BD" w14:textId="77777777" w:rsidR="00AB3763" w:rsidRPr="000160C3" w:rsidRDefault="00AB3763" w:rsidP="001C47F4">
            <w:pPr>
              <w:pStyle w:val="In-tableHeading"/>
            </w:pPr>
          </w:p>
        </w:tc>
        <w:tc>
          <w:tcPr>
            <w:tcW w:w="1418" w:type="dxa"/>
            <w:tcMar>
              <w:left w:w="28" w:type="dxa"/>
              <w:right w:w="28" w:type="dxa"/>
            </w:tcMar>
            <w:vAlign w:val="center"/>
          </w:tcPr>
          <w:p w14:paraId="765D4102" w14:textId="77777777" w:rsidR="00AB3763" w:rsidRPr="000160C3" w:rsidRDefault="00AB3763" w:rsidP="001C47F4">
            <w:pPr>
              <w:pStyle w:val="TableText0"/>
              <w:keepNext/>
              <w:keepLines/>
              <w:spacing w:line="240" w:lineRule="auto"/>
              <w:jc w:val="center"/>
            </w:pPr>
            <w:r w:rsidRPr="000160C3">
              <w:t>1.16 (0.82, 1.63)</w:t>
            </w:r>
          </w:p>
        </w:tc>
        <w:tc>
          <w:tcPr>
            <w:tcW w:w="800" w:type="dxa"/>
            <w:tcMar>
              <w:left w:w="28" w:type="dxa"/>
              <w:right w:w="28" w:type="dxa"/>
            </w:tcMar>
            <w:vAlign w:val="center"/>
          </w:tcPr>
          <w:p w14:paraId="7293EE92" w14:textId="77777777" w:rsidR="00AB3763" w:rsidRPr="000160C3" w:rsidRDefault="00AB3763" w:rsidP="001C47F4">
            <w:pPr>
              <w:pStyle w:val="TableText0"/>
              <w:keepNext/>
              <w:keepLines/>
              <w:spacing w:line="240" w:lineRule="auto"/>
              <w:jc w:val="center"/>
            </w:pPr>
            <w:r w:rsidRPr="000160C3">
              <w:t>0.405</w:t>
            </w:r>
          </w:p>
        </w:tc>
      </w:tr>
      <w:tr w:rsidR="00AB3763" w:rsidRPr="000160C3" w14:paraId="1CD3C7A6" w14:textId="77777777" w:rsidTr="00C87D1B">
        <w:trPr>
          <w:trHeight w:val="56"/>
        </w:trPr>
        <w:tc>
          <w:tcPr>
            <w:tcW w:w="1980" w:type="dxa"/>
            <w:tcMar>
              <w:left w:w="28" w:type="dxa"/>
              <w:right w:w="28" w:type="dxa"/>
            </w:tcMar>
            <w:vAlign w:val="center"/>
          </w:tcPr>
          <w:p w14:paraId="634E73E8" w14:textId="77777777" w:rsidR="00AB3763" w:rsidRPr="000160C3" w:rsidRDefault="00AB3763" w:rsidP="001C47F4">
            <w:pPr>
              <w:pStyle w:val="TableText0"/>
              <w:keepNext/>
              <w:keepLines/>
              <w:spacing w:line="240" w:lineRule="auto"/>
            </w:pPr>
            <w:r w:rsidRPr="000160C3">
              <w:t>Full matching set</w:t>
            </w:r>
          </w:p>
        </w:tc>
        <w:tc>
          <w:tcPr>
            <w:tcW w:w="1276" w:type="dxa"/>
            <w:tcMar>
              <w:left w:w="28" w:type="dxa"/>
              <w:right w:w="28" w:type="dxa"/>
            </w:tcMar>
            <w:vAlign w:val="center"/>
          </w:tcPr>
          <w:p w14:paraId="53C17395" w14:textId="77777777" w:rsidR="00AB3763" w:rsidRPr="00F018AE" w:rsidRDefault="00AB3763" w:rsidP="001C47F4">
            <w:pPr>
              <w:pStyle w:val="In-tableHeading"/>
              <w:jc w:val="center"/>
              <w:rPr>
                <w:b w:val="0"/>
                <w:bCs/>
              </w:rPr>
            </w:pPr>
            <w:r w:rsidRPr="00F018AE">
              <w:rPr>
                <w:b w:val="0"/>
                <w:bCs/>
              </w:rPr>
              <w:t>165 (65)</w:t>
            </w:r>
          </w:p>
        </w:tc>
        <w:tc>
          <w:tcPr>
            <w:tcW w:w="1701" w:type="dxa"/>
            <w:tcMar>
              <w:left w:w="28" w:type="dxa"/>
              <w:right w:w="28" w:type="dxa"/>
            </w:tcMar>
            <w:vAlign w:val="center"/>
          </w:tcPr>
          <w:p w14:paraId="3F7BEEF9" w14:textId="77777777" w:rsidR="00AB3763" w:rsidRPr="00F018AE" w:rsidRDefault="00AB3763" w:rsidP="001C47F4">
            <w:pPr>
              <w:pStyle w:val="In-tableHeading"/>
              <w:jc w:val="center"/>
              <w:rPr>
                <w:b w:val="0"/>
                <w:bCs/>
              </w:rPr>
            </w:pPr>
            <w:r w:rsidRPr="00F018AE">
              <w:rPr>
                <w:b w:val="0"/>
                <w:bCs/>
              </w:rPr>
              <w:t>18.3 (12.2, 31.0)</w:t>
            </w:r>
          </w:p>
        </w:tc>
        <w:tc>
          <w:tcPr>
            <w:tcW w:w="1842" w:type="dxa"/>
            <w:vMerge/>
            <w:tcMar>
              <w:left w:w="28" w:type="dxa"/>
              <w:right w:w="28" w:type="dxa"/>
            </w:tcMar>
            <w:vAlign w:val="center"/>
          </w:tcPr>
          <w:p w14:paraId="108BAA1D" w14:textId="77777777" w:rsidR="00AB3763" w:rsidRPr="000160C3" w:rsidRDefault="00AB3763" w:rsidP="001C47F4">
            <w:pPr>
              <w:pStyle w:val="In-tableHeading"/>
            </w:pPr>
          </w:p>
        </w:tc>
        <w:tc>
          <w:tcPr>
            <w:tcW w:w="1418" w:type="dxa"/>
            <w:tcMar>
              <w:left w:w="28" w:type="dxa"/>
              <w:right w:w="28" w:type="dxa"/>
            </w:tcMar>
            <w:vAlign w:val="center"/>
          </w:tcPr>
          <w:p w14:paraId="5909E457" w14:textId="77777777" w:rsidR="00AB3763" w:rsidRPr="000160C3" w:rsidRDefault="00AB3763" w:rsidP="001C47F4">
            <w:pPr>
              <w:pStyle w:val="TableText0"/>
              <w:keepNext/>
              <w:keepLines/>
              <w:spacing w:line="240" w:lineRule="auto"/>
              <w:jc w:val="center"/>
            </w:pPr>
            <w:r w:rsidRPr="000160C3">
              <w:t>1.16 (0.78, 1.73)</w:t>
            </w:r>
          </w:p>
        </w:tc>
        <w:tc>
          <w:tcPr>
            <w:tcW w:w="800" w:type="dxa"/>
            <w:tcMar>
              <w:left w:w="28" w:type="dxa"/>
              <w:right w:w="28" w:type="dxa"/>
            </w:tcMar>
            <w:vAlign w:val="center"/>
          </w:tcPr>
          <w:p w14:paraId="6B89B438" w14:textId="77777777" w:rsidR="00AB3763" w:rsidRPr="000160C3" w:rsidRDefault="00AB3763" w:rsidP="001C47F4">
            <w:pPr>
              <w:pStyle w:val="TableText0"/>
              <w:keepNext/>
              <w:keepLines/>
              <w:spacing w:line="240" w:lineRule="auto"/>
              <w:jc w:val="center"/>
            </w:pPr>
            <w:r w:rsidRPr="000160C3">
              <w:t>0.453</w:t>
            </w:r>
          </w:p>
        </w:tc>
      </w:tr>
      <w:tr w:rsidR="00AB3763" w:rsidRPr="000160C3" w14:paraId="045647FB" w14:textId="77777777" w:rsidTr="005E59DC">
        <w:trPr>
          <w:trHeight w:val="218"/>
        </w:trPr>
        <w:tc>
          <w:tcPr>
            <w:tcW w:w="9017" w:type="dxa"/>
            <w:gridSpan w:val="6"/>
            <w:tcMar>
              <w:left w:w="28" w:type="dxa"/>
              <w:right w:w="28" w:type="dxa"/>
            </w:tcMar>
            <w:vAlign w:val="center"/>
          </w:tcPr>
          <w:p w14:paraId="039EF629" w14:textId="493F27F9" w:rsidR="00AB3763" w:rsidRPr="000160C3" w:rsidRDefault="00AB3763" w:rsidP="001C47F4">
            <w:pPr>
              <w:pStyle w:val="TableText0"/>
              <w:keepNext/>
              <w:keepLines/>
              <w:spacing w:line="240" w:lineRule="auto"/>
              <w:rPr>
                <w:b/>
                <w:bCs w:val="0"/>
              </w:rPr>
            </w:pPr>
            <w:r w:rsidRPr="000160C3">
              <w:rPr>
                <w:b/>
                <w:bCs w:val="0"/>
              </w:rPr>
              <w:t>Sensitivity 2: RP2D population only, excluding RP2D patients who died due to COVID</w:t>
            </w:r>
            <w:r w:rsidR="00EC1990">
              <w:rPr>
                <w:b/>
                <w:bCs w:val="0"/>
              </w:rPr>
              <w:noBreakHyphen/>
            </w:r>
            <w:r w:rsidRPr="000160C3">
              <w:rPr>
                <w:b/>
                <w:bCs w:val="0"/>
              </w:rPr>
              <w:t>19</w:t>
            </w:r>
          </w:p>
        </w:tc>
      </w:tr>
      <w:tr w:rsidR="00AB3763" w:rsidRPr="000160C3" w14:paraId="1DADB121" w14:textId="77777777" w:rsidTr="00BB444E">
        <w:trPr>
          <w:trHeight w:val="56"/>
        </w:trPr>
        <w:tc>
          <w:tcPr>
            <w:tcW w:w="1980" w:type="dxa"/>
            <w:tcMar>
              <w:left w:w="28" w:type="dxa"/>
              <w:right w:w="28" w:type="dxa"/>
            </w:tcMar>
            <w:vAlign w:val="center"/>
            <w:hideMark/>
          </w:tcPr>
          <w:p w14:paraId="7D142DCA" w14:textId="77777777" w:rsidR="00AB3763" w:rsidRPr="000160C3" w:rsidRDefault="00AB3763" w:rsidP="001C47F4">
            <w:pPr>
              <w:pStyle w:val="TableText0"/>
              <w:keepNext/>
              <w:keepLines/>
              <w:spacing w:line="240" w:lineRule="auto"/>
            </w:pPr>
            <w:r w:rsidRPr="000160C3">
              <w:t>Unadjusted</w:t>
            </w:r>
          </w:p>
        </w:tc>
        <w:tc>
          <w:tcPr>
            <w:tcW w:w="1276" w:type="dxa"/>
            <w:tcMar>
              <w:left w:w="28" w:type="dxa"/>
              <w:right w:w="28" w:type="dxa"/>
            </w:tcMar>
            <w:vAlign w:val="center"/>
            <w:hideMark/>
          </w:tcPr>
          <w:p w14:paraId="0A2D94C6" w14:textId="77777777" w:rsidR="00AB3763" w:rsidRPr="000160C3" w:rsidRDefault="00AB3763" w:rsidP="001C47F4">
            <w:pPr>
              <w:pStyle w:val="TableText0"/>
              <w:keepNext/>
              <w:keepLines/>
              <w:spacing w:line="240" w:lineRule="auto"/>
              <w:jc w:val="center"/>
            </w:pPr>
            <w:r w:rsidRPr="000160C3">
              <w:t>165 (NA)</w:t>
            </w:r>
          </w:p>
        </w:tc>
        <w:tc>
          <w:tcPr>
            <w:tcW w:w="1701" w:type="dxa"/>
            <w:tcMar>
              <w:left w:w="28" w:type="dxa"/>
              <w:right w:w="28" w:type="dxa"/>
            </w:tcMar>
            <w:vAlign w:val="center"/>
            <w:hideMark/>
          </w:tcPr>
          <w:p w14:paraId="11B1231C" w14:textId="77777777" w:rsidR="00AB3763" w:rsidRPr="000160C3" w:rsidRDefault="00AB3763" w:rsidP="001C47F4">
            <w:pPr>
              <w:pStyle w:val="TableText0"/>
              <w:keepNext/>
              <w:keepLines/>
              <w:spacing w:line="240" w:lineRule="auto"/>
              <w:jc w:val="center"/>
            </w:pPr>
            <w:r w:rsidRPr="000160C3">
              <w:t>22.2 (15.1, 29.9)</w:t>
            </w:r>
          </w:p>
        </w:tc>
        <w:tc>
          <w:tcPr>
            <w:tcW w:w="1842" w:type="dxa"/>
            <w:vMerge w:val="restart"/>
            <w:tcMar>
              <w:left w:w="28" w:type="dxa"/>
              <w:right w:w="28" w:type="dxa"/>
            </w:tcMar>
            <w:vAlign w:val="center"/>
            <w:hideMark/>
          </w:tcPr>
          <w:p w14:paraId="539C9EF8" w14:textId="77777777" w:rsidR="00AB3763" w:rsidRPr="000160C3" w:rsidRDefault="00AB3763" w:rsidP="001C47F4">
            <w:pPr>
              <w:pStyle w:val="TableText0"/>
              <w:keepNext/>
              <w:keepLines/>
              <w:spacing w:line="240" w:lineRule="auto"/>
              <w:jc w:val="center"/>
            </w:pPr>
            <w:r w:rsidRPr="000160C3">
              <w:t>23.6 (13.6, NA)</w:t>
            </w:r>
          </w:p>
        </w:tc>
        <w:tc>
          <w:tcPr>
            <w:tcW w:w="1418" w:type="dxa"/>
            <w:tcMar>
              <w:left w:w="28" w:type="dxa"/>
              <w:right w:w="28" w:type="dxa"/>
            </w:tcMar>
            <w:vAlign w:val="center"/>
            <w:hideMark/>
          </w:tcPr>
          <w:p w14:paraId="3A8B79F8" w14:textId="77777777" w:rsidR="00AB3763" w:rsidRPr="000160C3" w:rsidRDefault="00AB3763" w:rsidP="001C47F4">
            <w:pPr>
              <w:pStyle w:val="TableText0"/>
              <w:keepNext/>
              <w:keepLines/>
              <w:spacing w:line="240" w:lineRule="auto"/>
              <w:jc w:val="center"/>
            </w:pPr>
            <w:r w:rsidRPr="000160C3">
              <w:t>1.08 (0.78, 1.48)</w:t>
            </w:r>
          </w:p>
        </w:tc>
        <w:tc>
          <w:tcPr>
            <w:tcW w:w="800" w:type="dxa"/>
            <w:tcMar>
              <w:left w:w="28" w:type="dxa"/>
              <w:right w:w="28" w:type="dxa"/>
            </w:tcMar>
            <w:vAlign w:val="center"/>
            <w:hideMark/>
          </w:tcPr>
          <w:p w14:paraId="13D2EBD3" w14:textId="77777777" w:rsidR="00AB3763" w:rsidRPr="000160C3" w:rsidRDefault="00AB3763" w:rsidP="001C47F4">
            <w:pPr>
              <w:pStyle w:val="TableText0"/>
              <w:keepNext/>
              <w:keepLines/>
              <w:spacing w:line="240" w:lineRule="auto"/>
              <w:jc w:val="center"/>
            </w:pPr>
            <w:r w:rsidRPr="000160C3">
              <w:t>0.647</w:t>
            </w:r>
          </w:p>
        </w:tc>
      </w:tr>
      <w:tr w:rsidR="00AB3763" w:rsidRPr="000160C3" w14:paraId="3C58E41D" w14:textId="77777777" w:rsidTr="00BB444E">
        <w:trPr>
          <w:trHeight w:val="71"/>
        </w:trPr>
        <w:tc>
          <w:tcPr>
            <w:tcW w:w="1980" w:type="dxa"/>
            <w:tcMar>
              <w:left w:w="28" w:type="dxa"/>
              <w:right w:w="28" w:type="dxa"/>
            </w:tcMar>
            <w:vAlign w:val="center"/>
            <w:hideMark/>
          </w:tcPr>
          <w:p w14:paraId="2B7110A9" w14:textId="77777777" w:rsidR="00AB3763" w:rsidRPr="000160C3" w:rsidRDefault="00AB3763" w:rsidP="001C47F4">
            <w:pPr>
              <w:pStyle w:val="TableText0"/>
              <w:keepNext/>
              <w:keepLines/>
              <w:spacing w:line="240" w:lineRule="auto"/>
            </w:pPr>
            <w:r w:rsidRPr="000160C3">
              <w:t>Excluding COVID deaths</w:t>
            </w:r>
          </w:p>
        </w:tc>
        <w:tc>
          <w:tcPr>
            <w:tcW w:w="1276" w:type="dxa"/>
            <w:tcMar>
              <w:left w:w="28" w:type="dxa"/>
              <w:right w:w="28" w:type="dxa"/>
            </w:tcMar>
            <w:vAlign w:val="center"/>
            <w:hideMark/>
          </w:tcPr>
          <w:p w14:paraId="2B98FCC9" w14:textId="77777777" w:rsidR="00AB3763" w:rsidRPr="000160C3" w:rsidRDefault="00AB3763" w:rsidP="001C47F4">
            <w:pPr>
              <w:pStyle w:val="TableText0"/>
              <w:keepNext/>
              <w:keepLines/>
              <w:spacing w:line="240" w:lineRule="auto"/>
              <w:jc w:val="center"/>
            </w:pPr>
            <w:r w:rsidRPr="000160C3">
              <w:t>146 (NA)</w:t>
            </w:r>
          </w:p>
        </w:tc>
        <w:tc>
          <w:tcPr>
            <w:tcW w:w="1701" w:type="dxa"/>
            <w:tcMar>
              <w:left w:w="28" w:type="dxa"/>
              <w:right w:w="28" w:type="dxa"/>
            </w:tcMar>
            <w:vAlign w:val="center"/>
            <w:hideMark/>
          </w:tcPr>
          <w:p w14:paraId="2726793F" w14:textId="77777777" w:rsidR="00AB3763" w:rsidRPr="000160C3" w:rsidRDefault="00AB3763" w:rsidP="001C47F4">
            <w:pPr>
              <w:pStyle w:val="TableText0"/>
              <w:keepNext/>
              <w:keepLines/>
              <w:spacing w:line="240" w:lineRule="auto"/>
              <w:jc w:val="center"/>
            </w:pPr>
            <w:r w:rsidRPr="000160C3">
              <w:t>29.1 (18.3, NA)</w:t>
            </w:r>
          </w:p>
        </w:tc>
        <w:tc>
          <w:tcPr>
            <w:tcW w:w="1842" w:type="dxa"/>
            <w:vMerge/>
            <w:tcMar>
              <w:left w:w="28" w:type="dxa"/>
              <w:right w:w="28" w:type="dxa"/>
            </w:tcMar>
            <w:vAlign w:val="center"/>
            <w:hideMark/>
          </w:tcPr>
          <w:p w14:paraId="0A0631A5" w14:textId="77777777" w:rsidR="00AB3763" w:rsidRPr="000160C3" w:rsidRDefault="00AB3763" w:rsidP="001C47F4">
            <w:pPr>
              <w:pStyle w:val="TableText0"/>
              <w:keepNext/>
              <w:keepLines/>
              <w:spacing w:line="240" w:lineRule="auto"/>
              <w:jc w:val="center"/>
            </w:pPr>
          </w:p>
        </w:tc>
        <w:tc>
          <w:tcPr>
            <w:tcW w:w="1418" w:type="dxa"/>
            <w:tcMar>
              <w:left w:w="28" w:type="dxa"/>
              <w:right w:w="28" w:type="dxa"/>
            </w:tcMar>
            <w:vAlign w:val="center"/>
            <w:hideMark/>
          </w:tcPr>
          <w:p w14:paraId="2AAB2C8F" w14:textId="77777777" w:rsidR="00AB3763" w:rsidRPr="000160C3" w:rsidRDefault="00AB3763" w:rsidP="001C47F4">
            <w:pPr>
              <w:pStyle w:val="TableText0"/>
              <w:keepNext/>
              <w:keepLines/>
              <w:spacing w:line="240" w:lineRule="auto"/>
              <w:jc w:val="center"/>
            </w:pPr>
            <w:r w:rsidRPr="000160C3">
              <w:t>0.93 (0.67, 1.30)</w:t>
            </w:r>
          </w:p>
        </w:tc>
        <w:tc>
          <w:tcPr>
            <w:tcW w:w="800" w:type="dxa"/>
            <w:tcMar>
              <w:left w:w="28" w:type="dxa"/>
              <w:right w:w="28" w:type="dxa"/>
            </w:tcMar>
            <w:vAlign w:val="center"/>
            <w:hideMark/>
          </w:tcPr>
          <w:p w14:paraId="03D92479" w14:textId="77777777" w:rsidR="00AB3763" w:rsidRPr="000160C3" w:rsidRDefault="00AB3763" w:rsidP="001C47F4">
            <w:pPr>
              <w:pStyle w:val="TableText0"/>
              <w:keepNext/>
              <w:keepLines/>
              <w:spacing w:line="240" w:lineRule="auto"/>
              <w:jc w:val="center"/>
            </w:pPr>
            <w:r w:rsidRPr="000160C3">
              <w:t>0.68</w:t>
            </w:r>
          </w:p>
        </w:tc>
      </w:tr>
      <w:tr w:rsidR="00AB3763" w:rsidRPr="000160C3" w14:paraId="6A6B9EF8" w14:textId="77777777" w:rsidTr="00BB444E">
        <w:trPr>
          <w:trHeight w:val="56"/>
        </w:trPr>
        <w:tc>
          <w:tcPr>
            <w:tcW w:w="1980" w:type="dxa"/>
            <w:tcMar>
              <w:left w:w="28" w:type="dxa"/>
              <w:right w:w="28" w:type="dxa"/>
            </w:tcMar>
            <w:vAlign w:val="center"/>
            <w:hideMark/>
          </w:tcPr>
          <w:p w14:paraId="3934022E" w14:textId="2AF96A41" w:rsidR="00AB3763" w:rsidRPr="000160C3" w:rsidRDefault="00AB3763" w:rsidP="001C47F4">
            <w:pPr>
              <w:pStyle w:val="TableText0"/>
              <w:keepNext/>
              <w:keepLines/>
              <w:spacing w:line="240" w:lineRule="auto"/>
            </w:pPr>
            <w:r w:rsidRPr="000160C3">
              <w:t>Base</w:t>
            </w:r>
            <w:r w:rsidR="00EC1990">
              <w:noBreakHyphen/>
            </w:r>
            <w:r w:rsidRPr="000160C3">
              <w:t>case matching set</w:t>
            </w:r>
          </w:p>
        </w:tc>
        <w:tc>
          <w:tcPr>
            <w:tcW w:w="1276" w:type="dxa"/>
            <w:tcMar>
              <w:left w:w="28" w:type="dxa"/>
              <w:right w:w="28" w:type="dxa"/>
            </w:tcMar>
            <w:vAlign w:val="center"/>
            <w:hideMark/>
          </w:tcPr>
          <w:p w14:paraId="1B4469CB" w14:textId="77777777" w:rsidR="00AB3763" w:rsidRPr="000160C3" w:rsidRDefault="00AB3763" w:rsidP="001C47F4">
            <w:pPr>
              <w:pStyle w:val="TableText0"/>
              <w:keepNext/>
              <w:keepLines/>
              <w:spacing w:line="240" w:lineRule="auto"/>
              <w:jc w:val="center"/>
            </w:pPr>
            <w:r w:rsidRPr="000160C3">
              <w:t>146 (103)</w:t>
            </w:r>
          </w:p>
        </w:tc>
        <w:tc>
          <w:tcPr>
            <w:tcW w:w="1701" w:type="dxa"/>
            <w:tcMar>
              <w:left w:w="28" w:type="dxa"/>
              <w:right w:w="28" w:type="dxa"/>
            </w:tcMar>
            <w:vAlign w:val="center"/>
            <w:hideMark/>
          </w:tcPr>
          <w:p w14:paraId="2A9B4460" w14:textId="77777777" w:rsidR="00AB3763" w:rsidRPr="000160C3" w:rsidRDefault="00AB3763" w:rsidP="001C47F4">
            <w:pPr>
              <w:pStyle w:val="TableText0"/>
              <w:keepNext/>
              <w:keepLines/>
              <w:spacing w:line="240" w:lineRule="auto"/>
              <w:jc w:val="center"/>
            </w:pPr>
            <w:r w:rsidRPr="000160C3">
              <w:t>26.9 (15.1, NA)</w:t>
            </w:r>
          </w:p>
        </w:tc>
        <w:tc>
          <w:tcPr>
            <w:tcW w:w="1842" w:type="dxa"/>
            <w:vMerge/>
            <w:tcMar>
              <w:left w:w="28" w:type="dxa"/>
              <w:right w:w="28" w:type="dxa"/>
            </w:tcMar>
            <w:vAlign w:val="center"/>
            <w:hideMark/>
          </w:tcPr>
          <w:p w14:paraId="219AD01F" w14:textId="77777777" w:rsidR="00AB3763" w:rsidRPr="000160C3" w:rsidRDefault="00AB3763" w:rsidP="001C47F4">
            <w:pPr>
              <w:pStyle w:val="TableText0"/>
              <w:keepNext/>
              <w:keepLines/>
              <w:spacing w:line="240" w:lineRule="auto"/>
              <w:jc w:val="center"/>
            </w:pPr>
          </w:p>
        </w:tc>
        <w:tc>
          <w:tcPr>
            <w:tcW w:w="1418" w:type="dxa"/>
            <w:tcMar>
              <w:left w:w="28" w:type="dxa"/>
              <w:right w:w="28" w:type="dxa"/>
            </w:tcMar>
            <w:vAlign w:val="center"/>
            <w:hideMark/>
          </w:tcPr>
          <w:p w14:paraId="4B2F0669" w14:textId="77777777" w:rsidR="00AB3763" w:rsidRPr="000160C3" w:rsidRDefault="00AB3763" w:rsidP="001C47F4">
            <w:pPr>
              <w:pStyle w:val="TableText0"/>
              <w:keepNext/>
              <w:keepLines/>
              <w:spacing w:line="240" w:lineRule="auto"/>
              <w:jc w:val="center"/>
            </w:pPr>
            <w:r w:rsidRPr="000160C3">
              <w:t>0.99 (0.69, 1.43)</w:t>
            </w:r>
          </w:p>
        </w:tc>
        <w:tc>
          <w:tcPr>
            <w:tcW w:w="800" w:type="dxa"/>
            <w:tcMar>
              <w:left w:w="28" w:type="dxa"/>
              <w:right w:w="28" w:type="dxa"/>
            </w:tcMar>
            <w:vAlign w:val="center"/>
            <w:hideMark/>
          </w:tcPr>
          <w:p w14:paraId="6615B91E" w14:textId="77777777" w:rsidR="00AB3763" w:rsidRPr="000160C3" w:rsidRDefault="00AB3763" w:rsidP="001C47F4">
            <w:pPr>
              <w:pStyle w:val="TableText0"/>
              <w:keepNext/>
              <w:keepLines/>
              <w:spacing w:line="240" w:lineRule="auto"/>
              <w:jc w:val="center"/>
            </w:pPr>
            <w:r w:rsidRPr="000160C3">
              <w:t>0.969</w:t>
            </w:r>
          </w:p>
        </w:tc>
      </w:tr>
      <w:tr w:rsidR="00AB3763" w:rsidRPr="000160C3" w14:paraId="59157D39" w14:textId="77777777" w:rsidTr="00BB444E">
        <w:trPr>
          <w:trHeight w:val="56"/>
        </w:trPr>
        <w:tc>
          <w:tcPr>
            <w:tcW w:w="1980" w:type="dxa"/>
            <w:tcMar>
              <w:left w:w="28" w:type="dxa"/>
              <w:right w:w="28" w:type="dxa"/>
            </w:tcMar>
            <w:vAlign w:val="center"/>
            <w:hideMark/>
          </w:tcPr>
          <w:p w14:paraId="3DBE7F96" w14:textId="77777777" w:rsidR="00AB3763" w:rsidRPr="000160C3" w:rsidRDefault="00AB3763" w:rsidP="001C47F4">
            <w:pPr>
              <w:pStyle w:val="TableText0"/>
              <w:keepNext/>
              <w:keepLines/>
              <w:spacing w:line="240" w:lineRule="auto"/>
            </w:pPr>
            <w:r w:rsidRPr="000160C3">
              <w:t>Full matching set</w:t>
            </w:r>
          </w:p>
        </w:tc>
        <w:tc>
          <w:tcPr>
            <w:tcW w:w="1276" w:type="dxa"/>
            <w:tcMar>
              <w:left w:w="28" w:type="dxa"/>
              <w:right w:w="28" w:type="dxa"/>
            </w:tcMar>
            <w:vAlign w:val="center"/>
            <w:hideMark/>
          </w:tcPr>
          <w:p w14:paraId="5031821F" w14:textId="77777777" w:rsidR="00AB3763" w:rsidRPr="000160C3" w:rsidRDefault="00AB3763" w:rsidP="001C47F4">
            <w:pPr>
              <w:pStyle w:val="TableText0"/>
              <w:keepNext/>
              <w:keepLines/>
              <w:spacing w:line="240" w:lineRule="auto"/>
              <w:jc w:val="center"/>
            </w:pPr>
            <w:r w:rsidRPr="000160C3">
              <w:t>146 (62)</w:t>
            </w:r>
          </w:p>
        </w:tc>
        <w:tc>
          <w:tcPr>
            <w:tcW w:w="1701" w:type="dxa"/>
            <w:tcMar>
              <w:left w:w="28" w:type="dxa"/>
              <w:right w:w="28" w:type="dxa"/>
            </w:tcMar>
            <w:vAlign w:val="center"/>
            <w:hideMark/>
          </w:tcPr>
          <w:p w14:paraId="1659B6EE" w14:textId="77777777" w:rsidR="00AB3763" w:rsidRPr="000160C3" w:rsidRDefault="00AB3763" w:rsidP="001C47F4">
            <w:pPr>
              <w:pStyle w:val="TableText0"/>
              <w:keepNext/>
              <w:keepLines/>
              <w:spacing w:line="240" w:lineRule="auto"/>
              <w:jc w:val="center"/>
            </w:pPr>
            <w:r w:rsidRPr="000160C3">
              <w:t>26.3 (13.6, NA)</w:t>
            </w:r>
          </w:p>
        </w:tc>
        <w:tc>
          <w:tcPr>
            <w:tcW w:w="1842" w:type="dxa"/>
            <w:vMerge/>
            <w:tcMar>
              <w:left w:w="28" w:type="dxa"/>
              <w:right w:w="28" w:type="dxa"/>
            </w:tcMar>
            <w:vAlign w:val="center"/>
            <w:hideMark/>
          </w:tcPr>
          <w:p w14:paraId="0ACB8FDF" w14:textId="77777777" w:rsidR="00AB3763" w:rsidRPr="000160C3" w:rsidRDefault="00AB3763" w:rsidP="001C47F4">
            <w:pPr>
              <w:pStyle w:val="TableText0"/>
              <w:keepNext/>
              <w:keepLines/>
              <w:spacing w:line="240" w:lineRule="auto"/>
              <w:jc w:val="center"/>
            </w:pPr>
          </w:p>
        </w:tc>
        <w:tc>
          <w:tcPr>
            <w:tcW w:w="1418" w:type="dxa"/>
            <w:tcMar>
              <w:left w:w="28" w:type="dxa"/>
              <w:right w:w="28" w:type="dxa"/>
            </w:tcMar>
            <w:vAlign w:val="center"/>
            <w:hideMark/>
          </w:tcPr>
          <w:p w14:paraId="3E5B1576" w14:textId="77777777" w:rsidR="00AB3763" w:rsidRPr="000160C3" w:rsidRDefault="00AB3763" w:rsidP="001C47F4">
            <w:pPr>
              <w:pStyle w:val="TableText0"/>
              <w:keepNext/>
              <w:keepLines/>
              <w:spacing w:line="240" w:lineRule="auto"/>
              <w:jc w:val="center"/>
            </w:pPr>
            <w:r w:rsidRPr="000160C3">
              <w:t>1.09 (0.72, 1.63)</w:t>
            </w:r>
          </w:p>
        </w:tc>
        <w:tc>
          <w:tcPr>
            <w:tcW w:w="800" w:type="dxa"/>
            <w:tcMar>
              <w:left w:w="28" w:type="dxa"/>
              <w:right w:w="28" w:type="dxa"/>
            </w:tcMar>
            <w:vAlign w:val="center"/>
            <w:hideMark/>
          </w:tcPr>
          <w:p w14:paraId="4753133A" w14:textId="77777777" w:rsidR="00AB3763" w:rsidRPr="000160C3" w:rsidRDefault="00AB3763" w:rsidP="001C47F4">
            <w:pPr>
              <w:pStyle w:val="TableText0"/>
              <w:keepNext/>
              <w:keepLines/>
              <w:spacing w:line="240" w:lineRule="auto"/>
              <w:jc w:val="center"/>
            </w:pPr>
            <w:r w:rsidRPr="000160C3">
              <w:t>0.69</w:t>
            </w:r>
          </w:p>
        </w:tc>
      </w:tr>
    </w:tbl>
    <w:p w14:paraId="2871D5CA" w14:textId="77777777" w:rsidR="00521900" w:rsidRPr="000160C3" w:rsidRDefault="00521900" w:rsidP="001C47F4">
      <w:pPr>
        <w:pStyle w:val="TableFigureFooter"/>
        <w:keepNext/>
      </w:pPr>
      <w:r w:rsidRPr="000160C3">
        <w:t xml:space="preserve">Source: Table 2.60, p198 of the submission. </w:t>
      </w:r>
    </w:p>
    <w:p w14:paraId="7BE00D6F" w14:textId="43D068F1" w:rsidR="00BF18B1" w:rsidRPr="000160C3" w:rsidRDefault="00521900" w:rsidP="001C47F4">
      <w:pPr>
        <w:pStyle w:val="TableFigureFooter"/>
        <w:keepNext/>
      </w:pPr>
      <w:r w:rsidRPr="000160C3">
        <w:t>Abbreviations: BC = base</w:t>
      </w:r>
      <w:r w:rsidR="00EC1990">
        <w:noBreakHyphen/>
      </w:r>
      <w:r w:rsidRPr="000160C3">
        <w:t>case; CI = confidence interval; ESS = effective sample size; HR = hazard ratio; NA = not applicable; OS = overall survival; RD = risk difference; RR = relative risk.</w:t>
      </w:r>
    </w:p>
    <w:p w14:paraId="552822B3" w14:textId="6A77BACF" w:rsidR="004909D1" w:rsidRPr="000160C3" w:rsidRDefault="004909D1" w:rsidP="001C47F4">
      <w:pPr>
        <w:pStyle w:val="TableFigureFooter"/>
        <w:keepNext/>
      </w:pPr>
      <w:r w:rsidRPr="000160C3">
        <w:t xml:space="preserve">Unadjusted: observed (pooled) </w:t>
      </w:r>
      <w:r w:rsidR="00AF2B48" w:rsidRPr="000160C3">
        <w:t>study</w:t>
      </w:r>
      <w:r w:rsidRPr="000160C3">
        <w:t xml:space="preserve"> results </w:t>
      </w:r>
    </w:p>
    <w:p w14:paraId="7FC807FD" w14:textId="0F6C72A4" w:rsidR="004909D1" w:rsidRPr="000160C3" w:rsidRDefault="004909D1" w:rsidP="001C47F4">
      <w:pPr>
        <w:pStyle w:val="TableFigureFooter"/>
        <w:keepNext/>
      </w:pPr>
      <w:r w:rsidRPr="000160C3">
        <w:t>Excluding COVID</w:t>
      </w:r>
      <w:r w:rsidR="00EC1990">
        <w:noBreakHyphen/>
      </w:r>
      <w:r w:rsidRPr="000160C3">
        <w:t>19 deaths: RP2D patients who died from COVID</w:t>
      </w:r>
      <w:r w:rsidR="00EC1990">
        <w:noBreakHyphen/>
      </w:r>
      <w:r w:rsidRPr="000160C3">
        <w:t>19 (n =19) are removed from analysis</w:t>
      </w:r>
    </w:p>
    <w:p w14:paraId="37E76262" w14:textId="2EA4CC42" w:rsidR="004909D1" w:rsidRPr="000160C3" w:rsidRDefault="004909D1" w:rsidP="001C47F4">
      <w:pPr>
        <w:pStyle w:val="TableFigureFooter"/>
        <w:keepNext/>
      </w:pPr>
      <w:r w:rsidRPr="000160C3">
        <w:t>Base</w:t>
      </w:r>
      <w:r w:rsidR="00EC1990">
        <w:noBreakHyphen/>
      </w:r>
      <w:r w:rsidRPr="000160C3">
        <w:t>case matching set: patients in Ma</w:t>
      </w:r>
      <w:r w:rsidR="0081280E" w:rsidRPr="000160C3">
        <w:t>j</w:t>
      </w:r>
      <w:r w:rsidRPr="000160C3">
        <w:t>esTEC</w:t>
      </w:r>
      <w:r w:rsidR="00EC1990">
        <w:noBreakHyphen/>
      </w:r>
      <w:r w:rsidRPr="000160C3">
        <w:t>1 were reweighted for refractory status, R</w:t>
      </w:r>
      <w:r w:rsidR="00EC1990">
        <w:noBreakHyphen/>
      </w:r>
      <w:r w:rsidRPr="000160C3">
        <w:t>ISS stage, cytogenetic profile, presence of extramedullary disease, and number of prior lines of therapy.</w:t>
      </w:r>
    </w:p>
    <w:p w14:paraId="109B7C3D" w14:textId="407F8B7C" w:rsidR="00830B10" w:rsidRPr="000160C3" w:rsidRDefault="004909D1" w:rsidP="001C47F4">
      <w:pPr>
        <w:pStyle w:val="TableFigureFooter"/>
        <w:keepNext/>
      </w:pPr>
      <w:r w:rsidRPr="000160C3">
        <w:t>Full matching set: patients reweighted for all identified comparable covariates between Ma</w:t>
      </w:r>
      <w:r w:rsidR="0081280E" w:rsidRPr="000160C3">
        <w:t>j</w:t>
      </w:r>
      <w:r w:rsidRPr="000160C3">
        <w:t>esTEC</w:t>
      </w:r>
      <w:r w:rsidR="00EC1990">
        <w:noBreakHyphen/>
      </w:r>
      <w:r w:rsidRPr="000160C3">
        <w:t>1 and MagnetisMM</w:t>
      </w:r>
      <w:r w:rsidR="00EC1990">
        <w:noBreakHyphen/>
      </w:r>
      <w:r w:rsidRPr="000160C3">
        <w:t xml:space="preserve">3 </w:t>
      </w:r>
    </w:p>
    <w:p w14:paraId="2CF67A39" w14:textId="1FC590C4" w:rsidR="00521900" w:rsidRPr="000160C3" w:rsidRDefault="00B26466" w:rsidP="001C47F4">
      <w:pPr>
        <w:pStyle w:val="3-BodyText"/>
        <w:numPr>
          <w:ilvl w:val="0"/>
          <w:numId w:val="0"/>
        </w:numPr>
        <w:rPr>
          <w:u w:val="single"/>
          <w:lang w:eastAsia="en-US"/>
        </w:rPr>
      </w:pPr>
      <w:r w:rsidRPr="000160C3">
        <w:rPr>
          <w:u w:val="single"/>
          <w:lang w:eastAsia="en-US"/>
        </w:rPr>
        <w:t>Mol 2024</w:t>
      </w:r>
      <w:r w:rsidR="00EC1990">
        <w:rPr>
          <w:u w:val="single"/>
          <w:lang w:eastAsia="en-US"/>
        </w:rPr>
        <w:noBreakHyphen/>
      </w:r>
      <w:r w:rsidRPr="000160C3">
        <w:rPr>
          <w:u w:val="single"/>
          <w:lang w:eastAsia="en-US"/>
        </w:rPr>
        <w:t>2025</w:t>
      </w:r>
    </w:p>
    <w:p w14:paraId="06BBB461" w14:textId="4EAF1BE3" w:rsidR="00521900" w:rsidRPr="00FB5BFC" w:rsidRDefault="00521900" w:rsidP="001C47F4">
      <w:pPr>
        <w:pStyle w:val="3-BodyText"/>
      </w:pPr>
      <w:r w:rsidRPr="00FB5BFC">
        <w:t xml:space="preserve">Results reported </w:t>
      </w:r>
      <w:r w:rsidR="00A674F6" w:rsidRPr="00FB5BFC">
        <w:t xml:space="preserve">in </w:t>
      </w:r>
      <w:r w:rsidRPr="00FB5BFC">
        <w:t xml:space="preserve">Mol 2025 (OS, PFS and DoR) comparing elranatamab versus teclistamab are shown in </w:t>
      </w:r>
      <w:r w:rsidRPr="00FB5BFC">
        <w:fldChar w:fldCharType="begin"/>
      </w:r>
      <w:r w:rsidRPr="00FB5BFC">
        <w:instrText xml:space="preserve"> REF _Ref216040928 \h  \* MERGEFORMAT </w:instrText>
      </w:r>
      <w:r w:rsidRPr="00FB5BFC">
        <w:fldChar w:fldCharType="separate"/>
      </w:r>
      <w:r w:rsidR="001C47F4" w:rsidRPr="000160C3">
        <w:t xml:space="preserve">Table </w:t>
      </w:r>
      <w:r w:rsidR="001C47F4">
        <w:t>9</w:t>
      </w:r>
      <w:r w:rsidRPr="00FB5BFC">
        <w:fldChar w:fldCharType="end"/>
      </w:r>
      <w:r w:rsidR="004E7679" w:rsidRPr="00FB5BFC">
        <w:t xml:space="preserve"> and </w:t>
      </w:r>
      <w:r w:rsidR="005271F3" w:rsidRPr="00FB5BFC">
        <w:fldChar w:fldCharType="begin"/>
      </w:r>
      <w:r w:rsidR="005271F3" w:rsidRPr="00FB5BFC">
        <w:instrText xml:space="preserve"> REF _Ref216041949 \h  \* MERGEFORMAT </w:instrText>
      </w:r>
      <w:r w:rsidR="005271F3" w:rsidRPr="00FB5BFC">
        <w:fldChar w:fldCharType="separate"/>
      </w:r>
      <w:r w:rsidR="001C47F4" w:rsidRPr="000160C3">
        <w:t xml:space="preserve">Figure </w:t>
      </w:r>
      <w:r w:rsidR="001C47F4">
        <w:t>3</w:t>
      </w:r>
      <w:r w:rsidR="005271F3" w:rsidRPr="00FB5BFC">
        <w:fldChar w:fldCharType="end"/>
      </w:r>
      <w:r w:rsidRPr="00FB5BFC">
        <w:t>. The results showed that when adjusted for the identified covariates</w:t>
      </w:r>
      <w:r w:rsidR="00A674F6" w:rsidRPr="00FB5BFC">
        <w:t xml:space="preserve"> (see </w:t>
      </w:r>
      <w:r w:rsidR="00CC21B6" w:rsidRPr="00FB5BFC">
        <w:t>paragraph</w:t>
      </w:r>
      <w:r w:rsidR="00840F40" w:rsidRPr="00FB5BFC">
        <w:t xml:space="preserve"> </w:t>
      </w:r>
      <w:r w:rsidR="00EA3DEA" w:rsidRPr="00FB5BFC">
        <w:fldChar w:fldCharType="begin"/>
      </w:r>
      <w:r w:rsidR="00EA3DEA" w:rsidRPr="00FB5BFC">
        <w:instrText xml:space="preserve"> REF _Ref219715146 \r \h </w:instrText>
      </w:r>
      <w:r w:rsidR="00FA2EBA" w:rsidRPr="00FB5BFC">
        <w:instrText xml:space="preserve"> \* MERGEFORMAT </w:instrText>
      </w:r>
      <w:r w:rsidR="00EA3DEA" w:rsidRPr="00FB5BFC">
        <w:fldChar w:fldCharType="separate"/>
      </w:r>
      <w:r w:rsidR="00D44478">
        <w:t>6.20</w:t>
      </w:r>
      <w:r w:rsidR="00EA3DEA" w:rsidRPr="00FB5BFC">
        <w:fldChar w:fldCharType="end"/>
      </w:r>
      <w:r w:rsidR="0055799F" w:rsidRPr="00FB5BFC">
        <w:t>)</w:t>
      </w:r>
      <w:r w:rsidRPr="00FB5BFC">
        <w:t>, the outcome of ORR favoured elranatamab and reached statistical significance.</w:t>
      </w:r>
      <w:r w:rsidR="00FA2531" w:rsidRPr="00FB5BFC">
        <w:t xml:space="preserve"> Mol 202</w:t>
      </w:r>
      <w:r w:rsidR="00361FC5" w:rsidRPr="00FB5BFC">
        <w:t>4</w:t>
      </w:r>
      <w:r w:rsidR="00FA2531" w:rsidRPr="00FB5BFC">
        <w:t xml:space="preserve"> acknowledged that the inclusion of COVID</w:t>
      </w:r>
      <w:r w:rsidR="00EC1990">
        <w:noBreakHyphen/>
      </w:r>
      <w:r w:rsidR="00FA2531" w:rsidRPr="00FB5BFC">
        <w:t xml:space="preserve">19 deaths constituted a potential limitation in this analysis that could have impacted the </w:t>
      </w:r>
      <w:r w:rsidR="001E0D66" w:rsidRPr="00FB5BFC">
        <w:t xml:space="preserve">efficacy </w:t>
      </w:r>
      <w:r w:rsidR="00CC21B6" w:rsidRPr="00FB5BFC">
        <w:t>results,</w:t>
      </w:r>
      <w:r w:rsidR="009E5CBC" w:rsidRPr="00FB5BFC">
        <w:t xml:space="preserve"> but the direction of the impact was not discussed</w:t>
      </w:r>
      <w:r w:rsidR="00FA2531" w:rsidRPr="00FB5BFC">
        <w:t>.</w:t>
      </w:r>
      <w:r w:rsidR="00225D57" w:rsidRPr="00FB5BFC">
        <w:t xml:space="preserve"> </w:t>
      </w:r>
      <w:r w:rsidR="00345833" w:rsidRPr="00FB5BFC">
        <w:rPr>
          <w:rFonts w:ascii="Calibri" w:hAnsi="Calibri"/>
          <w:color w:val="000000" w:themeColor="text1"/>
        </w:rPr>
        <w:t>The PSCR noted that Mol 2024</w:t>
      </w:r>
      <w:r w:rsidR="00EC1990">
        <w:rPr>
          <w:rFonts w:ascii="Calibri" w:hAnsi="Calibri"/>
          <w:color w:val="000000" w:themeColor="text1"/>
        </w:rPr>
        <w:noBreakHyphen/>
      </w:r>
      <w:r w:rsidR="00345833" w:rsidRPr="00FB5BFC">
        <w:rPr>
          <w:rFonts w:ascii="Calibri" w:hAnsi="Calibri"/>
          <w:color w:val="000000" w:themeColor="text1"/>
        </w:rPr>
        <w:t>2025 did not include the China cohort and did not adjust for COVID</w:t>
      </w:r>
      <w:r w:rsidR="00EC1990">
        <w:rPr>
          <w:rFonts w:ascii="Calibri" w:hAnsi="Calibri"/>
          <w:color w:val="000000" w:themeColor="text1"/>
        </w:rPr>
        <w:noBreakHyphen/>
      </w:r>
      <w:r w:rsidR="00345833" w:rsidRPr="00FB5BFC">
        <w:rPr>
          <w:rFonts w:ascii="Calibri" w:hAnsi="Calibri"/>
          <w:color w:val="000000" w:themeColor="text1"/>
        </w:rPr>
        <w:t>19 deaths in the MajesTEC</w:t>
      </w:r>
      <w:r w:rsidR="00EC1990">
        <w:rPr>
          <w:rFonts w:ascii="Calibri" w:hAnsi="Calibri"/>
          <w:color w:val="000000" w:themeColor="text1"/>
        </w:rPr>
        <w:noBreakHyphen/>
      </w:r>
      <w:r w:rsidR="00345833" w:rsidRPr="00FB5BFC">
        <w:rPr>
          <w:rFonts w:ascii="Calibri" w:hAnsi="Calibri"/>
          <w:color w:val="000000" w:themeColor="text1"/>
        </w:rPr>
        <w:t>1 study.</w:t>
      </w:r>
      <w:r w:rsidR="00941665" w:rsidRPr="00FB5BFC">
        <w:rPr>
          <w:rFonts w:ascii="Calibri" w:hAnsi="Calibri"/>
          <w:color w:val="000000" w:themeColor="text1"/>
        </w:rPr>
        <w:t xml:space="preserve"> The ESC noted that the adjusted </w:t>
      </w:r>
      <w:r w:rsidR="00A505F1" w:rsidRPr="00FB5BFC">
        <w:rPr>
          <w:rFonts w:ascii="Calibri" w:hAnsi="Calibri"/>
          <w:color w:val="000000" w:themeColor="text1"/>
        </w:rPr>
        <w:t xml:space="preserve">analyses resulted in results that statistically significantly favoured elranatamab. </w:t>
      </w:r>
    </w:p>
    <w:p w14:paraId="280ACD88" w14:textId="504DDDEF" w:rsidR="00521900" w:rsidRPr="000160C3" w:rsidRDefault="00521900" w:rsidP="001C47F4">
      <w:pPr>
        <w:pStyle w:val="Caption"/>
      </w:pPr>
      <w:bookmarkStart w:id="35" w:name="_Ref216040928"/>
      <w:r w:rsidRPr="000160C3">
        <w:t xml:space="preserve">Table </w:t>
      </w:r>
      <w:r>
        <w:fldChar w:fldCharType="begin"/>
      </w:r>
      <w:r>
        <w:instrText>SEQ Table \* ARABIC</w:instrText>
      </w:r>
      <w:r>
        <w:fldChar w:fldCharType="separate"/>
      </w:r>
      <w:r w:rsidR="001C47F4">
        <w:rPr>
          <w:noProof/>
        </w:rPr>
        <w:t>9</w:t>
      </w:r>
      <w:r>
        <w:fldChar w:fldCharType="end"/>
      </w:r>
      <w:bookmarkEnd w:id="35"/>
      <w:r w:rsidRPr="000160C3">
        <w:t>: Results reported in Mol 2025 for OS, PFS and DoR (median follow</w:t>
      </w:r>
      <w:r w:rsidR="00EC1990">
        <w:noBreakHyphen/>
      </w:r>
      <w:r w:rsidRPr="000160C3">
        <w:t>up: 28.4 months for elranatamab and 30.4 months for teclistamab)</w:t>
      </w:r>
    </w:p>
    <w:tbl>
      <w:tblPr>
        <w:tblStyle w:val="TableGrid"/>
        <w:tblW w:w="9067" w:type="dxa"/>
        <w:tblLook w:val="04A0" w:firstRow="1" w:lastRow="0" w:firstColumn="1" w:lastColumn="0" w:noHBand="0" w:noVBand="1"/>
        <w:tblCaption w:val="Table 9: Results reported in Mol 2025 for OS, PFS and DoR (median follow up: 28.4 months for elranatamab and 30.4 months for teclistamab)"/>
      </w:tblPr>
      <w:tblGrid>
        <w:gridCol w:w="3114"/>
        <w:gridCol w:w="1984"/>
        <w:gridCol w:w="1984"/>
        <w:gridCol w:w="1985"/>
      </w:tblGrid>
      <w:tr w:rsidR="00521900" w:rsidRPr="000160C3" w14:paraId="56E47DA0" w14:textId="77777777" w:rsidTr="00536078">
        <w:tc>
          <w:tcPr>
            <w:tcW w:w="3114" w:type="dxa"/>
            <w:hideMark/>
          </w:tcPr>
          <w:p w14:paraId="417BAFAD" w14:textId="77777777" w:rsidR="00521900" w:rsidRPr="000160C3" w:rsidRDefault="00521900" w:rsidP="001C47F4">
            <w:pPr>
              <w:pStyle w:val="In-tableHeading"/>
            </w:pPr>
            <w:r w:rsidRPr="000160C3">
              <w:t>Outcome and Analysis</w:t>
            </w:r>
          </w:p>
        </w:tc>
        <w:tc>
          <w:tcPr>
            <w:tcW w:w="1984" w:type="dxa"/>
            <w:vAlign w:val="center"/>
            <w:hideMark/>
          </w:tcPr>
          <w:p w14:paraId="410F4E73" w14:textId="77777777" w:rsidR="00521900" w:rsidRPr="000160C3" w:rsidRDefault="00521900" w:rsidP="001C47F4">
            <w:pPr>
              <w:pStyle w:val="In-tableHeading"/>
            </w:pPr>
            <w:r w:rsidRPr="000160C3">
              <w:t>ESS (n)</w:t>
            </w:r>
          </w:p>
        </w:tc>
        <w:tc>
          <w:tcPr>
            <w:tcW w:w="1984" w:type="dxa"/>
            <w:vAlign w:val="center"/>
            <w:hideMark/>
          </w:tcPr>
          <w:p w14:paraId="03415A03" w14:textId="65758A39" w:rsidR="00521900" w:rsidRPr="000160C3" w:rsidRDefault="00521900" w:rsidP="001C47F4">
            <w:pPr>
              <w:pStyle w:val="In-tableHeading"/>
            </w:pPr>
            <w:r w:rsidRPr="000160C3">
              <w:t>HR (95% CI)</w:t>
            </w:r>
            <w:r w:rsidR="008A20A0" w:rsidRPr="008A20A0">
              <w:rPr>
                <w:vertAlign w:val="superscript"/>
              </w:rPr>
              <w:t>a</w:t>
            </w:r>
          </w:p>
        </w:tc>
        <w:tc>
          <w:tcPr>
            <w:tcW w:w="1985" w:type="dxa"/>
            <w:vAlign w:val="center"/>
            <w:hideMark/>
          </w:tcPr>
          <w:p w14:paraId="7D26DC75" w14:textId="206A1D4C" w:rsidR="00521900" w:rsidRPr="000160C3" w:rsidRDefault="00521900" w:rsidP="001C47F4">
            <w:pPr>
              <w:pStyle w:val="In-tableHeading"/>
            </w:pPr>
            <w:r w:rsidRPr="000160C3">
              <w:t>p</w:t>
            </w:r>
            <w:r w:rsidR="00EC1990">
              <w:noBreakHyphen/>
            </w:r>
            <w:r w:rsidRPr="000160C3">
              <w:t>value</w:t>
            </w:r>
          </w:p>
        </w:tc>
      </w:tr>
      <w:tr w:rsidR="008E1E01" w:rsidRPr="000160C3" w14:paraId="70617559" w14:textId="77777777">
        <w:tc>
          <w:tcPr>
            <w:tcW w:w="9067" w:type="dxa"/>
            <w:gridSpan w:val="4"/>
            <w:hideMark/>
          </w:tcPr>
          <w:p w14:paraId="6AE8646C" w14:textId="2EE85DD5" w:rsidR="008E1E01" w:rsidRPr="000160C3" w:rsidRDefault="008E1E01" w:rsidP="001C47F4">
            <w:pPr>
              <w:pStyle w:val="TableText0"/>
              <w:spacing w:line="240" w:lineRule="auto"/>
              <w:rPr>
                <w:b/>
                <w:bCs w:val="0"/>
              </w:rPr>
            </w:pPr>
            <w:r w:rsidRPr="000160C3">
              <w:rPr>
                <w:b/>
                <w:bCs w:val="0"/>
              </w:rPr>
              <w:t>PFS (All patients)</w:t>
            </w:r>
          </w:p>
        </w:tc>
      </w:tr>
      <w:tr w:rsidR="00521900" w:rsidRPr="000160C3" w14:paraId="291CE8DB" w14:textId="77777777" w:rsidTr="00F024E6">
        <w:tc>
          <w:tcPr>
            <w:tcW w:w="3114" w:type="dxa"/>
            <w:hideMark/>
          </w:tcPr>
          <w:p w14:paraId="65DFC9BF" w14:textId="15908BD4" w:rsidR="00521900" w:rsidRPr="000160C3" w:rsidRDefault="00FD0ECA" w:rsidP="001C47F4">
            <w:pPr>
              <w:pStyle w:val="TableText0"/>
              <w:spacing w:line="240" w:lineRule="auto"/>
            </w:pPr>
            <w:r w:rsidRPr="000160C3">
              <w:t xml:space="preserve">Unadjusted </w:t>
            </w:r>
            <w:r w:rsidR="00521900" w:rsidRPr="000160C3">
              <w:t>comparison</w:t>
            </w:r>
          </w:p>
        </w:tc>
        <w:tc>
          <w:tcPr>
            <w:tcW w:w="1984" w:type="dxa"/>
            <w:vAlign w:val="center"/>
            <w:hideMark/>
          </w:tcPr>
          <w:p w14:paraId="554B8C50" w14:textId="77777777" w:rsidR="00521900" w:rsidRPr="000160C3" w:rsidRDefault="00521900" w:rsidP="001C47F4">
            <w:pPr>
              <w:pStyle w:val="TableText0"/>
              <w:spacing w:line="240" w:lineRule="auto"/>
              <w:jc w:val="center"/>
            </w:pPr>
            <w:r w:rsidRPr="000160C3">
              <w:t>116</w:t>
            </w:r>
          </w:p>
        </w:tc>
        <w:tc>
          <w:tcPr>
            <w:tcW w:w="1984" w:type="dxa"/>
            <w:vAlign w:val="center"/>
            <w:hideMark/>
          </w:tcPr>
          <w:p w14:paraId="4E52B06E" w14:textId="77777777" w:rsidR="00521900" w:rsidRPr="000160C3" w:rsidRDefault="00521900" w:rsidP="001C47F4">
            <w:pPr>
              <w:pStyle w:val="TableText0"/>
              <w:spacing w:line="240" w:lineRule="auto"/>
              <w:jc w:val="center"/>
            </w:pPr>
            <w:r w:rsidRPr="000160C3">
              <w:t>0.77 (0.55, 1.06)</w:t>
            </w:r>
          </w:p>
        </w:tc>
        <w:tc>
          <w:tcPr>
            <w:tcW w:w="1985" w:type="dxa"/>
            <w:vAlign w:val="center"/>
            <w:hideMark/>
          </w:tcPr>
          <w:p w14:paraId="55473DDB" w14:textId="77777777" w:rsidR="00521900" w:rsidRPr="000160C3" w:rsidRDefault="00521900" w:rsidP="001C47F4">
            <w:pPr>
              <w:pStyle w:val="TableText0"/>
              <w:spacing w:line="240" w:lineRule="auto"/>
              <w:jc w:val="center"/>
            </w:pPr>
            <w:r w:rsidRPr="000160C3">
              <w:t>0.11</w:t>
            </w:r>
          </w:p>
        </w:tc>
      </w:tr>
      <w:tr w:rsidR="00521900" w:rsidRPr="000160C3" w14:paraId="116BB8C4" w14:textId="77777777" w:rsidTr="00F024E6">
        <w:tc>
          <w:tcPr>
            <w:tcW w:w="3114" w:type="dxa"/>
            <w:hideMark/>
          </w:tcPr>
          <w:p w14:paraId="551DDB6B" w14:textId="77777777" w:rsidR="00521900" w:rsidRPr="000160C3" w:rsidRDefault="00521900" w:rsidP="001C47F4">
            <w:pPr>
              <w:pStyle w:val="TableText0"/>
              <w:spacing w:line="240" w:lineRule="auto"/>
            </w:pPr>
            <w:r w:rsidRPr="000160C3">
              <w:t>Base case adjusted</w:t>
            </w:r>
          </w:p>
        </w:tc>
        <w:tc>
          <w:tcPr>
            <w:tcW w:w="1984" w:type="dxa"/>
            <w:vAlign w:val="center"/>
            <w:hideMark/>
          </w:tcPr>
          <w:p w14:paraId="75778B1C" w14:textId="77777777" w:rsidR="00521900" w:rsidRPr="000160C3" w:rsidRDefault="00521900" w:rsidP="001C47F4">
            <w:pPr>
              <w:pStyle w:val="TableText0"/>
              <w:spacing w:line="240" w:lineRule="auto"/>
              <w:jc w:val="center"/>
            </w:pPr>
            <w:r w:rsidRPr="000160C3">
              <w:t>76</w:t>
            </w:r>
          </w:p>
        </w:tc>
        <w:tc>
          <w:tcPr>
            <w:tcW w:w="1984" w:type="dxa"/>
            <w:vAlign w:val="center"/>
            <w:hideMark/>
          </w:tcPr>
          <w:p w14:paraId="062098F4" w14:textId="77777777" w:rsidR="00521900" w:rsidRPr="000160C3" w:rsidRDefault="00521900" w:rsidP="001C47F4">
            <w:pPr>
              <w:pStyle w:val="TableText0"/>
              <w:spacing w:line="240" w:lineRule="auto"/>
              <w:jc w:val="center"/>
              <w:rPr>
                <w:b/>
                <w:bCs w:val="0"/>
              </w:rPr>
            </w:pPr>
            <w:r w:rsidRPr="000160C3">
              <w:rPr>
                <w:b/>
                <w:bCs w:val="0"/>
              </w:rPr>
              <w:t>0.55 (0.37, 0.81)</w:t>
            </w:r>
          </w:p>
        </w:tc>
        <w:tc>
          <w:tcPr>
            <w:tcW w:w="1985" w:type="dxa"/>
            <w:vAlign w:val="center"/>
            <w:hideMark/>
          </w:tcPr>
          <w:p w14:paraId="2B986BC9" w14:textId="77777777" w:rsidR="00521900" w:rsidRPr="000160C3" w:rsidRDefault="00521900" w:rsidP="001C47F4">
            <w:pPr>
              <w:pStyle w:val="TableText0"/>
              <w:spacing w:line="240" w:lineRule="auto"/>
              <w:jc w:val="center"/>
              <w:rPr>
                <w:b/>
                <w:bCs w:val="0"/>
              </w:rPr>
            </w:pPr>
            <w:r w:rsidRPr="000160C3">
              <w:rPr>
                <w:b/>
                <w:bCs w:val="0"/>
              </w:rPr>
              <w:t>&lt;0.05</w:t>
            </w:r>
          </w:p>
        </w:tc>
      </w:tr>
      <w:tr w:rsidR="008E1E01" w:rsidRPr="000160C3" w14:paraId="6679E580" w14:textId="77777777">
        <w:tc>
          <w:tcPr>
            <w:tcW w:w="9067" w:type="dxa"/>
            <w:gridSpan w:val="4"/>
            <w:hideMark/>
          </w:tcPr>
          <w:p w14:paraId="07FBEB2E" w14:textId="53BFE0AF" w:rsidR="008E1E01" w:rsidRPr="000160C3" w:rsidRDefault="008E1E01" w:rsidP="001C47F4">
            <w:pPr>
              <w:pStyle w:val="TableText0"/>
              <w:spacing w:line="240" w:lineRule="auto"/>
              <w:rPr>
                <w:b/>
                <w:bCs w:val="0"/>
              </w:rPr>
            </w:pPr>
            <w:r w:rsidRPr="000160C3">
              <w:rPr>
                <w:b/>
                <w:bCs w:val="0"/>
              </w:rPr>
              <w:t>OS (All patients)</w:t>
            </w:r>
          </w:p>
        </w:tc>
      </w:tr>
      <w:tr w:rsidR="00521900" w:rsidRPr="000160C3" w14:paraId="306DC86A" w14:textId="77777777" w:rsidTr="00F024E6">
        <w:tc>
          <w:tcPr>
            <w:tcW w:w="3114" w:type="dxa"/>
            <w:hideMark/>
          </w:tcPr>
          <w:p w14:paraId="6D665CA1" w14:textId="6AD21FA6" w:rsidR="00521900" w:rsidRPr="000160C3" w:rsidRDefault="00FD0ECA" w:rsidP="001C47F4">
            <w:pPr>
              <w:pStyle w:val="TableText0"/>
              <w:spacing w:line="240" w:lineRule="auto"/>
            </w:pPr>
            <w:r w:rsidRPr="000160C3">
              <w:t xml:space="preserve">Unadjusted </w:t>
            </w:r>
            <w:r w:rsidR="00521900" w:rsidRPr="000160C3">
              <w:t>comparison</w:t>
            </w:r>
          </w:p>
        </w:tc>
        <w:tc>
          <w:tcPr>
            <w:tcW w:w="1984" w:type="dxa"/>
            <w:vAlign w:val="center"/>
            <w:hideMark/>
          </w:tcPr>
          <w:p w14:paraId="0AFC735E" w14:textId="77777777" w:rsidR="00521900" w:rsidRPr="000160C3" w:rsidRDefault="00521900" w:rsidP="001C47F4">
            <w:pPr>
              <w:pStyle w:val="TableText0"/>
              <w:spacing w:line="240" w:lineRule="auto"/>
              <w:jc w:val="center"/>
            </w:pPr>
            <w:r w:rsidRPr="000160C3">
              <w:t>116</w:t>
            </w:r>
          </w:p>
        </w:tc>
        <w:tc>
          <w:tcPr>
            <w:tcW w:w="1984" w:type="dxa"/>
            <w:vAlign w:val="center"/>
            <w:hideMark/>
          </w:tcPr>
          <w:p w14:paraId="11E29FC3" w14:textId="77777777" w:rsidR="00521900" w:rsidRPr="000160C3" w:rsidRDefault="00521900" w:rsidP="001C47F4">
            <w:pPr>
              <w:pStyle w:val="TableText0"/>
              <w:spacing w:line="240" w:lineRule="auto"/>
              <w:jc w:val="center"/>
            </w:pPr>
            <w:r w:rsidRPr="000160C3">
              <w:t>0.96 (0.70, 1.34)</w:t>
            </w:r>
          </w:p>
        </w:tc>
        <w:tc>
          <w:tcPr>
            <w:tcW w:w="1985" w:type="dxa"/>
            <w:vAlign w:val="center"/>
            <w:hideMark/>
          </w:tcPr>
          <w:p w14:paraId="3E17C1AC" w14:textId="77777777" w:rsidR="00521900" w:rsidRPr="000160C3" w:rsidRDefault="00521900" w:rsidP="001C47F4">
            <w:pPr>
              <w:pStyle w:val="TableText0"/>
              <w:spacing w:line="240" w:lineRule="auto"/>
              <w:jc w:val="center"/>
            </w:pPr>
            <w:r w:rsidRPr="000160C3">
              <w:t>0.83</w:t>
            </w:r>
          </w:p>
        </w:tc>
      </w:tr>
      <w:tr w:rsidR="00521900" w:rsidRPr="000160C3" w14:paraId="54CC525A" w14:textId="77777777" w:rsidTr="00F024E6">
        <w:tc>
          <w:tcPr>
            <w:tcW w:w="3114" w:type="dxa"/>
            <w:hideMark/>
          </w:tcPr>
          <w:p w14:paraId="7EAE57AE" w14:textId="77777777" w:rsidR="00521900" w:rsidRPr="000160C3" w:rsidRDefault="00521900" w:rsidP="001C47F4">
            <w:pPr>
              <w:pStyle w:val="TableText0"/>
              <w:spacing w:line="240" w:lineRule="auto"/>
            </w:pPr>
            <w:r w:rsidRPr="000160C3">
              <w:t>Base case adjusted</w:t>
            </w:r>
          </w:p>
        </w:tc>
        <w:tc>
          <w:tcPr>
            <w:tcW w:w="1984" w:type="dxa"/>
            <w:vAlign w:val="center"/>
            <w:hideMark/>
          </w:tcPr>
          <w:p w14:paraId="0166B1DD" w14:textId="77777777" w:rsidR="00521900" w:rsidRPr="000160C3" w:rsidRDefault="00521900" w:rsidP="001C47F4">
            <w:pPr>
              <w:pStyle w:val="TableText0"/>
              <w:spacing w:line="240" w:lineRule="auto"/>
              <w:jc w:val="center"/>
            </w:pPr>
            <w:r w:rsidRPr="000160C3">
              <w:t>74</w:t>
            </w:r>
          </w:p>
        </w:tc>
        <w:tc>
          <w:tcPr>
            <w:tcW w:w="1984" w:type="dxa"/>
            <w:vAlign w:val="center"/>
            <w:hideMark/>
          </w:tcPr>
          <w:p w14:paraId="5BC2244E" w14:textId="77777777" w:rsidR="00521900" w:rsidRPr="000160C3" w:rsidRDefault="00521900" w:rsidP="001C47F4">
            <w:pPr>
              <w:pStyle w:val="TableText0"/>
              <w:spacing w:line="240" w:lineRule="auto"/>
              <w:jc w:val="center"/>
              <w:rPr>
                <w:b/>
                <w:bCs w:val="0"/>
              </w:rPr>
            </w:pPr>
            <w:r w:rsidRPr="000160C3">
              <w:rPr>
                <w:b/>
                <w:bCs w:val="0"/>
              </w:rPr>
              <w:t>0.60 (0.40, 0.91)</w:t>
            </w:r>
          </w:p>
        </w:tc>
        <w:tc>
          <w:tcPr>
            <w:tcW w:w="1985" w:type="dxa"/>
            <w:vAlign w:val="center"/>
            <w:hideMark/>
          </w:tcPr>
          <w:p w14:paraId="41F7A6F1" w14:textId="77777777" w:rsidR="00521900" w:rsidRPr="000160C3" w:rsidRDefault="00521900" w:rsidP="001C47F4">
            <w:pPr>
              <w:pStyle w:val="TableText0"/>
              <w:spacing w:line="240" w:lineRule="auto"/>
              <w:jc w:val="center"/>
              <w:rPr>
                <w:b/>
                <w:bCs w:val="0"/>
              </w:rPr>
            </w:pPr>
            <w:r w:rsidRPr="000160C3">
              <w:rPr>
                <w:b/>
                <w:bCs w:val="0"/>
              </w:rPr>
              <w:t>&lt;0.05</w:t>
            </w:r>
          </w:p>
        </w:tc>
      </w:tr>
      <w:tr w:rsidR="008E1E01" w:rsidRPr="000160C3" w14:paraId="5C83B944" w14:textId="77777777">
        <w:tc>
          <w:tcPr>
            <w:tcW w:w="9067" w:type="dxa"/>
            <w:gridSpan w:val="4"/>
            <w:hideMark/>
          </w:tcPr>
          <w:p w14:paraId="4435BC40" w14:textId="1692F3A0" w:rsidR="008E1E01" w:rsidRPr="000160C3" w:rsidRDefault="008E1E01" w:rsidP="001C47F4">
            <w:pPr>
              <w:pStyle w:val="TableText0"/>
              <w:spacing w:line="240" w:lineRule="auto"/>
              <w:rPr>
                <w:b/>
                <w:bCs w:val="0"/>
              </w:rPr>
            </w:pPr>
            <w:r w:rsidRPr="000160C3">
              <w:rPr>
                <w:b/>
                <w:bCs w:val="0"/>
              </w:rPr>
              <w:t>DoR (All patients)</w:t>
            </w:r>
          </w:p>
        </w:tc>
      </w:tr>
      <w:tr w:rsidR="00521900" w:rsidRPr="000160C3" w14:paraId="32719312" w14:textId="77777777" w:rsidTr="00F024E6">
        <w:tc>
          <w:tcPr>
            <w:tcW w:w="3114" w:type="dxa"/>
            <w:hideMark/>
          </w:tcPr>
          <w:p w14:paraId="4467539F" w14:textId="58E7D05F" w:rsidR="00521900" w:rsidRPr="000160C3" w:rsidRDefault="00FD0ECA" w:rsidP="001C47F4">
            <w:pPr>
              <w:pStyle w:val="TableText0"/>
              <w:spacing w:line="240" w:lineRule="auto"/>
            </w:pPr>
            <w:r w:rsidRPr="000160C3">
              <w:t xml:space="preserve">Unadjusted </w:t>
            </w:r>
            <w:r w:rsidR="00521900" w:rsidRPr="000160C3">
              <w:t>comparison</w:t>
            </w:r>
          </w:p>
        </w:tc>
        <w:tc>
          <w:tcPr>
            <w:tcW w:w="1984" w:type="dxa"/>
            <w:vAlign w:val="center"/>
            <w:hideMark/>
          </w:tcPr>
          <w:p w14:paraId="4AFFE682" w14:textId="77777777" w:rsidR="00521900" w:rsidRPr="000160C3" w:rsidRDefault="00521900" w:rsidP="001C47F4">
            <w:pPr>
              <w:pStyle w:val="TableText0"/>
              <w:spacing w:line="240" w:lineRule="auto"/>
              <w:jc w:val="center"/>
            </w:pPr>
            <w:r w:rsidRPr="000160C3">
              <w:t>116</w:t>
            </w:r>
          </w:p>
        </w:tc>
        <w:tc>
          <w:tcPr>
            <w:tcW w:w="1984" w:type="dxa"/>
            <w:vAlign w:val="center"/>
            <w:hideMark/>
          </w:tcPr>
          <w:p w14:paraId="563AEAB5" w14:textId="77777777" w:rsidR="00521900" w:rsidRPr="000160C3" w:rsidRDefault="00521900" w:rsidP="001C47F4">
            <w:pPr>
              <w:pStyle w:val="TableText0"/>
              <w:spacing w:line="240" w:lineRule="auto"/>
              <w:jc w:val="center"/>
            </w:pPr>
            <w:r w:rsidRPr="000160C3">
              <w:t>0.63 (0.39, 1.03)</w:t>
            </w:r>
          </w:p>
        </w:tc>
        <w:tc>
          <w:tcPr>
            <w:tcW w:w="1985" w:type="dxa"/>
            <w:vAlign w:val="center"/>
            <w:hideMark/>
          </w:tcPr>
          <w:p w14:paraId="2D4B07A8" w14:textId="77777777" w:rsidR="00521900" w:rsidRPr="000160C3" w:rsidRDefault="00521900" w:rsidP="001C47F4">
            <w:pPr>
              <w:pStyle w:val="TableText0"/>
              <w:spacing w:line="240" w:lineRule="auto"/>
              <w:jc w:val="center"/>
            </w:pPr>
            <w:r w:rsidRPr="000160C3">
              <w:t>0.07</w:t>
            </w:r>
          </w:p>
        </w:tc>
      </w:tr>
      <w:tr w:rsidR="00521900" w:rsidRPr="000160C3" w14:paraId="4295F308" w14:textId="77777777" w:rsidTr="00F024E6">
        <w:tc>
          <w:tcPr>
            <w:tcW w:w="3114" w:type="dxa"/>
            <w:hideMark/>
          </w:tcPr>
          <w:p w14:paraId="4A23E79D" w14:textId="77777777" w:rsidR="00521900" w:rsidRPr="000160C3" w:rsidRDefault="00521900" w:rsidP="001C47F4">
            <w:pPr>
              <w:pStyle w:val="TableText0"/>
              <w:spacing w:line="240" w:lineRule="auto"/>
            </w:pPr>
            <w:r w:rsidRPr="000160C3">
              <w:t>Base case adjusted</w:t>
            </w:r>
          </w:p>
        </w:tc>
        <w:tc>
          <w:tcPr>
            <w:tcW w:w="1984" w:type="dxa"/>
            <w:vAlign w:val="center"/>
            <w:hideMark/>
          </w:tcPr>
          <w:p w14:paraId="5E795636" w14:textId="77777777" w:rsidR="00521900" w:rsidRPr="000160C3" w:rsidRDefault="00521900" w:rsidP="001C47F4">
            <w:pPr>
              <w:pStyle w:val="TableText0"/>
              <w:spacing w:line="240" w:lineRule="auto"/>
              <w:jc w:val="center"/>
            </w:pPr>
            <w:r w:rsidRPr="000160C3">
              <w:t>76</w:t>
            </w:r>
          </w:p>
        </w:tc>
        <w:tc>
          <w:tcPr>
            <w:tcW w:w="1984" w:type="dxa"/>
            <w:vAlign w:val="center"/>
            <w:hideMark/>
          </w:tcPr>
          <w:p w14:paraId="6FED5033" w14:textId="77777777" w:rsidR="00521900" w:rsidRPr="000160C3" w:rsidRDefault="00521900" w:rsidP="001C47F4">
            <w:pPr>
              <w:pStyle w:val="TableText0"/>
              <w:spacing w:line="240" w:lineRule="auto"/>
              <w:jc w:val="center"/>
              <w:rPr>
                <w:b/>
                <w:bCs w:val="0"/>
              </w:rPr>
            </w:pPr>
            <w:r w:rsidRPr="000160C3">
              <w:rPr>
                <w:b/>
                <w:bCs w:val="0"/>
              </w:rPr>
              <w:t>0.56 (0.31, 0.99)</w:t>
            </w:r>
          </w:p>
        </w:tc>
        <w:tc>
          <w:tcPr>
            <w:tcW w:w="1985" w:type="dxa"/>
            <w:vAlign w:val="center"/>
            <w:hideMark/>
          </w:tcPr>
          <w:p w14:paraId="7E2A94A8" w14:textId="77777777" w:rsidR="00521900" w:rsidRPr="000160C3" w:rsidRDefault="00521900" w:rsidP="001C47F4">
            <w:pPr>
              <w:pStyle w:val="TableText0"/>
              <w:spacing w:line="240" w:lineRule="auto"/>
              <w:jc w:val="center"/>
              <w:rPr>
                <w:b/>
                <w:bCs w:val="0"/>
              </w:rPr>
            </w:pPr>
            <w:r w:rsidRPr="000160C3">
              <w:rPr>
                <w:b/>
                <w:bCs w:val="0"/>
              </w:rPr>
              <w:t>&lt;0.05</w:t>
            </w:r>
          </w:p>
        </w:tc>
      </w:tr>
    </w:tbl>
    <w:p w14:paraId="0D995971" w14:textId="77777777" w:rsidR="00521900" w:rsidRPr="000160C3" w:rsidRDefault="00521900" w:rsidP="001C47F4">
      <w:pPr>
        <w:pStyle w:val="TableFigureFooter"/>
      </w:pPr>
      <w:r w:rsidRPr="000160C3">
        <w:t xml:space="preserve">Source: Table 2, Mol 2025. </w:t>
      </w:r>
    </w:p>
    <w:p w14:paraId="4F090E3B" w14:textId="74057CE3" w:rsidR="00521900" w:rsidRPr="000160C3" w:rsidRDefault="00521900" w:rsidP="001C47F4">
      <w:pPr>
        <w:pStyle w:val="TableFigureFooter"/>
      </w:pPr>
      <w:r w:rsidRPr="000160C3">
        <w:t>Abbreviations: CI = confidence interval; DoR = duration of response; ESS = effect size statistic; OS = overall survival; PFS = progression</w:t>
      </w:r>
      <w:r w:rsidR="00EC1990">
        <w:noBreakHyphen/>
      </w:r>
      <w:r w:rsidRPr="000160C3">
        <w:t>free survival.</w:t>
      </w:r>
    </w:p>
    <w:p w14:paraId="616DEEA9" w14:textId="2AE365B4" w:rsidR="009F3F0A" w:rsidRPr="000160C3" w:rsidRDefault="008A20A0" w:rsidP="001C47F4">
      <w:pPr>
        <w:pStyle w:val="TableFigureFooter"/>
      </w:pPr>
      <w:r w:rsidRPr="008A20A0">
        <w:rPr>
          <w:vertAlign w:val="superscript"/>
        </w:rPr>
        <w:t>a</w:t>
      </w:r>
      <w:r w:rsidRPr="000160C3">
        <w:t xml:space="preserve"> </w:t>
      </w:r>
      <w:r w:rsidR="0099539E" w:rsidRPr="000160C3">
        <w:t>HR &lt; 1 indicates better survival for patients treated with elranatamab</w:t>
      </w:r>
      <w:r w:rsidR="006600C4" w:rsidRPr="000160C3">
        <w:t xml:space="preserve">. </w:t>
      </w:r>
    </w:p>
    <w:p w14:paraId="675AC6B7" w14:textId="39328039" w:rsidR="0099539E" w:rsidRPr="000160C3" w:rsidRDefault="006600C4" w:rsidP="001C47F4">
      <w:pPr>
        <w:pStyle w:val="TableFigureFooter"/>
        <w:rPr>
          <w:i/>
          <w:iCs/>
        </w:rPr>
      </w:pPr>
      <w:r w:rsidRPr="000160C3">
        <w:rPr>
          <w:b/>
          <w:bCs/>
        </w:rPr>
        <w:t xml:space="preserve">Bolded </w:t>
      </w:r>
      <w:r w:rsidRPr="000160C3">
        <w:t>text refer to statistically significant results as reported in Mol 202</w:t>
      </w:r>
      <w:r w:rsidR="009F3F0A" w:rsidRPr="000160C3">
        <w:t>5.</w:t>
      </w:r>
    </w:p>
    <w:p w14:paraId="58ADE5BD" w14:textId="4682DB78" w:rsidR="00521900" w:rsidRPr="000160C3" w:rsidRDefault="00521900" w:rsidP="001C47F4">
      <w:pPr>
        <w:pStyle w:val="Caption"/>
      </w:pPr>
      <w:bookmarkStart w:id="36" w:name="_Ref216041949"/>
      <w:r w:rsidRPr="000160C3">
        <w:lastRenderedPageBreak/>
        <w:t xml:space="preserve">Figure </w:t>
      </w:r>
      <w:r>
        <w:fldChar w:fldCharType="begin"/>
      </w:r>
      <w:r>
        <w:instrText>SEQ Figure \* ARABIC</w:instrText>
      </w:r>
      <w:r>
        <w:fldChar w:fldCharType="separate"/>
      </w:r>
      <w:r w:rsidR="001C47F4">
        <w:rPr>
          <w:noProof/>
        </w:rPr>
        <w:t>3</w:t>
      </w:r>
      <w:r>
        <w:fldChar w:fldCharType="end"/>
      </w:r>
      <w:bookmarkEnd w:id="36"/>
      <w:r w:rsidRPr="000160C3">
        <w:t>: KM of OS from MajesTEC</w:t>
      </w:r>
      <w:r w:rsidR="00EC1990">
        <w:noBreakHyphen/>
      </w:r>
      <w:r w:rsidRPr="000160C3">
        <w:t>1 RP2D (median follow</w:t>
      </w:r>
      <w:r w:rsidR="00EC1990">
        <w:noBreakHyphen/>
      </w:r>
      <w:r w:rsidRPr="000160C3">
        <w:t>up of 28.4 months, data cut</w:t>
      </w:r>
      <w:r w:rsidR="00EC1990">
        <w:noBreakHyphen/>
      </w:r>
      <w:r w:rsidRPr="000160C3">
        <w:t>off March: 2024) and MagnetisMM</w:t>
      </w:r>
      <w:r w:rsidR="00EC1990">
        <w:noBreakHyphen/>
      </w:r>
      <w:r w:rsidRPr="000160C3">
        <w:t>3 Cohort A (median follow</w:t>
      </w:r>
      <w:r w:rsidR="00EC1990">
        <w:noBreakHyphen/>
      </w:r>
      <w:r w:rsidRPr="000160C3">
        <w:t>up 30.4 months, data cut</w:t>
      </w:r>
      <w:r w:rsidR="00EC1990">
        <w:noBreakHyphen/>
      </w:r>
      <w:r w:rsidRPr="000160C3">
        <w:t>off: August 2023)</w:t>
      </w:r>
    </w:p>
    <w:p w14:paraId="225376AD" w14:textId="77777777" w:rsidR="00521900" w:rsidRPr="000160C3" w:rsidRDefault="00521900" w:rsidP="001C47F4">
      <w:pPr>
        <w:rPr>
          <w:i/>
          <w:iCs/>
          <w:color w:val="3366FF"/>
        </w:rPr>
      </w:pPr>
      <w:r w:rsidRPr="000160C3">
        <w:rPr>
          <w:i/>
          <w:iCs/>
          <w:noProof/>
          <w:color w:val="3366FF"/>
        </w:rPr>
        <w:drawing>
          <wp:inline distT="0" distB="0" distL="0" distR="0" wp14:anchorId="0034E400" wp14:editId="1121D265">
            <wp:extent cx="5732145" cy="3743960"/>
            <wp:effectExtent l="0" t="0" r="1905" b="8890"/>
            <wp:docPr id="651049323" name="Picture 1" descr="Figure 3: KM of OS from MajesTEC 1 RP2D (median follow up of 28.4 months, data cut off March: 2024) and MagnetisMM 3 Cohort A (median follow up 30.4 months, data cut off: August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049323" name="Picture 1" descr="Figure 3: KM of OS from MajesTEC 1 RP2D (median follow up of 28.4 months, data cut off March: 2024) and MagnetisMM 3 Cohort A (median follow up 30.4 months, data cut off: August 2023)"/>
                    <pic:cNvPicPr/>
                  </pic:nvPicPr>
                  <pic:blipFill>
                    <a:blip r:embed="rId13"/>
                    <a:stretch>
                      <a:fillRect/>
                    </a:stretch>
                  </pic:blipFill>
                  <pic:spPr>
                    <a:xfrm>
                      <a:off x="0" y="0"/>
                      <a:ext cx="5732145" cy="3743960"/>
                    </a:xfrm>
                    <a:prstGeom prst="rect">
                      <a:avLst/>
                    </a:prstGeom>
                  </pic:spPr>
                </pic:pic>
              </a:graphicData>
            </a:graphic>
          </wp:inline>
        </w:drawing>
      </w:r>
    </w:p>
    <w:p w14:paraId="76FC9DB7" w14:textId="77777777" w:rsidR="00521900" w:rsidRPr="000160C3" w:rsidRDefault="00521900" w:rsidP="001C47F4">
      <w:pPr>
        <w:pStyle w:val="TableFigureFooter"/>
      </w:pPr>
      <w:r w:rsidRPr="000160C3">
        <w:t>Source: Figure 3, Mol 2025.</w:t>
      </w:r>
    </w:p>
    <w:p w14:paraId="543B71A3" w14:textId="77777777" w:rsidR="00521900" w:rsidRPr="000160C3" w:rsidRDefault="00521900" w:rsidP="001C47F4">
      <w:pPr>
        <w:pStyle w:val="TableFigureFooter"/>
        <w:rPr>
          <w:color w:val="3366FF"/>
        </w:rPr>
      </w:pPr>
      <w:r w:rsidRPr="000160C3">
        <w:t>Abbreviations: CI = confidence interval; HR = hazard ratio; NE = not estimable; OS = overall survival.</w:t>
      </w:r>
    </w:p>
    <w:p w14:paraId="0783534F" w14:textId="77777777" w:rsidR="00521900" w:rsidRPr="000160C3" w:rsidRDefault="00521900" w:rsidP="001C47F4">
      <w:pPr>
        <w:pStyle w:val="4-SubsectionHeading"/>
      </w:pPr>
      <w:bookmarkStart w:id="37" w:name="_Toc22897642"/>
      <w:bookmarkStart w:id="38" w:name="_Toc219718650"/>
      <w:r w:rsidRPr="000160C3">
        <w:t>Comparative harms</w:t>
      </w:r>
      <w:bookmarkEnd w:id="37"/>
      <w:bookmarkEnd w:id="38"/>
    </w:p>
    <w:p w14:paraId="541FB00D" w14:textId="2635FBB6" w:rsidR="00521900" w:rsidRPr="000160C3" w:rsidRDefault="00521900" w:rsidP="001C47F4">
      <w:pPr>
        <w:pStyle w:val="3-BodyText"/>
      </w:pPr>
      <w:r w:rsidRPr="000160C3">
        <w:t>The submission presented an unadjusted</w:t>
      </w:r>
      <w:r w:rsidR="00E3504B" w:rsidRPr="000160C3">
        <w:t>,</w:t>
      </w:r>
      <w:r w:rsidRPr="000160C3">
        <w:t xml:space="preserve"> unanchored comparison of safety outcomes for teclistamab (MajesTEC</w:t>
      </w:r>
      <w:r w:rsidR="00EC1990">
        <w:noBreakHyphen/>
      </w:r>
      <w:r w:rsidRPr="000160C3">
        <w:t xml:space="preserve">1 RP2D and China Cohort) versus elranatamab. </w:t>
      </w:r>
      <w:r w:rsidR="00892C66" w:rsidRPr="000160C3">
        <w:t>The submission’s approach likely biases the safety comparison in favour of teclistamab, given the patients enrolled in MajesTEC</w:t>
      </w:r>
      <w:r w:rsidR="00EC1990">
        <w:noBreakHyphen/>
      </w:r>
      <w:r w:rsidR="00892C66" w:rsidRPr="000160C3">
        <w:t>1 were generally fitter with less severe disease than patients enrolled in MagnetisMM</w:t>
      </w:r>
      <w:r w:rsidR="00EC1990">
        <w:noBreakHyphen/>
      </w:r>
      <w:r w:rsidR="00892C66" w:rsidRPr="000160C3">
        <w:t>3</w:t>
      </w:r>
      <w:r w:rsidR="00497B17" w:rsidRPr="000160C3">
        <w:t xml:space="preserve"> (see paragraph </w:t>
      </w:r>
      <w:r w:rsidR="00497B17" w:rsidRPr="000160C3">
        <w:fldChar w:fldCharType="begin"/>
      </w:r>
      <w:r w:rsidR="00497B17" w:rsidRPr="000160C3">
        <w:instrText xml:space="preserve"> REF _Ref221530046 \r \h </w:instrText>
      </w:r>
      <w:r w:rsidR="00497B17" w:rsidRPr="000160C3">
        <w:fldChar w:fldCharType="separate"/>
      </w:r>
      <w:r w:rsidR="00D44478">
        <w:t>6.18</w:t>
      </w:r>
      <w:r w:rsidR="00497B17" w:rsidRPr="000160C3">
        <w:fldChar w:fldCharType="end"/>
      </w:r>
      <w:r w:rsidR="00497B17" w:rsidRPr="000160C3">
        <w:t>)</w:t>
      </w:r>
      <w:r w:rsidR="00892C66" w:rsidRPr="000160C3">
        <w:t xml:space="preserve">. </w:t>
      </w:r>
    </w:p>
    <w:p w14:paraId="5EB1BEF5" w14:textId="5D359987" w:rsidR="00521900" w:rsidRPr="000160C3" w:rsidRDefault="00521900" w:rsidP="001C47F4">
      <w:pPr>
        <w:pStyle w:val="3-BodyText"/>
        <w:rPr>
          <w:szCs w:val="20"/>
        </w:rPr>
      </w:pPr>
      <w:r w:rsidRPr="000160C3">
        <w:t>Due to the paucity of publicly reported safety data for elranatamab, safety data from the September 2024 MagnetisMM</w:t>
      </w:r>
      <w:r w:rsidR="00EC1990">
        <w:noBreakHyphen/>
      </w:r>
      <w:r w:rsidRPr="000160C3">
        <w:t>3 CCO (median follow</w:t>
      </w:r>
      <w:r w:rsidR="00EC1990">
        <w:noBreakHyphen/>
      </w:r>
      <w:r w:rsidRPr="000160C3">
        <w:t>up: 33.9 months) was not used to inform the indirect safety ITC. Treatment emergent adverse events (</w:t>
      </w:r>
      <w:r w:rsidR="00193922" w:rsidRPr="000160C3">
        <w:t>TE</w:t>
      </w:r>
      <w:r w:rsidRPr="000160C3">
        <w:t xml:space="preserve">AEs) and </w:t>
      </w:r>
      <w:r w:rsidR="0047716D" w:rsidRPr="000160C3">
        <w:t xml:space="preserve">the </w:t>
      </w:r>
      <w:r w:rsidRPr="000160C3">
        <w:t xml:space="preserve">summary of any </w:t>
      </w:r>
      <w:r w:rsidR="00F17464" w:rsidRPr="000160C3">
        <w:t xml:space="preserve">Grade </w:t>
      </w:r>
      <w:r w:rsidR="008653F6" w:rsidRPr="000160C3">
        <w:t>adverse events (</w:t>
      </w:r>
      <w:r w:rsidRPr="000160C3">
        <w:t>AEs</w:t>
      </w:r>
      <w:r w:rsidR="008653F6" w:rsidRPr="000160C3">
        <w:t>)</w:t>
      </w:r>
      <w:r w:rsidRPr="000160C3">
        <w:t xml:space="preserve"> </w:t>
      </w:r>
      <w:r w:rsidR="00BE7194" w:rsidRPr="000160C3">
        <w:t xml:space="preserve">were </w:t>
      </w:r>
      <w:r w:rsidRPr="000160C3">
        <w:t xml:space="preserve">informed </w:t>
      </w:r>
      <w:r w:rsidR="00F17464" w:rsidRPr="000160C3">
        <w:t xml:space="preserve">by </w:t>
      </w:r>
      <w:r w:rsidRPr="000160C3">
        <w:t>M</w:t>
      </w:r>
      <w:r w:rsidR="00957271">
        <w:t>a</w:t>
      </w:r>
      <w:r w:rsidRPr="000160C3">
        <w:t>gnetisMM</w:t>
      </w:r>
      <w:r w:rsidR="00EC1990">
        <w:noBreakHyphen/>
      </w:r>
      <w:r w:rsidRPr="000160C3">
        <w:t>3 data with a median follow</w:t>
      </w:r>
      <w:r w:rsidR="00EC1990">
        <w:noBreakHyphen/>
      </w:r>
      <w:r w:rsidRPr="000160C3">
        <w:t>up of 14.7 months and the reports of Grade 3 and 4 AEs were informed from M</w:t>
      </w:r>
      <w:r w:rsidR="00CB71D9">
        <w:t>a</w:t>
      </w:r>
      <w:r w:rsidRPr="000160C3">
        <w:t>gnetisMM</w:t>
      </w:r>
      <w:r w:rsidR="00EC1990">
        <w:noBreakHyphen/>
      </w:r>
      <w:r w:rsidRPr="000160C3">
        <w:t>3 data with a median follow</w:t>
      </w:r>
      <w:r w:rsidR="00EC1990">
        <w:noBreakHyphen/>
      </w:r>
      <w:r w:rsidRPr="000160C3">
        <w:t xml:space="preserve">up of 28.4 months. </w:t>
      </w:r>
      <w:r w:rsidRPr="000160C3">
        <w:rPr>
          <w:szCs w:val="20"/>
        </w:rPr>
        <w:t>The submission presented data from MajesTEC</w:t>
      </w:r>
      <w:r w:rsidR="00EC1990">
        <w:rPr>
          <w:szCs w:val="20"/>
        </w:rPr>
        <w:noBreakHyphen/>
      </w:r>
      <w:r w:rsidRPr="000160C3">
        <w:rPr>
          <w:szCs w:val="20"/>
        </w:rPr>
        <w:t xml:space="preserve">1 CCOs </w:t>
      </w:r>
      <w:r w:rsidR="00A344F6" w:rsidRPr="000160C3">
        <w:rPr>
          <w:szCs w:val="20"/>
        </w:rPr>
        <w:t xml:space="preserve">with </w:t>
      </w:r>
      <w:r w:rsidRPr="000160C3">
        <w:rPr>
          <w:szCs w:val="20"/>
        </w:rPr>
        <w:t>comparable median durations of follow</w:t>
      </w:r>
      <w:r w:rsidR="00EC1990">
        <w:rPr>
          <w:szCs w:val="20"/>
        </w:rPr>
        <w:noBreakHyphen/>
      </w:r>
      <w:r w:rsidRPr="000160C3">
        <w:rPr>
          <w:szCs w:val="20"/>
        </w:rPr>
        <w:t xml:space="preserve">up </w:t>
      </w:r>
      <w:r w:rsidR="00A344F6" w:rsidRPr="000160C3">
        <w:rPr>
          <w:szCs w:val="20"/>
        </w:rPr>
        <w:t>(</w:t>
      </w:r>
      <w:r w:rsidRPr="000160C3">
        <w:rPr>
          <w:szCs w:val="20"/>
        </w:rPr>
        <w:t>March 2022 CCO</w:t>
      </w:r>
      <w:r w:rsidR="00A344F6" w:rsidRPr="000160C3">
        <w:rPr>
          <w:szCs w:val="20"/>
        </w:rPr>
        <w:t xml:space="preserve">, </w:t>
      </w:r>
      <w:r w:rsidRPr="000160C3">
        <w:rPr>
          <w:szCs w:val="20"/>
        </w:rPr>
        <w:t>median follow</w:t>
      </w:r>
      <w:r w:rsidR="00EC1990">
        <w:rPr>
          <w:szCs w:val="20"/>
        </w:rPr>
        <w:noBreakHyphen/>
      </w:r>
      <w:r w:rsidRPr="000160C3">
        <w:rPr>
          <w:szCs w:val="20"/>
        </w:rPr>
        <w:t>up: 14.1 months</w:t>
      </w:r>
      <w:r w:rsidR="00A75812" w:rsidRPr="000160C3">
        <w:rPr>
          <w:szCs w:val="20"/>
        </w:rPr>
        <w:t>;</w:t>
      </w:r>
      <w:r w:rsidRPr="000160C3">
        <w:rPr>
          <w:szCs w:val="20"/>
        </w:rPr>
        <w:t xml:space="preserve"> and August 2023 CCO</w:t>
      </w:r>
      <w:r w:rsidR="00A75812" w:rsidRPr="000160C3">
        <w:rPr>
          <w:szCs w:val="20"/>
        </w:rPr>
        <w:t>,</w:t>
      </w:r>
      <w:r w:rsidRPr="000160C3">
        <w:rPr>
          <w:szCs w:val="20"/>
        </w:rPr>
        <w:t xml:space="preserve"> median follow</w:t>
      </w:r>
      <w:r w:rsidR="00EC1990">
        <w:rPr>
          <w:szCs w:val="20"/>
        </w:rPr>
        <w:noBreakHyphen/>
      </w:r>
      <w:r w:rsidRPr="000160C3">
        <w:rPr>
          <w:szCs w:val="20"/>
        </w:rPr>
        <w:t xml:space="preserve">up: 30.4 months). </w:t>
      </w:r>
    </w:p>
    <w:p w14:paraId="2FD52670" w14:textId="77777777" w:rsidR="00521900" w:rsidRPr="000160C3" w:rsidRDefault="00521900" w:rsidP="001C47F4">
      <w:pPr>
        <w:spacing w:before="120"/>
        <w:rPr>
          <w:rFonts w:cstheme="minorHAnsi"/>
          <w:u w:val="single"/>
        </w:rPr>
      </w:pPr>
      <w:r w:rsidRPr="000160C3">
        <w:rPr>
          <w:rFonts w:cstheme="minorHAnsi"/>
          <w:u w:val="single"/>
        </w:rPr>
        <w:t>Summary of AEs</w:t>
      </w:r>
    </w:p>
    <w:p w14:paraId="1F3070E7" w14:textId="028E423E" w:rsidR="00521900" w:rsidRPr="00FB5BFC" w:rsidRDefault="00521900" w:rsidP="001C47F4">
      <w:pPr>
        <w:pStyle w:val="3-BodyText"/>
      </w:pPr>
      <w:bookmarkStart w:id="39" w:name="_Ref221192735"/>
      <w:r w:rsidRPr="000160C3">
        <w:t xml:space="preserve">A comparison </w:t>
      </w:r>
      <w:r w:rsidRPr="00FB5BFC">
        <w:t xml:space="preserve">of </w:t>
      </w:r>
      <w:r w:rsidR="00247BF4" w:rsidRPr="00FB5BFC">
        <w:t xml:space="preserve">AEs </w:t>
      </w:r>
      <w:r w:rsidR="00A7369E" w:rsidRPr="00FB5BFC">
        <w:t>reported in</w:t>
      </w:r>
      <w:r w:rsidR="00DF6772" w:rsidRPr="00FB5BFC">
        <w:t xml:space="preserve"> the </w:t>
      </w:r>
      <w:r w:rsidRPr="00FB5BFC">
        <w:t xml:space="preserve">teclistamab and elranatamab </w:t>
      </w:r>
      <w:r w:rsidR="00DF6772" w:rsidRPr="00FB5BFC">
        <w:t xml:space="preserve">studies </w:t>
      </w:r>
      <w:r w:rsidRPr="00FB5BFC">
        <w:t xml:space="preserve">is shown in </w:t>
      </w:r>
      <w:r w:rsidRPr="00FB5BFC">
        <w:fldChar w:fldCharType="begin"/>
      </w:r>
      <w:r w:rsidRPr="00FB5BFC">
        <w:instrText xml:space="preserve"> REF _Ref216077744 \h </w:instrText>
      </w:r>
      <w:r w:rsidR="00FB5BFC" w:rsidRPr="00FB5BFC">
        <w:instrText xml:space="preserve"> \* MERGEFORMAT </w:instrText>
      </w:r>
      <w:r w:rsidRPr="00FB5BFC">
        <w:fldChar w:fldCharType="separate"/>
      </w:r>
      <w:r w:rsidR="001C47F4" w:rsidRPr="000160C3">
        <w:t xml:space="preserve">Table </w:t>
      </w:r>
      <w:r w:rsidR="001C47F4">
        <w:t>10</w:t>
      </w:r>
      <w:r w:rsidRPr="00FB5BFC">
        <w:fldChar w:fldCharType="end"/>
      </w:r>
      <w:r w:rsidRPr="00FB5BFC">
        <w:t>. The</w:t>
      </w:r>
      <w:r w:rsidR="00BE77D0" w:rsidRPr="00FB5BFC">
        <w:t xml:space="preserve"> ESC noted that the</w:t>
      </w:r>
      <w:r w:rsidRPr="00FB5BFC">
        <w:t>re</w:t>
      </w:r>
      <w:r w:rsidRPr="000160C3">
        <w:t xml:space="preserve"> was a higher proportion of CRS in teclistamab </w:t>
      </w:r>
      <w:r w:rsidR="00A7369E" w:rsidRPr="000160C3">
        <w:t>patients (</w:t>
      </w:r>
      <w:r w:rsidRPr="000160C3">
        <w:t>75.4%</w:t>
      </w:r>
      <w:r w:rsidR="00A7369E" w:rsidRPr="000160C3">
        <w:t xml:space="preserve">) compared </w:t>
      </w:r>
      <w:r w:rsidR="00477D0E" w:rsidRPr="000160C3">
        <w:t xml:space="preserve">to </w:t>
      </w:r>
      <w:r w:rsidRPr="000160C3">
        <w:t xml:space="preserve">elranatamab </w:t>
      </w:r>
      <w:r w:rsidR="00477D0E" w:rsidRPr="000160C3">
        <w:t>(</w:t>
      </w:r>
      <w:r w:rsidRPr="000160C3">
        <w:t>57.7%</w:t>
      </w:r>
      <w:r w:rsidR="00477D0E" w:rsidRPr="000160C3">
        <w:t>)</w:t>
      </w:r>
      <w:r w:rsidR="009B3E4D" w:rsidRPr="000160C3">
        <w:t>.</w:t>
      </w:r>
      <w:r w:rsidRPr="000160C3">
        <w:t xml:space="preserve"> CRS has direct implications for ongoing treatment administration and healthcare resource use. Patients who experience CRS require premedication prior to every subsequent dose of the </w:t>
      </w:r>
      <w:r w:rsidRPr="00FB5BFC">
        <w:t>intervention, not only during the step</w:t>
      </w:r>
      <w:r w:rsidR="00EC1990">
        <w:noBreakHyphen/>
      </w:r>
      <w:r w:rsidRPr="00FB5BFC">
        <w:t xml:space="preserve">up phase (approved Product Information, p21). </w:t>
      </w:r>
      <w:r w:rsidRPr="00FB5BFC">
        <w:lastRenderedPageBreak/>
        <w:t>In addition, CRS patients might need subsequent hospitalisation and treatment interruption. In MajestTEC</w:t>
      </w:r>
      <w:r w:rsidR="00EC1990">
        <w:noBreakHyphen/>
      </w:r>
      <w:r w:rsidRPr="00FB5BFC">
        <w:t xml:space="preserve">1, patients who experienced Grade 2 CRS or limited Grade 3 CRS were mandated to be hospitalised for at least 48 hours </w:t>
      </w:r>
      <w:r w:rsidR="002916F3" w:rsidRPr="00FB5BFC">
        <w:t xml:space="preserve">with </w:t>
      </w:r>
      <w:r w:rsidRPr="00FB5BFC">
        <w:t xml:space="preserve">the next scheduled dose. At the final </w:t>
      </w:r>
      <w:r w:rsidR="002916F3" w:rsidRPr="00FB5BFC">
        <w:t>CCO</w:t>
      </w:r>
      <w:r w:rsidRPr="00FB5BFC">
        <w:t xml:space="preserve"> (2 years of follow</w:t>
      </w:r>
      <w:r w:rsidR="00EC1990">
        <w:noBreakHyphen/>
      </w:r>
      <w:r w:rsidRPr="00FB5BFC">
        <w:t xml:space="preserve">up), 35 </w:t>
      </w:r>
      <w:r w:rsidR="002916F3" w:rsidRPr="00FB5BFC">
        <w:t xml:space="preserve">teclistamab </w:t>
      </w:r>
      <w:r w:rsidRPr="00FB5BFC">
        <w:t xml:space="preserve">patients (21.2%) had experienced Grade 2 CRS. The </w:t>
      </w:r>
      <w:r w:rsidR="00E04432" w:rsidRPr="00FB5BFC">
        <w:t xml:space="preserve">ESC noted the </w:t>
      </w:r>
      <w:r w:rsidRPr="00FB5BFC">
        <w:t>cost of hospitalisation due to CRS was not captured in the CMA.</w:t>
      </w:r>
      <w:bookmarkEnd w:id="39"/>
    </w:p>
    <w:p w14:paraId="20681C12" w14:textId="5D85080A" w:rsidR="00521900" w:rsidRPr="00FB5BFC" w:rsidRDefault="00521900" w:rsidP="001C47F4">
      <w:pPr>
        <w:pStyle w:val="3-BodyText"/>
      </w:pPr>
      <w:r w:rsidRPr="00FB5BFC">
        <w:t>Higher rates of haematological toxicities were observed in MajesTEC</w:t>
      </w:r>
      <w:r w:rsidR="00EC1990">
        <w:noBreakHyphen/>
      </w:r>
      <w:r w:rsidRPr="00FB5BFC">
        <w:t>1 compared with MagnetisMM</w:t>
      </w:r>
      <w:r w:rsidR="00EC1990">
        <w:noBreakHyphen/>
      </w:r>
      <w:r w:rsidRPr="00FB5BFC">
        <w:t xml:space="preserve">3, including lymphopenia (45.0% vs 26.8%), neutropenia (63.4% vs 49.6%), and thrombocytopenia (44.0% vs 31.7%). </w:t>
      </w:r>
    </w:p>
    <w:p w14:paraId="5509A353" w14:textId="13EF7E07" w:rsidR="00521900" w:rsidRPr="00FB5BFC" w:rsidRDefault="00521900" w:rsidP="001C47F4">
      <w:pPr>
        <w:pStyle w:val="3-BodyText"/>
      </w:pPr>
      <w:r w:rsidRPr="00FB5BFC">
        <w:t>Patients in MagnetisMM</w:t>
      </w:r>
      <w:r w:rsidR="00EC1990">
        <w:noBreakHyphen/>
      </w:r>
      <w:r w:rsidRPr="00FB5BFC">
        <w:t>3 had a higher discontinuation rate due to TEAE compared to patients in MajesTEC</w:t>
      </w:r>
      <w:r w:rsidR="00EC1990">
        <w:noBreakHyphen/>
      </w:r>
      <w:r w:rsidRPr="00FB5BFC">
        <w:t>1 (25.2% vs 4.8%)</w:t>
      </w:r>
      <w:r w:rsidR="00BE7194" w:rsidRPr="00FB5BFC">
        <w:t>;</w:t>
      </w:r>
      <w:r w:rsidRPr="00FB5BFC">
        <w:t xml:space="preserve"> however</w:t>
      </w:r>
      <w:r w:rsidR="003631DB" w:rsidRPr="00FB5BFC">
        <w:t>, reported</w:t>
      </w:r>
      <w:r w:rsidRPr="00FB5BFC">
        <w:t xml:space="preserve"> similar TEAEs and </w:t>
      </w:r>
      <w:r w:rsidR="002916F3" w:rsidRPr="00FB5BFC">
        <w:t xml:space="preserve">Grade </w:t>
      </w:r>
      <w:r w:rsidRPr="00FB5BFC">
        <w:t>≥3 events</w:t>
      </w:r>
      <w:r w:rsidR="003631DB" w:rsidRPr="00FB5BFC">
        <w:t xml:space="preserve">. This </w:t>
      </w:r>
      <w:r w:rsidRPr="00FB5BFC">
        <w:t>suggest</w:t>
      </w:r>
      <w:r w:rsidR="00F825BA" w:rsidRPr="00FB5BFC">
        <w:t>ed</w:t>
      </w:r>
      <w:r w:rsidRPr="00FB5BFC">
        <w:t xml:space="preserve"> different approaches towards discontinuation and AE management between the 2 </w:t>
      </w:r>
      <w:r w:rsidR="002916F3" w:rsidRPr="00FB5BFC">
        <w:t>studies</w:t>
      </w:r>
      <w:r w:rsidRPr="00FB5BFC">
        <w:t>.</w:t>
      </w:r>
    </w:p>
    <w:p w14:paraId="31AAB2C2" w14:textId="0465622F" w:rsidR="00521900" w:rsidRPr="000160C3" w:rsidRDefault="00521900" w:rsidP="001C47F4">
      <w:pPr>
        <w:pStyle w:val="Caption"/>
      </w:pPr>
      <w:bookmarkStart w:id="40" w:name="_Ref216077744"/>
      <w:r w:rsidRPr="000160C3">
        <w:t xml:space="preserve">Table </w:t>
      </w:r>
      <w:r>
        <w:fldChar w:fldCharType="begin"/>
      </w:r>
      <w:r>
        <w:instrText>SEQ Table \* ARABIC</w:instrText>
      </w:r>
      <w:r>
        <w:fldChar w:fldCharType="separate"/>
      </w:r>
      <w:r w:rsidR="001C47F4">
        <w:rPr>
          <w:noProof/>
        </w:rPr>
        <w:t>10</w:t>
      </w:r>
      <w:r>
        <w:fldChar w:fldCharType="end"/>
      </w:r>
      <w:bookmarkEnd w:id="40"/>
      <w:r w:rsidRPr="000160C3">
        <w:t>: Summary of AEs and TEAEs in MajesTEC</w:t>
      </w:r>
      <w:r w:rsidR="00EC1990">
        <w:noBreakHyphen/>
      </w:r>
      <w:r w:rsidRPr="000160C3">
        <w:t>1 and MagnetisMM</w:t>
      </w:r>
      <w:r w:rsidR="00EC1990">
        <w:noBreakHyphen/>
      </w:r>
      <w:r w:rsidRPr="000160C3">
        <w:t>3</w:t>
      </w:r>
    </w:p>
    <w:tbl>
      <w:tblPr>
        <w:tblStyle w:val="newstyle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0: Summary of AEs and TEAEs in MajesTEC 1 and MagnetisMM 3"/>
      </w:tblPr>
      <w:tblGrid>
        <w:gridCol w:w="3822"/>
        <w:gridCol w:w="2619"/>
        <w:gridCol w:w="2621"/>
      </w:tblGrid>
      <w:tr w:rsidR="00521900" w:rsidRPr="000160C3" w14:paraId="5C32EE50" w14:textId="77777777" w:rsidTr="00313083">
        <w:tc>
          <w:tcPr>
            <w:tcW w:w="2109" w:type="pct"/>
            <w:vMerge w:val="restart"/>
          </w:tcPr>
          <w:p w14:paraId="7C989484" w14:textId="77777777" w:rsidR="00521900" w:rsidRPr="000160C3" w:rsidRDefault="00521900" w:rsidP="001C47F4">
            <w:pPr>
              <w:pStyle w:val="In-tableHeading"/>
            </w:pPr>
          </w:p>
        </w:tc>
        <w:tc>
          <w:tcPr>
            <w:tcW w:w="1445" w:type="pct"/>
            <w:vAlign w:val="center"/>
          </w:tcPr>
          <w:p w14:paraId="04867635" w14:textId="77777777" w:rsidR="00521900" w:rsidRPr="000160C3" w:rsidRDefault="00521900" w:rsidP="001C47F4">
            <w:pPr>
              <w:pStyle w:val="In-tableHeading"/>
            </w:pPr>
            <w:r w:rsidRPr="000160C3">
              <w:t>Teclistamab</w:t>
            </w:r>
          </w:p>
        </w:tc>
        <w:tc>
          <w:tcPr>
            <w:tcW w:w="1446" w:type="pct"/>
            <w:vAlign w:val="center"/>
          </w:tcPr>
          <w:p w14:paraId="35717219" w14:textId="77777777" w:rsidR="00521900" w:rsidRPr="000160C3" w:rsidRDefault="00521900" w:rsidP="001C47F4">
            <w:pPr>
              <w:pStyle w:val="In-tableHeading"/>
            </w:pPr>
            <w:r w:rsidRPr="000160C3">
              <w:t>Elranatamab</w:t>
            </w:r>
          </w:p>
        </w:tc>
      </w:tr>
      <w:tr w:rsidR="00521900" w:rsidRPr="000160C3" w14:paraId="7C7FA6D0" w14:textId="77777777" w:rsidTr="00313083">
        <w:tc>
          <w:tcPr>
            <w:tcW w:w="2109" w:type="pct"/>
            <w:vMerge/>
          </w:tcPr>
          <w:p w14:paraId="28ED6CF9" w14:textId="77777777" w:rsidR="00521900" w:rsidRPr="000160C3" w:rsidRDefault="00521900" w:rsidP="001C47F4">
            <w:pPr>
              <w:pStyle w:val="In-tableHeading"/>
            </w:pPr>
          </w:p>
        </w:tc>
        <w:tc>
          <w:tcPr>
            <w:tcW w:w="1445" w:type="pct"/>
            <w:vAlign w:val="center"/>
          </w:tcPr>
          <w:p w14:paraId="377A543D" w14:textId="77777777" w:rsidR="00521900" w:rsidRPr="000160C3" w:rsidRDefault="00521900" w:rsidP="001C47F4">
            <w:pPr>
              <w:pStyle w:val="In-tableHeading"/>
            </w:pPr>
            <w:r w:rsidRPr="000160C3">
              <w:t>RP2D (N=165)</w:t>
            </w:r>
          </w:p>
          <w:p w14:paraId="6AFE8272" w14:textId="3442D185" w:rsidR="00521900" w:rsidRPr="000160C3" w:rsidRDefault="00521900" w:rsidP="001C47F4">
            <w:pPr>
              <w:pStyle w:val="In-tableHeading"/>
            </w:pPr>
            <w:proofErr w:type="spellStart"/>
            <w:r w:rsidRPr="000160C3">
              <w:t>mFU</w:t>
            </w:r>
            <w:proofErr w:type="spellEnd"/>
            <w:r w:rsidRPr="000160C3">
              <w:t xml:space="preserve"> </w:t>
            </w:r>
            <w:r w:rsidR="00286CF6">
              <w:t>30.4</w:t>
            </w:r>
            <w:r w:rsidRPr="000160C3">
              <w:t xml:space="preserve"> months</w:t>
            </w:r>
          </w:p>
        </w:tc>
        <w:tc>
          <w:tcPr>
            <w:tcW w:w="1446" w:type="pct"/>
          </w:tcPr>
          <w:p w14:paraId="40DF4AE5" w14:textId="079A921F" w:rsidR="00521900" w:rsidRPr="000160C3" w:rsidRDefault="00521900" w:rsidP="001C47F4">
            <w:pPr>
              <w:pStyle w:val="In-tableHeading"/>
            </w:pPr>
            <w:r w:rsidRPr="000160C3">
              <w:t>(N=123)</w:t>
            </w:r>
          </w:p>
          <w:p w14:paraId="51491A38" w14:textId="026CBC34" w:rsidR="00521900" w:rsidRPr="000160C3" w:rsidRDefault="00521900" w:rsidP="001C47F4">
            <w:pPr>
              <w:pStyle w:val="In-tableHeading"/>
            </w:pPr>
            <w:proofErr w:type="spellStart"/>
            <w:r w:rsidRPr="000160C3">
              <w:t>mFU</w:t>
            </w:r>
            <w:proofErr w:type="spellEnd"/>
            <w:r w:rsidRPr="000160C3">
              <w:t xml:space="preserve"> </w:t>
            </w:r>
            <w:r w:rsidR="00286CF6">
              <w:t>28.4</w:t>
            </w:r>
            <w:r w:rsidRPr="000160C3">
              <w:t xml:space="preserve"> months</w:t>
            </w:r>
          </w:p>
        </w:tc>
      </w:tr>
      <w:tr w:rsidR="00886969" w:rsidRPr="000160C3" w14:paraId="5B934ED5" w14:textId="77777777" w:rsidTr="00886969">
        <w:tc>
          <w:tcPr>
            <w:tcW w:w="5000" w:type="pct"/>
            <w:gridSpan w:val="3"/>
          </w:tcPr>
          <w:p w14:paraId="54CD1B0B" w14:textId="79A1B329" w:rsidR="00886969" w:rsidRPr="000160C3" w:rsidRDefault="00886969" w:rsidP="001C47F4">
            <w:pPr>
              <w:pStyle w:val="TableText0"/>
              <w:spacing w:line="240" w:lineRule="auto"/>
              <w:rPr>
                <w:sz w:val="20"/>
                <w:szCs w:val="20"/>
              </w:rPr>
            </w:pPr>
            <w:r w:rsidRPr="000160C3">
              <w:rPr>
                <w:sz w:val="20"/>
                <w:szCs w:val="20"/>
              </w:rPr>
              <w:t xml:space="preserve">AEs of any Grade </w:t>
            </w:r>
          </w:p>
        </w:tc>
      </w:tr>
      <w:tr w:rsidR="00521900" w:rsidRPr="000160C3" w14:paraId="7E0FC568" w14:textId="77777777" w:rsidTr="002C6AC3">
        <w:tc>
          <w:tcPr>
            <w:tcW w:w="2109" w:type="pct"/>
          </w:tcPr>
          <w:p w14:paraId="3D44396A" w14:textId="77777777" w:rsidR="00521900" w:rsidRPr="000160C3" w:rsidRDefault="00521900" w:rsidP="001C47F4">
            <w:pPr>
              <w:pStyle w:val="TableText0"/>
              <w:spacing w:line="240" w:lineRule="auto"/>
              <w:rPr>
                <w:sz w:val="20"/>
                <w:szCs w:val="20"/>
              </w:rPr>
            </w:pPr>
            <w:r w:rsidRPr="000160C3">
              <w:rPr>
                <w:sz w:val="20"/>
                <w:szCs w:val="20"/>
              </w:rPr>
              <w:t>Anaemia</w:t>
            </w:r>
          </w:p>
        </w:tc>
        <w:tc>
          <w:tcPr>
            <w:tcW w:w="1445" w:type="pct"/>
            <w:vAlign w:val="center"/>
          </w:tcPr>
          <w:p w14:paraId="7D5B70E5" w14:textId="77777777" w:rsidR="00521900" w:rsidRPr="000160C3" w:rsidRDefault="00521900" w:rsidP="001C47F4">
            <w:pPr>
              <w:pStyle w:val="TableText0"/>
              <w:spacing w:line="240" w:lineRule="auto"/>
              <w:jc w:val="center"/>
              <w:rPr>
                <w:sz w:val="20"/>
                <w:szCs w:val="20"/>
              </w:rPr>
            </w:pPr>
            <w:r w:rsidRPr="000160C3">
              <w:rPr>
                <w:sz w:val="20"/>
                <w:szCs w:val="20"/>
              </w:rPr>
              <w:t>91 (55.2%)</w:t>
            </w:r>
          </w:p>
        </w:tc>
        <w:tc>
          <w:tcPr>
            <w:tcW w:w="1446" w:type="pct"/>
            <w:vAlign w:val="center"/>
          </w:tcPr>
          <w:p w14:paraId="3806F5C8" w14:textId="4F53F443" w:rsidR="00521900" w:rsidRPr="000160C3" w:rsidRDefault="00521900" w:rsidP="001C47F4">
            <w:pPr>
              <w:pStyle w:val="TableText0"/>
              <w:spacing w:line="240" w:lineRule="auto"/>
              <w:jc w:val="center"/>
              <w:rPr>
                <w:sz w:val="20"/>
                <w:szCs w:val="20"/>
              </w:rPr>
            </w:pPr>
            <w:r w:rsidRPr="000160C3">
              <w:rPr>
                <w:sz w:val="20"/>
                <w:szCs w:val="20"/>
              </w:rPr>
              <w:t>48.8%</w:t>
            </w:r>
          </w:p>
        </w:tc>
      </w:tr>
      <w:tr w:rsidR="00521900" w:rsidRPr="000160C3" w14:paraId="2299E903" w14:textId="77777777" w:rsidTr="002C6AC3">
        <w:tc>
          <w:tcPr>
            <w:tcW w:w="2109" w:type="pct"/>
          </w:tcPr>
          <w:p w14:paraId="3E15191F" w14:textId="77777777" w:rsidR="00521900" w:rsidRPr="000160C3" w:rsidRDefault="00521900" w:rsidP="001C47F4">
            <w:pPr>
              <w:pStyle w:val="TableText0"/>
              <w:spacing w:line="240" w:lineRule="auto"/>
              <w:rPr>
                <w:sz w:val="20"/>
                <w:szCs w:val="20"/>
              </w:rPr>
            </w:pPr>
            <w:r w:rsidRPr="000160C3">
              <w:rPr>
                <w:sz w:val="20"/>
                <w:szCs w:val="20"/>
              </w:rPr>
              <w:t>CRS</w:t>
            </w:r>
          </w:p>
        </w:tc>
        <w:tc>
          <w:tcPr>
            <w:tcW w:w="1445" w:type="pct"/>
            <w:vAlign w:val="center"/>
          </w:tcPr>
          <w:p w14:paraId="4A719B25" w14:textId="77777777" w:rsidR="00521900" w:rsidRPr="000160C3" w:rsidRDefault="00521900" w:rsidP="001C47F4">
            <w:pPr>
              <w:pStyle w:val="TableText0"/>
              <w:spacing w:line="240" w:lineRule="auto"/>
              <w:jc w:val="center"/>
              <w:rPr>
                <w:sz w:val="20"/>
                <w:szCs w:val="20"/>
              </w:rPr>
            </w:pPr>
            <w:r w:rsidRPr="000160C3">
              <w:rPr>
                <w:sz w:val="20"/>
                <w:szCs w:val="20"/>
              </w:rPr>
              <w:t>119 (72.1%)</w:t>
            </w:r>
          </w:p>
        </w:tc>
        <w:tc>
          <w:tcPr>
            <w:tcW w:w="1446" w:type="pct"/>
            <w:vAlign w:val="center"/>
          </w:tcPr>
          <w:p w14:paraId="0359AEF7" w14:textId="45C0EBD6" w:rsidR="00521900" w:rsidRPr="000160C3" w:rsidRDefault="00521900" w:rsidP="001C47F4">
            <w:pPr>
              <w:pStyle w:val="TableText0"/>
              <w:spacing w:line="240" w:lineRule="auto"/>
              <w:jc w:val="center"/>
              <w:rPr>
                <w:sz w:val="20"/>
                <w:szCs w:val="20"/>
              </w:rPr>
            </w:pPr>
            <w:r w:rsidRPr="000160C3">
              <w:rPr>
                <w:sz w:val="20"/>
                <w:szCs w:val="20"/>
              </w:rPr>
              <w:t>57.7%</w:t>
            </w:r>
          </w:p>
        </w:tc>
      </w:tr>
      <w:tr w:rsidR="00521900" w:rsidRPr="000160C3" w14:paraId="14602D4E" w14:textId="77777777" w:rsidTr="002C6AC3">
        <w:tc>
          <w:tcPr>
            <w:tcW w:w="2109" w:type="pct"/>
          </w:tcPr>
          <w:p w14:paraId="058CE32C" w14:textId="77777777" w:rsidR="00521900" w:rsidRPr="000160C3" w:rsidRDefault="00521900" w:rsidP="001C47F4">
            <w:pPr>
              <w:pStyle w:val="TableText0"/>
              <w:spacing w:line="240" w:lineRule="auto"/>
              <w:rPr>
                <w:sz w:val="20"/>
                <w:szCs w:val="20"/>
              </w:rPr>
            </w:pPr>
            <w:r w:rsidRPr="000160C3">
              <w:rPr>
                <w:sz w:val="20"/>
                <w:szCs w:val="20"/>
              </w:rPr>
              <w:t>ICANs</w:t>
            </w:r>
          </w:p>
        </w:tc>
        <w:tc>
          <w:tcPr>
            <w:tcW w:w="1445" w:type="pct"/>
            <w:vAlign w:val="center"/>
          </w:tcPr>
          <w:p w14:paraId="08F3C29D" w14:textId="77777777" w:rsidR="00521900" w:rsidRPr="000160C3" w:rsidRDefault="00521900" w:rsidP="001C47F4">
            <w:pPr>
              <w:pStyle w:val="TableText0"/>
              <w:spacing w:line="240" w:lineRule="auto"/>
              <w:jc w:val="center"/>
              <w:rPr>
                <w:sz w:val="20"/>
                <w:szCs w:val="20"/>
              </w:rPr>
            </w:pPr>
            <w:r w:rsidRPr="000160C3">
              <w:rPr>
                <w:sz w:val="20"/>
                <w:szCs w:val="20"/>
              </w:rPr>
              <w:t>4 (2.4%)</w:t>
            </w:r>
          </w:p>
        </w:tc>
        <w:tc>
          <w:tcPr>
            <w:tcW w:w="1446" w:type="pct"/>
            <w:vAlign w:val="center"/>
          </w:tcPr>
          <w:p w14:paraId="0A7DBA49" w14:textId="7D484CD1" w:rsidR="00436656" w:rsidRPr="000160C3" w:rsidRDefault="00521900" w:rsidP="001C47F4">
            <w:pPr>
              <w:pStyle w:val="TableText0"/>
              <w:spacing w:line="240" w:lineRule="auto"/>
              <w:jc w:val="center"/>
              <w:rPr>
                <w:sz w:val="20"/>
                <w:szCs w:val="20"/>
              </w:rPr>
            </w:pPr>
            <w:r w:rsidRPr="000160C3">
              <w:rPr>
                <w:sz w:val="20"/>
                <w:szCs w:val="20"/>
              </w:rPr>
              <w:t>4.9%</w:t>
            </w:r>
          </w:p>
        </w:tc>
      </w:tr>
      <w:tr w:rsidR="00521900" w:rsidRPr="000160C3" w14:paraId="1F186615" w14:textId="77777777" w:rsidTr="002C6AC3">
        <w:tc>
          <w:tcPr>
            <w:tcW w:w="2109" w:type="pct"/>
          </w:tcPr>
          <w:p w14:paraId="48B6D84F" w14:textId="77777777" w:rsidR="00521900" w:rsidRPr="000160C3" w:rsidRDefault="00521900" w:rsidP="001C47F4">
            <w:pPr>
              <w:pStyle w:val="TableText0"/>
              <w:spacing w:line="240" w:lineRule="auto"/>
              <w:rPr>
                <w:sz w:val="20"/>
                <w:szCs w:val="20"/>
              </w:rPr>
            </w:pPr>
            <w:r w:rsidRPr="000160C3">
              <w:rPr>
                <w:sz w:val="20"/>
                <w:szCs w:val="20"/>
              </w:rPr>
              <w:t>Lymphopenia</w:t>
            </w:r>
          </w:p>
        </w:tc>
        <w:tc>
          <w:tcPr>
            <w:tcW w:w="1445" w:type="pct"/>
            <w:vAlign w:val="center"/>
          </w:tcPr>
          <w:p w14:paraId="299539C6" w14:textId="77777777" w:rsidR="00521900" w:rsidRPr="000160C3" w:rsidRDefault="00521900" w:rsidP="001C47F4">
            <w:pPr>
              <w:pStyle w:val="TableText0"/>
              <w:spacing w:line="240" w:lineRule="auto"/>
              <w:jc w:val="center"/>
              <w:rPr>
                <w:sz w:val="20"/>
                <w:szCs w:val="20"/>
              </w:rPr>
            </w:pPr>
            <w:r w:rsidRPr="000160C3">
              <w:rPr>
                <w:sz w:val="20"/>
                <w:szCs w:val="20"/>
              </w:rPr>
              <w:t>60 (36.4%)</w:t>
            </w:r>
          </w:p>
        </w:tc>
        <w:tc>
          <w:tcPr>
            <w:tcW w:w="1446" w:type="pct"/>
            <w:vAlign w:val="center"/>
          </w:tcPr>
          <w:p w14:paraId="5CD62A0F" w14:textId="14A74E31" w:rsidR="00436656" w:rsidRPr="000160C3" w:rsidRDefault="00521900" w:rsidP="001C47F4">
            <w:pPr>
              <w:pStyle w:val="TableText0"/>
              <w:spacing w:line="240" w:lineRule="auto"/>
              <w:jc w:val="center"/>
              <w:rPr>
                <w:sz w:val="20"/>
                <w:szCs w:val="20"/>
              </w:rPr>
            </w:pPr>
            <w:r w:rsidRPr="000160C3">
              <w:rPr>
                <w:sz w:val="20"/>
                <w:szCs w:val="20"/>
              </w:rPr>
              <w:t>26.8%</w:t>
            </w:r>
          </w:p>
        </w:tc>
      </w:tr>
      <w:tr w:rsidR="00521900" w:rsidRPr="000160C3" w14:paraId="08AAC140" w14:textId="77777777" w:rsidTr="002C6AC3">
        <w:tc>
          <w:tcPr>
            <w:tcW w:w="2109" w:type="pct"/>
          </w:tcPr>
          <w:p w14:paraId="0610E4F0" w14:textId="77777777" w:rsidR="00521900" w:rsidRPr="000160C3" w:rsidRDefault="00521900" w:rsidP="001C47F4">
            <w:pPr>
              <w:pStyle w:val="TableText0"/>
              <w:spacing w:line="240" w:lineRule="auto"/>
              <w:rPr>
                <w:sz w:val="20"/>
                <w:szCs w:val="20"/>
              </w:rPr>
            </w:pPr>
            <w:r w:rsidRPr="000160C3">
              <w:rPr>
                <w:sz w:val="20"/>
                <w:szCs w:val="20"/>
              </w:rPr>
              <w:t>Neutropenia</w:t>
            </w:r>
          </w:p>
        </w:tc>
        <w:tc>
          <w:tcPr>
            <w:tcW w:w="1445" w:type="pct"/>
            <w:vAlign w:val="center"/>
          </w:tcPr>
          <w:p w14:paraId="512B6C3B" w14:textId="77777777" w:rsidR="00521900" w:rsidRPr="000160C3" w:rsidRDefault="00521900" w:rsidP="001C47F4">
            <w:pPr>
              <w:pStyle w:val="TableText0"/>
              <w:spacing w:line="240" w:lineRule="auto"/>
              <w:jc w:val="center"/>
              <w:rPr>
                <w:sz w:val="20"/>
                <w:szCs w:val="20"/>
              </w:rPr>
            </w:pPr>
            <w:r w:rsidRPr="000160C3">
              <w:rPr>
                <w:sz w:val="20"/>
                <w:szCs w:val="20"/>
              </w:rPr>
              <w:t>118 (71.5%)</w:t>
            </w:r>
          </w:p>
        </w:tc>
        <w:tc>
          <w:tcPr>
            <w:tcW w:w="1446" w:type="pct"/>
            <w:vAlign w:val="center"/>
          </w:tcPr>
          <w:p w14:paraId="09E3F13F" w14:textId="03E8C3C7" w:rsidR="00521900" w:rsidRPr="000160C3" w:rsidRDefault="00521900" w:rsidP="001C47F4">
            <w:pPr>
              <w:pStyle w:val="TableText0"/>
              <w:spacing w:line="240" w:lineRule="auto"/>
              <w:jc w:val="center"/>
              <w:rPr>
                <w:sz w:val="20"/>
                <w:szCs w:val="20"/>
              </w:rPr>
            </w:pPr>
            <w:r w:rsidRPr="000160C3">
              <w:rPr>
                <w:sz w:val="20"/>
                <w:szCs w:val="20"/>
              </w:rPr>
              <w:t>49.6%</w:t>
            </w:r>
          </w:p>
        </w:tc>
      </w:tr>
      <w:tr w:rsidR="00521900" w:rsidRPr="000160C3" w14:paraId="705DE0D9" w14:textId="77777777" w:rsidTr="002C6AC3">
        <w:tc>
          <w:tcPr>
            <w:tcW w:w="2109" w:type="pct"/>
          </w:tcPr>
          <w:p w14:paraId="19C4730B" w14:textId="77777777" w:rsidR="00521900" w:rsidRPr="000160C3" w:rsidRDefault="00521900" w:rsidP="001C47F4">
            <w:pPr>
              <w:pStyle w:val="TableText0"/>
              <w:spacing w:line="240" w:lineRule="auto"/>
              <w:rPr>
                <w:sz w:val="20"/>
                <w:szCs w:val="20"/>
              </w:rPr>
            </w:pPr>
            <w:r w:rsidRPr="000160C3">
              <w:rPr>
                <w:sz w:val="20"/>
                <w:szCs w:val="20"/>
              </w:rPr>
              <w:t>Thrombocytopenia</w:t>
            </w:r>
          </w:p>
        </w:tc>
        <w:tc>
          <w:tcPr>
            <w:tcW w:w="1445" w:type="pct"/>
            <w:vAlign w:val="center"/>
          </w:tcPr>
          <w:p w14:paraId="207E28B7" w14:textId="77777777" w:rsidR="00521900" w:rsidRPr="000160C3" w:rsidRDefault="00521900" w:rsidP="001C47F4">
            <w:pPr>
              <w:pStyle w:val="TableText0"/>
              <w:spacing w:line="240" w:lineRule="auto"/>
              <w:jc w:val="center"/>
              <w:rPr>
                <w:sz w:val="20"/>
                <w:szCs w:val="20"/>
              </w:rPr>
            </w:pPr>
            <w:r w:rsidRPr="000160C3">
              <w:rPr>
                <w:sz w:val="20"/>
                <w:szCs w:val="20"/>
              </w:rPr>
              <w:t>69 (41.8%)</w:t>
            </w:r>
          </w:p>
        </w:tc>
        <w:tc>
          <w:tcPr>
            <w:tcW w:w="1446" w:type="pct"/>
            <w:vAlign w:val="center"/>
          </w:tcPr>
          <w:p w14:paraId="22ECC568" w14:textId="36A349AD" w:rsidR="00521900" w:rsidRPr="000160C3" w:rsidRDefault="00521900" w:rsidP="001C47F4">
            <w:pPr>
              <w:pStyle w:val="TableText0"/>
              <w:spacing w:line="240" w:lineRule="auto"/>
              <w:jc w:val="center"/>
              <w:rPr>
                <w:sz w:val="20"/>
                <w:szCs w:val="20"/>
              </w:rPr>
            </w:pPr>
            <w:r w:rsidRPr="000160C3">
              <w:rPr>
                <w:sz w:val="20"/>
                <w:szCs w:val="20"/>
              </w:rPr>
              <w:t>31.7%</w:t>
            </w:r>
          </w:p>
        </w:tc>
      </w:tr>
      <w:tr w:rsidR="00521900" w:rsidRPr="000160C3" w14:paraId="004E150E" w14:textId="77777777" w:rsidTr="002C6AC3">
        <w:tc>
          <w:tcPr>
            <w:tcW w:w="2109" w:type="pct"/>
            <w:vAlign w:val="center"/>
          </w:tcPr>
          <w:p w14:paraId="5C87DC44" w14:textId="77777777" w:rsidR="00521900" w:rsidRPr="000160C3" w:rsidRDefault="00521900" w:rsidP="001C47F4">
            <w:pPr>
              <w:pStyle w:val="TableText0"/>
              <w:spacing w:line="240" w:lineRule="auto"/>
              <w:rPr>
                <w:sz w:val="20"/>
                <w:szCs w:val="20"/>
              </w:rPr>
            </w:pPr>
            <w:r w:rsidRPr="000160C3">
              <w:rPr>
                <w:sz w:val="20"/>
                <w:szCs w:val="20"/>
              </w:rPr>
              <w:t>Any TEAE</w:t>
            </w:r>
          </w:p>
        </w:tc>
        <w:tc>
          <w:tcPr>
            <w:tcW w:w="1445" w:type="pct"/>
            <w:vAlign w:val="center"/>
          </w:tcPr>
          <w:p w14:paraId="631A0B12" w14:textId="77777777" w:rsidR="00521900" w:rsidRPr="000160C3" w:rsidRDefault="00521900" w:rsidP="001C47F4">
            <w:pPr>
              <w:pStyle w:val="TableText0"/>
              <w:spacing w:line="240" w:lineRule="auto"/>
              <w:jc w:val="center"/>
              <w:rPr>
                <w:sz w:val="20"/>
                <w:szCs w:val="20"/>
              </w:rPr>
            </w:pPr>
            <w:r w:rsidRPr="000160C3">
              <w:rPr>
                <w:sz w:val="20"/>
                <w:szCs w:val="20"/>
              </w:rPr>
              <w:t>165 (100.0%)</w:t>
            </w:r>
          </w:p>
        </w:tc>
        <w:tc>
          <w:tcPr>
            <w:tcW w:w="1446" w:type="pct"/>
            <w:vAlign w:val="center"/>
          </w:tcPr>
          <w:p w14:paraId="7927A0BB" w14:textId="77777777" w:rsidR="00521900" w:rsidRPr="000160C3" w:rsidRDefault="00521900" w:rsidP="001C47F4">
            <w:pPr>
              <w:pStyle w:val="TableText0"/>
              <w:spacing w:line="240" w:lineRule="auto"/>
              <w:jc w:val="center"/>
              <w:rPr>
                <w:sz w:val="20"/>
                <w:szCs w:val="20"/>
              </w:rPr>
            </w:pPr>
            <w:r w:rsidRPr="000160C3">
              <w:rPr>
                <w:sz w:val="20"/>
                <w:szCs w:val="20"/>
              </w:rPr>
              <w:t>123 (100.0%)</w:t>
            </w:r>
          </w:p>
        </w:tc>
      </w:tr>
      <w:tr w:rsidR="00521900" w:rsidRPr="000160C3" w14:paraId="0D8DED84" w14:textId="77777777" w:rsidTr="002C6AC3">
        <w:tc>
          <w:tcPr>
            <w:tcW w:w="2109" w:type="pct"/>
            <w:vAlign w:val="center"/>
          </w:tcPr>
          <w:p w14:paraId="4E8A7BF3" w14:textId="200A82FD" w:rsidR="00521900" w:rsidRPr="000160C3" w:rsidRDefault="00EC1990" w:rsidP="001C47F4">
            <w:pPr>
              <w:pStyle w:val="TableText0"/>
              <w:spacing w:line="240" w:lineRule="auto"/>
              <w:rPr>
                <w:sz w:val="20"/>
                <w:szCs w:val="20"/>
              </w:rPr>
            </w:pPr>
            <w:r>
              <w:rPr>
                <w:sz w:val="20"/>
                <w:szCs w:val="20"/>
              </w:rPr>
              <w:t xml:space="preserve"> </w:t>
            </w:r>
            <w:r w:rsidR="00521900" w:rsidRPr="000160C3">
              <w:rPr>
                <w:sz w:val="20"/>
                <w:szCs w:val="20"/>
              </w:rPr>
              <w:t xml:space="preserve"> Study</w:t>
            </w:r>
            <w:r>
              <w:rPr>
                <w:sz w:val="20"/>
                <w:szCs w:val="20"/>
              </w:rPr>
              <w:noBreakHyphen/>
            </w:r>
            <w:r w:rsidR="00521900" w:rsidRPr="000160C3">
              <w:rPr>
                <w:sz w:val="20"/>
                <w:szCs w:val="20"/>
              </w:rPr>
              <w:t xml:space="preserve">drug related </w:t>
            </w:r>
            <w:r w:rsidR="00521900" w:rsidRPr="000160C3">
              <w:rPr>
                <w:sz w:val="20"/>
                <w:szCs w:val="20"/>
                <w:vertAlign w:val="superscript"/>
              </w:rPr>
              <w:t>a</w:t>
            </w:r>
          </w:p>
        </w:tc>
        <w:tc>
          <w:tcPr>
            <w:tcW w:w="1445" w:type="pct"/>
            <w:vAlign w:val="center"/>
          </w:tcPr>
          <w:p w14:paraId="31C1E628" w14:textId="77777777" w:rsidR="00521900" w:rsidRPr="000160C3" w:rsidRDefault="00521900" w:rsidP="001C47F4">
            <w:pPr>
              <w:pStyle w:val="TableText0"/>
              <w:spacing w:line="240" w:lineRule="auto"/>
              <w:jc w:val="center"/>
              <w:rPr>
                <w:sz w:val="20"/>
                <w:szCs w:val="20"/>
              </w:rPr>
            </w:pPr>
            <w:r w:rsidRPr="000160C3">
              <w:rPr>
                <w:sz w:val="20"/>
                <w:szCs w:val="20"/>
              </w:rPr>
              <w:t>154 (93.3%)</w:t>
            </w:r>
          </w:p>
        </w:tc>
        <w:tc>
          <w:tcPr>
            <w:tcW w:w="1446" w:type="pct"/>
            <w:vAlign w:val="center"/>
          </w:tcPr>
          <w:p w14:paraId="76A75C54" w14:textId="77777777" w:rsidR="00521900" w:rsidRPr="000160C3" w:rsidRDefault="00521900" w:rsidP="001C47F4">
            <w:pPr>
              <w:pStyle w:val="TableText0"/>
              <w:spacing w:line="240" w:lineRule="auto"/>
              <w:jc w:val="center"/>
              <w:rPr>
                <w:sz w:val="20"/>
                <w:szCs w:val="20"/>
              </w:rPr>
            </w:pPr>
            <w:r w:rsidRPr="000160C3">
              <w:rPr>
                <w:sz w:val="20"/>
                <w:szCs w:val="20"/>
              </w:rPr>
              <w:t>112 (91.1%)</w:t>
            </w:r>
          </w:p>
        </w:tc>
      </w:tr>
      <w:tr w:rsidR="00886969" w:rsidRPr="000160C3" w14:paraId="738E797D" w14:textId="77777777" w:rsidTr="00886969">
        <w:tc>
          <w:tcPr>
            <w:tcW w:w="5000" w:type="pct"/>
            <w:gridSpan w:val="3"/>
            <w:vAlign w:val="center"/>
          </w:tcPr>
          <w:p w14:paraId="445E5FD0" w14:textId="5B92056C" w:rsidR="00886969" w:rsidRPr="000160C3" w:rsidRDefault="00886969" w:rsidP="001C47F4">
            <w:pPr>
              <w:pStyle w:val="TableText0"/>
              <w:spacing w:line="240" w:lineRule="auto"/>
              <w:rPr>
                <w:sz w:val="20"/>
                <w:szCs w:val="20"/>
              </w:rPr>
            </w:pPr>
            <w:r w:rsidRPr="000160C3">
              <w:rPr>
                <w:sz w:val="20"/>
                <w:szCs w:val="20"/>
              </w:rPr>
              <w:t>Maximum toxicity Grade</w:t>
            </w:r>
          </w:p>
        </w:tc>
      </w:tr>
      <w:tr w:rsidR="00521900" w:rsidRPr="000160C3" w14:paraId="00321B41" w14:textId="77777777" w:rsidTr="002C6AC3">
        <w:tc>
          <w:tcPr>
            <w:tcW w:w="2109" w:type="pct"/>
            <w:vAlign w:val="center"/>
          </w:tcPr>
          <w:p w14:paraId="3BD7A2D4" w14:textId="681AE1BB" w:rsidR="00521900" w:rsidRPr="000160C3" w:rsidRDefault="00EC1990" w:rsidP="001C47F4">
            <w:pPr>
              <w:pStyle w:val="TableText0"/>
              <w:spacing w:line="240" w:lineRule="auto"/>
              <w:rPr>
                <w:sz w:val="20"/>
                <w:szCs w:val="20"/>
              </w:rPr>
            </w:pPr>
            <w:r>
              <w:rPr>
                <w:sz w:val="20"/>
                <w:szCs w:val="20"/>
              </w:rPr>
              <w:t xml:space="preserve"> </w:t>
            </w:r>
            <w:r w:rsidR="00521900" w:rsidRPr="000160C3">
              <w:rPr>
                <w:sz w:val="20"/>
                <w:szCs w:val="20"/>
              </w:rPr>
              <w:t xml:space="preserve"> Grade 3 or 4 </w:t>
            </w:r>
            <w:r w:rsidR="00521900" w:rsidRPr="000160C3">
              <w:rPr>
                <w:sz w:val="20"/>
                <w:szCs w:val="20"/>
                <w:vertAlign w:val="superscript"/>
              </w:rPr>
              <w:t>b</w:t>
            </w:r>
          </w:p>
        </w:tc>
        <w:tc>
          <w:tcPr>
            <w:tcW w:w="1445" w:type="pct"/>
            <w:vAlign w:val="center"/>
          </w:tcPr>
          <w:p w14:paraId="5A8E6094" w14:textId="77777777" w:rsidR="00521900" w:rsidRPr="000160C3" w:rsidRDefault="00521900" w:rsidP="001C47F4">
            <w:pPr>
              <w:pStyle w:val="TableText0"/>
              <w:spacing w:line="240" w:lineRule="auto"/>
              <w:jc w:val="center"/>
              <w:rPr>
                <w:sz w:val="20"/>
                <w:szCs w:val="20"/>
              </w:rPr>
            </w:pPr>
            <w:r w:rsidRPr="000160C3">
              <w:rPr>
                <w:sz w:val="20"/>
                <w:szCs w:val="20"/>
              </w:rPr>
              <w:t>121 (73.3%)</w:t>
            </w:r>
          </w:p>
        </w:tc>
        <w:tc>
          <w:tcPr>
            <w:tcW w:w="1446" w:type="pct"/>
            <w:vAlign w:val="center"/>
          </w:tcPr>
          <w:p w14:paraId="231BE522" w14:textId="77777777" w:rsidR="00521900" w:rsidRPr="000160C3" w:rsidRDefault="00521900" w:rsidP="001C47F4">
            <w:pPr>
              <w:pStyle w:val="TableText0"/>
              <w:spacing w:line="240" w:lineRule="auto"/>
              <w:jc w:val="center"/>
              <w:rPr>
                <w:sz w:val="20"/>
                <w:szCs w:val="20"/>
              </w:rPr>
            </w:pPr>
            <w:r w:rsidRPr="000160C3">
              <w:rPr>
                <w:sz w:val="20"/>
                <w:szCs w:val="20"/>
              </w:rPr>
              <w:t>89 (72.4%)</w:t>
            </w:r>
          </w:p>
        </w:tc>
      </w:tr>
      <w:tr w:rsidR="00521900" w:rsidRPr="000160C3" w14:paraId="4F9A7AC2" w14:textId="77777777" w:rsidTr="002C6AC3">
        <w:tc>
          <w:tcPr>
            <w:tcW w:w="2109" w:type="pct"/>
            <w:vAlign w:val="center"/>
          </w:tcPr>
          <w:p w14:paraId="1D4C2E2F" w14:textId="7FB0F9F3" w:rsidR="00521900" w:rsidRPr="000160C3" w:rsidRDefault="00EC1990" w:rsidP="001C47F4">
            <w:pPr>
              <w:pStyle w:val="TableText0"/>
              <w:spacing w:line="240" w:lineRule="auto"/>
              <w:rPr>
                <w:sz w:val="20"/>
                <w:szCs w:val="20"/>
              </w:rPr>
            </w:pPr>
            <w:r>
              <w:rPr>
                <w:sz w:val="20"/>
                <w:szCs w:val="20"/>
              </w:rPr>
              <w:t xml:space="preserve"> </w:t>
            </w:r>
            <w:r w:rsidR="00521900" w:rsidRPr="000160C3">
              <w:rPr>
                <w:sz w:val="20"/>
                <w:szCs w:val="20"/>
              </w:rPr>
              <w:t xml:space="preserve"> Grade 5</w:t>
            </w:r>
          </w:p>
        </w:tc>
        <w:tc>
          <w:tcPr>
            <w:tcW w:w="1445" w:type="pct"/>
            <w:vAlign w:val="center"/>
          </w:tcPr>
          <w:p w14:paraId="0E9482F1" w14:textId="77777777" w:rsidR="00521900" w:rsidRPr="000160C3" w:rsidRDefault="00521900" w:rsidP="001C47F4">
            <w:pPr>
              <w:pStyle w:val="TableText0"/>
              <w:spacing w:line="240" w:lineRule="auto"/>
              <w:jc w:val="center"/>
              <w:rPr>
                <w:sz w:val="20"/>
                <w:szCs w:val="20"/>
              </w:rPr>
            </w:pPr>
            <w:r w:rsidRPr="000160C3">
              <w:rPr>
                <w:sz w:val="20"/>
                <w:szCs w:val="20"/>
              </w:rPr>
              <w:t>35 (21.2%)</w:t>
            </w:r>
          </w:p>
        </w:tc>
        <w:tc>
          <w:tcPr>
            <w:tcW w:w="1446" w:type="pct"/>
            <w:vAlign w:val="center"/>
          </w:tcPr>
          <w:p w14:paraId="72700C73" w14:textId="77777777" w:rsidR="00521900" w:rsidRPr="000160C3" w:rsidRDefault="00521900" w:rsidP="001C47F4">
            <w:pPr>
              <w:pStyle w:val="TableText0"/>
              <w:spacing w:line="240" w:lineRule="auto"/>
              <w:jc w:val="center"/>
              <w:rPr>
                <w:sz w:val="20"/>
                <w:szCs w:val="20"/>
              </w:rPr>
            </w:pPr>
            <w:r w:rsidRPr="000160C3">
              <w:rPr>
                <w:sz w:val="20"/>
                <w:szCs w:val="20"/>
              </w:rPr>
              <w:t>25 (20.3%)</w:t>
            </w:r>
          </w:p>
        </w:tc>
      </w:tr>
      <w:tr w:rsidR="00521900" w:rsidRPr="000160C3" w14:paraId="3FD495E9" w14:textId="77777777" w:rsidTr="002C6AC3">
        <w:tc>
          <w:tcPr>
            <w:tcW w:w="2109" w:type="pct"/>
            <w:vAlign w:val="center"/>
          </w:tcPr>
          <w:p w14:paraId="74643C5D" w14:textId="77777777" w:rsidR="00521900" w:rsidRPr="000160C3" w:rsidRDefault="00521900" w:rsidP="001C47F4">
            <w:pPr>
              <w:pStyle w:val="TableText0"/>
              <w:spacing w:line="240" w:lineRule="auto"/>
              <w:rPr>
                <w:sz w:val="20"/>
                <w:szCs w:val="20"/>
              </w:rPr>
            </w:pPr>
            <w:r w:rsidRPr="000160C3">
              <w:rPr>
                <w:sz w:val="20"/>
                <w:szCs w:val="20"/>
              </w:rPr>
              <w:t>Any serious TEAE</w:t>
            </w:r>
          </w:p>
        </w:tc>
        <w:tc>
          <w:tcPr>
            <w:tcW w:w="1445" w:type="pct"/>
            <w:vAlign w:val="center"/>
          </w:tcPr>
          <w:p w14:paraId="446CBE76" w14:textId="77777777" w:rsidR="00521900" w:rsidRPr="000160C3" w:rsidRDefault="00521900" w:rsidP="001C47F4">
            <w:pPr>
              <w:pStyle w:val="TableText0"/>
              <w:spacing w:line="240" w:lineRule="auto"/>
              <w:jc w:val="center"/>
              <w:rPr>
                <w:sz w:val="20"/>
                <w:szCs w:val="20"/>
              </w:rPr>
            </w:pPr>
            <w:r w:rsidRPr="000160C3">
              <w:rPr>
                <w:sz w:val="20"/>
                <w:szCs w:val="20"/>
              </w:rPr>
              <w:t>114 (69.1%)</w:t>
            </w:r>
          </w:p>
        </w:tc>
        <w:tc>
          <w:tcPr>
            <w:tcW w:w="1446" w:type="pct"/>
            <w:vAlign w:val="center"/>
          </w:tcPr>
          <w:p w14:paraId="1AD38651" w14:textId="77777777" w:rsidR="00521900" w:rsidRPr="000160C3" w:rsidRDefault="00521900" w:rsidP="001C47F4">
            <w:pPr>
              <w:pStyle w:val="TableText0"/>
              <w:spacing w:line="240" w:lineRule="auto"/>
              <w:jc w:val="center"/>
              <w:rPr>
                <w:sz w:val="20"/>
                <w:szCs w:val="20"/>
              </w:rPr>
            </w:pPr>
            <w:r w:rsidRPr="000160C3">
              <w:rPr>
                <w:sz w:val="20"/>
                <w:szCs w:val="20"/>
              </w:rPr>
              <w:t>94 (76.4%)</w:t>
            </w:r>
          </w:p>
        </w:tc>
      </w:tr>
      <w:tr w:rsidR="00521900" w:rsidRPr="000160C3" w14:paraId="574CB90C" w14:textId="77777777" w:rsidTr="002C6AC3">
        <w:tc>
          <w:tcPr>
            <w:tcW w:w="2109" w:type="pct"/>
            <w:vAlign w:val="center"/>
          </w:tcPr>
          <w:p w14:paraId="5987E63B" w14:textId="0288E428" w:rsidR="00521900" w:rsidRPr="000160C3" w:rsidRDefault="00EC1990" w:rsidP="001C47F4">
            <w:pPr>
              <w:pStyle w:val="TableText0"/>
              <w:spacing w:line="240" w:lineRule="auto"/>
              <w:rPr>
                <w:sz w:val="20"/>
                <w:szCs w:val="20"/>
              </w:rPr>
            </w:pPr>
            <w:r>
              <w:rPr>
                <w:sz w:val="20"/>
                <w:szCs w:val="20"/>
              </w:rPr>
              <w:t xml:space="preserve"> </w:t>
            </w:r>
            <w:r w:rsidR="00521900" w:rsidRPr="000160C3">
              <w:rPr>
                <w:sz w:val="20"/>
                <w:szCs w:val="20"/>
              </w:rPr>
              <w:t xml:space="preserve"> Study</w:t>
            </w:r>
            <w:r>
              <w:rPr>
                <w:sz w:val="20"/>
                <w:szCs w:val="20"/>
              </w:rPr>
              <w:noBreakHyphen/>
            </w:r>
            <w:r w:rsidR="00521900" w:rsidRPr="000160C3">
              <w:rPr>
                <w:sz w:val="20"/>
                <w:szCs w:val="20"/>
              </w:rPr>
              <w:t xml:space="preserve">drug related </w:t>
            </w:r>
            <w:r w:rsidR="00521900" w:rsidRPr="000160C3">
              <w:rPr>
                <w:sz w:val="20"/>
                <w:szCs w:val="20"/>
                <w:vertAlign w:val="superscript"/>
              </w:rPr>
              <w:t>a</w:t>
            </w:r>
          </w:p>
        </w:tc>
        <w:tc>
          <w:tcPr>
            <w:tcW w:w="1445" w:type="pct"/>
            <w:vAlign w:val="center"/>
          </w:tcPr>
          <w:p w14:paraId="4D98566D" w14:textId="77777777" w:rsidR="00521900" w:rsidRPr="000160C3" w:rsidRDefault="00521900" w:rsidP="001C47F4">
            <w:pPr>
              <w:pStyle w:val="TableText0"/>
              <w:spacing w:line="240" w:lineRule="auto"/>
              <w:jc w:val="center"/>
              <w:rPr>
                <w:sz w:val="20"/>
                <w:szCs w:val="20"/>
              </w:rPr>
            </w:pPr>
            <w:r w:rsidRPr="000160C3">
              <w:rPr>
                <w:sz w:val="20"/>
                <w:szCs w:val="20"/>
              </w:rPr>
              <w:t>55 (33.3%)</w:t>
            </w:r>
          </w:p>
        </w:tc>
        <w:tc>
          <w:tcPr>
            <w:tcW w:w="1446" w:type="pct"/>
            <w:vAlign w:val="center"/>
          </w:tcPr>
          <w:p w14:paraId="68386A23" w14:textId="77777777" w:rsidR="00521900" w:rsidRPr="000160C3" w:rsidRDefault="00521900" w:rsidP="001C47F4">
            <w:pPr>
              <w:pStyle w:val="TableText0"/>
              <w:spacing w:line="240" w:lineRule="auto"/>
              <w:jc w:val="center"/>
              <w:rPr>
                <w:sz w:val="20"/>
                <w:szCs w:val="20"/>
              </w:rPr>
            </w:pPr>
            <w:r w:rsidRPr="000160C3">
              <w:rPr>
                <w:sz w:val="20"/>
                <w:szCs w:val="20"/>
              </w:rPr>
              <w:t>47 (38.2%)</w:t>
            </w:r>
          </w:p>
        </w:tc>
      </w:tr>
      <w:tr w:rsidR="00521900" w:rsidRPr="000160C3" w14:paraId="2A8405CF" w14:textId="77777777" w:rsidTr="002C6AC3">
        <w:tc>
          <w:tcPr>
            <w:tcW w:w="2109" w:type="pct"/>
            <w:vAlign w:val="center"/>
          </w:tcPr>
          <w:p w14:paraId="3563F6A0" w14:textId="0370163A" w:rsidR="00521900" w:rsidRPr="000160C3" w:rsidRDefault="00521900" w:rsidP="001C47F4">
            <w:pPr>
              <w:pStyle w:val="TableText0"/>
              <w:spacing w:line="240" w:lineRule="auto"/>
              <w:rPr>
                <w:sz w:val="20"/>
                <w:szCs w:val="20"/>
              </w:rPr>
            </w:pPr>
            <w:r w:rsidRPr="000160C3">
              <w:rPr>
                <w:sz w:val="20"/>
                <w:szCs w:val="20"/>
              </w:rPr>
              <w:t>TEAE leading to study</w:t>
            </w:r>
            <w:r w:rsidR="00EC1990">
              <w:rPr>
                <w:sz w:val="20"/>
                <w:szCs w:val="20"/>
              </w:rPr>
              <w:noBreakHyphen/>
            </w:r>
            <w:r w:rsidRPr="000160C3">
              <w:rPr>
                <w:sz w:val="20"/>
                <w:szCs w:val="20"/>
              </w:rPr>
              <w:t>drug discontinuation</w:t>
            </w:r>
          </w:p>
        </w:tc>
        <w:tc>
          <w:tcPr>
            <w:tcW w:w="1445" w:type="pct"/>
            <w:vAlign w:val="center"/>
          </w:tcPr>
          <w:p w14:paraId="56F915DD" w14:textId="77777777" w:rsidR="00521900" w:rsidRPr="000160C3" w:rsidRDefault="00521900" w:rsidP="001C47F4">
            <w:pPr>
              <w:pStyle w:val="TableText0"/>
              <w:spacing w:line="240" w:lineRule="auto"/>
              <w:jc w:val="center"/>
              <w:rPr>
                <w:sz w:val="20"/>
                <w:szCs w:val="20"/>
              </w:rPr>
            </w:pPr>
            <w:r w:rsidRPr="000160C3">
              <w:rPr>
                <w:sz w:val="20"/>
                <w:szCs w:val="20"/>
              </w:rPr>
              <w:t>8 (4.8%)</w:t>
            </w:r>
          </w:p>
        </w:tc>
        <w:tc>
          <w:tcPr>
            <w:tcW w:w="1446" w:type="pct"/>
            <w:vAlign w:val="center"/>
          </w:tcPr>
          <w:p w14:paraId="2CC8B2E7" w14:textId="77777777" w:rsidR="00521900" w:rsidRPr="000160C3" w:rsidRDefault="00521900" w:rsidP="001C47F4">
            <w:pPr>
              <w:pStyle w:val="TableText0"/>
              <w:spacing w:line="240" w:lineRule="auto"/>
              <w:jc w:val="center"/>
              <w:rPr>
                <w:sz w:val="20"/>
                <w:szCs w:val="20"/>
              </w:rPr>
            </w:pPr>
            <w:r w:rsidRPr="000160C3">
              <w:rPr>
                <w:sz w:val="20"/>
                <w:szCs w:val="20"/>
              </w:rPr>
              <w:t>31 (25.2%)</w:t>
            </w:r>
          </w:p>
        </w:tc>
      </w:tr>
      <w:tr w:rsidR="00521900" w:rsidRPr="000160C3" w14:paraId="20AF1F73" w14:textId="77777777" w:rsidTr="002C6AC3">
        <w:tc>
          <w:tcPr>
            <w:tcW w:w="2109" w:type="pct"/>
            <w:vAlign w:val="center"/>
          </w:tcPr>
          <w:p w14:paraId="25DFB164" w14:textId="7BBC4981" w:rsidR="00521900" w:rsidRPr="000160C3" w:rsidRDefault="00521900" w:rsidP="001C47F4">
            <w:pPr>
              <w:pStyle w:val="TableText0"/>
              <w:spacing w:line="240" w:lineRule="auto"/>
              <w:rPr>
                <w:sz w:val="20"/>
                <w:szCs w:val="20"/>
              </w:rPr>
            </w:pPr>
            <w:r w:rsidRPr="000160C3">
              <w:rPr>
                <w:sz w:val="20"/>
                <w:szCs w:val="20"/>
              </w:rPr>
              <w:t>Death due to COVID</w:t>
            </w:r>
            <w:r w:rsidR="00EC1990">
              <w:rPr>
                <w:sz w:val="20"/>
                <w:szCs w:val="20"/>
              </w:rPr>
              <w:noBreakHyphen/>
            </w:r>
            <w:r w:rsidRPr="000160C3">
              <w:rPr>
                <w:sz w:val="20"/>
                <w:szCs w:val="20"/>
              </w:rPr>
              <w:t>19 TEAE</w:t>
            </w:r>
          </w:p>
        </w:tc>
        <w:tc>
          <w:tcPr>
            <w:tcW w:w="1445" w:type="pct"/>
            <w:vAlign w:val="center"/>
          </w:tcPr>
          <w:p w14:paraId="11A4FEFB" w14:textId="77777777" w:rsidR="00521900" w:rsidRPr="000160C3" w:rsidRDefault="00521900" w:rsidP="001C47F4">
            <w:pPr>
              <w:pStyle w:val="TableText0"/>
              <w:spacing w:line="240" w:lineRule="auto"/>
              <w:jc w:val="center"/>
              <w:rPr>
                <w:sz w:val="20"/>
                <w:szCs w:val="20"/>
              </w:rPr>
            </w:pPr>
            <w:r w:rsidRPr="000160C3">
              <w:rPr>
                <w:sz w:val="20"/>
                <w:szCs w:val="20"/>
              </w:rPr>
              <w:t>18 (10.9%)</w:t>
            </w:r>
          </w:p>
        </w:tc>
        <w:tc>
          <w:tcPr>
            <w:tcW w:w="1446" w:type="pct"/>
            <w:vAlign w:val="center"/>
          </w:tcPr>
          <w:p w14:paraId="01D698C3" w14:textId="77777777" w:rsidR="00521900" w:rsidRPr="000160C3" w:rsidRDefault="00521900" w:rsidP="001C47F4">
            <w:pPr>
              <w:pStyle w:val="TableText0"/>
              <w:spacing w:line="240" w:lineRule="auto"/>
              <w:jc w:val="center"/>
              <w:rPr>
                <w:sz w:val="20"/>
                <w:szCs w:val="20"/>
              </w:rPr>
            </w:pPr>
            <w:r w:rsidRPr="000160C3">
              <w:rPr>
                <w:sz w:val="20"/>
                <w:szCs w:val="20"/>
              </w:rPr>
              <w:t xml:space="preserve">2 (1.6%) </w:t>
            </w:r>
            <w:r w:rsidRPr="000160C3">
              <w:rPr>
                <w:sz w:val="20"/>
                <w:szCs w:val="20"/>
                <w:vertAlign w:val="superscript"/>
              </w:rPr>
              <w:t>c</w:t>
            </w:r>
          </w:p>
        </w:tc>
      </w:tr>
    </w:tbl>
    <w:p w14:paraId="79563181" w14:textId="59DF4488" w:rsidR="00521900" w:rsidRPr="000160C3" w:rsidRDefault="00521900" w:rsidP="001C47F4">
      <w:pPr>
        <w:pStyle w:val="TableFigureFooter"/>
      </w:pPr>
      <w:r w:rsidRPr="000160C3">
        <w:t>Source: Table</w:t>
      </w:r>
      <w:r w:rsidR="00355CDD">
        <w:t xml:space="preserve"> </w:t>
      </w:r>
      <w:r w:rsidRPr="000160C3">
        <w:t>2.62, p208 and Table 2.63, p210 of the submission.</w:t>
      </w:r>
    </w:p>
    <w:p w14:paraId="7AB61194" w14:textId="4F5DC353" w:rsidR="00521900" w:rsidRPr="000160C3" w:rsidRDefault="00521900" w:rsidP="001C47F4">
      <w:pPr>
        <w:pStyle w:val="TableFigureFooter"/>
      </w:pPr>
      <w:r w:rsidRPr="000160C3">
        <w:t xml:space="preserve">Abbreviations: CCO = clinical cutoff; CRS = cytokine release syndrome; ICANS = immune effector cell neurotoxicity syndrome; </w:t>
      </w:r>
      <w:proofErr w:type="spellStart"/>
      <w:r w:rsidRPr="000160C3">
        <w:t>mFU</w:t>
      </w:r>
      <w:proofErr w:type="spellEnd"/>
      <w:r w:rsidRPr="000160C3">
        <w:t xml:space="preserve"> = median follow</w:t>
      </w:r>
      <w:r w:rsidR="00EC1990">
        <w:noBreakHyphen/>
      </w:r>
      <w:r w:rsidRPr="000160C3">
        <w:t>up (in months); NR = not reported; RP2D = recommended phase 2 population; TEAE = treatment</w:t>
      </w:r>
      <w:r w:rsidR="00EC1990">
        <w:noBreakHyphen/>
      </w:r>
      <w:r w:rsidRPr="000160C3">
        <w:t>emergent adverse event.</w:t>
      </w:r>
    </w:p>
    <w:p w14:paraId="35CD5460" w14:textId="1F48EF3A" w:rsidR="00521900" w:rsidRPr="000160C3" w:rsidRDefault="00521900" w:rsidP="001C47F4">
      <w:pPr>
        <w:pStyle w:val="TableFigureFooter"/>
      </w:pPr>
      <w:r w:rsidRPr="008C10E3">
        <w:rPr>
          <w:vertAlign w:val="superscript"/>
        </w:rPr>
        <w:t>a</w:t>
      </w:r>
      <w:r w:rsidRPr="000160C3">
        <w:t xml:space="preserve"> TEAEs related to study drug</w:t>
      </w:r>
    </w:p>
    <w:p w14:paraId="212AB939" w14:textId="63A858A2" w:rsidR="00521900" w:rsidRPr="000160C3" w:rsidRDefault="00521900" w:rsidP="001C47F4">
      <w:pPr>
        <w:pStyle w:val="TableFigureFooter"/>
      </w:pPr>
      <w:r w:rsidRPr="008C10E3">
        <w:rPr>
          <w:vertAlign w:val="superscript"/>
        </w:rPr>
        <w:t>b</w:t>
      </w:r>
      <w:r w:rsidRPr="000160C3">
        <w:t xml:space="preserve"> Calculated for MajesTEC</w:t>
      </w:r>
      <w:r w:rsidR="00EC1990">
        <w:noBreakHyphen/>
      </w:r>
      <w:r w:rsidRPr="000160C3">
        <w:t>1 cohorts by summing maximum toxicity Grade 3 and maximum toxicity Grade 4 values. This was necessary as the data reported for elranatamab in MagnetisMM</w:t>
      </w:r>
      <w:r w:rsidR="00EC1990">
        <w:noBreakHyphen/>
      </w:r>
      <w:r w:rsidRPr="000160C3">
        <w:t xml:space="preserve">3 relate to maximum toxicity Grade of 3 or 4, rather than Grade ≥3 (i.e., including Grade 5 TEAEs). </w:t>
      </w:r>
    </w:p>
    <w:p w14:paraId="7F108B15" w14:textId="64459DA2" w:rsidR="00521900" w:rsidRPr="000160C3" w:rsidRDefault="00521900" w:rsidP="001C47F4">
      <w:pPr>
        <w:pStyle w:val="TableFigureFooter"/>
      </w:pPr>
      <w:r w:rsidRPr="008C10E3">
        <w:rPr>
          <w:vertAlign w:val="superscript"/>
        </w:rPr>
        <w:t>c</w:t>
      </w:r>
      <w:r w:rsidRPr="000160C3">
        <w:t xml:space="preserve"> Two deaths due to COVID</w:t>
      </w:r>
      <w:r w:rsidR="00EC1990">
        <w:noBreakHyphen/>
      </w:r>
      <w:r w:rsidRPr="000160C3">
        <w:t>19 were reported at a CCO with a median follow</w:t>
      </w:r>
      <w:r w:rsidR="00EC1990">
        <w:noBreakHyphen/>
      </w:r>
      <w:r w:rsidRPr="000160C3">
        <w:t>up of 14.7 months. Publications for the MangetisMM</w:t>
      </w:r>
      <w:r w:rsidR="00EC1990">
        <w:noBreakHyphen/>
      </w:r>
      <w:r w:rsidRPr="000160C3">
        <w:t xml:space="preserve">3 </w:t>
      </w:r>
      <w:r w:rsidR="00AF2B48" w:rsidRPr="000160C3">
        <w:t>study</w:t>
      </w:r>
      <w:r w:rsidRPr="000160C3">
        <w:t xml:space="preserve"> with more mature CCOs (up to a median follow</w:t>
      </w:r>
      <w:r w:rsidR="00EC1990">
        <w:noBreakHyphen/>
      </w:r>
      <w:r w:rsidRPr="000160C3">
        <w:t>up duration of 33.9 months) do not indicate there were any additional COVID</w:t>
      </w:r>
      <w:r w:rsidR="00EC1990">
        <w:noBreakHyphen/>
      </w:r>
      <w:r w:rsidRPr="000160C3">
        <w:t>19</w:t>
      </w:r>
      <w:r w:rsidR="00EC1990">
        <w:noBreakHyphen/>
      </w:r>
      <w:r w:rsidRPr="000160C3">
        <w:t>related deaths that occurred in the MagnetisMM</w:t>
      </w:r>
      <w:r w:rsidR="00EC1990">
        <w:noBreakHyphen/>
      </w:r>
      <w:r w:rsidRPr="000160C3">
        <w:t xml:space="preserve">3 </w:t>
      </w:r>
      <w:r w:rsidR="00AF2B48" w:rsidRPr="000160C3">
        <w:t>study</w:t>
      </w:r>
      <w:r w:rsidRPr="000160C3">
        <w:t>. Therefore, it is assumed that two patients had died due to COVID</w:t>
      </w:r>
      <w:r w:rsidR="00EC1990">
        <w:noBreakHyphen/>
      </w:r>
      <w:r w:rsidRPr="000160C3">
        <w:t>19 at the later CCO.</w:t>
      </w:r>
    </w:p>
    <w:p w14:paraId="0D483A05" w14:textId="22A88D6D" w:rsidR="00521900" w:rsidRPr="000160C3" w:rsidRDefault="00521900" w:rsidP="001C47F4">
      <w:pPr>
        <w:pStyle w:val="TableFigureFooter"/>
      </w:pPr>
      <w:r w:rsidRPr="000160C3">
        <w:t xml:space="preserve"> </w:t>
      </w:r>
    </w:p>
    <w:p w14:paraId="26E69302" w14:textId="77777777" w:rsidR="00521900" w:rsidRPr="000160C3" w:rsidRDefault="00521900" w:rsidP="001C47F4">
      <w:pPr>
        <w:pStyle w:val="4-SubsectionHeading"/>
      </w:pPr>
      <w:bookmarkStart w:id="41" w:name="_Toc22897643"/>
      <w:bookmarkStart w:id="42" w:name="_Toc219718651"/>
      <w:r w:rsidRPr="000160C3">
        <w:t>Benefits/harms</w:t>
      </w:r>
      <w:bookmarkEnd w:id="41"/>
      <w:bookmarkEnd w:id="42"/>
    </w:p>
    <w:p w14:paraId="76A26840" w14:textId="3FCF5C20" w:rsidR="00521900" w:rsidRPr="000160C3" w:rsidRDefault="00521900" w:rsidP="001C47F4">
      <w:pPr>
        <w:pStyle w:val="3-BodyText"/>
      </w:pPr>
      <w:r w:rsidRPr="000160C3">
        <w:t>A benefits and harms table is not presented as the submission made a claim of non</w:t>
      </w:r>
      <w:r w:rsidR="00EC1990">
        <w:noBreakHyphen/>
      </w:r>
      <w:r w:rsidRPr="000160C3">
        <w:t xml:space="preserve">inferiority. </w:t>
      </w:r>
    </w:p>
    <w:p w14:paraId="4F8645C0" w14:textId="77777777" w:rsidR="00521900" w:rsidRPr="000160C3" w:rsidRDefault="00521900" w:rsidP="001C47F4">
      <w:pPr>
        <w:pStyle w:val="4-SubsectionHeading"/>
      </w:pPr>
      <w:bookmarkStart w:id="43" w:name="_Toc22897644"/>
      <w:bookmarkStart w:id="44" w:name="_Toc219718652"/>
      <w:r w:rsidRPr="000160C3">
        <w:t>Clinical claim</w:t>
      </w:r>
      <w:bookmarkEnd w:id="43"/>
      <w:bookmarkEnd w:id="44"/>
    </w:p>
    <w:p w14:paraId="6D2EC32B" w14:textId="2CDDEC1B" w:rsidR="00521900" w:rsidRPr="00FB5BFC" w:rsidRDefault="00521900" w:rsidP="001C47F4">
      <w:pPr>
        <w:pStyle w:val="3-BodyText"/>
        <w:rPr>
          <w:rFonts w:eastAsia="Calibri"/>
        </w:rPr>
      </w:pPr>
      <w:bookmarkStart w:id="45" w:name="_Ref224648271"/>
      <w:r w:rsidRPr="00FB5BFC">
        <w:rPr>
          <w:rFonts w:eastAsia="Calibri"/>
        </w:rPr>
        <w:t>The submission described teclistamab as non</w:t>
      </w:r>
      <w:r w:rsidR="00EC1990">
        <w:rPr>
          <w:rFonts w:eastAsia="Calibri"/>
        </w:rPr>
        <w:noBreakHyphen/>
      </w:r>
      <w:r w:rsidRPr="00FB5BFC">
        <w:rPr>
          <w:rFonts w:eastAsia="Calibri"/>
        </w:rPr>
        <w:t>inferior in terms of effectiveness compared to elranatamab. Th</w:t>
      </w:r>
      <w:r w:rsidR="00FF5B58" w:rsidRPr="00FB5BFC">
        <w:rPr>
          <w:rFonts w:eastAsia="Calibri"/>
        </w:rPr>
        <w:t>e</w:t>
      </w:r>
      <w:r w:rsidRPr="00FB5BFC">
        <w:rPr>
          <w:rFonts w:eastAsia="Calibri"/>
        </w:rPr>
        <w:t xml:space="preserve"> </w:t>
      </w:r>
      <w:r w:rsidR="00FF5B58" w:rsidRPr="00FB5BFC">
        <w:rPr>
          <w:rFonts w:eastAsia="Calibri"/>
        </w:rPr>
        <w:t xml:space="preserve">ESC considered that the </w:t>
      </w:r>
      <w:r w:rsidRPr="00FB5BFC">
        <w:rPr>
          <w:rFonts w:eastAsia="Calibri"/>
        </w:rPr>
        <w:t xml:space="preserve">claim </w:t>
      </w:r>
      <w:r w:rsidR="00DD6BD7" w:rsidRPr="00FB5BFC">
        <w:rPr>
          <w:rFonts w:eastAsia="Calibri"/>
        </w:rPr>
        <w:t xml:space="preserve">of </w:t>
      </w:r>
      <w:r w:rsidR="00FF5B58" w:rsidRPr="00FB5BFC">
        <w:rPr>
          <w:rFonts w:eastAsia="Calibri"/>
        </w:rPr>
        <w:t>non</w:t>
      </w:r>
      <w:r w:rsidR="00EC1990">
        <w:rPr>
          <w:rFonts w:eastAsia="Calibri"/>
        </w:rPr>
        <w:noBreakHyphen/>
      </w:r>
      <w:r w:rsidR="00FF5B58" w:rsidRPr="00FB5BFC">
        <w:rPr>
          <w:rFonts w:eastAsia="Calibri"/>
        </w:rPr>
        <w:t xml:space="preserve">inferior effectiveness </w:t>
      </w:r>
      <w:r w:rsidRPr="00FB5BFC">
        <w:rPr>
          <w:rFonts w:eastAsia="Calibri"/>
        </w:rPr>
        <w:t xml:space="preserve">was </w:t>
      </w:r>
      <w:r w:rsidR="00FF5B58" w:rsidRPr="00FB5BFC">
        <w:rPr>
          <w:rFonts w:eastAsia="Calibri"/>
        </w:rPr>
        <w:t>uncertain</w:t>
      </w:r>
      <w:r w:rsidR="00987CCD" w:rsidRPr="00FB5BFC">
        <w:rPr>
          <w:rFonts w:eastAsia="Calibri"/>
        </w:rPr>
        <w:t xml:space="preserve">, </w:t>
      </w:r>
      <w:r w:rsidR="009A7034" w:rsidRPr="00FB5BFC">
        <w:rPr>
          <w:rFonts w:eastAsia="Calibri"/>
        </w:rPr>
        <w:t>as</w:t>
      </w:r>
      <w:r w:rsidRPr="00FB5BFC">
        <w:rPr>
          <w:rFonts w:eastAsia="Calibri"/>
        </w:rPr>
        <w:t>:</w:t>
      </w:r>
      <w:bookmarkEnd w:id="45"/>
      <w:r w:rsidRPr="00FB5BFC">
        <w:rPr>
          <w:rFonts w:eastAsia="Calibri"/>
        </w:rPr>
        <w:t xml:space="preserve"> </w:t>
      </w:r>
    </w:p>
    <w:p w14:paraId="36024275" w14:textId="2ADBD073" w:rsidR="00521900" w:rsidRPr="00FB5BFC" w:rsidRDefault="00521900" w:rsidP="001C47F4">
      <w:pPr>
        <w:pStyle w:val="ListParagraph"/>
        <w:ind w:left="1077" w:hanging="357"/>
        <w:jc w:val="both"/>
      </w:pPr>
      <w:r w:rsidRPr="00FB5BFC">
        <w:lastRenderedPageBreak/>
        <w:t xml:space="preserve">The clinical effectiveness estimates derived from the unanchored MAIC </w:t>
      </w:r>
      <w:r w:rsidR="009A7034" w:rsidRPr="00FB5BFC">
        <w:t>were</w:t>
      </w:r>
      <w:r w:rsidRPr="00FB5BFC">
        <w:t xml:space="preserve"> associated with limitations that undermine</w:t>
      </w:r>
      <w:r w:rsidR="009A7034" w:rsidRPr="00FB5BFC">
        <w:t>d</w:t>
      </w:r>
      <w:r w:rsidRPr="00FB5BFC">
        <w:t xml:space="preserve"> the robustness of the comparison. The selection of covariates used for </w:t>
      </w:r>
      <w:r w:rsidR="009A7034" w:rsidRPr="00FB5BFC">
        <w:t xml:space="preserve">the </w:t>
      </w:r>
      <w:r w:rsidR="00B14946" w:rsidRPr="00FB5BFC">
        <w:t xml:space="preserve">base case matching set </w:t>
      </w:r>
      <w:r w:rsidRPr="00FB5BFC">
        <w:t>appear</w:t>
      </w:r>
      <w:r w:rsidR="00AE1D61" w:rsidRPr="00FB5BFC">
        <w:t>ed to be</w:t>
      </w:r>
      <w:r w:rsidRPr="00FB5BFC">
        <w:t xml:space="preserve"> arbitrary and </w:t>
      </w:r>
      <w:r w:rsidR="009A7034" w:rsidRPr="00FB5BFC">
        <w:t xml:space="preserve">were </w:t>
      </w:r>
      <w:r w:rsidR="00AE1D61" w:rsidRPr="00FB5BFC">
        <w:t>not</w:t>
      </w:r>
      <w:r w:rsidRPr="00FB5BFC">
        <w:t xml:space="preserve"> justified</w:t>
      </w:r>
      <w:r w:rsidR="00903CCF" w:rsidRPr="00FB5BFC">
        <w:t>.</w:t>
      </w:r>
      <w:r w:rsidR="00D57B3B" w:rsidRPr="00FB5BFC">
        <w:t xml:space="preserve"> </w:t>
      </w:r>
      <w:r w:rsidR="00903CCF" w:rsidRPr="00FB5BFC">
        <w:t>S</w:t>
      </w:r>
      <w:r w:rsidR="00B14946" w:rsidRPr="00FB5BFC">
        <w:t>ignificantly more covariates could be matched as demonstrated by the full matching set</w:t>
      </w:r>
      <w:r w:rsidR="008765D0" w:rsidRPr="00FB5BFC">
        <w:t xml:space="preserve">, e.g. </w:t>
      </w:r>
      <w:r w:rsidR="0033145B" w:rsidRPr="00FB5BFC">
        <w:t>ECOG performance status</w:t>
      </w:r>
      <w:r w:rsidRPr="00FB5BFC">
        <w:t xml:space="preserve">. </w:t>
      </w:r>
    </w:p>
    <w:p w14:paraId="0FBC4352" w14:textId="48846EFA" w:rsidR="00521900" w:rsidRPr="00FB5BFC" w:rsidRDefault="00521900" w:rsidP="001C47F4">
      <w:pPr>
        <w:pStyle w:val="ListParagraph"/>
        <w:ind w:left="1077" w:hanging="357"/>
        <w:jc w:val="both"/>
      </w:pPr>
      <w:r w:rsidRPr="00FB5BFC">
        <w:t xml:space="preserve">The </w:t>
      </w:r>
      <w:r w:rsidR="0033145B" w:rsidRPr="00FB5BFC">
        <w:t xml:space="preserve">base case MAIC </w:t>
      </w:r>
      <w:r w:rsidRPr="00FB5BFC">
        <w:t xml:space="preserve">relied on a pooled population that included the </w:t>
      </w:r>
      <w:r w:rsidR="0073335F" w:rsidRPr="00FB5BFC">
        <w:t>MajesTEC</w:t>
      </w:r>
      <w:r w:rsidR="00EC1990">
        <w:noBreakHyphen/>
      </w:r>
      <w:r w:rsidR="0042698C" w:rsidRPr="00FB5BFC">
        <w:t xml:space="preserve">1 </w:t>
      </w:r>
      <w:r w:rsidR="005764D3" w:rsidRPr="00FB5BFC">
        <w:t xml:space="preserve">RP2D cohort </w:t>
      </w:r>
      <w:r w:rsidR="0042698C" w:rsidRPr="00FB5BFC">
        <w:t>plus</w:t>
      </w:r>
      <w:r w:rsidR="005764D3" w:rsidRPr="00FB5BFC">
        <w:t xml:space="preserve"> the </w:t>
      </w:r>
      <w:r w:rsidRPr="00FB5BFC">
        <w:t>China Cohort</w:t>
      </w:r>
      <w:r w:rsidR="0042698C" w:rsidRPr="00FB5BFC">
        <w:t xml:space="preserve">. The </w:t>
      </w:r>
      <w:r w:rsidR="00386350" w:rsidRPr="00FB5BFC">
        <w:t xml:space="preserve">population in the </w:t>
      </w:r>
      <w:r w:rsidR="0042698C" w:rsidRPr="00FB5BFC">
        <w:t xml:space="preserve">China Cohort </w:t>
      </w:r>
      <w:r w:rsidRPr="00FB5BFC">
        <w:t>differ</w:t>
      </w:r>
      <w:r w:rsidR="00E25F15" w:rsidRPr="00FB5BFC">
        <w:t>ed</w:t>
      </w:r>
      <w:r w:rsidR="00A24015" w:rsidRPr="00FB5BFC">
        <w:t xml:space="preserve"> with respect to </w:t>
      </w:r>
      <w:r w:rsidRPr="00FB5BFC">
        <w:t xml:space="preserve">baseline characteristics, clinical management practices, and possibly treatment pathways. Notably, the China Cohort demonstrated </w:t>
      </w:r>
      <w:r w:rsidR="000C7C6D" w:rsidRPr="00FB5BFC">
        <w:t xml:space="preserve">higher AEs and </w:t>
      </w:r>
      <w:r w:rsidR="00DC382A" w:rsidRPr="00FB5BFC">
        <w:t>imp</w:t>
      </w:r>
      <w:r w:rsidR="00E5475E" w:rsidRPr="00FB5BFC">
        <w:t>roved</w:t>
      </w:r>
      <w:r w:rsidRPr="00FB5BFC">
        <w:t xml:space="preserve"> response and survival outcomes despite having poorer prognostic features, suggesting potential unmeasured confounding </w:t>
      </w:r>
      <w:r w:rsidR="00CF150C" w:rsidRPr="00FB5BFC">
        <w:t>which undermined</w:t>
      </w:r>
      <w:r w:rsidRPr="00FB5BFC">
        <w:t xml:space="preserve"> the validity of the pooled analysis.</w:t>
      </w:r>
    </w:p>
    <w:p w14:paraId="446F58D6" w14:textId="674A4199" w:rsidR="00521900" w:rsidRPr="00FB5BFC" w:rsidRDefault="00521900" w:rsidP="001C47F4">
      <w:pPr>
        <w:pStyle w:val="ListParagraph"/>
        <w:ind w:left="1077" w:hanging="357"/>
        <w:jc w:val="both"/>
      </w:pPr>
      <w:r w:rsidRPr="00FB5BFC">
        <w:t xml:space="preserve">All outcomes in the </w:t>
      </w:r>
      <w:r w:rsidR="00895BC1" w:rsidRPr="00FB5BFC">
        <w:t xml:space="preserve">base case </w:t>
      </w:r>
      <w:r w:rsidRPr="00FB5BFC">
        <w:t>MAIC were adjusted for COVID</w:t>
      </w:r>
      <w:r w:rsidR="00EC1990">
        <w:noBreakHyphen/>
      </w:r>
      <w:r w:rsidRPr="00FB5BFC">
        <w:t>19–related deaths in MajesTEC</w:t>
      </w:r>
      <w:r w:rsidR="00EC1990">
        <w:noBreakHyphen/>
      </w:r>
      <w:r w:rsidRPr="00FB5BFC">
        <w:t>1 RP2D population</w:t>
      </w:r>
      <w:r w:rsidR="005237B6" w:rsidRPr="00FB5BFC">
        <w:t xml:space="preserve"> only</w:t>
      </w:r>
      <w:r w:rsidRPr="00FB5BFC">
        <w:t xml:space="preserve">. The exclusion of </w:t>
      </w:r>
      <w:r w:rsidR="00B5571A" w:rsidRPr="00FB5BFC">
        <w:t xml:space="preserve">these </w:t>
      </w:r>
      <w:r w:rsidRPr="00FB5BFC">
        <w:t>COVID</w:t>
      </w:r>
      <w:r w:rsidR="00EC1990">
        <w:noBreakHyphen/>
      </w:r>
      <w:r w:rsidRPr="00FB5BFC">
        <w:t xml:space="preserve">19 deaths </w:t>
      </w:r>
      <w:r w:rsidR="00581FD2" w:rsidRPr="00FB5BFC">
        <w:t xml:space="preserve">may have </w:t>
      </w:r>
      <w:r w:rsidRPr="00FB5BFC">
        <w:t xml:space="preserve">introduced selection bias, disproportionately removing more frail or comorbid patients who are less likely to respond to treatment, thereby artificially inflating the estimated effectiveness of teclistamab. </w:t>
      </w:r>
    </w:p>
    <w:p w14:paraId="07482A18" w14:textId="2B76C19F" w:rsidR="00886FD8" w:rsidRPr="00286CF6" w:rsidRDefault="00B3237A" w:rsidP="001C47F4">
      <w:pPr>
        <w:pStyle w:val="ListParagraph"/>
        <w:ind w:left="1077" w:hanging="357"/>
        <w:jc w:val="both"/>
      </w:pPr>
      <w:r w:rsidRPr="00FB5BFC">
        <w:t xml:space="preserve">Across outcomes, the results of the MAIC were variable and sensitive to </w:t>
      </w:r>
      <w:r w:rsidR="003743CA" w:rsidRPr="00FB5BFC">
        <w:t xml:space="preserve">the </w:t>
      </w:r>
      <w:r w:rsidR="006A4191" w:rsidRPr="00FB5BFC">
        <w:t>exclusion of COVID</w:t>
      </w:r>
      <w:r w:rsidR="00EC1990">
        <w:noBreakHyphen/>
      </w:r>
      <w:r w:rsidR="006A4191" w:rsidRPr="00FB5BFC">
        <w:t>19 related deaths and the inclusion of the China Cohort</w:t>
      </w:r>
      <w:r w:rsidR="002368CD">
        <w:t>.</w:t>
      </w:r>
      <w:r w:rsidRPr="00FB5BFC">
        <w:t xml:space="preserve"> The wide confidence intervals across analyses indicate </w:t>
      </w:r>
      <w:r w:rsidR="007B75AA" w:rsidRPr="00FB5BFC">
        <w:t>large variability in the results</w:t>
      </w:r>
      <w:r w:rsidR="00974356">
        <w:t>.</w:t>
      </w:r>
      <w:r w:rsidR="007B75AA" w:rsidRPr="00FB5BFC">
        <w:t xml:space="preserve"> </w:t>
      </w:r>
      <w:r w:rsidR="00667549" w:rsidRPr="00FB5BFC">
        <w:t>This limited the robustness of the submissions therapeutic claim of non</w:t>
      </w:r>
      <w:r w:rsidR="00EC1990">
        <w:noBreakHyphen/>
      </w:r>
      <w:r w:rsidR="00667549" w:rsidRPr="00FB5BFC">
        <w:t xml:space="preserve">inferior </w:t>
      </w:r>
      <w:r w:rsidR="00667549" w:rsidRPr="00286CF6">
        <w:t>efficacy</w:t>
      </w:r>
      <w:r w:rsidRPr="00286CF6">
        <w:t xml:space="preserve">. </w:t>
      </w:r>
      <w:r w:rsidR="00C45FF1" w:rsidRPr="00286CF6">
        <w:t xml:space="preserve">A published MAIC </w:t>
      </w:r>
      <w:r w:rsidR="001479B1" w:rsidRPr="00286CF6">
        <w:t>demonstrated a</w:t>
      </w:r>
      <w:r w:rsidR="00C45FF1" w:rsidRPr="00286CF6">
        <w:t xml:space="preserve"> similar trend with results numerically favouring elranatamab versus teclistamab</w:t>
      </w:r>
      <w:r w:rsidR="005329C6" w:rsidRPr="00286CF6">
        <w:t xml:space="preserve"> and</w:t>
      </w:r>
      <w:r w:rsidR="00C45FF1" w:rsidRPr="00286CF6">
        <w:t xml:space="preserve"> some </w:t>
      </w:r>
      <w:r w:rsidR="001479B1" w:rsidRPr="00286CF6">
        <w:t>outcomes</w:t>
      </w:r>
      <w:r w:rsidR="005329C6" w:rsidRPr="00286CF6">
        <w:t xml:space="preserve"> were</w:t>
      </w:r>
      <w:r w:rsidR="00C45FF1" w:rsidRPr="00286CF6">
        <w:t xml:space="preserve"> statistically significant (</w:t>
      </w:r>
      <w:r w:rsidRPr="00286CF6">
        <w:t>Mol 2024</w:t>
      </w:r>
      <w:r w:rsidR="00453DD1" w:rsidRPr="00286CF6">
        <w:t xml:space="preserve">, </w:t>
      </w:r>
      <w:r w:rsidRPr="00286CF6">
        <w:t>2025).</w:t>
      </w:r>
    </w:p>
    <w:p w14:paraId="00F68696" w14:textId="3058DBBD" w:rsidR="005E2203" w:rsidRPr="00286CF6" w:rsidRDefault="007E3A03" w:rsidP="001C47F4">
      <w:pPr>
        <w:pStyle w:val="3-BodyText"/>
      </w:pPr>
      <w:r w:rsidRPr="00286CF6">
        <w:rPr>
          <w:iCs/>
          <w:snapToGrid w:val="0"/>
        </w:rPr>
        <w:t>On balance, t</w:t>
      </w:r>
      <w:r w:rsidR="005E2203" w:rsidRPr="00286CF6">
        <w:rPr>
          <w:iCs/>
          <w:snapToGrid w:val="0"/>
        </w:rPr>
        <w:t>he</w:t>
      </w:r>
      <w:r w:rsidR="005E2203" w:rsidRPr="00286CF6">
        <w:rPr>
          <w:snapToGrid w:val="0"/>
        </w:rPr>
        <w:t xml:space="preserve"> PBAC considered that the claim of non</w:t>
      </w:r>
      <w:r w:rsidR="00EC1990">
        <w:rPr>
          <w:snapToGrid w:val="0"/>
        </w:rPr>
        <w:noBreakHyphen/>
      </w:r>
      <w:r w:rsidR="005E2203" w:rsidRPr="00286CF6">
        <w:rPr>
          <w:snapToGrid w:val="0"/>
        </w:rPr>
        <w:t>inferior comparative effectiveness was reasonable.</w:t>
      </w:r>
    </w:p>
    <w:p w14:paraId="7F613CD1" w14:textId="0DE74A48" w:rsidR="005F7588" w:rsidRPr="00286CF6" w:rsidRDefault="00521900" w:rsidP="001C47F4">
      <w:pPr>
        <w:pStyle w:val="3-BodyText"/>
        <w:rPr>
          <w:rFonts w:eastAsia="Calibri"/>
        </w:rPr>
      </w:pPr>
      <w:r w:rsidRPr="00286CF6">
        <w:rPr>
          <w:rFonts w:eastAsia="Calibri"/>
        </w:rPr>
        <w:t xml:space="preserve">The submission described teclistamab </w:t>
      </w:r>
      <w:r w:rsidR="002E100C" w:rsidRPr="00286CF6">
        <w:rPr>
          <w:rFonts w:eastAsia="Calibri"/>
        </w:rPr>
        <w:t xml:space="preserve">as </w:t>
      </w:r>
      <w:r w:rsidRPr="00286CF6">
        <w:rPr>
          <w:rFonts w:eastAsia="Calibri"/>
        </w:rPr>
        <w:t>similar in terms of safety compared to elranatamab. Th</w:t>
      </w:r>
      <w:r w:rsidR="0062185B" w:rsidRPr="00286CF6">
        <w:rPr>
          <w:rFonts w:eastAsia="Calibri"/>
        </w:rPr>
        <w:t>e ESC considered that this claim was uncertain</w:t>
      </w:r>
      <w:r w:rsidR="009E3C70" w:rsidRPr="00286CF6">
        <w:rPr>
          <w:rFonts w:eastAsia="Calibri"/>
        </w:rPr>
        <w:t xml:space="preserve">, </w:t>
      </w:r>
      <w:r w:rsidR="003F2653" w:rsidRPr="00286CF6">
        <w:rPr>
          <w:rFonts w:eastAsia="Calibri"/>
        </w:rPr>
        <w:t>noting</w:t>
      </w:r>
      <w:r w:rsidR="009E3C70" w:rsidRPr="00286CF6">
        <w:rPr>
          <w:rFonts w:eastAsia="Calibri"/>
        </w:rPr>
        <w:t xml:space="preserve"> that </w:t>
      </w:r>
      <w:r w:rsidRPr="00286CF6">
        <w:rPr>
          <w:rFonts w:eastAsia="Calibri"/>
        </w:rPr>
        <w:t>the adverse event profile</w:t>
      </w:r>
      <w:r w:rsidR="003F2653" w:rsidRPr="00286CF6">
        <w:rPr>
          <w:rFonts w:eastAsia="Calibri"/>
        </w:rPr>
        <w:t>s</w:t>
      </w:r>
      <w:r w:rsidRPr="00286CF6">
        <w:rPr>
          <w:rFonts w:eastAsia="Calibri"/>
        </w:rPr>
        <w:t xml:space="preserve"> </w:t>
      </w:r>
      <w:r w:rsidR="003F2653" w:rsidRPr="00286CF6">
        <w:rPr>
          <w:rFonts w:eastAsia="Calibri"/>
        </w:rPr>
        <w:t xml:space="preserve">of </w:t>
      </w:r>
      <w:r w:rsidR="001536AC" w:rsidRPr="00286CF6">
        <w:rPr>
          <w:rFonts w:eastAsia="Calibri"/>
        </w:rPr>
        <w:t xml:space="preserve">teclistamab and </w:t>
      </w:r>
      <w:r w:rsidR="00D4266D" w:rsidRPr="00286CF6">
        <w:rPr>
          <w:rFonts w:eastAsia="Calibri"/>
        </w:rPr>
        <w:t>elranatamab</w:t>
      </w:r>
      <w:r w:rsidR="001536AC" w:rsidRPr="00286CF6">
        <w:rPr>
          <w:rFonts w:eastAsia="Calibri"/>
        </w:rPr>
        <w:t xml:space="preserve"> </w:t>
      </w:r>
      <w:r w:rsidR="003F2653" w:rsidRPr="00286CF6">
        <w:rPr>
          <w:rFonts w:eastAsia="Calibri"/>
        </w:rPr>
        <w:t xml:space="preserve">were </w:t>
      </w:r>
      <w:r w:rsidR="001536AC" w:rsidRPr="00286CF6">
        <w:rPr>
          <w:rFonts w:eastAsia="Calibri"/>
        </w:rPr>
        <w:t>different</w:t>
      </w:r>
      <w:r w:rsidR="007B5916" w:rsidRPr="00286CF6">
        <w:rPr>
          <w:rFonts w:eastAsia="Calibri"/>
        </w:rPr>
        <w:t xml:space="preserve">, </w:t>
      </w:r>
      <w:r w:rsidR="003F2653" w:rsidRPr="00286CF6">
        <w:rPr>
          <w:rFonts w:eastAsia="Calibri"/>
        </w:rPr>
        <w:t xml:space="preserve">with </w:t>
      </w:r>
      <w:r w:rsidRPr="00286CF6">
        <w:rPr>
          <w:rFonts w:eastAsia="Calibri"/>
        </w:rPr>
        <w:t>teclistamab exhibit</w:t>
      </w:r>
      <w:r w:rsidR="003F2653" w:rsidRPr="00286CF6">
        <w:rPr>
          <w:rFonts w:eastAsia="Calibri"/>
        </w:rPr>
        <w:t>ing</w:t>
      </w:r>
      <w:r w:rsidRPr="00286CF6">
        <w:rPr>
          <w:rFonts w:eastAsia="Calibri"/>
        </w:rPr>
        <w:t xml:space="preserve"> higher rates of haematological toxicities (any </w:t>
      </w:r>
      <w:r w:rsidR="0048474B" w:rsidRPr="00286CF6">
        <w:rPr>
          <w:rFonts w:eastAsia="Calibri"/>
        </w:rPr>
        <w:t xml:space="preserve">Grade </w:t>
      </w:r>
      <w:r w:rsidRPr="00286CF6">
        <w:rPr>
          <w:rFonts w:eastAsia="Calibri"/>
        </w:rPr>
        <w:t xml:space="preserve">and Grade 3–4) </w:t>
      </w:r>
      <w:r w:rsidR="00401510" w:rsidRPr="00286CF6">
        <w:rPr>
          <w:rFonts w:eastAsia="Calibri"/>
        </w:rPr>
        <w:t>and pneumonia (Grade 3</w:t>
      </w:r>
      <w:r w:rsidR="00EC1990">
        <w:rPr>
          <w:rFonts w:eastAsia="Calibri"/>
        </w:rPr>
        <w:noBreakHyphen/>
      </w:r>
      <w:r w:rsidR="00401510" w:rsidRPr="00286CF6">
        <w:rPr>
          <w:rFonts w:eastAsia="Calibri"/>
        </w:rPr>
        <w:t xml:space="preserve">4) </w:t>
      </w:r>
      <w:r w:rsidRPr="00286CF6">
        <w:rPr>
          <w:rFonts w:eastAsia="Calibri"/>
        </w:rPr>
        <w:t xml:space="preserve">than elranatamab. Despite this, discontinuations due to TEAEs were considerably lower in </w:t>
      </w:r>
      <w:r w:rsidR="003F2653" w:rsidRPr="00286CF6">
        <w:rPr>
          <w:rFonts w:eastAsia="Calibri"/>
        </w:rPr>
        <w:t>MajesTEC</w:t>
      </w:r>
      <w:r w:rsidR="00EC1990">
        <w:rPr>
          <w:rFonts w:eastAsia="Calibri"/>
        </w:rPr>
        <w:noBreakHyphen/>
      </w:r>
      <w:r w:rsidR="003F2653" w:rsidRPr="00286CF6">
        <w:rPr>
          <w:rFonts w:eastAsia="Calibri"/>
        </w:rPr>
        <w:t>1</w:t>
      </w:r>
      <w:r w:rsidRPr="00286CF6">
        <w:rPr>
          <w:rFonts w:eastAsia="Calibri"/>
        </w:rPr>
        <w:t>. The reason for this discrepancy was unclear.</w:t>
      </w:r>
    </w:p>
    <w:p w14:paraId="78EF7796" w14:textId="545F1A07" w:rsidR="00E359B7" w:rsidRPr="00286CF6" w:rsidRDefault="00E359B7" w:rsidP="001C47F4">
      <w:pPr>
        <w:pStyle w:val="3-BodyText"/>
        <w:rPr>
          <w:snapToGrid w:val="0"/>
        </w:rPr>
      </w:pPr>
      <w:bookmarkStart w:id="46" w:name="_Hlk76376200"/>
      <w:r w:rsidRPr="00286CF6">
        <w:rPr>
          <w:snapToGrid w:val="0"/>
        </w:rPr>
        <w:t xml:space="preserve">The PBAC considered that </w:t>
      </w:r>
      <w:r w:rsidR="00C64731" w:rsidRPr="00286CF6">
        <w:rPr>
          <w:snapToGrid w:val="0"/>
        </w:rPr>
        <w:t xml:space="preserve">teclistamab was </w:t>
      </w:r>
      <w:r w:rsidRPr="00286CF6">
        <w:rPr>
          <w:snapToGrid w:val="0"/>
        </w:rPr>
        <w:t>non</w:t>
      </w:r>
      <w:r w:rsidR="00EC1990">
        <w:rPr>
          <w:snapToGrid w:val="0"/>
        </w:rPr>
        <w:noBreakHyphen/>
      </w:r>
      <w:r w:rsidRPr="00286CF6">
        <w:rPr>
          <w:snapToGrid w:val="0"/>
        </w:rPr>
        <w:t>inferior</w:t>
      </w:r>
      <w:r w:rsidR="00C64731" w:rsidRPr="00286CF6">
        <w:rPr>
          <w:snapToGrid w:val="0"/>
        </w:rPr>
        <w:t xml:space="preserve"> compared to elranatamab in terms of</w:t>
      </w:r>
      <w:r w:rsidRPr="00286CF6">
        <w:rPr>
          <w:snapToGrid w:val="0"/>
        </w:rPr>
        <w:t xml:space="preserve"> safety.</w:t>
      </w:r>
      <w:bookmarkEnd w:id="46"/>
    </w:p>
    <w:p w14:paraId="543721EC" w14:textId="77777777" w:rsidR="00BE5EBC" w:rsidRPr="000160C3" w:rsidRDefault="00BE5EBC" w:rsidP="001C47F4">
      <w:pPr>
        <w:pStyle w:val="4-SubsectionHeading"/>
      </w:pPr>
      <w:bookmarkStart w:id="47" w:name="_Toc22897645"/>
      <w:bookmarkStart w:id="48" w:name="_Toc219718653"/>
      <w:bookmarkStart w:id="49" w:name="MilenaES"/>
      <w:r w:rsidRPr="000160C3">
        <w:t>Economic analysis</w:t>
      </w:r>
      <w:bookmarkEnd w:id="47"/>
      <w:bookmarkEnd w:id="48"/>
      <w:r w:rsidRPr="000160C3">
        <w:t xml:space="preserve"> </w:t>
      </w:r>
    </w:p>
    <w:p w14:paraId="621D4EF2" w14:textId="1A69C6CA" w:rsidR="00BE5EBC" w:rsidRPr="000160C3" w:rsidRDefault="00BE5EBC" w:rsidP="001C47F4">
      <w:pPr>
        <w:pStyle w:val="3-BodyText"/>
        <w:rPr>
          <w:color w:val="0066FF"/>
        </w:rPr>
      </w:pPr>
      <w:r w:rsidRPr="000160C3">
        <w:t>The submission presented a CMA comparing teclistamab to elranatamab. This was consistent with the clinical claim of non</w:t>
      </w:r>
      <w:r w:rsidR="00EC1990">
        <w:noBreakHyphen/>
      </w:r>
      <w:r w:rsidRPr="000160C3">
        <w:t xml:space="preserve">inferiority. </w:t>
      </w:r>
      <w:r w:rsidRPr="000160C3">
        <w:rPr>
          <w:color w:val="000000" w:themeColor="text1"/>
        </w:rPr>
        <w:fldChar w:fldCharType="begin"/>
      </w:r>
      <w:r w:rsidRPr="000160C3">
        <w:rPr>
          <w:color w:val="000000" w:themeColor="text1"/>
        </w:rPr>
        <w:instrText xml:space="preserve"> REF _Ref215908321 \h </w:instrText>
      </w:r>
      <w:r w:rsidR="00A51D66" w:rsidRPr="000160C3">
        <w:rPr>
          <w:color w:val="000000" w:themeColor="text1"/>
        </w:rPr>
        <w:instrText xml:space="preserve"> \* MERGEFORMAT </w:instrText>
      </w:r>
      <w:r w:rsidRPr="000160C3">
        <w:rPr>
          <w:color w:val="000000" w:themeColor="text1"/>
        </w:rPr>
      </w:r>
      <w:r w:rsidRPr="000160C3">
        <w:rPr>
          <w:color w:val="000000" w:themeColor="text1"/>
        </w:rPr>
        <w:fldChar w:fldCharType="separate"/>
      </w:r>
      <w:r w:rsidR="001C47F4" w:rsidRPr="000160C3">
        <w:t xml:space="preserve">Table </w:t>
      </w:r>
      <w:r w:rsidR="001C47F4">
        <w:t>11</w:t>
      </w:r>
      <w:r w:rsidRPr="000160C3">
        <w:rPr>
          <w:color w:val="000000" w:themeColor="text1"/>
        </w:rPr>
        <w:fldChar w:fldCharType="end"/>
      </w:r>
      <w:r w:rsidRPr="000160C3">
        <w:rPr>
          <w:color w:val="000000" w:themeColor="text1"/>
        </w:rPr>
        <w:t xml:space="preserve"> presents the summary of the CMA. </w:t>
      </w:r>
    </w:p>
    <w:p w14:paraId="196A8F8E" w14:textId="6ABFE17A" w:rsidR="00BE5EBC" w:rsidRPr="000160C3" w:rsidRDefault="00BE5EBC" w:rsidP="001C47F4">
      <w:pPr>
        <w:pStyle w:val="Caption"/>
        <w:rPr>
          <w:rStyle w:val="CommentReference"/>
          <w:b/>
          <w:szCs w:val="24"/>
        </w:rPr>
      </w:pPr>
      <w:bookmarkStart w:id="50" w:name="_Ref215908321"/>
      <w:r w:rsidRPr="000160C3">
        <w:lastRenderedPageBreak/>
        <w:t xml:space="preserve">Table </w:t>
      </w:r>
      <w:r>
        <w:fldChar w:fldCharType="begin"/>
      </w:r>
      <w:r>
        <w:instrText>SEQ Table \* ARABIC</w:instrText>
      </w:r>
      <w:r>
        <w:fldChar w:fldCharType="separate"/>
      </w:r>
      <w:r w:rsidR="001C47F4">
        <w:rPr>
          <w:noProof/>
        </w:rPr>
        <w:t>11</w:t>
      </w:r>
      <w:r>
        <w:fldChar w:fldCharType="end"/>
      </w:r>
      <w:bookmarkEnd w:id="50"/>
      <w:r w:rsidRPr="000160C3">
        <w:t>:</w:t>
      </w:r>
      <w:r w:rsidRPr="000160C3">
        <w:rPr>
          <w:rStyle w:val="CommentReference"/>
          <w:b/>
          <w:szCs w:val="24"/>
        </w:rPr>
        <w:t xml:space="preserve"> Key components and assumptions of the cost</w:t>
      </w:r>
      <w:r w:rsidR="00EC1990">
        <w:rPr>
          <w:rStyle w:val="CommentReference"/>
          <w:b/>
          <w:szCs w:val="24"/>
        </w:rPr>
        <w:noBreakHyphen/>
      </w:r>
      <w:r w:rsidRPr="000160C3">
        <w:rPr>
          <w:rStyle w:val="CommentReference"/>
          <w:b/>
          <w:szCs w:val="24"/>
        </w:rPr>
        <w: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Key components and assumptions of the cost minimisation approach"/>
      </w:tblPr>
      <w:tblGrid>
        <w:gridCol w:w="1696"/>
        <w:gridCol w:w="7484"/>
      </w:tblGrid>
      <w:tr w:rsidR="00BE5EBC" w:rsidRPr="000160C3" w14:paraId="3B5B8199" w14:textId="77777777">
        <w:tc>
          <w:tcPr>
            <w:tcW w:w="1696" w:type="dxa"/>
            <w:vAlign w:val="center"/>
          </w:tcPr>
          <w:p w14:paraId="2811F4CF" w14:textId="77777777" w:rsidR="00BE5EBC" w:rsidRPr="000160C3" w:rsidRDefault="00BE5EBC" w:rsidP="001C47F4">
            <w:pPr>
              <w:pStyle w:val="TableText0"/>
              <w:keepNext/>
              <w:keepLines/>
              <w:spacing w:line="240" w:lineRule="auto"/>
              <w:rPr>
                <w:b/>
                <w:bCs w:val="0"/>
              </w:rPr>
            </w:pPr>
            <w:r w:rsidRPr="000160C3">
              <w:rPr>
                <w:b/>
                <w:bCs w:val="0"/>
              </w:rPr>
              <w:t>Component</w:t>
            </w:r>
          </w:p>
        </w:tc>
        <w:tc>
          <w:tcPr>
            <w:tcW w:w="7484" w:type="dxa"/>
            <w:vAlign w:val="center"/>
          </w:tcPr>
          <w:p w14:paraId="53E961D8" w14:textId="77777777" w:rsidR="00BE5EBC" w:rsidRPr="000160C3" w:rsidRDefault="00BE5EBC" w:rsidP="001C47F4">
            <w:pPr>
              <w:pStyle w:val="TableText0"/>
              <w:keepNext/>
              <w:keepLines/>
              <w:spacing w:line="240" w:lineRule="auto"/>
              <w:rPr>
                <w:b/>
                <w:bCs w:val="0"/>
              </w:rPr>
            </w:pPr>
            <w:r w:rsidRPr="000160C3">
              <w:rPr>
                <w:b/>
                <w:bCs w:val="0"/>
              </w:rPr>
              <w:t>Claim or assumption</w:t>
            </w:r>
          </w:p>
        </w:tc>
      </w:tr>
      <w:tr w:rsidR="00BE5EBC" w:rsidRPr="000160C3" w14:paraId="739C9F65" w14:textId="77777777">
        <w:tc>
          <w:tcPr>
            <w:tcW w:w="1696" w:type="dxa"/>
            <w:vAlign w:val="center"/>
          </w:tcPr>
          <w:p w14:paraId="40879429" w14:textId="77777777" w:rsidR="00BE5EBC" w:rsidRPr="000160C3" w:rsidRDefault="00BE5EBC" w:rsidP="001C47F4">
            <w:pPr>
              <w:pStyle w:val="TableText0"/>
              <w:keepNext/>
              <w:keepLines/>
              <w:spacing w:line="240" w:lineRule="auto"/>
              <w:rPr>
                <w:b/>
              </w:rPr>
            </w:pPr>
            <w:r w:rsidRPr="000160C3">
              <w:t>Therapeutic claim: effectiveness</w:t>
            </w:r>
          </w:p>
        </w:tc>
        <w:tc>
          <w:tcPr>
            <w:tcW w:w="7484" w:type="dxa"/>
            <w:vAlign w:val="center"/>
          </w:tcPr>
          <w:p w14:paraId="2C4BD0F9" w14:textId="70C23091" w:rsidR="00BE5EBC" w:rsidRPr="000160C3" w:rsidRDefault="00BE5EBC" w:rsidP="001C47F4">
            <w:pPr>
              <w:pStyle w:val="TableText0"/>
              <w:keepNext/>
              <w:keepLines/>
              <w:spacing w:line="240" w:lineRule="auto"/>
              <w:rPr>
                <w:b/>
              </w:rPr>
            </w:pPr>
            <w:r w:rsidRPr="000160C3">
              <w:t xml:space="preserve">Based on the MAIC presented in </w:t>
            </w:r>
            <w:r w:rsidR="00E02857" w:rsidRPr="000160C3">
              <w:t>the submission</w:t>
            </w:r>
            <w:r w:rsidRPr="000160C3">
              <w:t>, teclistamab monotherapy is non</w:t>
            </w:r>
            <w:r w:rsidR="00EC1990">
              <w:noBreakHyphen/>
            </w:r>
            <w:r w:rsidRPr="000160C3">
              <w:t>inferior in terms of efficacy when compared to elranatamab monotherapy for the treatment of patients with TCE RRMM in the 4L+ setting.</w:t>
            </w:r>
          </w:p>
        </w:tc>
      </w:tr>
      <w:tr w:rsidR="00BE5EBC" w:rsidRPr="000160C3" w14:paraId="066AA62A" w14:textId="77777777">
        <w:tc>
          <w:tcPr>
            <w:tcW w:w="1696" w:type="dxa"/>
            <w:vAlign w:val="center"/>
          </w:tcPr>
          <w:p w14:paraId="5A9BD5B5" w14:textId="77777777" w:rsidR="00BE5EBC" w:rsidRPr="000160C3" w:rsidRDefault="00BE5EBC" w:rsidP="001C47F4">
            <w:pPr>
              <w:pStyle w:val="TableText0"/>
              <w:keepNext/>
              <w:keepLines/>
              <w:spacing w:line="240" w:lineRule="auto"/>
              <w:rPr>
                <w:b/>
              </w:rPr>
            </w:pPr>
            <w:r w:rsidRPr="000160C3">
              <w:t>Therapeutic claim: safety</w:t>
            </w:r>
          </w:p>
        </w:tc>
        <w:tc>
          <w:tcPr>
            <w:tcW w:w="7484" w:type="dxa"/>
            <w:vAlign w:val="center"/>
          </w:tcPr>
          <w:p w14:paraId="27626FE0" w14:textId="118D94A3" w:rsidR="00BE5EBC" w:rsidRPr="000160C3" w:rsidRDefault="00BE5EBC" w:rsidP="001C47F4">
            <w:pPr>
              <w:pStyle w:val="TableText0"/>
              <w:keepNext/>
              <w:keepLines/>
              <w:spacing w:line="240" w:lineRule="auto"/>
              <w:rPr>
                <w:b/>
              </w:rPr>
            </w:pPr>
            <w:r w:rsidRPr="000160C3">
              <w:t>Based on the unanchored, unadjusted</w:t>
            </w:r>
            <w:r w:rsidR="00453DD1" w:rsidRPr="000160C3">
              <w:t xml:space="preserve"> </w:t>
            </w:r>
            <w:r w:rsidRPr="000160C3">
              <w:t xml:space="preserve">indirect treatment comparison presented </w:t>
            </w:r>
            <w:r w:rsidR="00A41EB3" w:rsidRPr="000160C3">
              <w:t>in the submission</w:t>
            </w:r>
            <w:r w:rsidRPr="000160C3">
              <w:t>, teclistamab monotherapy has a similar safety profile to elranatamab monotherapy when used for the treatment of patients with TCE RRMM in the 4L+ setting.</w:t>
            </w:r>
          </w:p>
        </w:tc>
      </w:tr>
      <w:tr w:rsidR="00BE5EBC" w:rsidRPr="000160C3" w14:paraId="13825997" w14:textId="77777777">
        <w:tc>
          <w:tcPr>
            <w:tcW w:w="1696" w:type="dxa"/>
            <w:vAlign w:val="center"/>
          </w:tcPr>
          <w:p w14:paraId="44755F2A" w14:textId="77777777" w:rsidR="00BE5EBC" w:rsidRPr="000160C3" w:rsidRDefault="00BE5EBC" w:rsidP="001C47F4">
            <w:pPr>
              <w:pStyle w:val="TableText0"/>
              <w:spacing w:line="240" w:lineRule="auto"/>
              <w:rPr>
                <w:b/>
              </w:rPr>
            </w:pPr>
            <w:r w:rsidRPr="000160C3">
              <w:t>Evidence base</w:t>
            </w:r>
          </w:p>
        </w:tc>
        <w:tc>
          <w:tcPr>
            <w:tcW w:w="7484" w:type="dxa"/>
            <w:vAlign w:val="center"/>
          </w:tcPr>
          <w:p w14:paraId="65D0BA27" w14:textId="15B7F222" w:rsidR="00BE5EBC" w:rsidRPr="000160C3" w:rsidRDefault="00BE5EBC" w:rsidP="001C47F4">
            <w:pPr>
              <w:pStyle w:val="TableText0"/>
              <w:spacing w:line="240" w:lineRule="auto"/>
              <w:rPr>
                <w:b/>
              </w:rPr>
            </w:pPr>
            <w:r w:rsidRPr="000160C3">
              <w:t>Teclistamab monotherapy (MajesTEC</w:t>
            </w:r>
            <w:r w:rsidR="00EC1990">
              <w:noBreakHyphen/>
            </w:r>
            <w:r w:rsidRPr="000160C3">
              <w:t xml:space="preserve">1 </w:t>
            </w:r>
            <w:r w:rsidR="00AF2B48" w:rsidRPr="000160C3">
              <w:t>study</w:t>
            </w:r>
            <w:r w:rsidRPr="000160C3">
              <w:t>), elranatamab monotherapy (MagnetisMM</w:t>
            </w:r>
            <w:r w:rsidR="00EC1990">
              <w:noBreakHyphen/>
            </w:r>
            <w:r w:rsidRPr="000160C3">
              <w:t xml:space="preserve">3 </w:t>
            </w:r>
            <w:r w:rsidR="00AF2B48" w:rsidRPr="000160C3">
              <w:t>study</w:t>
            </w:r>
            <w:r w:rsidRPr="000160C3">
              <w:t>), Australian haematologist insights and real</w:t>
            </w:r>
            <w:r w:rsidR="00EC1990">
              <w:noBreakHyphen/>
            </w:r>
            <w:r w:rsidRPr="000160C3">
              <w:t>world evidence on treatment practices (</w:t>
            </w:r>
            <w:proofErr w:type="spellStart"/>
            <w:r w:rsidRPr="000160C3">
              <w:t>Chunara</w:t>
            </w:r>
            <w:proofErr w:type="spellEnd"/>
            <w:r w:rsidRPr="000160C3">
              <w:t xml:space="preserve"> et al. 2025)</w:t>
            </w:r>
          </w:p>
        </w:tc>
      </w:tr>
      <w:tr w:rsidR="00BE5EBC" w:rsidRPr="000160C3" w14:paraId="585A5A09" w14:textId="77777777">
        <w:tc>
          <w:tcPr>
            <w:tcW w:w="1696" w:type="dxa"/>
            <w:vAlign w:val="center"/>
          </w:tcPr>
          <w:p w14:paraId="0AB3AD28" w14:textId="00BC3696" w:rsidR="00BE5EBC" w:rsidRPr="000160C3" w:rsidRDefault="00BE5EBC" w:rsidP="001C47F4">
            <w:pPr>
              <w:pStyle w:val="TableText0"/>
              <w:spacing w:line="240" w:lineRule="auto"/>
              <w:rPr>
                <w:b/>
              </w:rPr>
            </w:pPr>
            <w:r w:rsidRPr="000160C3">
              <w:t>Equi</w:t>
            </w:r>
            <w:r w:rsidR="00EC1990">
              <w:noBreakHyphen/>
            </w:r>
            <w:r w:rsidRPr="000160C3">
              <w:t>effective doses</w:t>
            </w:r>
          </w:p>
        </w:tc>
        <w:tc>
          <w:tcPr>
            <w:tcW w:w="7484" w:type="dxa"/>
            <w:vAlign w:val="center"/>
          </w:tcPr>
          <w:p w14:paraId="2A068CF5" w14:textId="77777777" w:rsidR="00BE5EBC" w:rsidRPr="000160C3" w:rsidRDefault="00BE5EBC" w:rsidP="001C47F4">
            <w:pPr>
              <w:pStyle w:val="TableText0"/>
              <w:spacing w:line="240" w:lineRule="auto"/>
              <w:rPr>
                <w:b/>
              </w:rPr>
            </w:pPr>
            <w:r w:rsidRPr="000160C3">
              <w:t>The total cumulative dose of teclistamab monotherapy per patient per average course of treatment (71 weeks) is 5,114 mg and is equivalent to a total cumulative dose of elranatamab monotherapy per patient per average course of therapy (71 weeks) of 3,191 mg</w:t>
            </w:r>
          </w:p>
        </w:tc>
      </w:tr>
      <w:tr w:rsidR="00BE5EBC" w:rsidRPr="000160C3" w14:paraId="4F2F78ED" w14:textId="77777777">
        <w:tc>
          <w:tcPr>
            <w:tcW w:w="1696" w:type="dxa"/>
            <w:vAlign w:val="center"/>
          </w:tcPr>
          <w:p w14:paraId="1D3CEC9B" w14:textId="77777777" w:rsidR="00BE5EBC" w:rsidRPr="000160C3" w:rsidRDefault="00BE5EBC" w:rsidP="001C47F4">
            <w:pPr>
              <w:pStyle w:val="TableText0"/>
              <w:spacing w:line="240" w:lineRule="auto"/>
              <w:rPr>
                <w:b/>
                <w:vertAlign w:val="superscript"/>
              </w:rPr>
            </w:pPr>
            <w:r w:rsidRPr="000160C3">
              <w:t xml:space="preserve">Direct medicine </w:t>
            </w:r>
            <w:proofErr w:type="spellStart"/>
            <w:r w:rsidRPr="000160C3">
              <w:t>costs</w:t>
            </w:r>
            <w:r w:rsidRPr="000160C3">
              <w:rPr>
                <w:vertAlign w:val="superscript"/>
              </w:rPr>
              <w:t>a</w:t>
            </w:r>
            <w:proofErr w:type="spellEnd"/>
          </w:p>
        </w:tc>
        <w:tc>
          <w:tcPr>
            <w:tcW w:w="7484" w:type="dxa"/>
            <w:vAlign w:val="center"/>
          </w:tcPr>
          <w:p w14:paraId="454DA7E9" w14:textId="7E5A9CA6" w:rsidR="00BE5EBC" w:rsidRPr="000160C3" w:rsidRDefault="00BE5EBC" w:rsidP="001C47F4">
            <w:pPr>
              <w:pStyle w:val="TableText0"/>
              <w:spacing w:line="240" w:lineRule="auto"/>
              <w:rPr>
                <w:b/>
              </w:rPr>
            </w:pPr>
            <w:r w:rsidRPr="000160C3">
              <w:t>It is proposed that teclistamab be listed at an effective AEMP per vial that reflects the equi</w:t>
            </w:r>
            <w:r w:rsidR="00EC1990">
              <w:noBreakHyphen/>
            </w:r>
            <w:r w:rsidRPr="000160C3">
              <w:t>effective doses for teclistamab and elranatamab for the treatment of 4L+ TCE RRMM</w:t>
            </w:r>
          </w:p>
        </w:tc>
      </w:tr>
      <w:tr w:rsidR="00BE5EBC" w:rsidRPr="000160C3" w14:paraId="6C96174B" w14:textId="77777777">
        <w:tc>
          <w:tcPr>
            <w:tcW w:w="1696" w:type="dxa"/>
            <w:vAlign w:val="center"/>
          </w:tcPr>
          <w:p w14:paraId="6B3EE96C" w14:textId="77777777" w:rsidR="00BE5EBC" w:rsidRPr="000160C3" w:rsidRDefault="00BE5EBC" w:rsidP="001C47F4">
            <w:pPr>
              <w:pStyle w:val="TableText0"/>
              <w:spacing w:line="240" w:lineRule="auto"/>
              <w:rPr>
                <w:b/>
              </w:rPr>
            </w:pPr>
            <w:r w:rsidRPr="000160C3">
              <w:t>Other costs or cost offsets</w:t>
            </w:r>
          </w:p>
        </w:tc>
        <w:tc>
          <w:tcPr>
            <w:tcW w:w="7484" w:type="dxa"/>
            <w:vAlign w:val="center"/>
          </w:tcPr>
          <w:p w14:paraId="678DBF74" w14:textId="503646E2" w:rsidR="00BE5EBC" w:rsidRPr="000160C3" w:rsidRDefault="00BE5EBC" w:rsidP="001C47F4">
            <w:pPr>
              <w:pStyle w:val="TableText0"/>
              <w:spacing w:line="240" w:lineRule="auto"/>
              <w:rPr>
                <w:b/>
              </w:rPr>
            </w:pPr>
            <w:r w:rsidRPr="000160C3">
              <w:t>Administration costs ($126.00 [MBS13950]).</w:t>
            </w:r>
          </w:p>
          <w:p w14:paraId="43F6C2A5" w14:textId="234FC3DD" w:rsidR="00BE5EBC" w:rsidRPr="000160C3" w:rsidRDefault="00BE5EBC" w:rsidP="001C47F4">
            <w:pPr>
              <w:pStyle w:val="TableText0"/>
              <w:spacing w:line="240" w:lineRule="auto"/>
              <w:rPr>
                <w:b/>
              </w:rPr>
            </w:pPr>
            <w:r w:rsidRPr="000160C3">
              <w:t>Hospitalisation costs for step</w:t>
            </w:r>
            <w:r w:rsidR="00EC1990">
              <w:noBreakHyphen/>
            </w:r>
            <w:r w:rsidRPr="000160C3">
              <w:t>up dosing of elranatamab (based on DRG for Pharmacotherapy for Neoplastic Disorders (AR</w:t>
            </w:r>
            <w:r w:rsidR="00EC1990">
              <w:noBreakHyphen/>
            </w:r>
            <w:r w:rsidRPr="000160C3">
              <w:t>DRG v11.0, 2022</w:t>
            </w:r>
            <w:r w:rsidR="00EC1990">
              <w:noBreakHyphen/>
            </w:r>
            <w:r w:rsidRPr="000160C3">
              <w:t>23, code R63Z; a cost per day of $2,353 total, which reduces to $714 per day when excluding pharmacy costs).</w:t>
            </w:r>
          </w:p>
        </w:tc>
      </w:tr>
    </w:tbl>
    <w:p w14:paraId="550892E7" w14:textId="77777777" w:rsidR="00BE5EBC" w:rsidRPr="000160C3" w:rsidRDefault="00BE5EBC" w:rsidP="001C47F4">
      <w:pPr>
        <w:pStyle w:val="TableText0"/>
        <w:rPr>
          <w:b/>
          <w:sz w:val="18"/>
          <w:szCs w:val="18"/>
        </w:rPr>
      </w:pPr>
      <w:r w:rsidRPr="000160C3">
        <w:rPr>
          <w:sz w:val="18"/>
          <w:szCs w:val="18"/>
        </w:rPr>
        <w:t>Source: Table 3.1 p229 of the submission</w:t>
      </w:r>
    </w:p>
    <w:p w14:paraId="44F88F18" w14:textId="6D61864D" w:rsidR="00BE5EBC" w:rsidRPr="000160C3" w:rsidRDefault="00BE5EBC" w:rsidP="001C47F4">
      <w:pPr>
        <w:pStyle w:val="TableText0"/>
        <w:rPr>
          <w:b/>
          <w:sz w:val="18"/>
          <w:szCs w:val="18"/>
        </w:rPr>
      </w:pPr>
      <w:r w:rsidRPr="000160C3">
        <w:rPr>
          <w:sz w:val="18"/>
          <w:szCs w:val="18"/>
        </w:rPr>
        <w:t>Abbreviations: AR</w:t>
      </w:r>
      <w:r w:rsidR="00EC1990">
        <w:rPr>
          <w:sz w:val="18"/>
          <w:szCs w:val="18"/>
        </w:rPr>
        <w:noBreakHyphen/>
      </w:r>
      <w:r w:rsidRPr="000160C3">
        <w:rPr>
          <w:sz w:val="18"/>
          <w:szCs w:val="18"/>
        </w:rPr>
        <w:t>DRG = Australian Refined Diagnosis Related Groups; MAIC = matched</w:t>
      </w:r>
      <w:r w:rsidR="00EC1990">
        <w:rPr>
          <w:sz w:val="18"/>
          <w:szCs w:val="18"/>
        </w:rPr>
        <w:noBreakHyphen/>
      </w:r>
      <w:r w:rsidRPr="000160C3">
        <w:rPr>
          <w:sz w:val="18"/>
          <w:szCs w:val="18"/>
        </w:rPr>
        <w:t xml:space="preserve">adjusted indirect comparison; MBS = Medicare Benefits Schedule; RRMM = relapsed or refractory multiple myeloma; SPA = special pricing arrangement; TCE = triple class exposed; 4L+ = </w:t>
      </w:r>
      <w:r w:rsidR="00682528" w:rsidRPr="000160C3">
        <w:rPr>
          <w:sz w:val="18"/>
          <w:szCs w:val="18"/>
        </w:rPr>
        <w:t>fourth line</w:t>
      </w:r>
      <w:r w:rsidRPr="000160C3">
        <w:rPr>
          <w:sz w:val="18"/>
          <w:szCs w:val="18"/>
        </w:rPr>
        <w:t xml:space="preserve"> plus</w:t>
      </w:r>
    </w:p>
    <w:p w14:paraId="0E966A22" w14:textId="07FA93AF" w:rsidR="00BE5EBC" w:rsidRPr="000160C3" w:rsidRDefault="00BE5EBC" w:rsidP="001C47F4">
      <w:pPr>
        <w:pStyle w:val="TableText0"/>
        <w:rPr>
          <w:b/>
          <w:sz w:val="18"/>
          <w:szCs w:val="18"/>
        </w:rPr>
      </w:pPr>
      <w:proofErr w:type="spellStart"/>
      <w:r w:rsidRPr="007C59B4">
        <w:rPr>
          <w:sz w:val="18"/>
          <w:szCs w:val="18"/>
          <w:vertAlign w:val="superscript"/>
        </w:rPr>
        <w:t>a</w:t>
      </w:r>
      <w:proofErr w:type="spellEnd"/>
      <w:r w:rsidRPr="000160C3">
        <w:rPr>
          <w:sz w:val="18"/>
          <w:szCs w:val="18"/>
        </w:rPr>
        <w:t xml:space="preserve"> At time of submission to the PBAC, elranatamab was not listed on the PBS, and thus a public price was not available to the sponsor. The approach in the economic evaluation focused on establishing the relevant equi</w:t>
      </w:r>
      <w:r w:rsidR="00EC1990">
        <w:rPr>
          <w:sz w:val="18"/>
          <w:szCs w:val="18"/>
        </w:rPr>
        <w:noBreakHyphen/>
      </w:r>
      <w:r w:rsidRPr="000160C3">
        <w:rPr>
          <w:sz w:val="18"/>
          <w:szCs w:val="18"/>
        </w:rPr>
        <w:t>effective doses and cost</w:t>
      </w:r>
      <w:r w:rsidR="00EC1990">
        <w:rPr>
          <w:sz w:val="18"/>
          <w:szCs w:val="18"/>
        </w:rPr>
        <w:noBreakHyphen/>
      </w:r>
      <w:r w:rsidRPr="000160C3">
        <w:rPr>
          <w:sz w:val="18"/>
          <w:szCs w:val="18"/>
        </w:rPr>
        <w:t>minimisation methodology for teclistamab and elranatamab</w:t>
      </w:r>
    </w:p>
    <w:p w14:paraId="3B7248BC" w14:textId="48428D7A" w:rsidR="00BE5EBC" w:rsidRPr="000160C3" w:rsidRDefault="00BE5EBC" w:rsidP="001C47F4">
      <w:pPr>
        <w:pStyle w:val="3-BodyText"/>
        <w:rPr>
          <w:rFonts w:ascii="Calibri" w:hAnsi="Calibri" w:cs="Calibri"/>
          <w:i/>
          <w:iCs/>
        </w:rPr>
      </w:pPr>
      <w:r w:rsidRPr="000160C3">
        <w:rPr>
          <w:szCs w:val="20"/>
        </w:rPr>
        <w:t>A cost</w:t>
      </w:r>
      <w:r w:rsidR="00EC1990">
        <w:rPr>
          <w:szCs w:val="20"/>
        </w:rPr>
        <w:noBreakHyphen/>
      </w:r>
      <w:r w:rsidRPr="000160C3">
        <w:rPr>
          <w:szCs w:val="20"/>
        </w:rPr>
        <w:t xml:space="preserve">minimised price for teclistamab was not provided as </w:t>
      </w:r>
      <w:r w:rsidRPr="000160C3">
        <w:t>the price of elranatamab was not available at the time of submission</w:t>
      </w:r>
      <w:r w:rsidRPr="000160C3">
        <w:rPr>
          <w:iCs/>
          <w:szCs w:val="20"/>
        </w:rPr>
        <w:t>. The submission presented the methodology for calculating the equi</w:t>
      </w:r>
      <w:r w:rsidR="00EC1990">
        <w:rPr>
          <w:iCs/>
          <w:szCs w:val="20"/>
        </w:rPr>
        <w:noBreakHyphen/>
      </w:r>
      <w:r w:rsidRPr="000160C3">
        <w:rPr>
          <w:iCs/>
          <w:szCs w:val="20"/>
        </w:rPr>
        <w:t xml:space="preserve">effective dosing and </w:t>
      </w:r>
      <w:r w:rsidR="009F0CDA" w:rsidRPr="000160C3">
        <w:rPr>
          <w:iCs/>
          <w:szCs w:val="20"/>
        </w:rPr>
        <w:t xml:space="preserve">the </w:t>
      </w:r>
      <w:r w:rsidRPr="000160C3">
        <w:rPr>
          <w:iCs/>
          <w:szCs w:val="20"/>
        </w:rPr>
        <w:t xml:space="preserve">effective AEMP for teclistamab </w:t>
      </w:r>
      <w:r w:rsidR="009F0CDA" w:rsidRPr="000160C3">
        <w:rPr>
          <w:iCs/>
          <w:szCs w:val="20"/>
        </w:rPr>
        <w:t>using a CMA</w:t>
      </w:r>
      <w:r w:rsidRPr="000160C3">
        <w:rPr>
          <w:iCs/>
          <w:szCs w:val="20"/>
        </w:rPr>
        <w:t xml:space="preserve"> to elranatamab for 4L+ TCE RRMM (</w:t>
      </w:r>
      <w:r w:rsidRPr="000160C3">
        <w:rPr>
          <w:rFonts w:cstheme="minorHAnsi"/>
        </w:rPr>
        <w:fldChar w:fldCharType="begin"/>
      </w:r>
      <w:r w:rsidRPr="000160C3">
        <w:rPr>
          <w:iCs/>
          <w:szCs w:val="20"/>
        </w:rPr>
        <w:instrText xml:space="preserve"> REF _Ref215909398 \h </w:instrText>
      </w:r>
      <w:r w:rsidRPr="000160C3">
        <w:rPr>
          <w:rFonts w:cstheme="minorHAnsi"/>
        </w:rPr>
      </w:r>
      <w:r w:rsidRPr="000160C3">
        <w:rPr>
          <w:rFonts w:cstheme="minorHAnsi"/>
        </w:rPr>
        <w:fldChar w:fldCharType="separate"/>
      </w:r>
      <w:r w:rsidR="001C47F4" w:rsidRPr="000160C3">
        <w:t xml:space="preserve">Table </w:t>
      </w:r>
      <w:r w:rsidR="001C47F4">
        <w:rPr>
          <w:noProof/>
        </w:rPr>
        <w:t>13</w:t>
      </w:r>
      <w:r w:rsidRPr="000160C3">
        <w:rPr>
          <w:rFonts w:cstheme="minorHAnsi"/>
        </w:rPr>
        <w:fldChar w:fldCharType="end"/>
      </w:r>
      <w:r w:rsidRPr="000160C3">
        <w:rPr>
          <w:rFonts w:cstheme="minorHAnsi"/>
        </w:rPr>
        <w:t xml:space="preserve">). </w:t>
      </w:r>
    </w:p>
    <w:p w14:paraId="2A5D187C" w14:textId="295C4BA4" w:rsidR="00BE5EBC" w:rsidRPr="000160C3" w:rsidRDefault="002874D4" w:rsidP="001C47F4">
      <w:pPr>
        <w:pStyle w:val="3-BodyText"/>
        <w:rPr>
          <w:rFonts w:ascii="Calibri" w:hAnsi="Calibri" w:cs="Calibri"/>
          <w:i/>
          <w:iCs/>
        </w:rPr>
      </w:pPr>
      <w:r w:rsidRPr="000160C3">
        <w:rPr>
          <w:rFonts w:cstheme="minorHAnsi"/>
        </w:rPr>
        <w:t xml:space="preserve">The dosing </w:t>
      </w:r>
      <w:r w:rsidR="00B514AD">
        <w:rPr>
          <w:rFonts w:cstheme="minorHAnsi"/>
        </w:rPr>
        <w:t xml:space="preserve">and time to switch </w:t>
      </w:r>
      <w:r w:rsidRPr="000160C3">
        <w:rPr>
          <w:rFonts w:cstheme="minorHAnsi"/>
        </w:rPr>
        <w:t>assumptions for teclistamab and elranatamab applied in the CMA are presented in</w:t>
      </w:r>
      <w:r w:rsidR="00C01064" w:rsidRPr="000160C3">
        <w:rPr>
          <w:rFonts w:cstheme="minorHAnsi"/>
        </w:rPr>
        <w:t xml:space="preserve"> </w:t>
      </w:r>
      <w:r w:rsidR="00D44E3A" w:rsidRPr="000160C3">
        <w:rPr>
          <w:rFonts w:cstheme="minorHAnsi"/>
        </w:rPr>
        <w:fldChar w:fldCharType="begin"/>
      </w:r>
      <w:r w:rsidR="00D44E3A" w:rsidRPr="000160C3">
        <w:rPr>
          <w:rFonts w:cstheme="minorHAnsi"/>
        </w:rPr>
        <w:instrText xml:space="preserve"> REF _Ref218672020 \h </w:instrText>
      </w:r>
      <w:r w:rsidR="00D44E3A" w:rsidRPr="000160C3">
        <w:rPr>
          <w:rFonts w:cstheme="minorHAnsi"/>
        </w:rPr>
      </w:r>
      <w:r w:rsidR="00D44E3A" w:rsidRPr="000160C3">
        <w:rPr>
          <w:rFonts w:cstheme="minorHAnsi"/>
        </w:rPr>
        <w:fldChar w:fldCharType="separate"/>
      </w:r>
      <w:r w:rsidR="001C47F4" w:rsidRPr="000160C3">
        <w:t xml:space="preserve">Table </w:t>
      </w:r>
      <w:r w:rsidR="001C47F4">
        <w:rPr>
          <w:noProof/>
        </w:rPr>
        <w:t>12</w:t>
      </w:r>
      <w:r w:rsidR="00D44E3A" w:rsidRPr="000160C3">
        <w:rPr>
          <w:rFonts w:cstheme="minorHAnsi"/>
        </w:rPr>
        <w:fldChar w:fldCharType="end"/>
      </w:r>
      <w:r w:rsidR="00C01064" w:rsidRPr="000160C3">
        <w:rPr>
          <w:rFonts w:cstheme="minorHAnsi"/>
        </w:rPr>
        <w:t xml:space="preserve">. </w:t>
      </w:r>
    </w:p>
    <w:p w14:paraId="69BBE2FA" w14:textId="03A11A42" w:rsidR="0047183D" w:rsidRPr="000160C3" w:rsidRDefault="0047183D" w:rsidP="001C47F4">
      <w:pPr>
        <w:pStyle w:val="COMtablefigcaption"/>
        <w:keepLines/>
      </w:pPr>
      <w:bookmarkStart w:id="51" w:name="_Ref218672020"/>
      <w:r w:rsidRPr="000160C3">
        <w:lastRenderedPageBreak/>
        <w:t xml:space="preserve">Table </w:t>
      </w:r>
      <w:r>
        <w:fldChar w:fldCharType="begin"/>
      </w:r>
      <w:r>
        <w:instrText>SEQ Table \* ARABIC</w:instrText>
      </w:r>
      <w:r>
        <w:fldChar w:fldCharType="separate"/>
      </w:r>
      <w:r w:rsidR="001C47F4">
        <w:rPr>
          <w:noProof/>
        </w:rPr>
        <w:t>12</w:t>
      </w:r>
      <w:r>
        <w:fldChar w:fldCharType="end"/>
      </w:r>
      <w:bookmarkEnd w:id="51"/>
      <w:r w:rsidRPr="000160C3">
        <w:t>:</w:t>
      </w:r>
      <w:r w:rsidRPr="000160C3">
        <w:rPr>
          <w:rStyle w:val="CommentReference"/>
          <w:b/>
          <w:szCs w:val="24"/>
        </w:rPr>
        <w:t xml:space="preserve"> </w:t>
      </w:r>
      <w:r w:rsidRPr="000160C3">
        <w:t>Dosing of the proposed treatment and comparator</w:t>
      </w: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Dosing of the proposed treatment and comparator"/>
      </w:tblPr>
      <w:tblGrid>
        <w:gridCol w:w="1151"/>
        <w:gridCol w:w="5682"/>
        <w:gridCol w:w="2229"/>
      </w:tblGrid>
      <w:tr w:rsidR="0047183D" w:rsidRPr="006069AA" w14:paraId="3559678A" w14:textId="77777777">
        <w:trPr>
          <w:cnfStyle w:val="100000000000" w:firstRow="1" w:lastRow="0" w:firstColumn="0" w:lastColumn="0" w:oddVBand="0" w:evenVBand="0" w:oddHBand="0" w:evenHBand="0" w:firstRowFirstColumn="0" w:firstRowLastColumn="0" w:lastRowFirstColumn="0" w:lastRowLastColumn="0"/>
          <w:tblHeader/>
        </w:trPr>
        <w:tc>
          <w:tcPr>
            <w:tcW w:w="635" w:type="pct"/>
            <w:shd w:val="clear" w:color="auto" w:fill="auto"/>
          </w:tcPr>
          <w:p w14:paraId="67FF7BE4" w14:textId="77777777" w:rsidR="0047183D" w:rsidRPr="006069AA" w:rsidRDefault="0047183D" w:rsidP="001C47F4">
            <w:pPr>
              <w:pStyle w:val="TableText1"/>
              <w:keepNext/>
              <w:keepLines/>
              <w:widowControl/>
              <w:spacing w:before="0" w:after="0"/>
              <w:jc w:val="left"/>
              <w:rPr>
                <w:rFonts w:ascii="Arial Narrow" w:hAnsi="Arial Narrow" w:cstheme="minorHAnsi"/>
                <w:b/>
                <w:sz w:val="20"/>
                <w:lang w:val="en-AU"/>
              </w:rPr>
            </w:pPr>
            <w:r w:rsidRPr="006069AA">
              <w:rPr>
                <w:rFonts w:ascii="Arial Narrow" w:hAnsi="Arial Narrow" w:cstheme="minorHAnsi"/>
                <w:b/>
                <w:sz w:val="20"/>
                <w:lang w:val="en-AU"/>
              </w:rPr>
              <w:t>Treatment regimen</w:t>
            </w:r>
          </w:p>
        </w:tc>
        <w:tc>
          <w:tcPr>
            <w:tcW w:w="3135" w:type="pct"/>
            <w:tcBorders>
              <w:bottom w:val="single" w:sz="4" w:space="0" w:color="auto"/>
            </w:tcBorders>
            <w:shd w:val="clear" w:color="auto" w:fill="auto"/>
          </w:tcPr>
          <w:p w14:paraId="4F40C952" w14:textId="77777777" w:rsidR="0047183D" w:rsidRPr="006069AA" w:rsidRDefault="0047183D" w:rsidP="001C47F4">
            <w:pPr>
              <w:pStyle w:val="TableText1"/>
              <w:keepNext/>
              <w:keepLines/>
              <w:widowControl/>
              <w:spacing w:before="0" w:after="0"/>
              <w:jc w:val="left"/>
              <w:rPr>
                <w:rFonts w:ascii="Arial Narrow" w:hAnsi="Arial Narrow" w:cstheme="minorHAnsi"/>
                <w:b/>
                <w:sz w:val="20"/>
                <w:lang w:val="en-AU"/>
              </w:rPr>
            </w:pPr>
            <w:r w:rsidRPr="006069AA">
              <w:rPr>
                <w:rFonts w:ascii="Arial Narrow" w:hAnsi="Arial Narrow" w:cstheme="minorHAnsi"/>
                <w:b/>
                <w:sz w:val="20"/>
                <w:lang w:val="en-AU"/>
              </w:rPr>
              <w:t xml:space="preserve">Dosing applied in the CMA </w:t>
            </w:r>
          </w:p>
        </w:tc>
        <w:tc>
          <w:tcPr>
            <w:tcW w:w="1230" w:type="pct"/>
            <w:tcBorders>
              <w:bottom w:val="single" w:sz="4" w:space="0" w:color="auto"/>
            </w:tcBorders>
            <w:shd w:val="clear" w:color="auto" w:fill="auto"/>
          </w:tcPr>
          <w:p w14:paraId="0378336C" w14:textId="77777777" w:rsidR="0047183D" w:rsidRPr="006069AA" w:rsidRDefault="0047183D" w:rsidP="001C47F4">
            <w:pPr>
              <w:pStyle w:val="TableText1"/>
              <w:keepNext/>
              <w:keepLines/>
              <w:widowControl/>
              <w:spacing w:before="0" w:after="0"/>
              <w:jc w:val="left"/>
              <w:rPr>
                <w:rFonts w:ascii="Arial Narrow" w:hAnsi="Arial Narrow" w:cstheme="minorHAnsi"/>
                <w:b/>
                <w:sz w:val="20"/>
                <w:lang w:val="en-AU"/>
              </w:rPr>
            </w:pPr>
            <w:r w:rsidRPr="006069AA">
              <w:rPr>
                <w:rFonts w:ascii="Arial Narrow" w:hAnsi="Arial Narrow" w:cstheme="minorHAnsi"/>
                <w:b/>
                <w:sz w:val="20"/>
                <w:lang w:val="en-AU"/>
              </w:rPr>
              <w:t xml:space="preserve">Source </w:t>
            </w:r>
          </w:p>
        </w:tc>
      </w:tr>
      <w:tr w:rsidR="0047183D" w:rsidRPr="006069AA" w14:paraId="46E2E636" w14:textId="77777777">
        <w:tc>
          <w:tcPr>
            <w:tcW w:w="635" w:type="pct"/>
            <w:vMerge w:val="restart"/>
            <w:tcBorders>
              <w:right w:val="single" w:sz="4" w:space="0" w:color="auto"/>
            </w:tcBorders>
            <w:vAlign w:val="center"/>
          </w:tcPr>
          <w:p w14:paraId="41E5E08A" w14:textId="77777777" w:rsidR="0047183D" w:rsidRPr="006069AA" w:rsidRDefault="0047183D" w:rsidP="001C47F4">
            <w:pPr>
              <w:pStyle w:val="TableText1"/>
              <w:keepNext/>
              <w:keepLines/>
              <w:widowControl/>
              <w:spacing w:before="0" w:after="0"/>
              <w:jc w:val="left"/>
              <w:rPr>
                <w:rFonts w:ascii="Arial Narrow" w:hAnsi="Arial Narrow" w:cstheme="minorHAnsi"/>
                <w:sz w:val="20"/>
                <w:lang w:val="en-AU"/>
              </w:rPr>
            </w:pPr>
            <w:r w:rsidRPr="006069AA">
              <w:rPr>
                <w:rFonts w:ascii="Arial Narrow" w:hAnsi="Arial Narrow" w:cstheme="minorHAnsi"/>
                <w:sz w:val="20"/>
                <w:lang w:val="en-AU"/>
              </w:rPr>
              <w:t>Elranatamab</w:t>
            </w:r>
          </w:p>
        </w:tc>
        <w:tc>
          <w:tcPr>
            <w:tcW w:w="3135" w:type="pct"/>
            <w:tcBorders>
              <w:top w:val="single" w:sz="4" w:space="0" w:color="auto"/>
              <w:left w:val="single" w:sz="4" w:space="0" w:color="auto"/>
              <w:bottom w:val="nil"/>
              <w:right w:val="single" w:sz="4" w:space="0" w:color="auto"/>
            </w:tcBorders>
          </w:tcPr>
          <w:p w14:paraId="12366C76" w14:textId="77777777" w:rsidR="00B514AD" w:rsidRPr="00B514AD" w:rsidRDefault="00B514AD" w:rsidP="001C47F4">
            <w:pPr>
              <w:pStyle w:val="TableText1"/>
              <w:keepNext/>
              <w:keepLines/>
              <w:widowControl/>
              <w:spacing w:before="0" w:after="0"/>
              <w:jc w:val="left"/>
              <w:rPr>
                <w:rFonts w:ascii="Arial Narrow" w:hAnsi="Arial Narrow" w:cstheme="minorHAnsi"/>
                <w:sz w:val="20"/>
                <w:u w:val="single"/>
                <w:lang w:val="en-AU"/>
              </w:rPr>
            </w:pPr>
            <w:r w:rsidRPr="00B514AD">
              <w:rPr>
                <w:rFonts w:ascii="Arial Narrow" w:hAnsi="Arial Narrow" w:cstheme="minorHAnsi"/>
                <w:sz w:val="20"/>
                <w:u w:val="single"/>
                <w:lang w:val="en-AU"/>
              </w:rPr>
              <w:t>Dosing assumptions:</w:t>
            </w:r>
          </w:p>
          <w:p w14:paraId="2AE3EBF2" w14:textId="49BDD237" w:rsidR="0047183D" w:rsidRPr="006069AA" w:rsidRDefault="0047183D" w:rsidP="001C47F4">
            <w:pPr>
              <w:pStyle w:val="TableText1"/>
              <w:keepNext/>
              <w:keepLines/>
              <w:widowControl/>
              <w:spacing w:before="0" w:after="0"/>
              <w:jc w:val="left"/>
              <w:rPr>
                <w:rFonts w:ascii="Arial Narrow" w:hAnsi="Arial Narrow" w:cstheme="minorHAnsi"/>
                <w:sz w:val="20"/>
                <w:lang w:val="en-AU"/>
              </w:rPr>
            </w:pPr>
            <w:r w:rsidRPr="006069AA">
              <w:rPr>
                <w:rFonts w:ascii="Arial Narrow" w:hAnsi="Arial Narrow" w:cstheme="minorHAnsi"/>
                <w:sz w:val="20"/>
                <w:lang w:val="en-AU"/>
              </w:rPr>
              <w:t xml:space="preserve">Elranatamab is administered as a SC injection as a flat dose </w:t>
            </w:r>
          </w:p>
          <w:p w14:paraId="0A0C1A1D" w14:textId="1F3C3704" w:rsidR="0047183D" w:rsidRPr="006069AA" w:rsidRDefault="0047183D" w:rsidP="001C47F4">
            <w:pPr>
              <w:pStyle w:val="TableText1"/>
              <w:keepNext/>
              <w:keepLines/>
              <w:widowControl/>
              <w:spacing w:before="0" w:after="0"/>
              <w:jc w:val="left"/>
              <w:rPr>
                <w:rFonts w:ascii="Arial Narrow" w:hAnsi="Arial Narrow" w:cstheme="minorHAnsi"/>
                <w:sz w:val="20"/>
                <w:lang w:val="en-AU"/>
              </w:rPr>
            </w:pPr>
            <w:r w:rsidRPr="006069AA">
              <w:rPr>
                <w:rFonts w:ascii="Arial Narrow" w:hAnsi="Arial Narrow" w:cstheme="minorHAnsi"/>
                <w:sz w:val="20"/>
                <w:lang w:val="en-AU"/>
              </w:rPr>
              <w:t>Step</w:t>
            </w:r>
            <w:r w:rsidR="00EC1990">
              <w:rPr>
                <w:rFonts w:ascii="Arial Narrow" w:hAnsi="Arial Narrow" w:cstheme="minorHAnsi"/>
                <w:sz w:val="20"/>
                <w:lang w:val="en-AU"/>
              </w:rPr>
              <w:noBreakHyphen/>
            </w:r>
            <w:r w:rsidRPr="006069AA">
              <w:rPr>
                <w:rFonts w:ascii="Arial Narrow" w:hAnsi="Arial Narrow" w:cstheme="minorHAnsi"/>
                <w:sz w:val="20"/>
                <w:lang w:val="en-AU"/>
              </w:rPr>
              <w:t>up doses of 12 mg on Day 1 and 32 mg on Day 4, followed by the full treatment dose of 76 mg once a week</w:t>
            </w:r>
            <w:r w:rsidR="00A60731" w:rsidRPr="006069AA">
              <w:rPr>
                <w:rFonts w:ascii="Arial Narrow" w:hAnsi="Arial Narrow" w:cstheme="minorHAnsi"/>
                <w:sz w:val="20"/>
                <w:lang w:val="en-AU"/>
              </w:rPr>
              <w:t>, from Week 2 to Week 24</w:t>
            </w:r>
            <w:r w:rsidRPr="006069AA">
              <w:rPr>
                <w:rFonts w:ascii="Arial Narrow" w:hAnsi="Arial Narrow" w:cstheme="minorHAnsi"/>
                <w:sz w:val="20"/>
                <w:lang w:val="en-AU"/>
              </w:rPr>
              <w:t xml:space="preserve">. </w:t>
            </w:r>
            <w:r w:rsidR="00C75CE7" w:rsidRPr="006069AA">
              <w:rPr>
                <w:rFonts w:ascii="Arial Narrow" w:hAnsi="Arial Narrow" w:cstheme="minorHAnsi"/>
                <w:sz w:val="20"/>
                <w:lang w:val="en-AU"/>
              </w:rPr>
              <w:t>For patients who have received at least 24 weeks of treatment, and have maintained a response, the dosing interval should transition to a</w:t>
            </w:r>
            <w:r w:rsidR="00796ADB">
              <w:rPr>
                <w:rFonts w:ascii="Arial Narrow" w:hAnsi="Arial Narrow" w:cstheme="minorHAnsi"/>
                <w:sz w:val="20"/>
                <w:lang w:val="en-AU"/>
              </w:rPr>
              <w:t xml:space="preserve"> bi</w:t>
            </w:r>
            <w:r w:rsidR="00EC1990">
              <w:rPr>
                <w:rFonts w:ascii="Arial Narrow" w:hAnsi="Arial Narrow" w:cstheme="minorHAnsi"/>
                <w:sz w:val="20"/>
                <w:lang w:val="en-AU"/>
              </w:rPr>
              <w:noBreakHyphen/>
            </w:r>
            <w:r w:rsidR="00796ADB">
              <w:rPr>
                <w:rFonts w:ascii="Arial Narrow" w:hAnsi="Arial Narrow" w:cstheme="minorHAnsi"/>
                <w:sz w:val="20"/>
                <w:lang w:val="en-AU"/>
              </w:rPr>
              <w:t xml:space="preserve">weekly (once </w:t>
            </w:r>
            <w:r w:rsidR="00C75CE7" w:rsidRPr="006069AA">
              <w:rPr>
                <w:rFonts w:ascii="Arial Narrow" w:hAnsi="Arial Narrow" w:cstheme="minorHAnsi"/>
                <w:sz w:val="20"/>
                <w:lang w:val="en-AU"/>
              </w:rPr>
              <w:t>every two</w:t>
            </w:r>
            <w:r w:rsidR="00796ADB">
              <w:rPr>
                <w:rFonts w:ascii="Arial Narrow" w:hAnsi="Arial Narrow" w:cstheme="minorHAnsi"/>
                <w:sz w:val="20"/>
                <w:lang w:val="en-AU"/>
              </w:rPr>
              <w:t xml:space="preserve"> </w:t>
            </w:r>
            <w:r w:rsidR="00C75CE7" w:rsidRPr="006069AA">
              <w:rPr>
                <w:rFonts w:ascii="Arial Narrow" w:hAnsi="Arial Narrow" w:cstheme="minorHAnsi"/>
                <w:sz w:val="20"/>
                <w:lang w:val="en-AU"/>
              </w:rPr>
              <w:t>week</w:t>
            </w:r>
            <w:r w:rsidR="00796ADB">
              <w:rPr>
                <w:rFonts w:ascii="Arial Narrow" w:hAnsi="Arial Narrow" w:cstheme="minorHAnsi"/>
                <w:sz w:val="20"/>
                <w:lang w:val="en-AU"/>
              </w:rPr>
              <w:t>s)</w:t>
            </w:r>
            <w:r w:rsidR="00C75CE7" w:rsidRPr="006069AA">
              <w:rPr>
                <w:rFonts w:ascii="Arial Narrow" w:hAnsi="Arial Narrow" w:cstheme="minorHAnsi"/>
                <w:sz w:val="20"/>
                <w:lang w:val="en-AU"/>
              </w:rPr>
              <w:t xml:space="preserve"> schedule. For patients who have received at least 24 weeks of treatment at the </w:t>
            </w:r>
            <w:r w:rsidR="00796ADB">
              <w:rPr>
                <w:rFonts w:ascii="Arial Narrow" w:hAnsi="Arial Narrow" w:cstheme="minorHAnsi"/>
                <w:sz w:val="20"/>
                <w:lang w:val="en-AU"/>
              </w:rPr>
              <w:t>bi</w:t>
            </w:r>
            <w:r w:rsidR="00EC1990">
              <w:rPr>
                <w:rFonts w:ascii="Arial Narrow" w:hAnsi="Arial Narrow" w:cstheme="minorHAnsi"/>
                <w:sz w:val="20"/>
                <w:lang w:val="en-AU"/>
              </w:rPr>
              <w:noBreakHyphen/>
            </w:r>
            <w:r w:rsidR="00796ADB">
              <w:rPr>
                <w:rFonts w:ascii="Arial Narrow" w:hAnsi="Arial Narrow" w:cstheme="minorHAnsi"/>
                <w:sz w:val="20"/>
                <w:lang w:val="en-AU"/>
              </w:rPr>
              <w:t xml:space="preserve">weekly </w:t>
            </w:r>
            <w:r w:rsidR="00C75CE7" w:rsidRPr="006069AA">
              <w:rPr>
                <w:rFonts w:ascii="Arial Narrow" w:hAnsi="Arial Narrow" w:cstheme="minorHAnsi"/>
                <w:sz w:val="20"/>
                <w:lang w:val="en-AU"/>
              </w:rPr>
              <w:t>schedule and maintained a response, the dose interval should transition to an every four</w:t>
            </w:r>
            <w:r w:rsidR="00EC1990">
              <w:rPr>
                <w:rFonts w:ascii="Arial Narrow" w:hAnsi="Arial Narrow" w:cstheme="minorHAnsi"/>
                <w:sz w:val="20"/>
                <w:lang w:val="en-AU"/>
              </w:rPr>
              <w:noBreakHyphen/>
            </w:r>
            <w:r w:rsidR="00C75CE7" w:rsidRPr="006069AA">
              <w:rPr>
                <w:rFonts w:ascii="Arial Narrow" w:hAnsi="Arial Narrow" w:cstheme="minorHAnsi"/>
                <w:sz w:val="20"/>
                <w:lang w:val="en-AU"/>
              </w:rPr>
              <w:t>week schedule.</w:t>
            </w:r>
          </w:p>
          <w:p w14:paraId="04DF6647" w14:textId="25241E00" w:rsidR="003B0549" w:rsidRPr="006069AA" w:rsidRDefault="003B0549" w:rsidP="001C47F4">
            <w:pPr>
              <w:pStyle w:val="TableText1"/>
              <w:keepNext/>
              <w:keepLines/>
              <w:widowControl/>
              <w:spacing w:before="0" w:after="0"/>
              <w:jc w:val="left"/>
              <w:rPr>
                <w:rFonts w:ascii="Arial Narrow" w:hAnsi="Arial Narrow" w:cstheme="minorHAnsi"/>
                <w:sz w:val="20"/>
                <w:lang w:val="en-AU"/>
              </w:rPr>
            </w:pPr>
            <w:r w:rsidRPr="006069AA">
              <w:rPr>
                <w:rFonts w:ascii="Arial Narrow" w:hAnsi="Arial Narrow" w:cstheme="minorHAnsi"/>
                <w:sz w:val="20"/>
                <w:lang w:val="en-AU"/>
              </w:rPr>
              <w:t>Due to the risk of severe reactions</w:t>
            </w:r>
            <w:r w:rsidR="00A529A5" w:rsidRPr="006069AA">
              <w:rPr>
                <w:rFonts w:ascii="Arial Narrow" w:hAnsi="Arial Narrow" w:cstheme="minorHAnsi"/>
                <w:sz w:val="20"/>
                <w:lang w:val="en-AU"/>
              </w:rPr>
              <w:t xml:space="preserve"> (including </w:t>
            </w:r>
            <w:r w:rsidR="00E81B16" w:rsidRPr="006069AA">
              <w:rPr>
                <w:rFonts w:ascii="Arial Narrow" w:hAnsi="Arial Narrow" w:cstheme="minorHAnsi"/>
                <w:sz w:val="20"/>
                <w:lang w:val="en-AU"/>
              </w:rPr>
              <w:t>CRS</w:t>
            </w:r>
            <w:r w:rsidR="00A529A5" w:rsidRPr="006069AA">
              <w:rPr>
                <w:rFonts w:ascii="Arial Narrow" w:hAnsi="Arial Narrow" w:cstheme="minorHAnsi"/>
                <w:sz w:val="20"/>
                <w:lang w:val="en-AU"/>
              </w:rPr>
              <w:t xml:space="preserve"> and ICAN</w:t>
            </w:r>
            <w:r w:rsidR="00B85BFA" w:rsidRPr="006069AA">
              <w:rPr>
                <w:rFonts w:ascii="Arial Narrow" w:hAnsi="Arial Narrow" w:cstheme="minorHAnsi"/>
                <w:sz w:val="20"/>
                <w:lang w:val="en-AU"/>
              </w:rPr>
              <w:t>S)</w:t>
            </w:r>
            <w:r w:rsidRPr="006069AA">
              <w:rPr>
                <w:rFonts w:ascii="Arial Narrow" w:hAnsi="Arial Narrow" w:cstheme="minorHAnsi"/>
                <w:sz w:val="20"/>
                <w:lang w:val="en-AU"/>
              </w:rPr>
              <w:t xml:space="preserve">, </w:t>
            </w:r>
            <w:r w:rsidR="002472E2" w:rsidRPr="006069AA">
              <w:rPr>
                <w:rFonts w:ascii="Arial Narrow" w:hAnsi="Arial Narrow" w:cstheme="minorHAnsi"/>
                <w:sz w:val="20"/>
                <w:lang w:val="en-AU"/>
              </w:rPr>
              <w:t xml:space="preserve">the TGA PI recommends </w:t>
            </w:r>
            <w:r w:rsidRPr="006069AA">
              <w:rPr>
                <w:rFonts w:ascii="Arial Narrow" w:hAnsi="Arial Narrow" w:cstheme="minorHAnsi"/>
                <w:sz w:val="20"/>
                <w:lang w:val="en-AU"/>
              </w:rPr>
              <w:t>hospitalisation for 48 hours after administration of the first step</w:t>
            </w:r>
            <w:r w:rsidR="00EC1990">
              <w:rPr>
                <w:rFonts w:ascii="Arial Narrow" w:hAnsi="Arial Narrow" w:cstheme="minorHAnsi"/>
                <w:sz w:val="20"/>
                <w:lang w:val="en-AU"/>
              </w:rPr>
              <w:noBreakHyphen/>
            </w:r>
            <w:r w:rsidRPr="006069AA">
              <w:rPr>
                <w:rFonts w:ascii="Arial Narrow" w:hAnsi="Arial Narrow" w:cstheme="minorHAnsi"/>
                <w:sz w:val="20"/>
                <w:lang w:val="en-AU"/>
              </w:rPr>
              <w:t>up dose, and for 24 hours after administration of the second step</w:t>
            </w:r>
            <w:r w:rsidR="00EC1990">
              <w:rPr>
                <w:rFonts w:ascii="Arial Narrow" w:hAnsi="Arial Narrow" w:cstheme="minorHAnsi"/>
                <w:sz w:val="20"/>
                <w:lang w:val="en-AU"/>
              </w:rPr>
              <w:noBreakHyphen/>
            </w:r>
            <w:r w:rsidRPr="006069AA">
              <w:rPr>
                <w:rFonts w:ascii="Arial Narrow" w:hAnsi="Arial Narrow" w:cstheme="minorHAnsi"/>
                <w:sz w:val="20"/>
                <w:lang w:val="en-AU"/>
              </w:rPr>
              <w:t>up dose.</w:t>
            </w:r>
          </w:p>
        </w:tc>
        <w:tc>
          <w:tcPr>
            <w:tcW w:w="1230" w:type="pct"/>
            <w:tcBorders>
              <w:top w:val="single" w:sz="4" w:space="0" w:color="auto"/>
              <w:left w:val="single" w:sz="4" w:space="0" w:color="auto"/>
              <w:bottom w:val="nil"/>
              <w:right w:val="single" w:sz="4" w:space="0" w:color="auto"/>
            </w:tcBorders>
          </w:tcPr>
          <w:p w14:paraId="09637096" w14:textId="77777777" w:rsidR="0047183D" w:rsidRPr="006069AA" w:rsidRDefault="0047183D" w:rsidP="001C47F4">
            <w:pPr>
              <w:pStyle w:val="TableText1"/>
              <w:keepNext/>
              <w:keepLines/>
              <w:widowControl/>
              <w:spacing w:before="0" w:after="0"/>
              <w:jc w:val="left"/>
              <w:rPr>
                <w:rFonts w:ascii="Arial Narrow" w:hAnsi="Arial Narrow" w:cstheme="minorHAnsi"/>
                <w:sz w:val="20"/>
                <w:lang w:val="en-AU"/>
              </w:rPr>
            </w:pPr>
            <w:r w:rsidRPr="006069AA">
              <w:rPr>
                <w:rFonts w:ascii="Arial Narrow" w:hAnsi="Arial Narrow" w:cstheme="minorHAnsi"/>
                <w:sz w:val="20"/>
                <w:lang w:val="en-AU"/>
              </w:rPr>
              <w:t xml:space="preserve">Elranatamab, TGA PI </w:t>
            </w:r>
          </w:p>
        </w:tc>
      </w:tr>
      <w:tr w:rsidR="0047183D" w:rsidRPr="006069AA" w14:paraId="7C193F22" w14:textId="77777777">
        <w:tc>
          <w:tcPr>
            <w:tcW w:w="635" w:type="pct"/>
            <w:vMerge/>
            <w:tcBorders>
              <w:right w:val="single" w:sz="4" w:space="0" w:color="auto"/>
            </w:tcBorders>
          </w:tcPr>
          <w:p w14:paraId="09A6768B" w14:textId="77777777" w:rsidR="0047183D" w:rsidRPr="006069AA" w:rsidRDefault="0047183D" w:rsidP="001C47F4">
            <w:pPr>
              <w:pStyle w:val="TableText1"/>
              <w:keepNext/>
              <w:keepLines/>
              <w:widowControl/>
              <w:spacing w:before="0" w:after="0"/>
              <w:jc w:val="left"/>
              <w:rPr>
                <w:rFonts w:ascii="Arial Narrow" w:hAnsi="Arial Narrow" w:cstheme="minorHAnsi"/>
                <w:sz w:val="20"/>
                <w:lang w:val="en-AU"/>
              </w:rPr>
            </w:pPr>
          </w:p>
        </w:tc>
        <w:tc>
          <w:tcPr>
            <w:tcW w:w="3135" w:type="pct"/>
            <w:tcBorders>
              <w:top w:val="nil"/>
              <w:left w:val="single" w:sz="4" w:space="0" w:color="auto"/>
              <w:bottom w:val="single" w:sz="4" w:space="0" w:color="auto"/>
              <w:right w:val="single" w:sz="4" w:space="0" w:color="auto"/>
            </w:tcBorders>
          </w:tcPr>
          <w:p w14:paraId="521E6C91" w14:textId="0F8539E3" w:rsidR="0047183D" w:rsidRPr="006069AA" w:rsidRDefault="0047183D" w:rsidP="001C47F4">
            <w:pPr>
              <w:pStyle w:val="TableText1"/>
              <w:keepNext/>
              <w:keepLines/>
              <w:widowControl/>
              <w:spacing w:before="0" w:after="0"/>
              <w:jc w:val="left"/>
              <w:rPr>
                <w:rFonts w:ascii="Arial Narrow" w:hAnsi="Arial Narrow" w:cstheme="minorHAnsi"/>
                <w:sz w:val="20"/>
                <w:u w:val="single"/>
                <w:lang w:val="en-AU"/>
              </w:rPr>
            </w:pPr>
            <w:r w:rsidRPr="006069AA">
              <w:rPr>
                <w:rFonts w:ascii="Arial Narrow" w:hAnsi="Arial Narrow" w:cstheme="minorHAnsi"/>
                <w:sz w:val="20"/>
                <w:u w:val="single"/>
                <w:lang w:val="en-AU"/>
              </w:rPr>
              <w:t>Time to switch</w:t>
            </w:r>
            <w:r w:rsidR="00666A36">
              <w:rPr>
                <w:rFonts w:ascii="Arial Narrow" w:hAnsi="Arial Narrow" w:cstheme="minorHAnsi"/>
                <w:sz w:val="20"/>
                <w:u w:val="single"/>
                <w:lang w:val="en-AU"/>
              </w:rPr>
              <w:t xml:space="preserve"> assumptions:</w:t>
            </w:r>
          </w:p>
          <w:p w14:paraId="47DBC333" w14:textId="0F36223A" w:rsidR="008901C0" w:rsidRPr="006069AA" w:rsidRDefault="008901C0" w:rsidP="001C47F4">
            <w:pPr>
              <w:pStyle w:val="TableText1"/>
              <w:keepNext/>
              <w:keepLines/>
              <w:widowControl/>
              <w:spacing w:before="0" w:after="0"/>
              <w:jc w:val="left"/>
              <w:rPr>
                <w:rFonts w:ascii="Arial Narrow" w:hAnsi="Arial Narrow" w:cstheme="minorHAnsi"/>
                <w:sz w:val="20"/>
                <w:lang w:val="en-AU"/>
              </w:rPr>
            </w:pPr>
            <w:r w:rsidRPr="006069AA">
              <w:rPr>
                <w:rFonts w:ascii="Arial Narrow" w:hAnsi="Arial Narrow" w:cstheme="minorHAnsi"/>
                <w:sz w:val="20"/>
                <w:lang w:val="en-AU"/>
              </w:rPr>
              <w:t xml:space="preserve">QW: 100% </w:t>
            </w:r>
            <w:r w:rsidR="00AC1751" w:rsidRPr="006069AA">
              <w:rPr>
                <w:rFonts w:ascii="Arial Narrow" w:hAnsi="Arial Narrow" w:cstheme="minorHAnsi"/>
                <w:sz w:val="20"/>
                <w:lang w:val="en-AU"/>
              </w:rPr>
              <w:t xml:space="preserve">Week </w:t>
            </w:r>
            <w:r w:rsidRPr="006069AA">
              <w:rPr>
                <w:rFonts w:ascii="Arial Narrow" w:hAnsi="Arial Narrow" w:cstheme="minorHAnsi"/>
                <w:sz w:val="20"/>
                <w:lang w:val="en-AU"/>
              </w:rPr>
              <w:t xml:space="preserve">2 to Week 27 </w:t>
            </w:r>
          </w:p>
          <w:p w14:paraId="7437C7BF" w14:textId="56ABD474" w:rsidR="0047183D" w:rsidRPr="006069AA" w:rsidRDefault="0047183D" w:rsidP="001C47F4">
            <w:pPr>
              <w:pStyle w:val="TableText1"/>
              <w:keepNext/>
              <w:keepLines/>
              <w:widowControl/>
              <w:spacing w:before="0" w:after="0"/>
              <w:jc w:val="left"/>
              <w:rPr>
                <w:rFonts w:ascii="Arial Narrow" w:hAnsi="Arial Narrow" w:cstheme="minorHAnsi"/>
                <w:sz w:val="20"/>
                <w:lang w:val="en-AU"/>
              </w:rPr>
            </w:pPr>
            <w:r w:rsidRPr="006069AA">
              <w:rPr>
                <w:rFonts w:ascii="Arial Narrow" w:hAnsi="Arial Narrow" w:cstheme="minorHAnsi"/>
                <w:sz w:val="20"/>
                <w:lang w:val="en-AU"/>
              </w:rPr>
              <w:t xml:space="preserve">QW to Q2W: </w:t>
            </w:r>
            <w:r w:rsidR="008901C0" w:rsidRPr="006069AA">
              <w:rPr>
                <w:rFonts w:ascii="Arial Narrow" w:hAnsi="Arial Narrow" w:cstheme="minorHAnsi"/>
                <w:sz w:val="20"/>
                <w:lang w:val="en-AU"/>
              </w:rPr>
              <w:t xml:space="preserve">47.2% </w:t>
            </w:r>
            <w:r w:rsidRPr="006069AA">
              <w:rPr>
                <w:rFonts w:ascii="Arial Narrow" w:hAnsi="Arial Narrow" w:cstheme="minorHAnsi"/>
                <w:sz w:val="20"/>
                <w:lang w:val="en-AU"/>
              </w:rPr>
              <w:t xml:space="preserve">at </w:t>
            </w:r>
            <w:r w:rsidR="00DE237E" w:rsidRPr="006069AA">
              <w:rPr>
                <w:rFonts w:ascii="Arial Narrow" w:hAnsi="Arial Narrow" w:cstheme="minorHAnsi"/>
                <w:sz w:val="20"/>
                <w:lang w:val="en-AU"/>
              </w:rPr>
              <w:t>W</w:t>
            </w:r>
            <w:r w:rsidRPr="006069AA">
              <w:rPr>
                <w:rFonts w:ascii="Arial Narrow" w:hAnsi="Arial Narrow" w:cstheme="minorHAnsi"/>
                <w:sz w:val="20"/>
                <w:lang w:val="en-AU"/>
              </w:rPr>
              <w:t>eek 28</w:t>
            </w:r>
          </w:p>
          <w:p w14:paraId="1C70AB5C" w14:textId="4E861BB3" w:rsidR="0047183D" w:rsidRPr="006069AA" w:rsidRDefault="0047183D" w:rsidP="001C47F4">
            <w:pPr>
              <w:pStyle w:val="TableText1"/>
              <w:keepNext/>
              <w:keepLines/>
              <w:widowControl/>
              <w:spacing w:before="0" w:after="0"/>
              <w:jc w:val="left"/>
              <w:rPr>
                <w:rFonts w:ascii="Arial Narrow" w:hAnsi="Arial Narrow" w:cstheme="minorHAnsi"/>
                <w:sz w:val="20"/>
                <w:lang w:val="en-AU"/>
              </w:rPr>
            </w:pPr>
            <w:r w:rsidRPr="006069AA">
              <w:rPr>
                <w:rFonts w:ascii="Arial Narrow" w:hAnsi="Arial Narrow" w:cstheme="minorHAnsi"/>
                <w:sz w:val="20"/>
                <w:lang w:val="en-AU"/>
              </w:rPr>
              <w:t xml:space="preserve">Q2W to Q4W: </w:t>
            </w:r>
            <w:r w:rsidR="008901C0" w:rsidRPr="006069AA">
              <w:rPr>
                <w:rFonts w:ascii="Arial Narrow" w:hAnsi="Arial Narrow" w:cstheme="minorHAnsi"/>
                <w:sz w:val="20"/>
                <w:lang w:val="en-AU"/>
              </w:rPr>
              <w:t xml:space="preserve">22.8% </w:t>
            </w:r>
            <w:r w:rsidRPr="006069AA">
              <w:rPr>
                <w:rFonts w:ascii="Arial Narrow" w:hAnsi="Arial Narrow" w:cstheme="minorHAnsi"/>
                <w:sz w:val="20"/>
                <w:lang w:val="en-AU"/>
              </w:rPr>
              <w:t xml:space="preserve">at </w:t>
            </w:r>
            <w:r w:rsidR="00DE237E" w:rsidRPr="006069AA">
              <w:rPr>
                <w:rFonts w:ascii="Arial Narrow" w:hAnsi="Arial Narrow" w:cstheme="minorHAnsi"/>
                <w:sz w:val="20"/>
                <w:lang w:val="en-AU"/>
              </w:rPr>
              <w:t>W</w:t>
            </w:r>
            <w:r w:rsidRPr="006069AA">
              <w:rPr>
                <w:rFonts w:ascii="Arial Narrow" w:hAnsi="Arial Narrow" w:cstheme="minorHAnsi"/>
                <w:sz w:val="20"/>
                <w:lang w:val="en-AU"/>
              </w:rPr>
              <w:t>eek 52</w:t>
            </w:r>
          </w:p>
        </w:tc>
        <w:tc>
          <w:tcPr>
            <w:tcW w:w="1230" w:type="pct"/>
            <w:tcBorders>
              <w:top w:val="nil"/>
              <w:left w:val="single" w:sz="4" w:space="0" w:color="auto"/>
              <w:bottom w:val="single" w:sz="4" w:space="0" w:color="auto"/>
              <w:right w:val="single" w:sz="4" w:space="0" w:color="auto"/>
            </w:tcBorders>
          </w:tcPr>
          <w:p w14:paraId="296AAA6F" w14:textId="097EB016" w:rsidR="0047183D" w:rsidRPr="006069AA" w:rsidRDefault="0047183D" w:rsidP="001C47F4">
            <w:pPr>
              <w:pStyle w:val="TableText1"/>
              <w:keepNext/>
              <w:keepLines/>
              <w:widowControl/>
              <w:spacing w:before="0" w:after="0"/>
              <w:jc w:val="left"/>
              <w:rPr>
                <w:rFonts w:ascii="Arial Narrow" w:hAnsi="Arial Narrow" w:cstheme="minorHAnsi"/>
                <w:sz w:val="20"/>
                <w:lang w:val="en-AU"/>
              </w:rPr>
            </w:pPr>
            <w:r w:rsidRPr="006069AA">
              <w:rPr>
                <w:rFonts w:ascii="Arial Narrow" w:hAnsi="Arial Narrow" w:cstheme="minorHAnsi"/>
                <w:sz w:val="20"/>
                <w:lang w:val="en-AU"/>
              </w:rPr>
              <w:t>MagnetismMM</w:t>
            </w:r>
            <w:r w:rsidR="00EC1990">
              <w:rPr>
                <w:rFonts w:ascii="Arial Narrow" w:hAnsi="Arial Narrow" w:cstheme="minorHAnsi"/>
                <w:sz w:val="20"/>
                <w:lang w:val="en-AU"/>
              </w:rPr>
              <w:noBreakHyphen/>
            </w:r>
            <w:r w:rsidRPr="006069AA">
              <w:rPr>
                <w:rFonts w:ascii="Arial Narrow" w:hAnsi="Arial Narrow" w:cstheme="minorHAnsi"/>
                <w:sz w:val="20"/>
                <w:lang w:val="en-AU"/>
              </w:rPr>
              <w:t xml:space="preserve">3 (Prince et al. 2024; </w:t>
            </w:r>
            <w:proofErr w:type="spellStart"/>
            <w:r w:rsidRPr="006069AA">
              <w:rPr>
                <w:rFonts w:ascii="Arial Narrow" w:hAnsi="Arial Narrow" w:cstheme="minorHAnsi"/>
                <w:sz w:val="20"/>
                <w:lang w:val="en-AU"/>
              </w:rPr>
              <w:t>Lesokhin</w:t>
            </w:r>
            <w:proofErr w:type="spellEnd"/>
            <w:r w:rsidRPr="006069AA">
              <w:rPr>
                <w:rFonts w:ascii="Arial Narrow" w:hAnsi="Arial Narrow" w:cstheme="minorHAnsi"/>
                <w:sz w:val="20"/>
                <w:lang w:val="en-AU"/>
              </w:rPr>
              <w:t xml:space="preserve"> et al. 2023)</w:t>
            </w:r>
          </w:p>
        </w:tc>
      </w:tr>
      <w:tr w:rsidR="0047183D" w:rsidRPr="006069AA" w14:paraId="53B179C4" w14:textId="77777777">
        <w:tc>
          <w:tcPr>
            <w:tcW w:w="635" w:type="pct"/>
            <w:vMerge w:val="restart"/>
            <w:tcBorders>
              <w:right w:val="single" w:sz="4" w:space="0" w:color="auto"/>
            </w:tcBorders>
            <w:vAlign w:val="center"/>
          </w:tcPr>
          <w:p w14:paraId="6F98013F" w14:textId="77777777" w:rsidR="0047183D" w:rsidRPr="006069AA" w:rsidRDefault="0047183D" w:rsidP="001C47F4">
            <w:pPr>
              <w:pStyle w:val="TableText1"/>
              <w:keepNext/>
              <w:keepLines/>
              <w:widowControl/>
              <w:spacing w:before="0" w:after="0"/>
              <w:jc w:val="left"/>
              <w:rPr>
                <w:rFonts w:ascii="Arial Narrow" w:hAnsi="Arial Narrow" w:cstheme="minorHAnsi"/>
                <w:sz w:val="20"/>
                <w:lang w:val="en-AU"/>
              </w:rPr>
            </w:pPr>
            <w:r w:rsidRPr="006069AA">
              <w:rPr>
                <w:rFonts w:ascii="Arial Narrow" w:hAnsi="Arial Narrow" w:cstheme="minorHAnsi"/>
                <w:sz w:val="20"/>
                <w:lang w:val="en-AU"/>
              </w:rPr>
              <w:t>Teclistamab</w:t>
            </w:r>
          </w:p>
        </w:tc>
        <w:tc>
          <w:tcPr>
            <w:tcW w:w="3135" w:type="pct"/>
            <w:tcBorders>
              <w:top w:val="single" w:sz="4" w:space="0" w:color="auto"/>
              <w:left w:val="single" w:sz="4" w:space="0" w:color="auto"/>
              <w:bottom w:val="nil"/>
              <w:right w:val="single" w:sz="4" w:space="0" w:color="auto"/>
            </w:tcBorders>
          </w:tcPr>
          <w:p w14:paraId="6D6C05BE" w14:textId="77777777" w:rsidR="00B514AD" w:rsidRPr="00B514AD" w:rsidRDefault="00B514AD" w:rsidP="001C47F4">
            <w:pPr>
              <w:pStyle w:val="TableText1"/>
              <w:keepNext/>
              <w:keepLines/>
              <w:widowControl/>
              <w:spacing w:before="0" w:after="0"/>
              <w:jc w:val="left"/>
              <w:rPr>
                <w:rFonts w:ascii="Arial Narrow" w:hAnsi="Arial Narrow" w:cstheme="minorHAnsi"/>
                <w:sz w:val="20"/>
                <w:u w:val="single"/>
                <w:lang w:val="en-AU"/>
              </w:rPr>
            </w:pPr>
            <w:r w:rsidRPr="00B514AD">
              <w:rPr>
                <w:rFonts w:ascii="Arial Narrow" w:hAnsi="Arial Narrow" w:cstheme="minorHAnsi"/>
                <w:sz w:val="20"/>
                <w:u w:val="single"/>
                <w:lang w:val="en-AU"/>
              </w:rPr>
              <w:t>Dosing assumptions:</w:t>
            </w:r>
          </w:p>
          <w:p w14:paraId="3574BE81" w14:textId="606EF3C5" w:rsidR="0047183D" w:rsidRPr="006069AA" w:rsidRDefault="0047183D" w:rsidP="001C47F4">
            <w:pPr>
              <w:pStyle w:val="TableText1"/>
              <w:keepNext/>
              <w:keepLines/>
              <w:widowControl/>
              <w:spacing w:before="0" w:after="0"/>
              <w:jc w:val="left"/>
              <w:rPr>
                <w:rFonts w:ascii="Arial Narrow" w:hAnsi="Arial Narrow" w:cstheme="minorHAnsi"/>
                <w:sz w:val="20"/>
                <w:lang w:val="en-AU"/>
              </w:rPr>
            </w:pPr>
            <w:r w:rsidRPr="006069AA">
              <w:rPr>
                <w:rFonts w:ascii="Arial Narrow" w:hAnsi="Arial Narrow" w:cstheme="minorHAnsi"/>
                <w:sz w:val="20"/>
                <w:lang w:val="en-AU"/>
              </w:rPr>
              <w:t xml:space="preserve">Teclistamab is administered </w:t>
            </w:r>
            <w:r w:rsidR="00934837" w:rsidRPr="006069AA">
              <w:rPr>
                <w:rFonts w:ascii="Arial Narrow" w:hAnsi="Arial Narrow" w:cstheme="minorHAnsi"/>
                <w:sz w:val="20"/>
                <w:lang w:val="en-AU"/>
              </w:rPr>
              <w:t xml:space="preserve">as a </w:t>
            </w:r>
            <w:r w:rsidRPr="006069AA">
              <w:rPr>
                <w:rFonts w:ascii="Arial Narrow" w:hAnsi="Arial Narrow" w:cstheme="minorHAnsi"/>
                <w:sz w:val="20"/>
                <w:lang w:val="en-AU"/>
              </w:rPr>
              <w:t xml:space="preserve">SC injection, </w:t>
            </w:r>
            <w:r w:rsidR="00934837" w:rsidRPr="006069AA">
              <w:rPr>
                <w:rFonts w:ascii="Arial Narrow" w:hAnsi="Arial Narrow" w:cstheme="minorHAnsi"/>
                <w:sz w:val="20"/>
                <w:lang w:val="en-AU"/>
              </w:rPr>
              <w:t xml:space="preserve">with </w:t>
            </w:r>
            <w:r w:rsidRPr="006069AA">
              <w:rPr>
                <w:rFonts w:ascii="Arial Narrow" w:hAnsi="Arial Narrow" w:cstheme="minorHAnsi"/>
                <w:sz w:val="20"/>
                <w:lang w:val="en-AU"/>
              </w:rPr>
              <w:t>weight</w:t>
            </w:r>
            <w:r w:rsidR="00EC1990">
              <w:rPr>
                <w:rFonts w:ascii="Arial Narrow" w:hAnsi="Arial Narrow" w:cstheme="minorHAnsi"/>
                <w:sz w:val="20"/>
                <w:lang w:val="en-AU"/>
              </w:rPr>
              <w:noBreakHyphen/>
            </w:r>
            <w:r w:rsidRPr="006069AA">
              <w:rPr>
                <w:rFonts w:ascii="Arial Narrow" w:hAnsi="Arial Narrow" w:cstheme="minorHAnsi"/>
                <w:sz w:val="20"/>
                <w:lang w:val="en-AU"/>
              </w:rPr>
              <w:t>based dosing</w:t>
            </w:r>
            <w:r w:rsidR="00EC1990">
              <w:rPr>
                <w:rFonts w:ascii="Arial Narrow" w:hAnsi="Arial Narrow" w:cstheme="minorHAnsi"/>
                <w:sz w:val="20"/>
                <w:lang w:val="en-AU"/>
              </w:rPr>
              <w:t xml:space="preserve"> </w:t>
            </w:r>
          </w:p>
          <w:p w14:paraId="2E579478" w14:textId="5C8369CA" w:rsidR="0047183D" w:rsidRPr="006069AA" w:rsidRDefault="0047183D" w:rsidP="001C47F4">
            <w:pPr>
              <w:pStyle w:val="TableText1"/>
              <w:keepNext/>
              <w:keepLines/>
              <w:widowControl/>
              <w:spacing w:before="0" w:after="0"/>
              <w:jc w:val="left"/>
              <w:rPr>
                <w:rFonts w:ascii="Arial Narrow" w:hAnsi="Arial Narrow" w:cstheme="minorHAnsi"/>
                <w:sz w:val="20"/>
                <w:lang w:val="en-AU"/>
              </w:rPr>
            </w:pPr>
            <w:r w:rsidRPr="006069AA">
              <w:rPr>
                <w:rFonts w:ascii="Arial Narrow" w:hAnsi="Arial Narrow" w:cstheme="minorHAnsi"/>
                <w:sz w:val="20"/>
                <w:lang w:val="en-AU"/>
              </w:rPr>
              <w:t>Step</w:t>
            </w:r>
            <w:r w:rsidR="00EC1990">
              <w:rPr>
                <w:rFonts w:ascii="Arial Narrow" w:hAnsi="Arial Narrow" w:cstheme="minorHAnsi"/>
                <w:sz w:val="20"/>
                <w:lang w:val="en-AU"/>
              </w:rPr>
              <w:noBreakHyphen/>
            </w:r>
            <w:r w:rsidRPr="006069AA">
              <w:rPr>
                <w:rFonts w:ascii="Arial Narrow" w:hAnsi="Arial Narrow" w:cstheme="minorHAnsi"/>
                <w:sz w:val="20"/>
                <w:lang w:val="en-AU"/>
              </w:rPr>
              <w:t xml:space="preserve">up doses of 0.06 mg/kg on </w:t>
            </w:r>
            <w:r w:rsidR="000F43D8" w:rsidRPr="006069AA">
              <w:rPr>
                <w:rFonts w:ascii="Arial Narrow" w:hAnsi="Arial Narrow" w:cstheme="minorHAnsi"/>
                <w:sz w:val="20"/>
                <w:lang w:val="en-AU"/>
              </w:rPr>
              <w:t>D</w:t>
            </w:r>
            <w:r w:rsidRPr="006069AA">
              <w:rPr>
                <w:rFonts w:ascii="Arial Narrow" w:hAnsi="Arial Narrow" w:cstheme="minorHAnsi"/>
                <w:sz w:val="20"/>
                <w:lang w:val="en-AU"/>
              </w:rPr>
              <w:t xml:space="preserve">ay 1 and 0.3 mg/kg on </w:t>
            </w:r>
            <w:r w:rsidR="000F43D8" w:rsidRPr="006069AA">
              <w:rPr>
                <w:rFonts w:ascii="Arial Narrow" w:hAnsi="Arial Narrow" w:cstheme="minorHAnsi"/>
                <w:sz w:val="20"/>
                <w:lang w:val="en-AU"/>
              </w:rPr>
              <w:t>D</w:t>
            </w:r>
            <w:r w:rsidRPr="006069AA">
              <w:rPr>
                <w:rFonts w:ascii="Arial Narrow" w:hAnsi="Arial Narrow" w:cstheme="minorHAnsi"/>
                <w:sz w:val="20"/>
                <w:lang w:val="en-AU"/>
              </w:rPr>
              <w:t xml:space="preserve">ay 3 followed by 1.5 mg/kg on </w:t>
            </w:r>
            <w:r w:rsidR="000F43D8" w:rsidRPr="006069AA">
              <w:rPr>
                <w:rFonts w:ascii="Arial Narrow" w:hAnsi="Arial Narrow" w:cstheme="minorHAnsi"/>
                <w:sz w:val="20"/>
                <w:lang w:val="en-AU"/>
              </w:rPr>
              <w:t>D</w:t>
            </w:r>
            <w:r w:rsidRPr="006069AA">
              <w:rPr>
                <w:rFonts w:ascii="Arial Narrow" w:hAnsi="Arial Narrow" w:cstheme="minorHAnsi"/>
                <w:sz w:val="20"/>
                <w:lang w:val="en-AU"/>
              </w:rPr>
              <w:t>ay 5 and thereafter 1.5 mg/kg once weekly</w:t>
            </w:r>
            <w:r w:rsidR="00475F96" w:rsidRPr="006069AA">
              <w:rPr>
                <w:rFonts w:ascii="Arial Narrow" w:hAnsi="Arial Narrow" w:cstheme="minorHAnsi"/>
                <w:sz w:val="20"/>
                <w:lang w:val="en-AU"/>
              </w:rPr>
              <w:t>. In patients who have a complete response or better for a minimum of 6 months, a reduced dosing frequency of 1.5 mg/kg every two weeks until disease progression or unacceptable toxicity may be considered</w:t>
            </w:r>
          </w:p>
          <w:p w14:paraId="5ABD3500" w14:textId="636D1DF1" w:rsidR="00546C5F" w:rsidRPr="006069AA" w:rsidRDefault="003C3CBA" w:rsidP="001C47F4">
            <w:pPr>
              <w:pStyle w:val="TableText1"/>
              <w:keepNext/>
              <w:keepLines/>
              <w:widowControl/>
              <w:spacing w:before="0" w:after="0"/>
              <w:jc w:val="left"/>
              <w:rPr>
                <w:rFonts w:ascii="Arial Narrow" w:hAnsi="Arial Narrow" w:cstheme="minorHAnsi"/>
                <w:sz w:val="20"/>
                <w:lang w:val="en-AU"/>
              </w:rPr>
            </w:pPr>
            <w:r w:rsidRPr="006069AA">
              <w:rPr>
                <w:rFonts w:ascii="Arial Narrow" w:hAnsi="Arial Narrow" w:cstheme="minorHAnsi"/>
                <w:sz w:val="20"/>
                <w:lang w:val="en-AU"/>
              </w:rPr>
              <w:t xml:space="preserve">Due to the risk of </w:t>
            </w:r>
            <w:r w:rsidR="00731837" w:rsidRPr="006069AA">
              <w:rPr>
                <w:rFonts w:ascii="Arial Narrow" w:hAnsi="Arial Narrow" w:cstheme="minorHAnsi"/>
                <w:sz w:val="20"/>
                <w:lang w:val="en-AU"/>
              </w:rPr>
              <w:t>CRS</w:t>
            </w:r>
            <w:r w:rsidRPr="006069AA">
              <w:rPr>
                <w:rFonts w:ascii="Arial Narrow" w:hAnsi="Arial Narrow" w:cstheme="minorHAnsi"/>
                <w:sz w:val="20"/>
                <w:lang w:val="en-AU"/>
              </w:rPr>
              <w:t xml:space="preserve">, </w:t>
            </w:r>
            <w:r w:rsidR="00731837" w:rsidRPr="006069AA">
              <w:rPr>
                <w:rFonts w:ascii="Arial Narrow" w:hAnsi="Arial Narrow" w:cstheme="minorHAnsi"/>
                <w:sz w:val="20"/>
                <w:lang w:val="en-AU"/>
              </w:rPr>
              <w:t xml:space="preserve">the TGA PI </w:t>
            </w:r>
            <w:r w:rsidRPr="006069AA">
              <w:rPr>
                <w:rFonts w:ascii="Arial Narrow" w:hAnsi="Arial Narrow" w:cstheme="minorHAnsi"/>
                <w:sz w:val="20"/>
                <w:lang w:val="en-AU"/>
              </w:rPr>
              <w:t>instruct</w:t>
            </w:r>
            <w:r w:rsidR="00731837" w:rsidRPr="006069AA">
              <w:rPr>
                <w:rFonts w:ascii="Arial Narrow" w:hAnsi="Arial Narrow" w:cstheme="minorHAnsi"/>
                <w:sz w:val="20"/>
                <w:lang w:val="en-AU"/>
              </w:rPr>
              <w:t>s</w:t>
            </w:r>
            <w:r w:rsidRPr="006069AA">
              <w:rPr>
                <w:rFonts w:ascii="Arial Narrow" w:hAnsi="Arial Narrow" w:cstheme="minorHAnsi"/>
                <w:sz w:val="20"/>
                <w:lang w:val="en-AU"/>
              </w:rPr>
              <w:t xml:space="preserve"> patients to remain within proximity of a healthcare facility and </w:t>
            </w:r>
            <w:r w:rsidR="003D667C" w:rsidRPr="006069AA">
              <w:rPr>
                <w:rFonts w:ascii="Arial Narrow" w:hAnsi="Arial Narrow" w:cstheme="minorHAnsi"/>
                <w:sz w:val="20"/>
                <w:lang w:val="en-AU"/>
              </w:rPr>
              <w:t xml:space="preserve">that they should be </w:t>
            </w:r>
            <w:r w:rsidRPr="006069AA">
              <w:rPr>
                <w:rFonts w:ascii="Arial Narrow" w:hAnsi="Arial Narrow" w:cstheme="minorHAnsi"/>
                <w:sz w:val="20"/>
                <w:lang w:val="en-AU"/>
              </w:rPr>
              <w:t>monitor</w:t>
            </w:r>
            <w:r w:rsidR="003D667C" w:rsidRPr="006069AA">
              <w:rPr>
                <w:rFonts w:ascii="Arial Narrow" w:hAnsi="Arial Narrow" w:cstheme="minorHAnsi"/>
                <w:sz w:val="20"/>
                <w:lang w:val="en-AU"/>
              </w:rPr>
              <w:t>ed</w:t>
            </w:r>
            <w:r w:rsidRPr="006069AA">
              <w:rPr>
                <w:rFonts w:ascii="Arial Narrow" w:hAnsi="Arial Narrow" w:cstheme="minorHAnsi"/>
                <w:sz w:val="20"/>
                <w:lang w:val="en-AU"/>
              </w:rPr>
              <w:t xml:space="preserve"> for </w:t>
            </w:r>
            <w:r w:rsidR="003D667C" w:rsidRPr="006069AA">
              <w:rPr>
                <w:rFonts w:ascii="Arial Narrow" w:hAnsi="Arial Narrow" w:cstheme="minorHAnsi"/>
                <w:sz w:val="20"/>
                <w:lang w:val="en-AU"/>
              </w:rPr>
              <w:t xml:space="preserve">CRS </w:t>
            </w:r>
            <w:r w:rsidRPr="006069AA">
              <w:rPr>
                <w:rFonts w:ascii="Arial Narrow" w:hAnsi="Arial Narrow" w:cstheme="minorHAnsi"/>
                <w:sz w:val="20"/>
                <w:lang w:val="en-AU"/>
              </w:rPr>
              <w:t>signs and symptoms daily for 48 hours after administration of all</w:t>
            </w:r>
            <w:r w:rsidR="009E443F" w:rsidRPr="006069AA">
              <w:rPr>
                <w:rFonts w:ascii="Arial Narrow" w:hAnsi="Arial Narrow" w:cstheme="minorHAnsi"/>
                <w:sz w:val="20"/>
                <w:lang w:val="en-AU"/>
              </w:rPr>
              <w:t xml:space="preserve"> [three]</w:t>
            </w:r>
            <w:r w:rsidRPr="006069AA">
              <w:rPr>
                <w:rFonts w:ascii="Arial Narrow" w:hAnsi="Arial Narrow" w:cstheme="minorHAnsi"/>
                <w:sz w:val="20"/>
                <w:lang w:val="en-AU"/>
              </w:rPr>
              <w:t xml:space="preserve"> doses within the step</w:t>
            </w:r>
            <w:r w:rsidR="00EC1990">
              <w:rPr>
                <w:rFonts w:ascii="Arial Narrow" w:hAnsi="Arial Narrow" w:cstheme="minorHAnsi"/>
                <w:sz w:val="20"/>
                <w:lang w:val="en-AU"/>
              </w:rPr>
              <w:noBreakHyphen/>
            </w:r>
            <w:r w:rsidRPr="006069AA">
              <w:rPr>
                <w:rFonts w:ascii="Arial Narrow" w:hAnsi="Arial Narrow" w:cstheme="minorHAnsi"/>
                <w:sz w:val="20"/>
                <w:lang w:val="en-AU"/>
              </w:rPr>
              <w:t>up dosing schedule</w:t>
            </w:r>
            <w:r w:rsidR="009E4F42" w:rsidRPr="006069AA">
              <w:rPr>
                <w:rFonts w:ascii="Arial Narrow" w:hAnsi="Arial Narrow" w:cstheme="minorHAnsi"/>
                <w:sz w:val="20"/>
                <w:lang w:val="en-AU"/>
              </w:rPr>
              <w:t>.</w:t>
            </w:r>
          </w:p>
        </w:tc>
        <w:tc>
          <w:tcPr>
            <w:tcW w:w="1230" w:type="pct"/>
            <w:tcBorders>
              <w:top w:val="single" w:sz="4" w:space="0" w:color="auto"/>
              <w:left w:val="single" w:sz="4" w:space="0" w:color="auto"/>
              <w:bottom w:val="nil"/>
              <w:right w:val="single" w:sz="4" w:space="0" w:color="auto"/>
            </w:tcBorders>
          </w:tcPr>
          <w:p w14:paraId="27A72E8C" w14:textId="77777777" w:rsidR="0047183D" w:rsidRPr="006069AA" w:rsidRDefault="0047183D" w:rsidP="001C47F4">
            <w:pPr>
              <w:pStyle w:val="TableText1"/>
              <w:keepNext/>
              <w:keepLines/>
              <w:widowControl/>
              <w:spacing w:before="0" w:after="0"/>
              <w:jc w:val="left"/>
              <w:rPr>
                <w:rFonts w:ascii="Arial Narrow" w:hAnsi="Arial Narrow" w:cstheme="minorHAnsi"/>
                <w:sz w:val="20"/>
                <w:lang w:val="en-AU"/>
              </w:rPr>
            </w:pPr>
            <w:r w:rsidRPr="006069AA">
              <w:rPr>
                <w:rFonts w:ascii="Arial Narrow" w:hAnsi="Arial Narrow" w:cstheme="minorHAnsi"/>
                <w:sz w:val="20"/>
                <w:lang w:val="en-AU"/>
              </w:rPr>
              <w:t xml:space="preserve">Teclistamab, TGA PI </w:t>
            </w:r>
          </w:p>
        </w:tc>
      </w:tr>
      <w:tr w:rsidR="0047183D" w:rsidRPr="006069AA" w14:paraId="682701BF" w14:textId="77777777">
        <w:tc>
          <w:tcPr>
            <w:tcW w:w="635" w:type="pct"/>
            <w:vMerge/>
            <w:tcBorders>
              <w:right w:val="single" w:sz="4" w:space="0" w:color="auto"/>
            </w:tcBorders>
          </w:tcPr>
          <w:p w14:paraId="5A9923ED" w14:textId="77777777" w:rsidR="0047183D" w:rsidRPr="006069AA" w:rsidRDefault="0047183D" w:rsidP="001C47F4">
            <w:pPr>
              <w:pStyle w:val="TableText1"/>
              <w:widowControl/>
              <w:spacing w:before="0" w:after="0"/>
              <w:jc w:val="left"/>
              <w:rPr>
                <w:rFonts w:ascii="Arial Narrow" w:hAnsi="Arial Narrow" w:cstheme="minorHAnsi"/>
                <w:sz w:val="20"/>
                <w:lang w:val="en-AU"/>
              </w:rPr>
            </w:pPr>
          </w:p>
        </w:tc>
        <w:tc>
          <w:tcPr>
            <w:tcW w:w="3135" w:type="pct"/>
            <w:tcBorders>
              <w:top w:val="nil"/>
              <w:left w:val="single" w:sz="4" w:space="0" w:color="auto"/>
              <w:bottom w:val="single" w:sz="4" w:space="0" w:color="auto"/>
              <w:right w:val="single" w:sz="4" w:space="0" w:color="auto"/>
            </w:tcBorders>
          </w:tcPr>
          <w:p w14:paraId="40041F21" w14:textId="68B36E13" w:rsidR="0047183D" w:rsidRPr="006069AA" w:rsidRDefault="0047183D" w:rsidP="001C47F4">
            <w:pPr>
              <w:pStyle w:val="TableText1"/>
              <w:widowControl/>
              <w:spacing w:before="0" w:after="0"/>
              <w:jc w:val="left"/>
              <w:rPr>
                <w:rFonts w:ascii="Arial Narrow" w:hAnsi="Arial Narrow" w:cstheme="minorHAnsi"/>
                <w:sz w:val="20"/>
                <w:u w:val="single"/>
                <w:lang w:val="en-AU"/>
              </w:rPr>
            </w:pPr>
            <w:r w:rsidRPr="006069AA">
              <w:rPr>
                <w:rFonts w:ascii="Arial Narrow" w:hAnsi="Arial Narrow" w:cstheme="minorHAnsi"/>
                <w:sz w:val="20"/>
                <w:u w:val="single"/>
                <w:lang w:val="en-AU"/>
              </w:rPr>
              <w:t>Time to switch</w:t>
            </w:r>
            <w:r w:rsidR="001D71F9">
              <w:rPr>
                <w:rFonts w:ascii="Arial Narrow" w:hAnsi="Arial Narrow" w:cstheme="minorHAnsi"/>
                <w:sz w:val="20"/>
                <w:u w:val="single"/>
                <w:lang w:val="en-AU"/>
              </w:rPr>
              <w:t xml:space="preserve"> assumptions</w:t>
            </w:r>
            <w:r w:rsidR="00666A36">
              <w:rPr>
                <w:rFonts w:ascii="Arial Narrow" w:hAnsi="Arial Narrow" w:cstheme="minorHAnsi"/>
                <w:sz w:val="20"/>
                <w:u w:val="single"/>
                <w:lang w:val="en-AU"/>
              </w:rPr>
              <w:t>:</w:t>
            </w:r>
          </w:p>
          <w:p w14:paraId="77A55DBE" w14:textId="77777777" w:rsidR="00475F96" w:rsidRPr="006069AA" w:rsidRDefault="00475F96" w:rsidP="001C47F4">
            <w:pPr>
              <w:pStyle w:val="TableText1"/>
              <w:widowControl/>
              <w:spacing w:before="0" w:after="0"/>
              <w:jc w:val="left"/>
              <w:rPr>
                <w:rFonts w:ascii="Arial Narrow" w:hAnsi="Arial Narrow" w:cstheme="minorHAnsi"/>
                <w:sz w:val="20"/>
                <w:lang w:val="en-AU"/>
              </w:rPr>
            </w:pPr>
            <w:r w:rsidRPr="006069AA">
              <w:rPr>
                <w:rFonts w:ascii="Arial Narrow" w:hAnsi="Arial Narrow" w:cstheme="minorHAnsi"/>
                <w:sz w:val="20"/>
                <w:lang w:val="en-AU"/>
              </w:rPr>
              <w:t xml:space="preserve">QW: 100% Week 2 to Week 26 </w:t>
            </w:r>
          </w:p>
          <w:p w14:paraId="303D97DD" w14:textId="2878BC73" w:rsidR="0047183D" w:rsidRPr="006069AA" w:rsidRDefault="0047183D" w:rsidP="001C47F4">
            <w:pPr>
              <w:pStyle w:val="TableText1"/>
              <w:widowControl/>
              <w:spacing w:before="0" w:after="0"/>
              <w:jc w:val="left"/>
              <w:rPr>
                <w:rFonts w:ascii="Arial Narrow" w:hAnsi="Arial Narrow" w:cstheme="minorHAnsi"/>
                <w:sz w:val="20"/>
                <w:lang w:val="en-AU"/>
              </w:rPr>
            </w:pPr>
            <w:r w:rsidRPr="006069AA">
              <w:rPr>
                <w:rFonts w:ascii="Arial Narrow" w:hAnsi="Arial Narrow" w:cstheme="minorHAnsi"/>
                <w:sz w:val="20"/>
                <w:lang w:val="en-AU"/>
              </w:rPr>
              <w:t xml:space="preserve">QW to Q2W: </w:t>
            </w:r>
            <w:r w:rsidR="00475F96" w:rsidRPr="006069AA">
              <w:rPr>
                <w:rFonts w:ascii="Arial Narrow" w:hAnsi="Arial Narrow" w:cstheme="minorHAnsi"/>
                <w:sz w:val="20"/>
                <w:lang w:val="en-AU"/>
              </w:rPr>
              <w:t xml:space="preserve">39% </w:t>
            </w:r>
            <w:r w:rsidRPr="006069AA">
              <w:rPr>
                <w:rFonts w:ascii="Arial Narrow" w:hAnsi="Arial Narrow" w:cstheme="minorHAnsi"/>
                <w:sz w:val="20"/>
                <w:lang w:val="en-AU"/>
              </w:rPr>
              <w:t xml:space="preserve">at </w:t>
            </w:r>
            <w:r w:rsidR="00DE237E" w:rsidRPr="006069AA">
              <w:rPr>
                <w:rFonts w:ascii="Arial Narrow" w:hAnsi="Arial Narrow" w:cstheme="minorHAnsi"/>
                <w:sz w:val="20"/>
                <w:lang w:val="en-AU"/>
              </w:rPr>
              <w:t>W</w:t>
            </w:r>
            <w:r w:rsidRPr="006069AA">
              <w:rPr>
                <w:rFonts w:ascii="Arial Narrow" w:hAnsi="Arial Narrow" w:cstheme="minorHAnsi"/>
                <w:sz w:val="20"/>
                <w:lang w:val="en-AU"/>
              </w:rPr>
              <w:t>eek 27</w:t>
            </w:r>
            <w:r w:rsidR="0066729F" w:rsidRPr="006069AA">
              <w:rPr>
                <w:rFonts w:ascii="Arial Narrow" w:hAnsi="Arial Narrow" w:cstheme="minorHAnsi"/>
                <w:sz w:val="20"/>
                <w:lang w:val="en-AU"/>
              </w:rPr>
              <w:t>, increasingly linearly to</w:t>
            </w:r>
            <w:r w:rsidR="00F14A55" w:rsidRPr="006069AA">
              <w:rPr>
                <w:rFonts w:ascii="Arial Narrow" w:hAnsi="Arial Narrow" w:cstheme="minorHAnsi"/>
                <w:sz w:val="20"/>
                <w:lang w:val="en-AU"/>
              </w:rPr>
              <w:t xml:space="preserve"> </w:t>
            </w:r>
            <w:r w:rsidR="0066729F" w:rsidRPr="006069AA">
              <w:rPr>
                <w:rFonts w:ascii="Arial Narrow" w:hAnsi="Arial Narrow" w:cstheme="minorHAnsi"/>
                <w:sz w:val="20"/>
                <w:lang w:val="en-AU"/>
              </w:rPr>
              <w:t>64.5% at</w:t>
            </w:r>
            <w:r w:rsidRPr="006069AA">
              <w:rPr>
                <w:rFonts w:ascii="Arial Narrow" w:hAnsi="Arial Narrow" w:cstheme="minorHAnsi"/>
                <w:sz w:val="20"/>
                <w:lang w:val="en-AU"/>
              </w:rPr>
              <w:t xml:space="preserve"> </w:t>
            </w:r>
            <w:r w:rsidR="00A91132" w:rsidRPr="006069AA">
              <w:rPr>
                <w:rFonts w:ascii="Arial Narrow" w:hAnsi="Arial Narrow" w:cstheme="minorHAnsi"/>
                <w:sz w:val="20"/>
                <w:lang w:val="en-AU"/>
              </w:rPr>
              <w:t>W</w:t>
            </w:r>
            <w:r w:rsidRPr="006069AA">
              <w:rPr>
                <w:rFonts w:ascii="Arial Narrow" w:hAnsi="Arial Narrow" w:cstheme="minorHAnsi"/>
                <w:sz w:val="20"/>
                <w:lang w:val="en-AU"/>
              </w:rPr>
              <w:t>eek 53</w:t>
            </w:r>
          </w:p>
        </w:tc>
        <w:tc>
          <w:tcPr>
            <w:tcW w:w="1230" w:type="pct"/>
            <w:tcBorders>
              <w:top w:val="nil"/>
              <w:left w:val="single" w:sz="4" w:space="0" w:color="auto"/>
              <w:bottom w:val="single" w:sz="4" w:space="0" w:color="auto"/>
              <w:right w:val="single" w:sz="4" w:space="0" w:color="auto"/>
            </w:tcBorders>
          </w:tcPr>
          <w:p w14:paraId="5D9FE0C0" w14:textId="77777777" w:rsidR="005E22AC" w:rsidRDefault="005E22AC" w:rsidP="001C47F4">
            <w:pPr>
              <w:pStyle w:val="TableText1"/>
              <w:widowControl/>
              <w:spacing w:before="0" w:after="0"/>
              <w:jc w:val="left"/>
              <w:rPr>
                <w:rFonts w:ascii="Arial Narrow" w:hAnsi="Arial Narrow" w:cstheme="minorHAnsi"/>
                <w:sz w:val="20"/>
                <w:lang w:val="en-AU"/>
              </w:rPr>
            </w:pPr>
          </w:p>
          <w:p w14:paraId="45F7B50A" w14:textId="49AF1AB1" w:rsidR="0047183D" w:rsidRPr="006069AA" w:rsidRDefault="0047183D" w:rsidP="001C47F4">
            <w:pPr>
              <w:pStyle w:val="TableText1"/>
              <w:widowControl/>
              <w:spacing w:before="0" w:after="0"/>
              <w:jc w:val="left"/>
              <w:rPr>
                <w:rFonts w:ascii="Arial Narrow" w:hAnsi="Arial Narrow" w:cstheme="minorHAnsi"/>
                <w:sz w:val="20"/>
                <w:lang w:val="en-AU"/>
              </w:rPr>
            </w:pPr>
            <w:r w:rsidRPr="006069AA">
              <w:rPr>
                <w:rFonts w:ascii="Arial Narrow" w:hAnsi="Arial Narrow" w:cstheme="minorHAnsi"/>
                <w:sz w:val="20"/>
                <w:lang w:val="en-AU"/>
              </w:rPr>
              <w:t>Australian clinician survey</w:t>
            </w:r>
          </w:p>
          <w:p w14:paraId="6DB8DDEF" w14:textId="1A24D329" w:rsidR="0047183D" w:rsidRPr="006069AA" w:rsidRDefault="0047183D" w:rsidP="001C47F4">
            <w:pPr>
              <w:pStyle w:val="TableText1"/>
              <w:widowControl/>
              <w:spacing w:before="0" w:after="0"/>
              <w:jc w:val="left"/>
              <w:rPr>
                <w:rFonts w:ascii="Arial Narrow" w:hAnsi="Arial Narrow" w:cstheme="minorHAnsi"/>
                <w:sz w:val="20"/>
                <w:vertAlign w:val="superscript"/>
                <w:lang w:val="en-AU"/>
              </w:rPr>
            </w:pPr>
            <w:proofErr w:type="spellStart"/>
            <w:r w:rsidRPr="006069AA">
              <w:rPr>
                <w:rFonts w:ascii="Arial Narrow" w:hAnsi="Arial Narrow" w:cstheme="minorHAnsi"/>
                <w:sz w:val="20"/>
                <w:lang w:val="en-AU"/>
              </w:rPr>
              <w:t>Chunara</w:t>
            </w:r>
            <w:proofErr w:type="spellEnd"/>
            <w:r w:rsidRPr="006069AA">
              <w:rPr>
                <w:rFonts w:ascii="Arial Narrow" w:hAnsi="Arial Narrow" w:cstheme="minorHAnsi"/>
                <w:sz w:val="20"/>
                <w:lang w:val="en-AU"/>
              </w:rPr>
              <w:t xml:space="preserve"> et al 2025</w:t>
            </w:r>
            <w:r w:rsidR="00F434E4" w:rsidRPr="006069AA">
              <w:rPr>
                <w:rFonts w:ascii="Arial Narrow" w:hAnsi="Arial Narrow" w:cstheme="minorHAnsi"/>
                <w:sz w:val="20"/>
                <w:vertAlign w:val="superscript"/>
                <w:lang w:val="en-AU"/>
              </w:rPr>
              <w:t>a</w:t>
            </w:r>
            <w:r w:rsidR="00761842" w:rsidRPr="006069AA">
              <w:rPr>
                <w:rFonts w:ascii="Arial Narrow" w:hAnsi="Arial Narrow" w:cstheme="minorHAnsi"/>
                <w:sz w:val="20"/>
                <w:vertAlign w:val="superscript"/>
                <w:lang w:val="en-AU"/>
              </w:rPr>
              <w:t xml:space="preserve">, </w:t>
            </w:r>
            <w:r w:rsidR="009F2B17" w:rsidRPr="006069AA">
              <w:rPr>
                <w:rStyle w:val="FootnoteReference"/>
                <w:rFonts w:ascii="Arial Narrow" w:hAnsi="Arial Narrow" w:cstheme="minorHAnsi"/>
                <w:sz w:val="20"/>
                <w:lang w:val="en-AU"/>
              </w:rPr>
              <w:footnoteReference w:id="10"/>
            </w:r>
          </w:p>
        </w:tc>
      </w:tr>
    </w:tbl>
    <w:p w14:paraId="3B7AFA31" w14:textId="77777777" w:rsidR="0047183D" w:rsidRPr="000160C3" w:rsidRDefault="0047183D" w:rsidP="001C47F4">
      <w:pPr>
        <w:pStyle w:val="FooterTableFigure"/>
      </w:pPr>
      <w:r w:rsidRPr="000160C3">
        <w:t>Source: Table 3.2 p 232, Table 3.3 p236 of the submission</w:t>
      </w:r>
    </w:p>
    <w:p w14:paraId="3F9ABFFC" w14:textId="032E47CC" w:rsidR="0047183D" w:rsidRPr="000160C3" w:rsidRDefault="0047183D" w:rsidP="001C47F4">
      <w:pPr>
        <w:pStyle w:val="FooterTableFigure"/>
      </w:pPr>
      <w:r w:rsidRPr="000160C3">
        <w:t xml:space="preserve">Abbreviations: CMA = Cost Minimisation Analysis; </w:t>
      </w:r>
      <w:r w:rsidR="00E81B16" w:rsidRPr="000160C3">
        <w:t>CRS = cytokine release syndrome</w:t>
      </w:r>
      <w:r w:rsidR="00731837" w:rsidRPr="000160C3">
        <w:t>;</w:t>
      </w:r>
      <w:r w:rsidR="00B85BFA" w:rsidRPr="000160C3">
        <w:t xml:space="preserve"> ICANS = immune effector cell</w:t>
      </w:r>
      <w:r w:rsidR="00EC1990">
        <w:noBreakHyphen/>
      </w:r>
      <w:r w:rsidR="00B85BFA" w:rsidRPr="000160C3">
        <w:t>associated neurotoxicity syndrome;</w:t>
      </w:r>
      <w:r w:rsidR="00731837" w:rsidRPr="000160C3">
        <w:t xml:space="preserve"> </w:t>
      </w:r>
      <w:r w:rsidRPr="000160C3">
        <w:t xml:space="preserve">QW = weekly; Q2W = fortnightly; Q4W = monthly; SC = subcutaneous; TGA PI = Therapeutic Goods Administration product information </w:t>
      </w:r>
    </w:p>
    <w:p w14:paraId="19EF6189" w14:textId="07E8A709" w:rsidR="00F434E4" w:rsidRPr="000160C3" w:rsidRDefault="00F434E4" w:rsidP="001C47F4">
      <w:pPr>
        <w:pStyle w:val="FooterTableFigure"/>
      </w:pPr>
      <w:r w:rsidRPr="000160C3">
        <w:t xml:space="preserve">Note: a. A </w:t>
      </w:r>
      <w:r w:rsidRPr="000160C3">
        <w:rPr>
          <w:rFonts w:cs="Arial"/>
          <w:szCs w:val="20"/>
        </w:rPr>
        <w:t>real</w:t>
      </w:r>
      <w:r w:rsidR="00EC1990">
        <w:rPr>
          <w:rFonts w:cs="Arial"/>
          <w:szCs w:val="20"/>
        </w:rPr>
        <w:noBreakHyphen/>
      </w:r>
      <w:r w:rsidRPr="000160C3">
        <w:rPr>
          <w:rFonts w:cs="Arial"/>
          <w:szCs w:val="20"/>
        </w:rPr>
        <w:t xml:space="preserve">world study in the United States reporting on the treatment patterns with teclistamab monotherapy (n=501) use in clinical practice. </w:t>
      </w:r>
    </w:p>
    <w:p w14:paraId="1C9E01E5" w14:textId="14C5E5CC" w:rsidR="003B62FB" w:rsidRPr="006069AA" w:rsidRDefault="00BE5EBC" w:rsidP="001C47F4">
      <w:pPr>
        <w:pStyle w:val="3-BodyText"/>
        <w:rPr>
          <w:rFonts w:ascii="Calibri" w:hAnsi="Calibri" w:cs="Calibri"/>
        </w:rPr>
      </w:pPr>
      <w:r w:rsidRPr="006069AA">
        <w:t>Both medicines are administered weekly in the first instance but allow for less frequent dosing depending on response. The switch to less frequent dosing regimens was incorporated in the CMA</w:t>
      </w:r>
      <w:r w:rsidR="00763F8A" w:rsidRPr="006069AA">
        <w:t>;</w:t>
      </w:r>
      <w:r w:rsidRPr="006069AA">
        <w:t xml:space="preserve"> however, the time to switch</w:t>
      </w:r>
      <w:r w:rsidR="009F0CDA" w:rsidRPr="006069AA">
        <w:t>ing</w:t>
      </w:r>
      <w:r w:rsidRPr="006069AA">
        <w:t xml:space="preserve"> for teclistamab was not consistent with the Ma</w:t>
      </w:r>
      <w:r w:rsidR="0081280E" w:rsidRPr="006069AA">
        <w:t>j</w:t>
      </w:r>
      <w:r w:rsidRPr="006069AA">
        <w:t>esTEC</w:t>
      </w:r>
      <w:r w:rsidR="00EC1990">
        <w:noBreakHyphen/>
      </w:r>
      <w:r w:rsidRPr="006069AA">
        <w:t xml:space="preserve">1 </w:t>
      </w:r>
      <w:r w:rsidR="00AF2B48" w:rsidRPr="006069AA">
        <w:t>study</w:t>
      </w:r>
      <w:r w:rsidRPr="006069AA">
        <w:t xml:space="preserve"> or the TGA </w:t>
      </w:r>
      <w:r w:rsidR="00772964" w:rsidRPr="006069AA">
        <w:t>PI</w:t>
      </w:r>
      <w:r w:rsidRPr="006069AA">
        <w:t xml:space="preserve">. </w:t>
      </w:r>
    </w:p>
    <w:p w14:paraId="01AD12F5" w14:textId="369EF33E" w:rsidR="00BE5EBC" w:rsidRPr="006069AA" w:rsidRDefault="00BE5EBC" w:rsidP="001C47F4">
      <w:pPr>
        <w:pStyle w:val="3-BodyText"/>
        <w:rPr>
          <w:rFonts w:ascii="Calibri" w:hAnsi="Calibri" w:cs="Calibri"/>
        </w:rPr>
      </w:pPr>
      <w:r w:rsidRPr="006069AA">
        <w:rPr>
          <w:rFonts w:ascii="Calibri" w:hAnsi="Calibri" w:cs="Calibri"/>
        </w:rPr>
        <w:t>The timepoint for switch</w:t>
      </w:r>
      <w:r w:rsidR="006A5BB1" w:rsidRPr="006069AA">
        <w:rPr>
          <w:rFonts w:ascii="Calibri" w:hAnsi="Calibri" w:cs="Calibri"/>
        </w:rPr>
        <w:t>ing</w:t>
      </w:r>
      <w:r w:rsidRPr="006069AA">
        <w:rPr>
          <w:rFonts w:ascii="Calibri" w:hAnsi="Calibri" w:cs="Calibri"/>
        </w:rPr>
        <w:t xml:space="preserve"> between </w:t>
      </w:r>
      <w:r w:rsidR="006A5BB1" w:rsidRPr="006069AA">
        <w:rPr>
          <w:rFonts w:ascii="Calibri" w:hAnsi="Calibri" w:cs="Calibri"/>
        </w:rPr>
        <w:t xml:space="preserve">weekly (QW) </w:t>
      </w:r>
      <w:r w:rsidRPr="006069AA">
        <w:rPr>
          <w:rFonts w:ascii="Calibri" w:hAnsi="Calibri" w:cs="Calibri"/>
        </w:rPr>
        <w:t xml:space="preserve">dosing to fortnightly dosing (Q2W) </w:t>
      </w:r>
      <w:r w:rsidR="00F84085" w:rsidRPr="006069AA">
        <w:rPr>
          <w:rFonts w:ascii="Calibri" w:hAnsi="Calibri" w:cs="Calibri"/>
        </w:rPr>
        <w:t xml:space="preserve">for </w:t>
      </w:r>
      <w:r w:rsidRPr="006069AA">
        <w:rPr>
          <w:rFonts w:ascii="Calibri" w:hAnsi="Calibri" w:cs="Calibri"/>
        </w:rPr>
        <w:t xml:space="preserve">elranatamab was at </w:t>
      </w:r>
      <w:r w:rsidR="006A5BB1" w:rsidRPr="006069AA">
        <w:rPr>
          <w:rFonts w:ascii="Calibri" w:hAnsi="Calibri" w:cs="Calibri"/>
        </w:rPr>
        <w:t xml:space="preserve">Week </w:t>
      </w:r>
      <w:r w:rsidRPr="006069AA">
        <w:rPr>
          <w:rFonts w:ascii="Calibri" w:hAnsi="Calibri" w:cs="Calibri"/>
        </w:rPr>
        <w:t xml:space="preserve">28.2, based on </w:t>
      </w:r>
      <w:r w:rsidR="006A5BB1" w:rsidRPr="006069AA">
        <w:rPr>
          <w:rFonts w:ascii="Calibri" w:hAnsi="Calibri" w:cs="Calibri"/>
        </w:rPr>
        <w:t xml:space="preserve">the </w:t>
      </w:r>
      <w:r w:rsidRPr="006069AA">
        <w:rPr>
          <w:rFonts w:ascii="Calibri" w:hAnsi="Calibri" w:cs="Calibri"/>
        </w:rPr>
        <w:t>mean time of switch</w:t>
      </w:r>
      <w:r w:rsidR="006A5BB1" w:rsidRPr="006069AA">
        <w:rPr>
          <w:rFonts w:ascii="Calibri" w:hAnsi="Calibri" w:cs="Calibri"/>
        </w:rPr>
        <w:t>ing</w:t>
      </w:r>
      <w:r w:rsidRPr="006069AA">
        <w:rPr>
          <w:rFonts w:ascii="Calibri" w:hAnsi="Calibri" w:cs="Calibri"/>
        </w:rPr>
        <w:t xml:space="preserve"> to less frequent dosing reported in </w:t>
      </w:r>
      <w:proofErr w:type="spellStart"/>
      <w:r w:rsidRPr="006069AA">
        <w:rPr>
          <w:rFonts w:ascii="Calibri" w:hAnsi="Calibri" w:cs="Calibri"/>
        </w:rPr>
        <w:t>Lesokhin</w:t>
      </w:r>
      <w:proofErr w:type="spellEnd"/>
      <w:r w:rsidRPr="006069AA">
        <w:rPr>
          <w:rFonts w:ascii="Calibri" w:hAnsi="Calibri" w:cs="Calibri"/>
        </w:rPr>
        <w:t xml:space="preserve"> et al. 2023. This was consistent with the elranatamab TGA </w:t>
      </w:r>
      <w:r w:rsidR="00772964" w:rsidRPr="006069AA">
        <w:rPr>
          <w:rFonts w:ascii="Calibri" w:hAnsi="Calibri" w:cs="Calibri"/>
        </w:rPr>
        <w:t>PI</w:t>
      </w:r>
      <w:r w:rsidRPr="006069AA">
        <w:rPr>
          <w:rFonts w:ascii="Calibri" w:hAnsi="Calibri" w:cs="Calibri"/>
        </w:rPr>
        <w:t xml:space="preserve"> which recommended switch</w:t>
      </w:r>
      <w:r w:rsidR="006A5BB1" w:rsidRPr="006069AA">
        <w:rPr>
          <w:rFonts w:ascii="Calibri" w:hAnsi="Calibri" w:cs="Calibri"/>
        </w:rPr>
        <w:t>ing</w:t>
      </w:r>
      <w:r w:rsidRPr="006069AA">
        <w:rPr>
          <w:rFonts w:ascii="Calibri" w:hAnsi="Calibri" w:cs="Calibri"/>
        </w:rPr>
        <w:t xml:space="preserve"> to less frequent dosing after 24 weeks of treatment assuming maintained response. </w:t>
      </w:r>
    </w:p>
    <w:p w14:paraId="67BCEFAF" w14:textId="2CA4B1FB" w:rsidR="00BE5EBC" w:rsidRPr="006069AA" w:rsidRDefault="00BE5EBC" w:rsidP="001C47F4">
      <w:pPr>
        <w:pStyle w:val="3-BodyText"/>
        <w:rPr>
          <w:rFonts w:ascii="Calibri" w:hAnsi="Calibri" w:cs="Calibri"/>
        </w:rPr>
      </w:pPr>
      <w:r w:rsidRPr="006069AA">
        <w:rPr>
          <w:rFonts w:ascii="Calibri" w:hAnsi="Calibri" w:cs="Calibri"/>
        </w:rPr>
        <w:t xml:space="preserve">The submission assumed patients treated with elranatamab would switch from Q2W to every 4 weeks (Q4W) </w:t>
      </w:r>
      <w:r w:rsidR="00DD570A" w:rsidRPr="006069AA">
        <w:rPr>
          <w:rFonts w:ascii="Calibri" w:hAnsi="Calibri" w:cs="Calibri"/>
        </w:rPr>
        <w:t xml:space="preserve">dosing </w:t>
      </w:r>
      <w:r w:rsidRPr="006069AA">
        <w:rPr>
          <w:rFonts w:ascii="Calibri" w:hAnsi="Calibri" w:cs="Calibri"/>
        </w:rPr>
        <w:t xml:space="preserve">from 52 weeks (i.e. 24 weeks after switching to Q2W). </w:t>
      </w:r>
      <w:r w:rsidRPr="006069AA">
        <w:rPr>
          <w:rFonts w:ascii="Calibri" w:hAnsi="Calibri" w:cs="Calibri"/>
        </w:rPr>
        <w:lastRenderedPageBreak/>
        <w:t>This was reasonable and consistent with the recommendation in the elranatamab TGA PI and the median time since the dose switch from Q2W to Q4W (6.5 months) reported in MagnetismMM</w:t>
      </w:r>
      <w:r w:rsidR="00EC1990">
        <w:rPr>
          <w:rFonts w:ascii="Calibri" w:hAnsi="Calibri" w:cs="Calibri"/>
        </w:rPr>
        <w:noBreakHyphen/>
      </w:r>
      <w:r w:rsidRPr="006069AA">
        <w:rPr>
          <w:rFonts w:ascii="Calibri" w:hAnsi="Calibri" w:cs="Calibri"/>
        </w:rPr>
        <w:t>3 (Prince et al</w:t>
      </w:r>
      <w:r w:rsidR="00772964" w:rsidRPr="006069AA">
        <w:rPr>
          <w:rFonts w:ascii="Calibri" w:hAnsi="Calibri" w:cs="Calibri"/>
        </w:rPr>
        <w:t>.</w:t>
      </w:r>
      <w:r w:rsidRPr="006069AA">
        <w:rPr>
          <w:rFonts w:ascii="Calibri" w:hAnsi="Calibri" w:cs="Calibri"/>
        </w:rPr>
        <w:t xml:space="preserve"> 2024). </w:t>
      </w:r>
    </w:p>
    <w:p w14:paraId="5643ECA2" w14:textId="2C765273" w:rsidR="00BE5EBC" w:rsidRPr="006069AA" w:rsidRDefault="00BE5EBC" w:rsidP="001C47F4">
      <w:pPr>
        <w:pStyle w:val="3-BodyText"/>
        <w:rPr>
          <w:rFonts w:ascii="Calibri" w:hAnsi="Calibri" w:cs="Calibri"/>
        </w:rPr>
      </w:pPr>
      <w:r w:rsidRPr="006069AA">
        <w:rPr>
          <w:rFonts w:ascii="Calibri" w:hAnsi="Calibri" w:cs="Calibri"/>
        </w:rPr>
        <w:t>The submission assumed</w:t>
      </w:r>
      <w:r w:rsidR="0026361B" w:rsidRPr="006069AA">
        <w:rPr>
          <w:rFonts w:ascii="Calibri" w:hAnsi="Calibri" w:cs="Calibri"/>
        </w:rPr>
        <w:t xml:space="preserve"> 30% </w:t>
      </w:r>
      <w:r w:rsidR="00ED48CD" w:rsidRPr="006069AA">
        <w:rPr>
          <w:rFonts w:ascii="Calibri" w:hAnsi="Calibri" w:cs="Calibri"/>
        </w:rPr>
        <w:t>o</w:t>
      </w:r>
      <w:r w:rsidR="000E42B3" w:rsidRPr="006069AA">
        <w:rPr>
          <w:rFonts w:ascii="Calibri" w:hAnsi="Calibri" w:cs="Calibri"/>
        </w:rPr>
        <w:t xml:space="preserve">f patients would receive </w:t>
      </w:r>
      <w:r w:rsidR="00B423A1" w:rsidRPr="006069AA">
        <w:rPr>
          <w:rFonts w:ascii="Calibri" w:hAnsi="Calibri" w:cs="Calibri"/>
        </w:rPr>
        <w:t xml:space="preserve">elranatamab </w:t>
      </w:r>
      <w:r w:rsidR="000E42B3" w:rsidRPr="006069AA">
        <w:rPr>
          <w:rFonts w:ascii="Calibri" w:hAnsi="Calibri" w:cs="Calibri"/>
        </w:rPr>
        <w:t xml:space="preserve">QW dosing </w:t>
      </w:r>
      <w:r w:rsidR="00A61BCA" w:rsidRPr="006069AA">
        <w:rPr>
          <w:rFonts w:ascii="Calibri" w:hAnsi="Calibri" w:cs="Calibri"/>
        </w:rPr>
        <w:t>over</w:t>
      </w:r>
      <w:r w:rsidR="000E42B3" w:rsidRPr="006069AA">
        <w:rPr>
          <w:rFonts w:ascii="Calibri" w:hAnsi="Calibri" w:cs="Calibri"/>
        </w:rPr>
        <w:t xml:space="preserve"> 71 weeks treatment duration </w:t>
      </w:r>
      <w:r w:rsidR="00A61BCA" w:rsidRPr="006069AA">
        <w:rPr>
          <w:rFonts w:ascii="Calibri" w:hAnsi="Calibri" w:cs="Calibri"/>
        </w:rPr>
        <w:t>, while</w:t>
      </w:r>
      <w:r w:rsidRPr="006069AA">
        <w:rPr>
          <w:rFonts w:ascii="Calibri" w:hAnsi="Calibri" w:cs="Calibri"/>
        </w:rPr>
        <w:t xml:space="preserve"> 47.2% of patients would switch from QW dosing to Q2W at </w:t>
      </w:r>
      <w:r w:rsidR="00741C35" w:rsidRPr="006069AA">
        <w:rPr>
          <w:rFonts w:ascii="Calibri" w:hAnsi="Calibri" w:cs="Calibri"/>
        </w:rPr>
        <w:t xml:space="preserve">Week </w:t>
      </w:r>
      <w:r w:rsidRPr="006069AA">
        <w:rPr>
          <w:rFonts w:ascii="Calibri" w:hAnsi="Calibri" w:cs="Calibri"/>
        </w:rPr>
        <w:t xml:space="preserve">28.2, and 22.8% would switch to Q4W dosing at </w:t>
      </w:r>
      <w:r w:rsidR="00741C35" w:rsidRPr="006069AA">
        <w:rPr>
          <w:rFonts w:ascii="Calibri" w:hAnsi="Calibri" w:cs="Calibri"/>
        </w:rPr>
        <w:t xml:space="preserve">Week </w:t>
      </w:r>
      <w:r w:rsidRPr="006069AA">
        <w:rPr>
          <w:rFonts w:ascii="Calibri" w:hAnsi="Calibri" w:cs="Calibri"/>
        </w:rPr>
        <w:t>52, based on the results from MagnetisMM</w:t>
      </w:r>
      <w:r w:rsidR="00EC1990">
        <w:rPr>
          <w:rFonts w:ascii="Calibri" w:hAnsi="Calibri" w:cs="Calibri"/>
        </w:rPr>
        <w:noBreakHyphen/>
      </w:r>
      <w:r w:rsidRPr="006069AA">
        <w:rPr>
          <w:rFonts w:ascii="Calibri" w:hAnsi="Calibri" w:cs="Calibri"/>
        </w:rPr>
        <w:t xml:space="preserve">3 </w:t>
      </w:r>
      <w:r w:rsidRPr="006069AA">
        <w:rPr>
          <w:rFonts w:ascii="Calibri" w:hAnsi="Calibri" w:cs="Calibri"/>
        </w:rPr>
        <w:fldChar w:fldCharType="begin">
          <w:fldData xml:space="preserve">PEVuZE5vdGU+PENpdGU+PEF1dGhvcj5QcmluY2U8L0F1dGhvcj48WWVhcj4yMDI0PC9ZZWFyPjxS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</w:fldData>
        </w:fldChar>
      </w:r>
      <w:r w:rsidRPr="006069AA">
        <w:rPr>
          <w:rFonts w:ascii="Calibri" w:hAnsi="Calibri" w:cs="Calibri"/>
        </w:rPr>
        <w:instrText xml:space="preserve"> ADDIN EN.CITE </w:instrText>
      </w:r>
      <w:r w:rsidRPr="006069AA">
        <w:rPr>
          <w:rFonts w:ascii="Calibri" w:hAnsi="Calibri" w:cs="Calibri"/>
        </w:rPr>
        <w:fldChar w:fldCharType="begin">
          <w:fldData xml:space="preserve">PEVuZE5vdGU+PENpdGU+PEF1dGhvcj5QcmluY2U8L0F1dGhvcj48WWVhcj4yMDI0PC9ZZWFyPjxS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</w:fldData>
        </w:fldChar>
      </w:r>
      <w:r w:rsidRPr="006069AA">
        <w:rPr>
          <w:rFonts w:ascii="Calibri" w:hAnsi="Calibri" w:cs="Calibri"/>
        </w:rPr>
        <w:instrText xml:space="preserve"> ADDIN EN.CITE.DATA </w:instrText>
      </w:r>
      <w:r w:rsidRPr="006069AA">
        <w:rPr>
          <w:rFonts w:ascii="Calibri" w:hAnsi="Calibri" w:cs="Calibri"/>
        </w:rPr>
      </w:r>
      <w:r w:rsidRPr="006069AA">
        <w:rPr>
          <w:rFonts w:ascii="Calibri" w:hAnsi="Calibri" w:cs="Calibri"/>
        </w:rPr>
        <w:fldChar w:fldCharType="end"/>
      </w:r>
      <w:r w:rsidRPr="006069AA">
        <w:rPr>
          <w:rFonts w:ascii="Calibri" w:hAnsi="Calibri" w:cs="Calibri"/>
        </w:rPr>
      </w:r>
      <w:r w:rsidRPr="006069AA">
        <w:rPr>
          <w:rFonts w:ascii="Calibri" w:hAnsi="Calibri" w:cs="Calibri"/>
        </w:rPr>
        <w:fldChar w:fldCharType="separate"/>
      </w:r>
      <w:r w:rsidRPr="006069AA">
        <w:rPr>
          <w:rFonts w:ascii="Calibri" w:hAnsi="Calibri" w:cs="Calibri"/>
        </w:rPr>
        <w:t>(Prince et al., 2024)</w:t>
      </w:r>
      <w:r w:rsidRPr="006069AA">
        <w:rPr>
          <w:rFonts w:ascii="Calibri" w:hAnsi="Calibri" w:cs="Calibri"/>
        </w:rPr>
        <w:fldChar w:fldCharType="end"/>
      </w:r>
      <w:r w:rsidRPr="006069AA">
        <w:rPr>
          <w:rFonts w:ascii="Calibri" w:hAnsi="Calibri" w:cs="Calibri"/>
        </w:rPr>
        <w:t xml:space="preserve">. </w:t>
      </w:r>
    </w:p>
    <w:p w14:paraId="2ACA7325" w14:textId="1CC70793" w:rsidR="00042800" w:rsidRPr="006069AA" w:rsidRDefault="00BE5EBC" w:rsidP="001C47F4">
      <w:pPr>
        <w:pStyle w:val="3-BodyText"/>
        <w:rPr>
          <w:rFonts w:ascii="Calibri" w:hAnsi="Calibri" w:cs="Calibri"/>
        </w:rPr>
      </w:pPr>
      <w:bookmarkStart w:id="52" w:name="_Ref221265433"/>
      <w:r w:rsidRPr="006069AA">
        <w:rPr>
          <w:rFonts w:ascii="Calibri" w:hAnsi="Calibri" w:cs="Calibri"/>
        </w:rPr>
        <w:t xml:space="preserve">The timepoint for switching from teclistamab QW dosing to Q2W used in the CMA was 6 months (i.e. from </w:t>
      </w:r>
      <w:r w:rsidR="00BE4DD2" w:rsidRPr="006069AA">
        <w:rPr>
          <w:rFonts w:ascii="Calibri" w:hAnsi="Calibri" w:cs="Calibri"/>
        </w:rPr>
        <w:t xml:space="preserve">Week </w:t>
      </w:r>
      <w:r w:rsidRPr="006069AA">
        <w:rPr>
          <w:rFonts w:ascii="Calibri" w:hAnsi="Calibri" w:cs="Calibri"/>
        </w:rPr>
        <w:t>27). This was based on input from Australian haematologists and the mean time to CR or better as observed in MajesTEC</w:t>
      </w:r>
      <w:r w:rsidR="00EC1990">
        <w:rPr>
          <w:rFonts w:ascii="Calibri" w:hAnsi="Calibri" w:cs="Calibri"/>
        </w:rPr>
        <w:noBreakHyphen/>
      </w:r>
      <w:r w:rsidRPr="006069AA">
        <w:rPr>
          <w:rFonts w:ascii="Calibri" w:hAnsi="Calibri" w:cs="Calibri"/>
        </w:rPr>
        <w:t>1</w:t>
      </w:r>
      <w:r w:rsidR="00BE4DD2" w:rsidRPr="006069AA">
        <w:rPr>
          <w:rFonts w:ascii="Calibri" w:hAnsi="Calibri" w:cs="Calibri"/>
        </w:rPr>
        <w:t>,</w:t>
      </w:r>
      <w:r w:rsidRPr="006069AA">
        <w:rPr>
          <w:rFonts w:ascii="Calibri" w:hAnsi="Calibri" w:cs="Calibri"/>
        </w:rPr>
        <w:t xml:space="preserve"> RP2D</w:t>
      </w:r>
      <w:r w:rsidR="00BE4DD2" w:rsidRPr="006069AA">
        <w:rPr>
          <w:rFonts w:ascii="Calibri" w:hAnsi="Calibri" w:cs="Calibri"/>
        </w:rPr>
        <w:t xml:space="preserve"> population</w:t>
      </w:r>
      <w:r w:rsidRPr="006069AA">
        <w:rPr>
          <w:rFonts w:ascii="Calibri" w:hAnsi="Calibri" w:cs="Calibri"/>
        </w:rPr>
        <w:t xml:space="preserve"> (6.47 months). This was inconsistent with the approach used to inform switching for elranatamab </w:t>
      </w:r>
      <w:r w:rsidR="006C68EF">
        <w:rPr>
          <w:rFonts w:ascii="Calibri" w:hAnsi="Calibri" w:cs="Calibri"/>
        </w:rPr>
        <w:t xml:space="preserve">(study based) </w:t>
      </w:r>
      <w:r w:rsidRPr="006069AA">
        <w:rPr>
          <w:rFonts w:ascii="Calibri" w:hAnsi="Calibri" w:cs="Calibri"/>
        </w:rPr>
        <w:t xml:space="preserve">and the recommendation in teclistamab TGA </w:t>
      </w:r>
      <w:r w:rsidR="00717793" w:rsidRPr="006069AA">
        <w:rPr>
          <w:rFonts w:ascii="Calibri" w:hAnsi="Calibri" w:cs="Calibri"/>
        </w:rPr>
        <w:t>PI</w:t>
      </w:r>
      <w:r w:rsidRPr="006069AA">
        <w:rPr>
          <w:rFonts w:ascii="Calibri" w:hAnsi="Calibri" w:cs="Calibri"/>
        </w:rPr>
        <w:t>, which recommended switch</w:t>
      </w:r>
      <w:r w:rsidR="003A0352" w:rsidRPr="006069AA">
        <w:rPr>
          <w:rFonts w:ascii="Calibri" w:hAnsi="Calibri" w:cs="Calibri"/>
        </w:rPr>
        <w:t>ing</w:t>
      </w:r>
      <w:r w:rsidRPr="006069AA">
        <w:rPr>
          <w:rFonts w:ascii="Calibri" w:hAnsi="Calibri" w:cs="Calibri"/>
        </w:rPr>
        <w:t xml:space="preserve"> to Q2W dosing </w:t>
      </w:r>
      <w:r w:rsidR="00B77706" w:rsidRPr="006069AA">
        <w:rPr>
          <w:rFonts w:ascii="Calibri" w:hAnsi="Calibri" w:cs="Calibri"/>
        </w:rPr>
        <w:t xml:space="preserve">in patients who have </w:t>
      </w:r>
      <w:r w:rsidRPr="006069AA">
        <w:rPr>
          <w:rFonts w:ascii="Calibri" w:hAnsi="Calibri" w:cs="Calibri"/>
        </w:rPr>
        <w:t xml:space="preserve">maintained CR or better for a minimum of 6 months. </w:t>
      </w:r>
      <w:r w:rsidR="00B77706" w:rsidRPr="006069AA">
        <w:rPr>
          <w:rFonts w:ascii="Calibri" w:hAnsi="Calibri" w:cs="Calibri"/>
        </w:rPr>
        <w:t>The m</w:t>
      </w:r>
      <w:r w:rsidRPr="006069AA">
        <w:rPr>
          <w:rFonts w:ascii="Calibri" w:hAnsi="Calibri" w:cs="Calibri"/>
        </w:rPr>
        <w:t xml:space="preserve">ean time to CR or better </w:t>
      </w:r>
      <w:r w:rsidR="000F7F34" w:rsidRPr="006069AA">
        <w:rPr>
          <w:rFonts w:ascii="Calibri" w:hAnsi="Calibri" w:cs="Calibri"/>
        </w:rPr>
        <w:t>in MajesTEC</w:t>
      </w:r>
      <w:r w:rsidR="00EC1990">
        <w:rPr>
          <w:rFonts w:ascii="Calibri" w:hAnsi="Calibri" w:cs="Calibri"/>
        </w:rPr>
        <w:noBreakHyphen/>
      </w:r>
      <w:r w:rsidR="000F7F34" w:rsidRPr="006069AA">
        <w:rPr>
          <w:rFonts w:ascii="Calibri" w:hAnsi="Calibri" w:cs="Calibri"/>
        </w:rPr>
        <w:t xml:space="preserve">1 </w:t>
      </w:r>
      <w:r w:rsidR="00130825" w:rsidRPr="006069AA">
        <w:rPr>
          <w:rFonts w:ascii="Calibri" w:hAnsi="Calibri" w:cs="Calibri"/>
        </w:rPr>
        <w:t xml:space="preserve">(6.47 months) </w:t>
      </w:r>
      <w:r w:rsidRPr="006069AA">
        <w:rPr>
          <w:rFonts w:ascii="Calibri" w:hAnsi="Calibri" w:cs="Calibri"/>
        </w:rPr>
        <w:t>was considerably shorter than the mean time to switch</w:t>
      </w:r>
      <w:r w:rsidR="007E7C80" w:rsidRPr="006069AA">
        <w:rPr>
          <w:rFonts w:ascii="Calibri" w:hAnsi="Calibri" w:cs="Calibri"/>
        </w:rPr>
        <w:t>ing</w:t>
      </w:r>
      <w:r w:rsidRPr="006069AA">
        <w:rPr>
          <w:rFonts w:ascii="Calibri" w:hAnsi="Calibri" w:cs="Calibri"/>
        </w:rPr>
        <w:t xml:space="preserve"> of 12.3 months in MajesTEC</w:t>
      </w:r>
      <w:r w:rsidR="00EC1990">
        <w:rPr>
          <w:rFonts w:ascii="Calibri" w:hAnsi="Calibri" w:cs="Calibri"/>
        </w:rPr>
        <w:noBreakHyphen/>
      </w:r>
      <w:r w:rsidRPr="006069AA">
        <w:rPr>
          <w:rFonts w:ascii="Calibri" w:hAnsi="Calibri" w:cs="Calibri"/>
        </w:rPr>
        <w:t>1</w:t>
      </w:r>
      <w:r w:rsidR="00F319AD" w:rsidRPr="006069AA">
        <w:rPr>
          <w:rFonts w:ascii="Calibri" w:hAnsi="Calibri" w:cs="Calibri"/>
        </w:rPr>
        <w:t>,</w:t>
      </w:r>
      <w:r w:rsidRPr="006069AA">
        <w:rPr>
          <w:rFonts w:ascii="Calibri" w:hAnsi="Calibri" w:cs="Calibri"/>
        </w:rPr>
        <w:t xml:space="preserve"> RP2D </w:t>
      </w:r>
      <w:r w:rsidR="00F319AD" w:rsidRPr="006069AA">
        <w:rPr>
          <w:rFonts w:ascii="Calibri" w:hAnsi="Calibri" w:cs="Calibri"/>
        </w:rPr>
        <w:t>population</w:t>
      </w:r>
      <w:r w:rsidR="004775B1" w:rsidRPr="006069AA">
        <w:rPr>
          <w:rFonts w:ascii="Calibri" w:hAnsi="Calibri" w:cs="Calibri"/>
        </w:rPr>
        <w:t>.</w:t>
      </w:r>
      <w:r w:rsidRPr="006069AA">
        <w:rPr>
          <w:rFonts w:ascii="Calibri" w:hAnsi="Calibri" w:cs="Calibri"/>
        </w:rPr>
        <w:t xml:space="preserve"> </w:t>
      </w:r>
      <w:r w:rsidR="003303D5" w:rsidRPr="006069AA">
        <w:rPr>
          <w:rFonts w:ascii="Calibri" w:hAnsi="Calibri" w:cs="Calibri"/>
        </w:rPr>
        <w:t xml:space="preserve">The time to switching to teclistamab Q2W at </w:t>
      </w:r>
      <w:r w:rsidR="00CE6F78" w:rsidRPr="006069AA">
        <w:rPr>
          <w:rFonts w:ascii="Calibri" w:hAnsi="Calibri" w:cs="Calibri"/>
        </w:rPr>
        <w:t>12.3</w:t>
      </w:r>
      <w:r w:rsidR="003303D5" w:rsidRPr="006069AA">
        <w:rPr>
          <w:rFonts w:ascii="Calibri" w:hAnsi="Calibri" w:cs="Calibri"/>
        </w:rPr>
        <w:t xml:space="preserve"> months observed in </w:t>
      </w:r>
      <w:r w:rsidR="00CE6F78" w:rsidRPr="006069AA">
        <w:rPr>
          <w:rFonts w:ascii="Calibri" w:hAnsi="Calibri" w:cs="Calibri"/>
        </w:rPr>
        <w:t>MajesTEC</w:t>
      </w:r>
      <w:r w:rsidR="00EC1990">
        <w:rPr>
          <w:rFonts w:ascii="Calibri" w:hAnsi="Calibri" w:cs="Calibri"/>
        </w:rPr>
        <w:noBreakHyphen/>
      </w:r>
      <w:r w:rsidR="00CE6F78" w:rsidRPr="006069AA">
        <w:rPr>
          <w:rFonts w:ascii="Calibri" w:hAnsi="Calibri" w:cs="Calibri"/>
        </w:rPr>
        <w:t>1 RP2D</w:t>
      </w:r>
      <w:r w:rsidR="003303D5" w:rsidRPr="006069AA">
        <w:rPr>
          <w:rFonts w:ascii="Calibri" w:hAnsi="Calibri" w:cs="Calibri"/>
        </w:rPr>
        <w:t xml:space="preserve"> should have been used to inform the CMA, rather than the time to </w:t>
      </w:r>
      <w:r w:rsidR="00CE6F78" w:rsidRPr="006069AA">
        <w:rPr>
          <w:rFonts w:ascii="Calibri" w:hAnsi="Calibri" w:cs="Calibri"/>
        </w:rPr>
        <w:t>CR</w:t>
      </w:r>
      <w:r w:rsidR="003303D5" w:rsidRPr="006069AA">
        <w:rPr>
          <w:rFonts w:ascii="Calibri" w:hAnsi="Calibri" w:cs="Calibri"/>
        </w:rPr>
        <w:t xml:space="preserve"> or better</w:t>
      </w:r>
      <w:r w:rsidR="00CE6F78" w:rsidRPr="006069AA">
        <w:rPr>
          <w:rFonts w:ascii="Calibri" w:hAnsi="Calibri" w:cs="Calibri"/>
        </w:rPr>
        <w:t xml:space="preserve">. </w:t>
      </w:r>
      <w:r w:rsidR="00042800" w:rsidRPr="006069AA">
        <w:t>The PSCR stated that although not consistent with the TGA PI or the MajesTEC</w:t>
      </w:r>
      <w:r w:rsidR="00EC1990">
        <w:noBreakHyphen/>
      </w:r>
      <w:r w:rsidR="00042800" w:rsidRPr="006069AA">
        <w:t xml:space="preserve">1 </w:t>
      </w:r>
      <w:r w:rsidR="001E7E64" w:rsidRPr="006069AA">
        <w:t>study</w:t>
      </w:r>
      <w:r w:rsidR="00042800" w:rsidRPr="006069AA">
        <w:t>, the dosing schedule applied in the CMA was reflective of how teclistamab will be used in clinical practice. The ESC considered that the dosing schedule used in the MajesTEC</w:t>
      </w:r>
      <w:r w:rsidR="00EC1990">
        <w:noBreakHyphen/>
      </w:r>
      <w:r w:rsidR="00042800" w:rsidRPr="006069AA">
        <w:t>1 study and outlined in the PI should be applied in the CMA. The ESC advised that for an alternate dosing schedule to be considered, a submission to the TGA should be made.</w:t>
      </w:r>
      <w:bookmarkEnd w:id="52"/>
      <w:r w:rsidR="008B23F7">
        <w:t xml:space="preserve"> </w:t>
      </w:r>
    </w:p>
    <w:p w14:paraId="719D8552" w14:textId="53BA5888" w:rsidR="00BE5EBC" w:rsidRPr="006069AA" w:rsidRDefault="00BE5EBC" w:rsidP="001C47F4">
      <w:pPr>
        <w:pStyle w:val="3-BodyText"/>
        <w:rPr>
          <w:rFonts w:ascii="Calibri" w:hAnsi="Calibri" w:cs="Calibri"/>
        </w:rPr>
      </w:pPr>
      <w:r w:rsidRPr="006069AA">
        <w:rPr>
          <w:rFonts w:ascii="Calibri" w:hAnsi="Calibri" w:cs="Calibri"/>
        </w:rPr>
        <w:t xml:space="preserve">The submission assumed that 39.0% of teclistamab patients would switch from QW to Q2W at </w:t>
      </w:r>
      <w:r w:rsidR="00B50871" w:rsidRPr="006069AA">
        <w:rPr>
          <w:rFonts w:ascii="Calibri" w:hAnsi="Calibri" w:cs="Calibri"/>
        </w:rPr>
        <w:t xml:space="preserve">Week </w:t>
      </w:r>
      <w:r w:rsidRPr="006069AA">
        <w:rPr>
          <w:rFonts w:ascii="Calibri" w:hAnsi="Calibri" w:cs="Calibri"/>
        </w:rPr>
        <w:t>27. This was based on the proportion of patients on less frequent dosing (≥</w:t>
      </w:r>
      <w:r w:rsidR="00B50871" w:rsidRPr="006069AA">
        <w:rPr>
          <w:rFonts w:ascii="Calibri" w:hAnsi="Calibri" w:cs="Calibri"/>
        </w:rPr>
        <w:t xml:space="preserve"> </w:t>
      </w:r>
      <w:r w:rsidRPr="006069AA">
        <w:rPr>
          <w:rFonts w:ascii="Calibri" w:hAnsi="Calibri" w:cs="Calibri"/>
        </w:rPr>
        <w:t xml:space="preserve">Q2W) between </w:t>
      </w:r>
      <w:r w:rsidR="00F2639D" w:rsidRPr="006069AA">
        <w:rPr>
          <w:rFonts w:ascii="Calibri" w:hAnsi="Calibri" w:cs="Calibri"/>
        </w:rPr>
        <w:t xml:space="preserve">Days </w:t>
      </w:r>
      <w:r w:rsidRPr="006069AA">
        <w:rPr>
          <w:rFonts w:ascii="Calibri" w:hAnsi="Calibri" w:cs="Calibri"/>
        </w:rPr>
        <w:t xml:space="preserve">91 and 180 of treatment in </w:t>
      </w:r>
      <w:proofErr w:type="spellStart"/>
      <w:r w:rsidRPr="006069AA">
        <w:rPr>
          <w:rFonts w:ascii="Calibri" w:hAnsi="Calibri" w:cs="Calibri"/>
        </w:rPr>
        <w:t>Chunara</w:t>
      </w:r>
      <w:proofErr w:type="spellEnd"/>
      <w:r w:rsidRPr="006069AA">
        <w:rPr>
          <w:rFonts w:ascii="Calibri" w:hAnsi="Calibri" w:cs="Calibri"/>
        </w:rPr>
        <w:t xml:space="preserve"> et al, 2025. This proportion also included patients who switched to ≥ Q4W</w:t>
      </w:r>
      <w:r w:rsidR="00F2639D" w:rsidRPr="006069AA">
        <w:rPr>
          <w:rFonts w:ascii="Calibri" w:hAnsi="Calibri" w:cs="Calibri"/>
        </w:rPr>
        <w:t xml:space="preserve"> dosing</w:t>
      </w:r>
      <w:r w:rsidRPr="006069AA">
        <w:rPr>
          <w:rFonts w:ascii="Calibri" w:hAnsi="Calibri" w:cs="Calibri"/>
        </w:rPr>
        <w:t xml:space="preserve">, which was not consistent with dosing recommendations in the teclistamab TGA </w:t>
      </w:r>
      <w:r w:rsidR="00130825" w:rsidRPr="006069AA">
        <w:rPr>
          <w:rFonts w:ascii="Calibri" w:hAnsi="Calibri" w:cs="Calibri"/>
        </w:rPr>
        <w:t>PI</w:t>
      </w:r>
      <w:r w:rsidRPr="006069AA">
        <w:rPr>
          <w:rFonts w:ascii="Calibri" w:hAnsi="Calibri" w:cs="Calibri"/>
        </w:rPr>
        <w:t xml:space="preserve">. </w:t>
      </w:r>
    </w:p>
    <w:p w14:paraId="431088EF" w14:textId="62D717E1" w:rsidR="00BE5EBC" w:rsidRPr="006069AA" w:rsidRDefault="00BE5EBC" w:rsidP="001C47F4">
      <w:pPr>
        <w:pStyle w:val="3-BodyText"/>
        <w:rPr>
          <w:rFonts w:ascii="Calibri" w:hAnsi="Calibri" w:cs="Calibri"/>
        </w:rPr>
      </w:pPr>
      <w:r w:rsidRPr="006069AA">
        <w:rPr>
          <w:rFonts w:ascii="Calibri" w:hAnsi="Calibri" w:cs="Calibri"/>
        </w:rPr>
        <w:t xml:space="preserve">The submission assumed that the proportion of teclistamab patients on Q2W dosing would increase linearly to 64.5% by </w:t>
      </w:r>
      <w:r w:rsidR="0029276E" w:rsidRPr="006069AA">
        <w:rPr>
          <w:rFonts w:ascii="Calibri" w:hAnsi="Calibri" w:cs="Calibri"/>
        </w:rPr>
        <w:t xml:space="preserve">Week </w:t>
      </w:r>
      <w:r w:rsidRPr="006069AA">
        <w:rPr>
          <w:rFonts w:ascii="Calibri" w:hAnsi="Calibri" w:cs="Calibri"/>
        </w:rPr>
        <w:t xml:space="preserve">53. This </w:t>
      </w:r>
      <w:proofErr w:type="gramStart"/>
      <w:r w:rsidRPr="006069AA">
        <w:rPr>
          <w:rFonts w:ascii="Calibri" w:hAnsi="Calibri" w:cs="Calibri"/>
        </w:rPr>
        <w:t>was based on an assumption</w:t>
      </w:r>
      <w:proofErr w:type="gramEnd"/>
      <w:r w:rsidRPr="006069AA">
        <w:rPr>
          <w:rFonts w:ascii="Calibri" w:hAnsi="Calibri" w:cs="Calibri"/>
        </w:rPr>
        <w:t xml:space="preserve"> that patients would continue to switch to less frequent dosing of teclistamab over time based on depth of response and not the length </w:t>
      </w:r>
      <w:r w:rsidR="001C03B7" w:rsidRPr="006069AA">
        <w:rPr>
          <w:rFonts w:ascii="Calibri" w:hAnsi="Calibri" w:cs="Calibri"/>
        </w:rPr>
        <w:t xml:space="preserve">of </w:t>
      </w:r>
      <w:r w:rsidRPr="006069AA">
        <w:rPr>
          <w:rFonts w:ascii="Calibri" w:hAnsi="Calibri" w:cs="Calibri"/>
        </w:rPr>
        <w:t xml:space="preserve">time on treatment (as per the input from Australian haematologists). The </w:t>
      </w:r>
      <w:r w:rsidR="00E10F4D" w:rsidRPr="006069AA">
        <w:rPr>
          <w:rFonts w:ascii="Calibri" w:hAnsi="Calibri" w:cs="Calibri"/>
        </w:rPr>
        <w:t xml:space="preserve">ESC </w:t>
      </w:r>
      <w:r w:rsidR="00D00EE6" w:rsidRPr="006069AA">
        <w:rPr>
          <w:rFonts w:ascii="Calibri" w:hAnsi="Calibri" w:cs="Calibri"/>
        </w:rPr>
        <w:t xml:space="preserve">considered that the number of patients </w:t>
      </w:r>
      <w:r w:rsidR="009C5A08" w:rsidRPr="006069AA">
        <w:rPr>
          <w:rFonts w:ascii="Calibri" w:hAnsi="Calibri" w:cs="Calibri"/>
        </w:rPr>
        <w:t>changing dose frequency from QW to Q2W should align with the MajesTEC</w:t>
      </w:r>
      <w:r w:rsidR="00EC1990">
        <w:rPr>
          <w:rFonts w:ascii="Calibri" w:hAnsi="Calibri" w:cs="Calibri"/>
        </w:rPr>
        <w:noBreakHyphen/>
      </w:r>
      <w:r w:rsidR="009C5A08" w:rsidRPr="006069AA">
        <w:rPr>
          <w:rFonts w:ascii="Calibri" w:hAnsi="Calibri" w:cs="Calibri"/>
        </w:rPr>
        <w:t>1 study</w:t>
      </w:r>
      <w:r w:rsidR="00825DE5" w:rsidRPr="006069AA">
        <w:rPr>
          <w:rFonts w:ascii="Calibri" w:hAnsi="Calibri" w:cs="Calibri"/>
        </w:rPr>
        <w:t xml:space="preserve"> in which 40.8% of patients switched at any timepoint. </w:t>
      </w:r>
    </w:p>
    <w:p w14:paraId="6C621343" w14:textId="358F9750" w:rsidR="00BE5EBC" w:rsidRPr="006069AA" w:rsidRDefault="00BE5EBC" w:rsidP="001C47F4">
      <w:pPr>
        <w:pStyle w:val="3-BodyText"/>
        <w:rPr>
          <w:rFonts w:ascii="Calibri" w:hAnsi="Calibri" w:cs="Calibri"/>
        </w:rPr>
      </w:pPr>
      <w:r w:rsidRPr="006069AA">
        <w:rPr>
          <w:rFonts w:ascii="Calibri" w:hAnsi="Calibri" w:cs="Calibri"/>
        </w:rPr>
        <w:t xml:space="preserve">The submission assumed that the proportion of patients switching from QW to Q2W </w:t>
      </w:r>
      <w:r w:rsidR="0031201D" w:rsidRPr="006069AA">
        <w:rPr>
          <w:rFonts w:ascii="Calibri" w:hAnsi="Calibri" w:cs="Calibri"/>
        </w:rPr>
        <w:t xml:space="preserve">was maintained at 64.5% </w:t>
      </w:r>
      <w:r w:rsidRPr="006069AA">
        <w:rPr>
          <w:rFonts w:ascii="Calibri" w:hAnsi="Calibri" w:cs="Calibri"/>
        </w:rPr>
        <w:t xml:space="preserve">from </w:t>
      </w:r>
      <w:r w:rsidR="0029276E" w:rsidRPr="006069AA">
        <w:rPr>
          <w:rFonts w:ascii="Calibri" w:hAnsi="Calibri" w:cs="Calibri"/>
        </w:rPr>
        <w:t xml:space="preserve">Week </w:t>
      </w:r>
      <w:r w:rsidRPr="006069AA">
        <w:rPr>
          <w:rFonts w:ascii="Calibri" w:hAnsi="Calibri" w:cs="Calibri"/>
        </w:rPr>
        <w:t xml:space="preserve">53 to </w:t>
      </w:r>
      <w:r w:rsidR="0029276E" w:rsidRPr="006069AA">
        <w:rPr>
          <w:rFonts w:ascii="Calibri" w:hAnsi="Calibri" w:cs="Calibri"/>
        </w:rPr>
        <w:t xml:space="preserve">Week </w:t>
      </w:r>
      <w:r w:rsidRPr="006069AA">
        <w:rPr>
          <w:rFonts w:ascii="Calibri" w:hAnsi="Calibri" w:cs="Calibri"/>
        </w:rPr>
        <w:t>71</w:t>
      </w:r>
      <w:r w:rsidR="00F87A1A" w:rsidRPr="006069AA">
        <w:rPr>
          <w:rFonts w:ascii="Calibri" w:hAnsi="Calibri" w:cs="Calibri"/>
        </w:rPr>
        <w:t>.</w:t>
      </w:r>
      <w:r w:rsidRPr="006069AA">
        <w:rPr>
          <w:rFonts w:ascii="Calibri" w:hAnsi="Calibri" w:cs="Calibri"/>
        </w:rPr>
        <w:t xml:space="preserve"> However, the proportion of patients who switched from QW to Q2W at any timepoint in MajesTEC</w:t>
      </w:r>
      <w:r w:rsidR="00EC1990">
        <w:rPr>
          <w:rFonts w:ascii="Calibri" w:hAnsi="Calibri" w:cs="Calibri"/>
        </w:rPr>
        <w:noBreakHyphen/>
      </w:r>
      <w:r w:rsidRPr="006069AA">
        <w:rPr>
          <w:rFonts w:ascii="Calibri" w:hAnsi="Calibri" w:cs="Calibri"/>
        </w:rPr>
        <w:t xml:space="preserve">1 was 40.8%. The submission presented </w:t>
      </w:r>
      <w:r w:rsidR="00CA4AD9" w:rsidRPr="006069AA">
        <w:rPr>
          <w:rFonts w:ascii="Calibri" w:hAnsi="Calibri" w:cs="Calibri"/>
        </w:rPr>
        <w:t xml:space="preserve">Sensitivity Analysis </w:t>
      </w:r>
      <w:r w:rsidR="00033C9E" w:rsidRPr="006069AA">
        <w:rPr>
          <w:rFonts w:ascii="Calibri" w:hAnsi="Calibri" w:cs="Calibri"/>
        </w:rPr>
        <w:t>2</w:t>
      </w:r>
      <w:r w:rsidRPr="006069AA">
        <w:rPr>
          <w:rFonts w:ascii="Calibri" w:hAnsi="Calibri" w:cs="Calibri"/>
        </w:rPr>
        <w:t>, based on the proportion of patients switching to Q2W (40.8%) and mean time of switching from QW to Q2W (53.3 weeks</w:t>
      </w:r>
      <w:r w:rsidR="006579F5" w:rsidRPr="006069AA">
        <w:rPr>
          <w:rFonts w:ascii="Calibri" w:hAnsi="Calibri" w:cs="Calibri"/>
        </w:rPr>
        <w:t>)</w:t>
      </w:r>
      <w:r w:rsidRPr="006069AA">
        <w:rPr>
          <w:rFonts w:ascii="Calibri" w:hAnsi="Calibri" w:cs="Calibri"/>
        </w:rPr>
        <w:t xml:space="preserve"> </w:t>
      </w:r>
      <w:r w:rsidR="00033C9E" w:rsidRPr="006069AA">
        <w:rPr>
          <w:rFonts w:ascii="Calibri" w:hAnsi="Calibri" w:cs="Calibri"/>
        </w:rPr>
        <w:t xml:space="preserve">from </w:t>
      </w:r>
      <w:r w:rsidRPr="006069AA">
        <w:rPr>
          <w:rFonts w:ascii="Calibri" w:hAnsi="Calibri" w:cs="Calibri"/>
        </w:rPr>
        <w:t>MajesTEC</w:t>
      </w:r>
      <w:r w:rsidR="00EC1990">
        <w:rPr>
          <w:rFonts w:ascii="Calibri" w:hAnsi="Calibri" w:cs="Calibri"/>
        </w:rPr>
        <w:noBreakHyphen/>
      </w:r>
      <w:r w:rsidRPr="006069AA">
        <w:rPr>
          <w:rFonts w:ascii="Calibri" w:hAnsi="Calibri" w:cs="Calibri"/>
        </w:rPr>
        <w:t>1 (</w:t>
      </w:r>
      <w:r w:rsidR="00292E0B" w:rsidRPr="006069AA">
        <w:rPr>
          <w:rFonts w:ascii="Calibri" w:hAnsi="Calibri" w:cs="Calibri"/>
        </w:rPr>
        <w:fldChar w:fldCharType="begin"/>
      </w:r>
      <w:r w:rsidR="00292E0B" w:rsidRPr="006069AA">
        <w:rPr>
          <w:rFonts w:ascii="Calibri" w:hAnsi="Calibri" w:cs="Calibri"/>
        </w:rPr>
        <w:instrText xml:space="preserve"> REF _Ref215909398 \h </w:instrText>
      </w:r>
      <w:r w:rsidR="006069AA" w:rsidRPr="006069AA">
        <w:rPr>
          <w:rFonts w:ascii="Calibri" w:hAnsi="Calibri" w:cs="Calibri"/>
        </w:rPr>
        <w:instrText xml:space="preserve"> \* MERGEFORMAT </w:instrText>
      </w:r>
      <w:r w:rsidR="00292E0B" w:rsidRPr="006069AA">
        <w:rPr>
          <w:rFonts w:ascii="Calibri" w:hAnsi="Calibri" w:cs="Calibri"/>
        </w:rPr>
      </w:r>
      <w:r w:rsidR="00292E0B" w:rsidRPr="006069AA">
        <w:rPr>
          <w:rFonts w:ascii="Calibri" w:hAnsi="Calibri" w:cs="Calibri"/>
        </w:rPr>
        <w:fldChar w:fldCharType="separate"/>
      </w:r>
      <w:r w:rsidR="001C47F4" w:rsidRPr="000160C3">
        <w:t xml:space="preserve">Table </w:t>
      </w:r>
      <w:r w:rsidR="001C47F4">
        <w:t>13</w:t>
      </w:r>
      <w:r w:rsidR="00292E0B" w:rsidRPr="006069AA">
        <w:rPr>
          <w:rFonts w:ascii="Calibri" w:hAnsi="Calibri" w:cs="Calibri"/>
        </w:rPr>
        <w:fldChar w:fldCharType="end"/>
      </w:r>
      <w:r w:rsidRPr="006069AA">
        <w:rPr>
          <w:rFonts w:ascii="Calibri" w:hAnsi="Calibri" w:cs="Calibri"/>
        </w:rPr>
        <w:t xml:space="preserve">). </w:t>
      </w:r>
      <w:r w:rsidR="00774FDF">
        <w:rPr>
          <w:rFonts w:ascii="Calibri" w:hAnsi="Calibri" w:cs="Calibri"/>
        </w:rPr>
        <w:t>The pre</w:t>
      </w:r>
      <w:r w:rsidR="00EC1990">
        <w:rPr>
          <w:rFonts w:ascii="Calibri" w:hAnsi="Calibri" w:cs="Calibri"/>
        </w:rPr>
        <w:noBreakHyphen/>
      </w:r>
      <w:r w:rsidR="00774FDF">
        <w:rPr>
          <w:rFonts w:ascii="Calibri" w:hAnsi="Calibri" w:cs="Calibri"/>
        </w:rPr>
        <w:t>PBAC response stated that should a trial</w:t>
      </w:r>
      <w:r w:rsidR="00EC1990">
        <w:rPr>
          <w:rFonts w:ascii="Calibri" w:hAnsi="Calibri" w:cs="Calibri"/>
        </w:rPr>
        <w:noBreakHyphen/>
      </w:r>
      <w:r w:rsidR="00774FDF">
        <w:rPr>
          <w:rFonts w:ascii="Calibri" w:hAnsi="Calibri" w:cs="Calibri"/>
        </w:rPr>
        <w:t xml:space="preserve">based approach be applied, Sensitivity Analysis 2 </w:t>
      </w:r>
      <w:r w:rsidR="00844ACA">
        <w:rPr>
          <w:rFonts w:ascii="Calibri" w:hAnsi="Calibri" w:cs="Calibri"/>
        </w:rPr>
        <w:t>was the most appropriate for establishing the equi</w:t>
      </w:r>
      <w:r w:rsidR="00EC1990">
        <w:rPr>
          <w:rFonts w:ascii="Calibri" w:hAnsi="Calibri" w:cs="Calibri"/>
        </w:rPr>
        <w:noBreakHyphen/>
      </w:r>
      <w:r w:rsidR="00844ACA">
        <w:rPr>
          <w:rFonts w:ascii="Calibri" w:hAnsi="Calibri" w:cs="Calibri"/>
        </w:rPr>
        <w:t>effective doses as it was reflective of both the MajesTEC</w:t>
      </w:r>
      <w:r w:rsidR="00EC1990">
        <w:rPr>
          <w:rFonts w:ascii="Calibri" w:hAnsi="Calibri" w:cs="Calibri"/>
        </w:rPr>
        <w:noBreakHyphen/>
      </w:r>
      <w:r w:rsidR="00844ACA">
        <w:rPr>
          <w:rFonts w:ascii="Calibri" w:hAnsi="Calibri" w:cs="Calibri"/>
        </w:rPr>
        <w:t xml:space="preserve">1 and </w:t>
      </w:r>
      <w:r w:rsidR="00713519">
        <w:rPr>
          <w:rFonts w:ascii="Calibri" w:hAnsi="Calibri" w:cs="Calibri"/>
        </w:rPr>
        <w:t>MagnetisMM</w:t>
      </w:r>
      <w:r w:rsidR="00EC1990">
        <w:rPr>
          <w:rFonts w:ascii="Calibri" w:hAnsi="Calibri" w:cs="Calibri"/>
        </w:rPr>
        <w:noBreakHyphen/>
      </w:r>
      <w:r w:rsidR="00713519">
        <w:rPr>
          <w:rFonts w:ascii="Calibri" w:hAnsi="Calibri" w:cs="Calibri"/>
        </w:rPr>
        <w:t>3 trials.</w:t>
      </w:r>
    </w:p>
    <w:p w14:paraId="0989D466" w14:textId="42586C1F" w:rsidR="00BE5EBC" w:rsidRPr="006069AA" w:rsidRDefault="00BE5EBC" w:rsidP="001C47F4">
      <w:pPr>
        <w:pStyle w:val="3-BodyText"/>
        <w:rPr>
          <w:rFonts w:ascii="Calibri" w:hAnsi="Calibri" w:cs="Calibri"/>
        </w:rPr>
      </w:pPr>
      <w:r w:rsidRPr="006069AA">
        <w:rPr>
          <w:rFonts w:ascii="Calibri" w:hAnsi="Calibri" w:cs="Calibri"/>
        </w:rPr>
        <w:t>The mean patient weight in MajesTEC</w:t>
      </w:r>
      <w:r w:rsidR="00EC1990">
        <w:rPr>
          <w:rFonts w:ascii="Calibri" w:hAnsi="Calibri" w:cs="Calibri"/>
        </w:rPr>
        <w:noBreakHyphen/>
      </w:r>
      <w:r w:rsidRPr="006069AA">
        <w:rPr>
          <w:rFonts w:ascii="Calibri" w:hAnsi="Calibri" w:cs="Calibri"/>
        </w:rPr>
        <w:t>1</w:t>
      </w:r>
      <w:r w:rsidR="006579F5" w:rsidRPr="006069AA">
        <w:rPr>
          <w:rFonts w:ascii="Calibri" w:hAnsi="Calibri" w:cs="Calibri"/>
        </w:rPr>
        <w:t>,</w:t>
      </w:r>
      <w:r w:rsidRPr="006069AA">
        <w:rPr>
          <w:rFonts w:ascii="Calibri" w:hAnsi="Calibri" w:cs="Calibri"/>
        </w:rPr>
        <w:t xml:space="preserve"> including the Chinese cohort</w:t>
      </w:r>
      <w:r w:rsidR="006579F5" w:rsidRPr="006069AA">
        <w:rPr>
          <w:rFonts w:ascii="Calibri" w:hAnsi="Calibri" w:cs="Calibri"/>
        </w:rPr>
        <w:t>,</w:t>
      </w:r>
      <w:r w:rsidRPr="006069AA">
        <w:rPr>
          <w:rFonts w:ascii="Calibri" w:hAnsi="Calibri" w:cs="Calibri"/>
        </w:rPr>
        <w:t xml:space="preserve"> was 72.83 kg (N=191) and was used in the base case CMA to estimate the dose of teclistamab in the </w:t>
      </w:r>
      <w:r w:rsidRPr="006069AA">
        <w:rPr>
          <w:rFonts w:ascii="Calibri" w:hAnsi="Calibri" w:cs="Calibri"/>
        </w:rPr>
        <w:lastRenderedPageBreak/>
        <w:t>step</w:t>
      </w:r>
      <w:r w:rsidR="00EC1990">
        <w:rPr>
          <w:rFonts w:ascii="Calibri" w:hAnsi="Calibri" w:cs="Calibri"/>
        </w:rPr>
        <w:noBreakHyphen/>
      </w:r>
      <w:r w:rsidRPr="006069AA">
        <w:rPr>
          <w:rFonts w:ascii="Calibri" w:hAnsi="Calibri" w:cs="Calibri"/>
        </w:rPr>
        <w:t>up and treatment phase</w:t>
      </w:r>
      <w:r w:rsidR="006579F5" w:rsidRPr="006069AA">
        <w:rPr>
          <w:rFonts w:ascii="Calibri" w:hAnsi="Calibri" w:cs="Calibri"/>
        </w:rPr>
        <w:t>s</w:t>
      </w:r>
      <w:r w:rsidRPr="006069AA">
        <w:rPr>
          <w:rFonts w:ascii="Calibri" w:hAnsi="Calibri" w:cs="Calibri"/>
        </w:rPr>
        <w:t xml:space="preserve">. The submission presented </w:t>
      </w:r>
      <w:r w:rsidR="00B4772D" w:rsidRPr="006069AA">
        <w:rPr>
          <w:rFonts w:ascii="Calibri" w:hAnsi="Calibri" w:cs="Calibri"/>
        </w:rPr>
        <w:t>S</w:t>
      </w:r>
      <w:r w:rsidRPr="006069AA">
        <w:rPr>
          <w:rFonts w:ascii="Calibri" w:hAnsi="Calibri" w:cs="Calibri"/>
        </w:rPr>
        <w:t xml:space="preserve">ensitivity </w:t>
      </w:r>
      <w:r w:rsidR="00B4772D" w:rsidRPr="006069AA">
        <w:rPr>
          <w:rFonts w:ascii="Calibri" w:hAnsi="Calibri" w:cs="Calibri"/>
        </w:rPr>
        <w:t>A</w:t>
      </w:r>
      <w:r w:rsidRPr="006069AA">
        <w:rPr>
          <w:rFonts w:ascii="Calibri" w:hAnsi="Calibri" w:cs="Calibri"/>
        </w:rPr>
        <w:t>nalysis</w:t>
      </w:r>
      <w:r w:rsidR="00592972" w:rsidRPr="006069AA">
        <w:rPr>
          <w:rFonts w:ascii="Calibri" w:hAnsi="Calibri" w:cs="Calibri"/>
        </w:rPr>
        <w:t xml:space="preserve"> 3</w:t>
      </w:r>
      <w:r w:rsidRPr="006069AA">
        <w:rPr>
          <w:rFonts w:ascii="Calibri" w:hAnsi="Calibri" w:cs="Calibri"/>
        </w:rPr>
        <w:t>, based on mean patient weight in MajesTEC</w:t>
      </w:r>
      <w:r w:rsidR="00EC1990">
        <w:rPr>
          <w:rFonts w:ascii="Calibri" w:hAnsi="Calibri" w:cs="Calibri"/>
        </w:rPr>
        <w:noBreakHyphen/>
      </w:r>
      <w:r w:rsidRPr="006069AA">
        <w:rPr>
          <w:rFonts w:ascii="Calibri" w:hAnsi="Calibri" w:cs="Calibri"/>
        </w:rPr>
        <w:t xml:space="preserve">1 </w:t>
      </w:r>
      <w:r w:rsidR="00825DE5" w:rsidRPr="006069AA">
        <w:rPr>
          <w:rFonts w:ascii="Calibri" w:hAnsi="Calibri" w:cs="Calibri"/>
        </w:rPr>
        <w:t xml:space="preserve">R2PD population (i.e. </w:t>
      </w:r>
      <w:r w:rsidRPr="006069AA">
        <w:rPr>
          <w:rFonts w:ascii="Calibri" w:hAnsi="Calibri" w:cs="Calibri"/>
        </w:rPr>
        <w:t xml:space="preserve">excluding the China Cohort). </w:t>
      </w:r>
    </w:p>
    <w:p w14:paraId="07A605A1" w14:textId="0D045F32" w:rsidR="00BE5EBC" w:rsidRPr="006069AA" w:rsidRDefault="00BE5EBC" w:rsidP="001C47F4">
      <w:pPr>
        <w:pStyle w:val="3-BodyText"/>
        <w:rPr>
          <w:color w:val="0066FF"/>
        </w:rPr>
      </w:pPr>
      <w:r w:rsidRPr="006069AA">
        <w:t>The calculated equi</w:t>
      </w:r>
      <w:r w:rsidR="00EC1990">
        <w:noBreakHyphen/>
      </w:r>
      <w:r w:rsidRPr="006069AA">
        <w:t>effective doses presented by the submission were based on the mean relative dose intensity (RDI) reported in MajesTEC</w:t>
      </w:r>
      <w:r w:rsidR="00EC1990">
        <w:noBreakHyphen/>
      </w:r>
      <w:r w:rsidRPr="006069AA">
        <w:t>1</w:t>
      </w:r>
      <w:r w:rsidR="006579F5" w:rsidRPr="006069AA">
        <w:t>,</w:t>
      </w:r>
      <w:r w:rsidRPr="006069AA">
        <w:t xml:space="preserve"> including </w:t>
      </w:r>
      <w:r w:rsidR="00CA4AD9" w:rsidRPr="006069AA">
        <w:t xml:space="preserve">the </w:t>
      </w:r>
      <w:r w:rsidRPr="006069AA">
        <w:t>China Cohort (88.8%)</w:t>
      </w:r>
      <w:r w:rsidR="006579F5" w:rsidRPr="006069AA">
        <w:t>,</w:t>
      </w:r>
      <w:r w:rsidRPr="006069AA">
        <w:t xml:space="preserve"> and a median relative dose intensity reported for elranatamab in RP2D of the MagnetisMM</w:t>
      </w:r>
      <w:r w:rsidR="00EC1990">
        <w:noBreakHyphen/>
      </w:r>
      <w:r w:rsidRPr="006069AA">
        <w:t xml:space="preserve">3 study (79.1%). The </w:t>
      </w:r>
      <w:r w:rsidR="003777EC">
        <w:t xml:space="preserve">evaluation considered the </w:t>
      </w:r>
      <w:r w:rsidRPr="006069AA">
        <w:t>use of the mean RDI from MajesTEC</w:t>
      </w:r>
      <w:r w:rsidR="00EC1990">
        <w:noBreakHyphen/>
      </w:r>
      <w:r w:rsidRPr="006069AA">
        <w:t xml:space="preserve">1 RP2D </w:t>
      </w:r>
      <w:r w:rsidR="001A39CA" w:rsidRPr="006069AA">
        <w:t>(92.9%)</w:t>
      </w:r>
      <w:r w:rsidR="0046432E" w:rsidRPr="006069AA">
        <w:t xml:space="preserve"> </w:t>
      </w:r>
      <w:r w:rsidRPr="006069AA">
        <w:t>was considered more appropriate, noting that MajesTEC</w:t>
      </w:r>
      <w:r w:rsidR="00EC1990">
        <w:noBreakHyphen/>
      </w:r>
      <w:r w:rsidRPr="006069AA">
        <w:t>1 China Cohort was not considered suitable for inclusion in the evidence base (see para</w:t>
      </w:r>
      <w:r w:rsidR="000B6151" w:rsidRPr="006069AA">
        <w:t>graph</w:t>
      </w:r>
      <w:r w:rsidRPr="006069AA">
        <w:t xml:space="preserve"> </w:t>
      </w:r>
      <w:r w:rsidR="001B6583" w:rsidRPr="006069AA">
        <w:rPr>
          <w:highlight w:val="yellow"/>
        </w:rPr>
        <w:fldChar w:fldCharType="begin"/>
      </w:r>
      <w:r w:rsidR="001B6583" w:rsidRPr="006069AA">
        <w:instrText xml:space="preserve"> REF _Ref219715191 \r \h </w:instrText>
      </w:r>
      <w:r w:rsidR="00FA2EBA" w:rsidRPr="006069AA">
        <w:rPr>
          <w:highlight w:val="yellow"/>
        </w:rPr>
        <w:instrText xml:space="preserve"> \* MERGEFORMAT </w:instrText>
      </w:r>
      <w:r w:rsidR="001B6583" w:rsidRPr="006069AA">
        <w:rPr>
          <w:highlight w:val="yellow"/>
        </w:rPr>
      </w:r>
      <w:r w:rsidR="001B6583" w:rsidRPr="006069AA">
        <w:rPr>
          <w:highlight w:val="yellow"/>
        </w:rPr>
        <w:fldChar w:fldCharType="separate"/>
      </w:r>
      <w:r w:rsidR="00D44478">
        <w:t>6.11</w:t>
      </w:r>
      <w:r w:rsidR="001B6583" w:rsidRPr="006069AA">
        <w:rPr>
          <w:highlight w:val="yellow"/>
        </w:rPr>
        <w:fldChar w:fldCharType="end"/>
      </w:r>
      <w:r w:rsidRPr="006069AA">
        <w:t xml:space="preserve">). </w:t>
      </w:r>
    </w:p>
    <w:p w14:paraId="0732AA4A" w14:textId="138C9A56" w:rsidR="00BE5EBC" w:rsidRPr="006069AA" w:rsidRDefault="00BE5EBC" w:rsidP="001C47F4">
      <w:pPr>
        <w:pStyle w:val="3-BodyText"/>
        <w:rPr>
          <w:color w:val="0066FF"/>
        </w:rPr>
      </w:pPr>
      <w:r w:rsidRPr="006069AA">
        <w:rPr>
          <w:rFonts w:ascii="Calibri" w:hAnsi="Calibri" w:cs="Calibri"/>
        </w:rPr>
        <w:t xml:space="preserve">The treatment duration applied in the CMA </w:t>
      </w:r>
      <w:r w:rsidR="00656C0B" w:rsidRPr="006069AA">
        <w:rPr>
          <w:rFonts w:ascii="Calibri" w:hAnsi="Calibri" w:cs="Calibri"/>
        </w:rPr>
        <w:t xml:space="preserve">for both teclistamab and elranatamab patients </w:t>
      </w:r>
      <w:r w:rsidRPr="006069AA">
        <w:rPr>
          <w:rFonts w:ascii="Calibri" w:hAnsi="Calibri" w:cs="Calibri"/>
        </w:rPr>
        <w:t xml:space="preserve">was 71 weeks (16.3 months), based on a previous PBAC recommendation for elranatamab (Table 18, elranatamab, PSD March 2025 PBAC meeting). </w:t>
      </w:r>
      <w:r w:rsidR="0077050D" w:rsidRPr="006069AA">
        <w:rPr>
          <w:rFonts w:ascii="Calibri" w:hAnsi="Calibri" w:cs="Calibri"/>
        </w:rPr>
        <w:t>Instead of assuming the treatment duration for teclistamab was equal to that of elranatamab, a</w:t>
      </w:r>
      <w:r w:rsidRPr="006069AA">
        <w:rPr>
          <w:rFonts w:ascii="Calibri" w:hAnsi="Calibri" w:cs="Calibri"/>
        </w:rPr>
        <w:t xml:space="preserve"> more appropriate approach may have been to determine the treatment duration for teclistamab by extrapolating the time</w:t>
      </w:r>
      <w:r w:rsidR="00EC1990">
        <w:rPr>
          <w:rFonts w:ascii="Calibri" w:hAnsi="Calibri" w:cs="Calibri"/>
        </w:rPr>
        <w:noBreakHyphen/>
      </w:r>
      <w:r w:rsidRPr="006069AA">
        <w:rPr>
          <w:rFonts w:ascii="Calibri" w:hAnsi="Calibri" w:cs="Calibri"/>
        </w:rPr>
        <w:t>to</w:t>
      </w:r>
      <w:r w:rsidR="00EC1990">
        <w:rPr>
          <w:rFonts w:ascii="Calibri" w:hAnsi="Calibri" w:cs="Calibri"/>
        </w:rPr>
        <w:noBreakHyphen/>
      </w:r>
      <w:r w:rsidRPr="006069AA">
        <w:rPr>
          <w:rFonts w:ascii="Calibri" w:hAnsi="Calibri" w:cs="Calibri"/>
        </w:rPr>
        <w:t>treatment discontinuation (TTD) curve from the MajesTEC</w:t>
      </w:r>
      <w:r w:rsidR="00EC1990">
        <w:rPr>
          <w:rFonts w:ascii="Calibri" w:hAnsi="Calibri" w:cs="Calibri"/>
        </w:rPr>
        <w:noBreakHyphen/>
      </w:r>
      <w:r w:rsidRPr="006069AA">
        <w:rPr>
          <w:rFonts w:ascii="Calibri" w:hAnsi="Calibri" w:cs="Calibri"/>
        </w:rPr>
        <w:t>1 </w:t>
      </w:r>
      <w:r w:rsidR="00AF2B48" w:rsidRPr="006069AA">
        <w:rPr>
          <w:rFonts w:ascii="Calibri" w:hAnsi="Calibri" w:cs="Calibri"/>
        </w:rPr>
        <w:t>study</w:t>
      </w:r>
      <w:r w:rsidRPr="006069AA">
        <w:rPr>
          <w:rFonts w:ascii="Calibri" w:hAnsi="Calibri" w:cs="Calibri"/>
        </w:rPr>
        <w:t xml:space="preserve">. This would allow for a comparison of treatment duration, rather than relying on the duration of treatment utilised in an elranatamab economic model. </w:t>
      </w:r>
      <w:r w:rsidR="00877AB1" w:rsidRPr="006069AA">
        <w:rPr>
          <w:rFonts w:ascii="Calibri" w:hAnsi="Calibri" w:cs="Calibri"/>
        </w:rPr>
        <w:t>The PSCR stated that an equal treatment duration was appropriate considering that both teclistamab and elranatamab were BCMA targeted bispecific antibodies and the evidence supported a claim of non</w:t>
      </w:r>
      <w:r w:rsidR="00EC1990">
        <w:rPr>
          <w:rFonts w:ascii="Calibri" w:hAnsi="Calibri" w:cs="Calibri"/>
        </w:rPr>
        <w:noBreakHyphen/>
      </w:r>
      <w:r w:rsidR="00877AB1" w:rsidRPr="006069AA">
        <w:rPr>
          <w:rFonts w:ascii="Calibri" w:hAnsi="Calibri" w:cs="Calibri"/>
        </w:rPr>
        <w:t xml:space="preserve">inferior efficacy. On balance, the ESC considered that </w:t>
      </w:r>
      <w:r w:rsidR="00CF3185" w:rsidRPr="006069AA">
        <w:rPr>
          <w:rFonts w:ascii="Calibri" w:hAnsi="Calibri" w:cs="Calibri"/>
        </w:rPr>
        <w:t>assuming the same</w:t>
      </w:r>
      <w:r w:rsidR="00877AB1" w:rsidRPr="006069AA">
        <w:rPr>
          <w:rFonts w:ascii="Calibri" w:hAnsi="Calibri" w:cs="Calibri"/>
        </w:rPr>
        <w:t xml:space="preserve"> duration of therapy for teclistamab and elranatamab was reasonable.</w:t>
      </w:r>
    </w:p>
    <w:p w14:paraId="6A86CFD8" w14:textId="4ED495DE" w:rsidR="006561A0" w:rsidRPr="006069AA" w:rsidRDefault="00BE5EBC" w:rsidP="001C47F4">
      <w:pPr>
        <w:pStyle w:val="3-BodyText"/>
        <w:rPr>
          <w:color w:val="000000" w:themeColor="text1"/>
        </w:rPr>
      </w:pPr>
      <w:r w:rsidRPr="006069AA">
        <w:rPr>
          <w:color w:val="000000" w:themeColor="text1"/>
        </w:rPr>
        <w:t>The evaluation identified an error relating to the estimation of equi</w:t>
      </w:r>
      <w:r w:rsidR="00EC1990">
        <w:rPr>
          <w:color w:val="000000" w:themeColor="text1"/>
        </w:rPr>
        <w:noBreakHyphen/>
      </w:r>
      <w:r w:rsidRPr="006069AA">
        <w:rPr>
          <w:color w:val="000000" w:themeColor="text1"/>
        </w:rPr>
        <w:t>effective doses</w:t>
      </w:r>
      <w:r w:rsidR="00CA5DF8" w:rsidRPr="006069AA">
        <w:rPr>
          <w:color w:val="000000" w:themeColor="text1"/>
        </w:rPr>
        <w:t xml:space="preserve">, </w:t>
      </w:r>
      <w:r w:rsidR="00AE169D" w:rsidRPr="006069AA">
        <w:rPr>
          <w:color w:val="000000" w:themeColor="text1"/>
        </w:rPr>
        <w:t xml:space="preserve">and which resulted </w:t>
      </w:r>
      <w:r w:rsidR="00933D32" w:rsidRPr="006069AA">
        <w:t xml:space="preserve">in an </w:t>
      </w:r>
      <w:r w:rsidR="00380181" w:rsidRPr="006069AA">
        <w:t>underestimat</w:t>
      </w:r>
      <w:r w:rsidR="00B269DD" w:rsidRPr="006069AA">
        <w:t>ion of the</w:t>
      </w:r>
      <w:r w:rsidR="00380181" w:rsidRPr="006069AA">
        <w:t xml:space="preserve"> number of</w:t>
      </w:r>
      <w:r w:rsidR="00915AAF" w:rsidRPr="006069AA">
        <w:t xml:space="preserve"> doses over</w:t>
      </w:r>
      <w:r w:rsidR="00B269DD" w:rsidRPr="006069AA">
        <w:t xml:space="preserve"> the </w:t>
      </w:r>
      <w:r w:rsidR="00915AAF" w:rsidRPr="006069AA">
        <w:t>71</w:t>
      </w:r>
      <w:r w:rsidR="00EC1990">
        <w:noBreakHyphen/>
      </w:r>
      <w:r w:rsidR="00915AAF" w:rsidRPr="006069AA">
        <w:t>weeks</w:t>
      </w:r>
      <w:r w:rsidR="00B269DD" w:rsidRPr="006069AA">
        <w:t xml:space="preserve"> treatment duration</w:t>
      </w:r>
      <w:r w:rsidRPr="006069AA">
        <w:rPr>
          <w:color w:val="000000" w:themeColor="text1"/>
        </w:rPr>
        <w:t>. Correction of the error resulted in a higher number of average doses per course of treatment for teclistamab (60.47 doses) and elranatamab (60.49 doses) and the following equi</w:t>
      </w:r>
      <w:r w:rsidR="00EC1990">
        <w:rPr>
          <w:color w:val="000000" w:themeColor="text1"/>
        </w:rPr>
        <w:noBreakHyphen/>
      </w:r>
      <w:r w:rsidRPr="006069AA">
        <w:rPr>
          <w:color w:val="000000" w:themeColor="text1"/>
        </w:rPr>
        <w:t>effective doses:</w:t>
      </w:r>
      <w:r w:rsidRPr="006069AA">
        <w:rPr>
          <w:rFonts w:ascii="Calibri" w:hAnsi="Calibri" w:cs="Calibri"/>
        </w:rPr>
        <w:t xml:space="preserve"> </w:t>
      </w:r>
    </w:p>
    <w:p w14:paraId="4D680D2E" w14:textId="000A33CC" w:rsidR="006561A0" w:rsidRPr="006069AA" w:rsidRDefault="00BE5EBC" w:rsidP="001C47F4">
      <w:pPr>
        <w:pStyle w:val="3-BodyText"/>
        <w:numPr>
          <w:ilvl w:val="0"/>
          <w:numId w:val="0"/>
        </w:numPr>
        <w:ind w:left="1440"/>
        <w:rPr>
          <w:color w:val="000000" w:themeColor="text1"/>
        </w:rPr>
      </w:pPr>
      <w:r w:rsidRPr="006069AA">
        <w:rPr>
          <w:rFonts w:ascii="Calibri" w:hAnsi="Calibri" w:cs="Calibri"/>
        </w:rPr>
        <w:t>5,694 mg of teclistamab is equivalent to 3,552 mg of elranatamab</w:t>
      </w:r>
      <w:r w:rsidRPr="006069AA">
        <w:rPr>
          <w:color w:val="000000" w:themeColor="text1"/>
        </w:rPr>
        <w:t xml:space="preserve">. </w:t>
      </w:r>
    </w:p>
    <w:p w14:paraId="00CAAAD3" w14:textId="56834CEE" w:rsidR="00BE5EBC" w:rsidRPr="006069AA" w:rsidRDefault="00151E3E" w:rsidP="001C47F4">
      <w:pPr>
        <w:pStyle w:val="3-BodyText"/>
        <w:numPr>
          <w:ilvl w:val="0"/>
          <w:numId w:val="0"/>
        </w:numPr>
        <w:ind w:left="720"/>
        <w:rPr>
          <w:color w:val="000000" w:themeColor="text1"/>
        </w:rPr>
      </w:pPr>
      <w:r w:rsidRPr="006069AA">
        <w:rPr>
          <w:color w:val="000000" w:themeColor="text1"/>
        </w:rPr>
        <w:t>A</w:t>
      </w:r>
      <w:r w:rsidR="00BE5EBC" w:rsidRPr="006069AA">
        <w:rPr>
          <w:color w:val="000000" w:themeColor="text1"/>
        </w:rPr>
        <w:t xml:space="preserve"> revised base case and </w:t>
      </w:r>
      <w:r w:rsidR="00B4772D" w:rsidRPr="006069AA">
        <w:rPr>
          <w:color w:val="000000" w:themeColor="text1"/>
        </w:rPr>
        <w:t>S</w:t>
      </w:r>
      <w:r w:rsidR="00BE5EBC" w:rsidRPr="006069AA">
        <w:rPr>
          <w:color w:val="000000" w:themeColor="text1"/>
        </w:rPr>
        <w:t xml:space="preserve">ensitivity </w:t>
      </w:r>
      <w:r w:rsidR="00B4772D" w:rsidRPr="006069AA">
        <w:rPr>
          <w:color w:val="000000" w:themeColor="text1"/>
        </w:rPr>
        <w:t>A</w:t>
      </w:r>
      <w:r w:rsidR="00BE5EBC" w:rsidRPr="006069AA">
        <w:rPr>
          <w:color w:val="000000" w:themeColor="text1"/>
        </w:rPr>
        <w:t>nalyses with this error corrected</w:t>
      </w:r>
      <w:r w:rsidRPr="006069AA">
        <w:rPr>
          <w:color w:val="000000" w:themeColor="text1"/>
        </w:rPr>
        <w:t xml:space="preserve"> are presented</w:t>
      </w:r>
      <w:r w:rsidR="00BE5EBC" w:rsidRPr="006069AA">
        <w:rPr>
          <w:color w:val="000000" w:themeColor="text1"/>
        </w:rPr>
        <w:t>.</w:t>
      </w:r>
      <w:r w:rsidR="003C4AD1" w:rsidRPr="006069AA">
        <w:rPr>
          <w:color w:val="000000" w:themeColor="text1"/>
        </w:rPr>
        <w:t xml:space="preserve"> </w:t>
      </w:r>
      <w:r w:rsidR="009572A7" w:rsidRPr="006069AA">
        <w:rPr>
          <w:color w:val="000000" w:themeColor="text1"/>
        </w:rPr>
        <w:t xml:space="preserve">The PSCR noted </w:t>
      </w:r>
      <w:r w:rsidR="009572A7" w:rsidRPr="006069AA">
        <w:t>the correction made by the evaluation relating to the estimation of equi</w:t>
      </w:r>
      <w:r w:rsidR="00EC1990">
        <w:noBreakHyphen/>
      </w:r>
      <w:r w:rsidR="009572A7" w:rsidRPr="006069AA">
        <w:t>effective doses was appropriate.</w:t>
      </w:r>
    </w:p>
    <w:p w14:paraId="7A08188C" w14:textId="46B9FB3B" w:rsidR="00BE5EBC" w:rsidRPr="006069AA" w:rsidRDefault="00BE5EBC" w:rsidP="001C47F4">
      <w:pPr>
        <w:pStyle w:val="3-BodyText"/>
        <w:rPr>
          <w:color w:val="000000" w:themeColor="text1"/>
        </w:rPr>
      </w:pPr>
      <w:r w:rsidRPr="006069AA">
        <w:rPr>
          <w:color w:val="000000" w:themeColor="text1"/>
        </w:rPr>
        <w:t xml:space="preserve">The </w:t>
      </w:r>
      <w:r w:rsidR="00AE169D" w:rsidRPr="006069AA">
        <w:rPr>
          <w:color w:val="000000" w:themeColor="text1"/>
        </w:rPr>
        <w:t xml:space="preserve">ESC considered that the </w:t>
      </w:r>
      <w:r w:rsidRPr="006069AA">
        <w:rPr>
          <w:color w:val="000000" w:themeColor="text1"/>
        </w:rPr>
        <w:t xml:space="preserve">average number of doses for teclistamab </w:t>
      </w:r>
      <w:r w:rsidR="00900163" w:rsidRPr="006069AA">
        <w:rPr>
          <w:color w:val="000000" w:themeColor="text1"/>
        </w:rPr>
        <w:t xml:space="preserve">was </w:t>
      </w:r>
      <w:r w:rsidR="00016B04" w:rsidRPr="006069AA">
        <w:rPr>
          <w:color w:val="000000" w:themeColor="text1"/>
        </w:rPr>
        <w:t>underestimated</w:t>
      </w:r>
      <w:r w:rsidRPr="006069AA">
        <w:rPr>
          <w:color w:val="000000" w:themeColor="text1"/>
        </w:rPr>
        <w:t xml:space="preserve"> given that the recommendation for treatment switching </w:t>
      </w:r>
      <w:r w:rsidR="00B918A2" w:rsidRPr="006069AA">
        <w:rPr>
          <w:color w:val="000000" w:themeColor="text1"/>
        </w:rPr>
        <w:t>applied in the CMA differ</w:t>
      </w:r>
      <w:r w:rsidR="00A30A90" w:rsidRPr="006069AA">
        <w:rPr>
          <w:color w:val="000000" w:themeColor="text1"/>
        </w:rPr>
        <w:t>ed</w:t>
      </w:r>
      <w:r w:rsidR="00B918A2" w:rsidRPr="006069AA">
        <w:rPr>
          <w:color w:val="000000" w:themeColor="text1"/>
        </w:rPr>
        <w:t xml:space="preserve"> to that </w:t>
      </w:r>
      <w:r w:rsidR="00B9234A" w:rsidRPr="006069AA">
        <w:rPr>
          <w:color w:val="000000" w:themeColor="text1"/>
        </w:rPr>
        <w:t>outlined in the TGA PI and the MajesTEC</w:t>
      </w:r>
      <w:r w:rsidR="00EC1990">
        <w:rPr>
          <w:color w:val="000000" w:themeColor="text1"/>
        </w:rPr>
        <w:noBreakHyphen/>
      </w:r>
      <w:r w:rsidR="00B9234A" w:rsidRPr="006069AA">
        <w:rPr>
          <w:color w:val="000000" w:themeColor="text1"/>
        </w:rPr>
        <w:t>1 study</w:t>
      </w:r>
      <w:r w:rsidRPr="006069AA">
        <w:rPr>
          <w:color w:val="000000" w:themeColor="text1"/>
        </w:rPr>
        <w:t xml:space="preserve">. </w:t>
      </w:r>
      <w:r w:rsidR="00FC6250" w:rsidRPr="006069AA">
        <w:rPr>
          <w:color w:val="000000" w:themeColor="text1"/>
        </w:rPr>
        <w:t xml:space="preserve">As noted above (see paragraph </w:t>
      </w:r>
      <w:r w:rsidR="00FC6250" w:rsidRPr="006069AA">
        <w:rPr>
          <w:color w:val="000000" w:themeColor="text1"/>
        </w:rPr>
        <w:fldChar w:fldCharType="begin"/>
      </w:r>
      <w:r w:rsidR="00FC6250" w:rsidRPr="006069AA">
        <w:rPr>
          <w:color w:val="000000" w:themeColor="text1"/>
        </w:rPr>
        <w:instrText xml:space="preserve"> REF _Ref221265433 \r \h </w:instrText>
      </w:r>
      <w:r w:rsidR="006069AA" w:rsidRPr="006069AA">
        <w:rPr>
          <w:color w:val="000000" w:themeColor="text1"/>
        </w:rPr>
        <w:instrText xml:space="preserve"> \* MERGEFORMAT </w:instrText>
      </w:r>
      <w:r w:rsidR="00FC6250" w:rsidRPr="006069AA">
        <w:rPr>
          <w:color w:val="000000" w:themeColor="text1"/>
        </w:rPr>
      </w:r>
      <w:r w:rsidR="00FC6250" w:rsidRPr="006069AA">
        <w:rPr>
          <w:color w:val="000000" w:themeColor="text1"/>
        </w:rPr>
        <w:fldChar w:fldCharType="separate"/>
      </w:r>
      <w:r w:rsidR="00D44478">
        <w:rPr>
          <w:color w:val="000000" w:themeColor="text1"/>
        </w:rPr>
        <w:t>6.51</w:t>
      </w:r>
      <w:r w:rsidR="00FC6250" w:rsidRPr="006069AA">
        <w:rPr>
          <w:color w:val="000000" w:themeColor="text1"/>
        </w:rPr>
        <w:fldChar w:fldCharType="end"/>
      </w:r>
      <w:r w:rsidR="00FC6250" w:rsidRPr="006069AA">
        <w:rPr>
          <w:color w:val="000000" w:themeColor="text1"/>
        </w:rPr>
        <w:t>), t</w:t>
      </w:r>
      <w:r w:rsidRPr="006069AA">
        <w:rPr>
          <w:color w:val="000000" w:themeColor="text1"/>
        </w:rPr>
        <w:t xml:space="preserve">he </w:t>
      </w:r>
      <w:r w:rsidR="00AE169D" w:rsidRPr="006069AA">
        <w:rPr>
          <w:color w:val="000000" w:themeColor="text1"/>
        </w:rPr>
        <w:t xml:space="preserve">ESC advised that </w:t>
      </w:r>
      <w:r w:rsidR="00A418BC" w:rsidRPr="006069AA">
        <w:rPr>
          <w:color w:val="000000" w:themeColor="text1"/>
        </w:rPr>
        <w:t xml:space="preserve">the dosing schedule for </w:t>
      </w:r>
      <w:r w:rsidRPr="006069AA">
        <w:rPr>
          <w:color w:val="000000" w:themeColor="text1"/>
        </w:rPr>
        <w:t xml:space="preserve">teclistamab </w:t>
      </w:r>
      <w:r w:rsidR="00A418BC" w:rsidRPr="006069AA">
        <w:rPr>
          <w:color w:val="000000" w:themeColor="text1"/>
        </w:rPr>
        <w:t>should align with the MajesTEC</w:t>
      </w:r>
      <w:r w:rsidR="00EC1990">
        <w:rPr>
          <w:color w:val="000000" w:themeColor="text1"/>
        </w:rPr>
        <w:noBreakHyphen/>
      </w:r>
      <w:r w:rsidR="00A418BC" w:rsidRPr="006069AA">
        <w:rPr>
          <w:color w:val="000000" w:themeColor="text1"/>
        </w:rPr>
        <w:t xml:space="preserve">1 study and the </w:t>
      </w:r>
      <w:r w:rsidRPr="006069AA">
        <w:rPr>
          <w:color w:val="000000" w:themeColor="text1"/>
        </w:rPr>
        <w:t xml:space="preserve">TGA </w:t>
      </w:r>
      <w:r w:rsidR="00B9234A" w:rsidRPr="006069AA">
        <w:rPr>
          <w:color w:val="000000" w:themeColor="text1"/>
        </w:rPr>
        <w:t>PI</w:t>
      </w:r>
      <w:r w:rsidR="00A418BC" w:rsidRPr="006069AA">
        <w:rPr>
          <w:color w:val="000000" w:themeColor="text1"/>
        </w:rPr>
        <w:t>, which</w:t>
      </w:r>
      <w:r w:rsidR="00EC1990">
        <w:rPr>
          <w:color w:val="000000" w:themeColor="text1"/>
        </w:rPr>
        <w:t xml:space="preserve"> </w:t>
      </w:r>
      <w:r w:rsidRPr="006069AA">
        <w:rPr>
          <w:color w:val="000000" w:themeColor="text1"/>
        </w:rPr>
        <w:t xml:space="preserve">recommends switching to Q2W after achieving and maintaining a CR or better for a minimum of 6 months. </w:t>
      </w:r>
    </w:p>
    <w:p w14:paraId="23A2A008" w14:textId="6A1DC570" w:rsidR="00BE5EBC" w:rsidRPr="006069AA" w:rsidRDefault="00BE5EBC" w:rsidP="001C47F4">
      <w:pPr>
        <w:pStyle w:val="3-BodyText"/>
      </w:pPr>
      <w:bookmarkStart w:id="53" w:name="_Ref225153895"/>
      <w:r w:rsidRPr="006069AA">
        <w:t>The submission included additional costs associated with the cost of administration for teclistamab and elranatamab and the cost of hospitalisation for elranatamab. The submission applied an inpatient hospitalisation cost of $714.19 for three days to all patients receiving elranatamab in the CMA for the step</w:t>
      </w:r>
      <w:r w:rsidR="00EC1990">
        <w:noBreakHyphen/>
      </w:r>
      <w:r w:rsidRPr="006069AA">
        <w:t xml:space="preserve">up phase. This </w:t>
      </w:r>
      <w:r w:rsidR="00E9014E">
        <w:t xml:space="preserve">was </w:t>
      </w:r>
      <w:r w:rsidRPr="006069AA">
        <w:t xml:space="preserve">consistent with the TGA PI for elranatamab. Based on the recommendations in the TGA </w:t>
      </w:r>
      <w:r w:rsidR="004D7EBE" w:rsidRPr="006069AA">
        <w:t>PI</w:t>
      </w:r>
      <w:r w:rsidRPr="006069AA">
        <w:t xml:space="preserve"> for teclistamab, n</w:t>
      </w:r>
      <w:r w:rsidRPr="006069AA">
        <w:rPr>
          <w:rFonts w:ascii="Calibri" w:hAnsi="Calibri" w:cs="Calibri"/>
        </w:rPr>
        <w:t>o cost of hospitalisation for the teclistamab step</w:t>
      </w:r>
      <w:r w:rsidR="00EC1990">
        <w:rPr>
          <w:rFonts w:ascii="Calibri" w:hAnsi="Calibri" w:cs="Calibri"/>
        </w:rPr>
        <w:noBreakHyphen/>
      </w:r>
      <w:r w:rsidRPr="006069AA">
        <w:rPr>
          <w:rFonts w:ascii="Calibri" w:hAnsi="Calibri" w:cs="Calibri"/>
        </w:rPr>
        <w:t>up dosing phase</w:t>
      </w:r>
      <w:r w:rsidR="00E62A3D" w:rsidRPr="006069AA">
        <w:rPr>
          <w:rFonts w:ascii="Calibri" w:hAnsi="Calibri" w:cs="Calibri"/>
        </w:rPr>
        <w:t xml:space="preserve"> </w:t>
      </w:r>
      <w:r w:rsidRPr="006069AA">
        <w:rPr>
          <w:rFonts w:ascii="Calibri" w:hAnsi="Calibri" w:cs="Calibri"/>
        </w:rPr>
        <w:t>was applied in the CMA. However, all patients in MajesTEC</w:t>
      </w:r>
      <w:r w:rsidR="00EC1990">
        <w:rPr>
          <w:rFonts w:ascii="Calibri" w:hAnsi="Calibri" w:cs="Calibri"/>
        </w:rPr>
        <w:noBreakHyphen/>
      </w:r>
      <w:r w:rsidRPr="006069AA">
        <w:rPr>
          <w:rFonts w:ascii="Calibri" w:hAnsi="Calibri" w:cs="Calibri"/>
        </w:rPr>
        <w:t>1 were hospitalised for safety monitoring for at least 48 hours after each step</w:t>
      </w:r>
      <w:r w:rsidR="00EC1990">
        <w:rPr>
          <w:rFonts w:ascii="Calibri" w:hAnsi="Calibri" w:cs="Calibri"/>
        </w:rPr>
        <w:noBreakHyphen/>
      </w:r>
      <w:r w:rsidRPr="006069AA">
        <w:rPr>
          <w:rFonts w:ascii="Calibri" w:hAnsi="Calibri" w:cs="Calibri"/>
        </w:rPr>
        <w:t xml:space="preserve">up dose and the first treatment dose. </w:t>
      </w:r>
      <w:r w:rsidR="00616178" w:rsidRPr="006069AA">
        <w:rPr>
          <w:rFonts w:ascii="Calibri" w:hAnsi="Calibri" w:cs="Calibri"/>
        </w:rPr>
        <w:lastRenderedPageBreak/>
        <w:t xml:space="preserve">The ESC noted </w:t>
      </w:r>
      <w:r w:rsidR="004A5BB9" w:rsidRPr="006069AA">
        <w:rPr>
          <w:rFonts w:ascii="Calibri" w:hAnsi="Calibri" w:cs="Calibri"/>
        </w:rPr>
        <w:t xml:space="preserve">the TGA PIs state </w:t>
      </w:r>
      <w:r w:rsidR="00330978" w:rsidRPr="006069AA">
        <w:rPr>
          <w:rFonts w:ascii="Calibri" w:hAnsi="Calibri" w:cs="Calibri"/>
        </w:rPr>
        <w:t xml:space="preserve">patients should be closely monitored for the first two elranatamab doses </w:t>
      </w:r>
      <w:r w:rsidR="00F42FFE" w:rsidRPr="006069AA">
        <w:rPr>
          <w:rFonts w:ascii="Calibri" w:hAnsi="Calibri" w:cs="Calibri"/>
        </w:rPr>
        <w:t xml:space="preserve">and the first three </w:t>
      </w:r>
      <w:r w:rsidR="004A5BB9" w:rsidRPr="006069AA">
        <w:rPr>
          <w:rFonts w:ascii="Calibri" w:hAnsi="Calibri" w:cs="Calibri"/>
        </w:rPr>
        <w:t>teclistamab</w:t>
      </w:r>
      <w:r w:rsidR="009930A1" w:rsidRPr="006069AA">
        <w:rPr>
          <w:rFonts w:ascii="Calibri" w:hAnsi="Calibri" w:cs="Calibri"/>
        </w:rPr>
        <w:t xml:space="preserve"> doses</w:t>
      </w:r>
      <w:r w:rsidR="00F42FFE" w:rsidRPr="006069AA">
        <w:rPr>
          <w:rFonts w:ascii="Calibri" w:hAnsi="Calibri" w:cs="Calibri"/>
        </w:rPr>
        <w:t>.</w:t>
      </w:r>
      <w:r w:rsidR="00EC1990">
        <w:rPr>
          <w:rFonts w:ascii="Calibri" w:hAnsi="Calibri" w:cs="Calibri"/>
        </w:rPr>
        <w:t xml:space="preserve"> </w:t>
      </w:r>
      <w:r w:rsidR="00B71B3D" w:rsidRPr="006069AA">
        <w:rPr>
          <w:rFonts w:ascii="Calibri" w:hAnsi="Calibri" w:cs="Calibri"/>
        </w:rPr>
        <w:t>The ESC considered that</w:t>
      </w:r>
      <w:r w:rsidR="00FB3EE6" w:rsidRPr="006069AA">
        <w:rPr>
          <w:rFonts w:ascii="Calibri" w:hAnsi="Calibri" w:cs="Calibri"/>
        </w:rPr>
        <w:t xml:space="preserve">, on balance, </w:t>
      </w:r>
      <w:r w:rsidR="00EF5003" w:rsidRPr="006069AA">
        <w:rPr>
          <w:rFonts w:ascii="Calibri" w:hAnsi="Calibri" w:cs="Calibri"/>
        </w:rPr>
        <w:t xml:space="preserve">the </w:t>
      </w:r>
      <w:r w:rsidR="00FB3EE6" w:rsidRPr="006069AA">
        <w:rPr>
          <w:rFonts w:ascii="Calibri" w:hAnsi="Calibri" w:cs="Calibri"/>
        </w:rPr>
        <w:t xml:space="preserve">cost of monitoring </w:t>
      </w:r>
      <w:r w:rsidR="005C7A5F" w:rsidRPr="006069AA">
        <w:rPr>
          <w:rFonts w:ascii="Calibri" w:hAnsi="Calibri" w:cs="Calibri"/>
        </w:rPr>
        <w:t xml:space="preserve">treatment initiation is likely to be similar for elranatamab </w:t>
      </w:r>
      <w:r w:rsidR="002C7BDC" w:rsidRPr="006069AA">
        <w:rPr>
          <w:rFonts w:ascii="Calibri" w:hAnsi="Calibri" w:cs="Calibri"/>
        </w:rPr>
        <w:t xml:space="preserve">and teclistamab </w:t>
      </w:r>
      <w:r w:rsidR="005C7A5F" w:rsidRPr="006069AA">
        <w:rPr>
          <w:rFonts w:ascii="Calibri" w:hAnsi="Calibri" w:cs="Calibri"/>
        </w:rPr>
        <w:t xml:space="preserve">and advised </w:t>
      </w:r>
      <w:r w:rsidR="00080ADF" w:rsidRPr="006069AA">
        <w:rPr>
          <w:rFonts w:ascii="Calibri" w:hAnsi="Calibri" w:cs="Calibri"/>
        </w:rPr>
        <w:t xml:space="preserve">that </w:t>
      </w:r>
      <w:r w:rsidR="00E60F0D" w:rsidRPr="006069AA">
        <w:rPr>
          <w:rFonts w:ascii="Calibri" w:hAnsi="Calibri" w:cs="Calibri"/>
        </w:rPr>
        <w:t xml:space="preserve">it would be appropriate </w:t>
      </w:r>
      <w:r w:rsidR="00080ADF" w:rsidRPr="006069AA">
        <w:rPr>
          <w:rFonts w:ascii="Calibri" w:hAnsi="Calibri" w:cs="Calibri"/>
        </w:rPr>
        <w:t>to remove hospital costs for all patients</w:t>
      </w:r>
      <w:r w:rsidR="001E60D5" w:rsidRPr="006069AA">
        <w:rPr>
          <w:rFonts w:ascii="Calibri" w:hAnsi="Calibri" w:cs="Calibri"/>
        </w:rPr>
        <w:t>.</w:t>
      </w:r>
      <w:r w:rsidR="009318D1">
        <w:rPr>
          <w:rFonts w:ascii="Calibri" w:hAnsi="Calibri" w:cs="Calibri"/>
        </w:rPr>
        <w:t xml:space="preserve"> The pre</w:t>
      </w:r>
      <w:r w:rsidR="00EC1990">
        <w:rPr>
          <w:rFonts w:ascii="Calibri" w:hAnsi="Calibri" w:cs="Calibri"/>
        </w:rPr>
        <w:noBreakHyphen/>
      </w:r>
      <w:r w:rsidR="009318D1">
        <w:rPr>
          <w:rFonts w:ascii="Calibri" w:hAnsi="Calibri" w:cs="Calibri"/>
        </w:rPr>
        <w:t xml:space="preserve">PBAC response stated that the exclusion of hospital costs for all patients was </w:t>
      </w:r>
      <w:r w:rsidR="00AE6543">
        <w:rPr>
          <w:rFonts w:ascii="Calibri" w:hAnsi="Calibri" w:cs="Calibri"/>
        </w:rPr>
        <w:t>reasonable.</w:t>
      </w:r>
      <w:bookmarkEnd w:id="53"/>
    </w:p>
    <w:p w14:paraId="30E22AF3" w14:textId="2F69514D" w:rsidR="00BE5EBC" w:rsidRPr="006069AA" w:rsidRDefault="00BE5EBC" w:rsidP="001C47F4">
      <w:pPr>
        <w:pStyle w:val="3-BodyText"/>
      </w:pPr>
      <w:r w:rsidRPr="006069AA">
        <w:t xml:space="preserve">The costs related to AE management were excluded from the CMA. The submission considered that there </w:t>
      </w:r>
      <w:r w:rsidR="006254D3" w:rsidRPr="006069AA">
        <w:t xml:space="preserve">were </w:t>
      </w:r>
      <w:r w:rsidRPr="006069AA">
        <w:t>no significant difference</w:t>
      </w:r>
      <w:r w:rsidR="006254D3" w:rsidRPr="006069AA">
        <w:t>s</w:t>
      </w:r>
      <w:r w:rsidRPr="006069AA">
        <w:t xml:space="preserve"> between teclistamab and elranatamab in the rate of any AE, any AE Grade 3 or 4, or any SAE, and, therefore, listing teclistamab on the PBS was not expected to incur any additional AE costs. </w:t>
      </w:r>
    </w:p>
    <w:p w14:paraId="3E7020AA" w14:textId="3829B3EA" w:rsidR="00F223D3" w:rsidRPr="000160C3" w:rsidRDefault="00BE5EBC" w:rsidP="001C47F4">
      <w:pPr>
        <w:pStyle w:val="Caption"/>
        <w:rPr>
          <w:szCs w:val="24"/>
        </w:rPr>
      </w:pPr>
      <w:bookmarkStart w:id="54" w:name="_Ref215909398"/>
      <w:r w:rsidRPr="000160C3">
        <w:t xml:space="preserve">Table </w:t>
      </w:r>
      <w:r>
        <w:fldChar w:fldCharType="begin"/>
      </w:r>
      <w:r>
        <w:instrText>SEQ Table \* ARABIC</w:instrText>
      </w:r>
      <w:r>
        <w:fldChar w:fldCharType="separate"/>
      </w:r>
      <w:r w:rsidR="001C47F4">
        <w:rPr>
          <w:noProof/>
        </w:rPr>
        <w:t>13</w:t>
      </w:r>
      <w:r>
        <w:fldChar w:fldCharType="end"/>
      </w:r>
      <w:bookmarkEnd w:id="54"/>
      <w:r w:rsidRPr="000160C3">
        <w:t>:</w:t>
      </w:r>
      <w:r w:rsidRPr="000160C3">
        <w:rPr>
          <w:rStyle w:val="CommentReference"/>
          <w:b/>
          <w:szCs w:val="24"/>
        </w:rPr>
        <w:t xml:space="preserve"> Summary of model structure, key inputs and rationale</w:t>
      </w:r>
    </w:p>
    <w:tbl>
      <w:tblPr>
        <w:tblStyle w:val="TableGrid"/>
        <w:tblW w:w="0" w:type="auto"/>
        <w:tblLook w:val="04A0" w:firstRow="1" w:lastRow="0" w:firstColumn="1" w:lastColumn="0" w:noHBand="0" w:noVBand="1"/>
        <w:tblCaption w:val="Table 13: Summary of model structure, key inputs and rationale"/>
      </w:tblPr>
      <w:tblGrid>
        <w:gridCol w:w="3256"/>
        <w:gridCol w:w="2902"/>
        <w:gridCol w:w="2903"/>
      </w:tblGrid>
      <w:tr w:rsidR="00F223D3" w:rsidRPr="000160C3" w14:paraId="4EB48406" w14:textId="77777777" w:rsidTr="00F6778A">
        <w:trPr>
          <w:trHeight w:val="157"/>
          <w:tblHeader/>
        </w:trPr>
        <w:tc>
          <w:tcPr>
            <w:tcW w:w="3256" w:type="dxa"/>
          </w:tcPr>
          <w:p w14:paraId="19A06BD1" w14:textId="77777777" w:rsidR="00F223D3" w:rsidRPr="000160C3" w:rsidRDefault="00F223D3" w:rsidP="001C47F4">
            <w:pPr>
              <w:pStyle w:val="TableText0"/>
              <w:keepNext/>
              <w:keepLines/>
              <w:spacing w:line="240" w:lineRule="auto"/>
            </w:pPr>
          </w:p>
        </w:tc>
        <w:tc>
          <w:tcPr>
            <w:tcW w:w="2902" w:type="dxa"/>
          </w:tcPr>
          <w:p w14:paraId="3A54E228" w14:textId="77777777" w:rsidR="00F223D3" w:rsidRPr="000160C3" w:rsidRDefault="00F223D3" w:rsidP="001C47F4">
            <w:pPr>
              <w:pStyle w:val="TableText0"/>
              <w:keepNext/>
              <w:keepLines/>
              <w:spacing w:line="240" w:lineRule="auto"/>
              <w:jc w:val="center"/>
              <w:rPr>
                <w:b/>
              </w:rPr>
            </w:pPr>
            <w:r w:rsidRPr="000160C3">
              <w:rPr>
                <w:b/>
              </w:rPr>
              <w:t>Teclistamab</w:t>
            </w:r>
          </w:p>
        </w:tc>
        <w:tc>
          <w:tcPr>
            <w:tcW w:w="2903" w:type="dxa"/>
          </w:tcPr>
          <w:p w14:paraId="6574D8F8" w14:textId="77777777" w:rsidR="00F223D3" w:rsidRPr="000160C3" w:rsidRDefault="00F223D3" w:rsidP="001C47F4">
            <w:pPr>
              <w:pStyle w:val="TableText0"/>
              <w:keepNext/>
              <w:keepLines/>
              <w:spacing w:line="240" w:lineRule="auto"/>
              <w:jc w:val="center"/>
              <w:rPr>
                <w:b/>
              </w:rPr>
            </w:pPr>
            <w:r w:rsidRPr="000160C3">
              <w:rPr>
                <w:b/>
              </w:rPr>
              <w:t>Elranatamab</w:t>
            </w:r>
          </w:p>
        </w:tc>
      </w:tr>
      <w:tr w:rsidR="00F223D3" w:rsidRPr="000160C3" w14:paraId="28C8618B" w14:textId="77777777">
        <w:tc>
          <w:tcPr>
            <w:tcW w:w="3256" w:type="dxa"/>
            <w:vAlign w:val="center"/>
          </w:tcPr>
          <w:p w14:paraId="7E39C387" w14:textId="77777777" w:rsidR="00F223D3" w:rsidRPr="000160C3" w:rsidRDefault="00F223D3" w:rsidP="001C47F4">
            <w:pPr>
              <w:pStyle w:val="TableText0"/>
              <w:keepNext/>
              <w:keepLines/>
              <w:spacing w:line="240" w:lineRule="auto"/>
            </w:pPr>
            <w:r w:rsidRPr="000160C3">
              <w:t>Clinical data</w:t>
            </w:r>
          </w:p>
        </w:tc>
        <w:tc>
          <w:tcPr>
            <w:tcW w:w="2902" w:type="dxa"/>
            <w:vAlign w:val="center"/>
          </w:tcPr>
          <w:p w14:paraId="090EFAB9" w14:textId="25625408" w:rsidR="00F223D3" w:rsidRPr="000160C3" w:rsidRDefault="00F223D3" w:rsidP="001C47F4">
            <w:pPr>
              <w:pStyle w:val="TableText0"/>
              <w:keepNext/>
              <w:keepLines/>
              <w:spacing w:line="240" w:lineRule="auto"/>
              <w:jc w:val="center"/>
            </w:pPr>
            <w:r w:rsidRPr="000160C3">
              <w:t>MajesTEC</w:t>
            </w:r>
            <w:r w:rsidR="00EC1990">
              <w:noBreakHyphen/>
            </w:r>
            <w:r w:rsidRPr="000160C3">
              <w:t>1 plus Chinese cohort (N=191</w:t>
            </w:r>
            <w:r w:rsidR="002434D7" w:rsidRPr="000160C3">
              <w:t>) ;</w:t>
            </w:r>
            <w:r w:rsidRPr="000160C3">
              <w:t xml:space="preserve"> </w:t>
            </w:r>
            <w:proofErr w:type="spellStart"/>
            <w:r w:rsidRPr="000160C3">
              <w:t>Chunara</w:t>
            </w:r>
            <w:proofErr w:type="spellEnd"/>
            <w:r w:rsidRPr="000160C3">
              <w:t xml:space="preserve"> et al. (2025)</w:t>
            </w:r>
          </w:p>
        </w:tc>
        <w:tc>
          <w:tcPr>
            <w:tcW w:w="2903" w:type="dxa"/>
            <w:vAlign w:val="center"/>
          </w:tcPr>
          <w:p w14:paraId="1EB5353F" w14:textId="1F4FEE95" w:rsidR="00F223D3" w:rsidRPr="000160C3" w:rsidRDefault="00F223D3" w:rsidP="001C47F4">
            <w:pPr>
              <w:pStyle w:val="TableText0"/>
              <w:keepNext/>
              <w:keepLines/>
              <w:spacing w:line="240" w:lineRule="auto"/>
              <w:jc w:val="center"/>
            </w:pPr>
            <w:r w:rsidRPr="000160C3">
              <w:t>MagnetisMM</w:t>
            </w:r>
            <w:r w:rsidR="00EC1990">
              <w:noBreakHyphen/>
            </w:r>
            <w:r w:rsidRPr="000160C3">
              <w:t>3 (N=123)</w:t>
            </w:r>
          </w:p>
        </w:tc>
      </w:tr>
      <w:tr w:rsidR="00F223D3" w:rsidRPr="000160C3" w14:paraId="4CCC92CE" w14:textId="77777777">
        <w:tc>
          <w:tcPr>
            <w:tcW w:w="3256" w:type="dxa"/>
            <w:vAlign w:val="center"/>
          </w:tcPr>
          <w:p w14:paraId="2A52D90E" w14:textId="77777777" w:rsidR="00F223D3" w:rsidRPr="000160C3" w:rsidRDefault="00F223D3" w:rsidP="001C47F4">
            <w:pPr>
              <w:pStyle w:val="TableText0"/>
              <w:keepNext/>
              <w:keepLines/>
              <w:spacing w:line="240" w:lineRule="auto"/>
            </w:pPr>
            <w:r w:rsidRPr="000160C3">
              <w:t>Route of administration</w:t>
            </w:r>
          </w:p>
        </w:tc>
        <w:tc>
          <w:tcPr>
            <w:tcW w:w="2902" w:type="dxa"/>
            <w:vAlign w:val="center"/>
          </w:tcPr>
          <w:p w14:paraId="475DB378" w14:textId="77777777" w:rsidR="00F223D3" w:rsidRPr="000160C3" w:rsidRDefault="00F223D3" w:rsidP="001C47F4">
            <w:pPr>
              <w:pStyle w:val="TableText0"/>
              <w:keepNext/>
              <w:keepLines/>
              <w:spacing w:line="240" w:lineRule="auto"/>
              <w:jc w:val="center"/>
            </w:pPr>
            <w:r w:rsidRPr="000160C3">
              <w:t>Subcutaneous</w:t>
            </w:r>
          </w:p>
        </w:tc>
        <w:tc>
          <w:tcPr>
            <w:tcW w:w="2903" w:type="dxa"/>
            <w:vAlign w:val="center"/>
          </w:tcPr>
          <w:p w14:paraId="70BAE413" w14:textId="77777777" w:rsidR="00F223D3" w:rsidRPr="000160C3" w:rsidRDefault="00F223D3" w:rsidP="001C47F4">
            <w:pPr>
              <w:pStyle w:val="TableText0"/>
              <w:keepNext/>
              <w:keepLines/>
              <w:spacing w:line="240" w:lineRule="auto"/>
              <w:jc w:val="center"/>
            </w:pPr>
            <w:r w:rsidRPr="000160C3">
              <w:t>Subcutaneous</w:t>
            </w:r>
          </w:p>
        </w:tc>
      </w:tr>
      <w:tr w:rsidR="00F223D3" w:rsidRPr="000160C3" w14:paraId="4F6C3439" w14:textId="77777777">
        <w:tc>
          <w:tcPr>
            <w:tcW w:w="3256" w:type="dxa"/>
            <w:vAlign w:val="center"/>
          </w:tcPr>
          <w:p w14:paraId="5F28C3DF" w14:textId="77777777" w:rsidR="00F223D3" w:rsidRPr="000160C3" w:rsidRDefault="00F223D3" w:rsidP="001C47F4">
            <w:pPr>
              <w:pStyle w:val="TableText0"/>
              <w:keepNext/>
              <w:keepLines/>
              <w:spacing w:line="240" w:lineRule="auto"/>
            </w:pPr>
            <w:r w:rsidRPr="000160C3">
              <w:t>Mean weight, kg</w:t>
            </w:r>
          </w:p>
        </w:tc>
        <w:tc>
          <w:tcPr>
            <w:tcW w:w="2902" w:type="dxa"/>
            <w:vAlign w:val="center"/>
          </w:tcPr>
          <w:p w14:paraId="39EF3673" w14:textId="77777777" w:rsidR="00F223D3" w:rsidRPr="000160C3" w:rsidRDefault="00F223D3" w:rsidP="001C47F4">
            <w:pPr>
              <w:pStyle w:val="TableText0"/>
              <w:keepNext/>
              <w:keepLines/>
              <w:spacing w:line="240" w:lineRule="auto"/>
              <w:jc w:val="center"/>
            </w:pPr>
            <w:r w:rsidRPr="000160C3">
              <w:t>72.83 kg</w:t>
            </w:r>
          </w:p>
        </w:tc>
        <w:tc>
          <w:tcPr>
            <w:tcW w:w="2903" w:type="dxa"/>
            <w:vAlign w:val="center"/>
          </w:tcPr>
          <w:p w14:paraId="2908BDF5" w14:textId="120BEF36" w:rsidR="00F223D3" w:rsidRPr="000160C3" w:rsidRDefault="0022748C" w:rsidP="001C47F4">
            <w:pPr>
              <w:pStyle w:val="TableText0"/>
              <w:keepNext/>
              <w:keepLines/>
              <w:spacing w:line="240" w:lineRule="auto"/>
              <w:jc w:val="center"/>
            </w:pPr>
            <w:r w:rsidRPr="000160C3">
              <w:t>N</w:t>
            </w:r>
            <w:r w:rsidR="008E4DDA" w:rsidRPr="000160C3">
              <w:t>/</w:t>
            </w:r>
            <w:r w:rsidRPr="000160C3">
              <w:t>A</w:t>
            </w:r>
          </w:p>
        </w:tc>
      </w:tr>
      <w:tr w:rsidR="00F223D3" w:rsidRPr="000160C3" w14:paraId="78D6575D" w14:textId="77777777">
        <w:tc>
          <w:tcPr>
            <w:tcW w:w="3256" w:type="dxa"/>
            <w:vAlign w:val="center"/>
          </w:tcPr>
          <w:p w14:paraId="051C4ED8" w14:textId="77777777" w:rsidR="00F223D3" w:rsidRPr="000160C3" w:rsidRDefault="00F223D3" w:rsidP="001C47F4">
            <w:pPr>
              <w:pStyle w:val="TableText0"/>
              <w:keepNext/>
              <w:keepLines/>
              <w:spacing w:line="240" w:lineRule="auto"/>
            </w:pPr>
            <w:r w:rsidRPr="000160C3">
              <w:t>Mean duration of treatment (weeks)</w:t>
            </w:r>
          </w:p>
        </w:tc>
        <w:tc>
          <w:tcPr>
            <w:tcW w:w="2902" w:type="dxa"/>
            <w:vAlign w:val="center"/>
          </w:tcPr>
          <w:p w14:paraId="2A0969AB" w14:textId="77777777" w:rsidR="00F223D3" w:rsidRPr="000160C3" w:rsidRDefault="00F223D3" w:rsidP="001C47F4">
            <w:pPr>
              <w:pStyle w:val="TableText0"/>
              <w:keepNext/>
              <w:keepLines/>
              <w:spacing w:line="240" w:lineRule="auto"/>
              <w:jc w:val="center"/>
            </w:pPr>
            <w:r w:rsidRPr="000160C3">
              <w:t>71 weeks</w:t>
            </w:r>
          </w:p>
        </w:tc>
        <w:tc>
          <w:tcPr>
            <w:tcW w:w="2903" w:type="dxa"/>
            <w:vAlign w:val="center"/>
          </w:tcPr>
          <w:p w14:paraId="46279D9D" w14:textId="77777777" w:rsidR="00F223D3" w:rsidRPr="000160C3" w:rsidRDefault="00F223D3" w:rsidP="001C47F4">
            <w:pPr>
              <w:pStyle w:val="TableText0"/>
              <w:keepNext/>
              <w:keepLines/>
              <w:spacing w:line="240" w:lineRule="auto"/>
              <w:jc w:val="center"/>
            </w:pPr>
            <w:r w:rsidRPr="000160C3">
              <w:t>71 weeks</w:t>
            </w:r>
          </w:p>
        </w:tc>
      </w:tr>
      <w:tr w:rsidR="00F223D3" w:rsidRPr="000160C3" w14:paraId="41107C52" w14:textId="77777777">
        <w:tc>
          <w:tcPr>
            <w:tcW w:w="3256" w:type="dxa"/>
            <w:vAlign w:val="center"/>
          </w:tcPr>
          <w:p w14:paraId="51E287FD" w14:textId="77777777" w:rsidR="00F223D3" w:rsidRPr="000160C3" w:rsidRDefault="00F223D3" w:rsidP="001C47F4">
            <w:pPr>
              <w:pStyle w:val="TableText0"/>
              <w:keepNext/>
              <w:keepLines/>
              <w:spacing w:line="240" w:lineRule="auto"/>
            </w:pPr>
            <w:r w:rsidRPr="000160C3">
              <w:t>Dose intensity</w:t>
            </w:r>
          </w:p>
        </w:tc>
        <w:tc>
          <w:tcPr>
            <w:tcW w:w="2902" w:type="dxa"/>
            <w:vAlign w:val="center"/>
          </w:tcPr>
          <w:p w14:paraId="7A87E2D4" w14:textId="77777777" w:rsidR="00F223D3" w:rsidRPr="000160C3" w:rsidRDefault="00F223D3" w:rsidP="001C47F4">
            <w:pPr>
              <w:pStyle w:val="TableText0"/>
              <w:keepNext/>
              <w:keepLines/>
              <w:spacing w:line="240" w:lineRule="auto"/>
              <w:jc w:val="center"/>
            </w:pPr>
            <w:r w:rsidRPr="000160C3">
              <w:t>88.81% (mean)</w:t>
            </w:r>
          </w:p>
        </w:tc>
        <w:tc>
          <w:tcPr>
            <w:tcW w:w="2903" w:type="dxa"/>
            <w:vAlign w:val="center"/>
          </w:tcPr>
          <w:p w14:paraId="4A15CAC3" w14:textId="5F72BA0C" w:rsidR="00F223D3" w:rsidRPr="000160C3" w:rsidRDefault="00F223D3" w:rsidP="001C47F4">
            <w:pPr>
              <w:pStyle w:val="TableText0"/>
              <w:keepNext/>
              <w:keepLines/>
              <w:spacing w:line="240" w:lineRule="auto"/>
              <w:jc w:val="center"/>
            </w:pPr>
            <w:r w:rsidRPr="000160C3">
              <w:t xml:space="preserve">79.12% (median; mean </w:t>
            </w:r>
            <w:r w:rsidR="0022748C" w:rsidRPr="000160C3">
              <w:t>NA</w:t>
            </w:r>
            <w:r w:rsidRPr="000160C3">
              <w:t>)</w:t>
            </w:r>
          </w:p>
        </w:tc>
      </w:tr>
      <w:tr w:rsidR="00F223D3" w:rsidRPr="000160C3" w14:paraId="35E65CFE" w14:textId="77777777" w:rsidTr="00732FCD">
        <w:trPr>
          <w:trHeight w:val="348"/>
        </w:trPr>
        <w:tc>
          <w:tcPr>
            <w:tcW w:w="3256" w:type="dxa"/>
            <w:vAlign w:val="center"/>
          </w:tcPr>
          <w:p w14:paraId="307E3BB1" w14:textId="77777777" w:rsidR="00F223D3" w:rsidRPr="000160C3" w:rsidRDefault="00F223D3" w:rsidP="001C47F4">
            <w:pPr>
              <w:pStyle w:val="TableText0"/>
              <w:keepNext/>
              <w:keepLines/>
              <w:spacing w:line="240" w:lineRule="auto"/>
            </w:pPr>
            <w:r w:rsidRPr="000160C3">
              <w:t>Switching to less frequent dosing</w:t>
            </w:r>
          </w:p>
        </w:tc>
        <w:tc>
          <w:tcPr>
            <w:tcW w:w="2902" w:type="dxa"/>
            <w:vAlign w:val="center"/>
          </w:tcPr>
          <w:p w14:paraId="1A7967AF" w14:textId="7EFF194B" w:rsidR="00F223D3" w:rsidRPr="000160C3" w:rsidRDefault="00F223D3" w:rsidP="001C47F4">
            <w:pPr>
              <w:pStyle w:val="TableText0"/>
              <w:keepNext/>
              <w:keepLines/>
              <w:spacing w:line="240" w:lineRule="auto"/>
              <w:jc w:val="center"/>
            </w:pPr>
            <w:r w:rsidRPr="000160C3">
              <w:t xml:space="preserve">Q2W: 39.0% from </w:t>
            </w:r>
            <w:r w:rsidR="00357BD4" w:rsidRPr="000160C3">
              <w:t>W</w:t>
            </w:r>
            <w:r w:rsidRPr="000160C3">
              <w:t xml:space="preserve">eek 27, increasing to 64.5% at </w:t>
            </w:r>
            <w:r w:rsidR="00357BD4" w:rsidRPr="000160C3">
              <w:t>W</w:t>
            </w:r>
            <w:r w:rsidRPr="000160C3">
              <w:t>eek 53</w:t>
            </w:r>
          </w:p>
        </w:tc>
        <w:tc>
          <w:tcPr>
            <w:tcW w:w="2903" w:type="dxa"/>
            <w:vAlign w:val="center"/>
          </w:tcPr>
          <w:p w14:paraId="3E8B6264" w14:textId="203D1C96" w:rsidR="00F223D3" w:rsidRPr="000160C3" w:rsidRDefault="00F223D3" w:rsidP="001C47F4">
            <w:pPr>
              <w:pStyle w:val="TableText0"/>
              <w:keepNext/>
              <w:keepLines/>
              <w:spacing w:line="240" w:lineRule="auto"/>
              <w:jc w:val="center"/>
            </w:pPr>
            <w:r w:rsidRPr="000160C3">
              <w:t xml:space="preserve">Q2W: 47.2% from </w:t>
            </w:r>
            <w:r w:rsidR="00357BD4" w:rsidRPr="000160C3">
              <w:t>W</w:t>
            </w:r>
            <w:r w:rsidRPr="000160C3">
              <w:t>eek 28.2</w:t>
            </w:r>
          </w:p>
          <w:p w14:paraId="044A6A8D" w14:textId="07DD76D4" w:rsidR="00F223D3" w:rsidRPr="000160C3" w:rsidRDefault="00F223D3" w:rsidP="001C47F4">
            <w:pPr>
              <w:pStyle w:val="TableText0"/>
              <w:keepNext/>
              <w:keepLines/>
              <w:spacing w:line="240" w:lineRule="auto"/>
              <w:jc w:val="center"/>
            </w:pPr>
            <w:r w:rsidRPr="000160C3">
              <w:t xml:space="preserve">Q4W: 22.8% from </w:t>
            </w:r>
            <w:r w:rsidR="00357BD4" w:rsidRPr="000160C3">
              <w:t>W</w:t>
            </w:r>
            <w:r w:rsidRPr="000160C3">
              <w:t xml:space="preserve">eek </w:t>
            </w:r>
            <w:r w:rsidR="00BD4CDC" w:rsidRPr="000160C3">
              <w:t>52</w:t>
            </w:r>
          </w:p>
        </w:tc>
      </w:tr>
      <w:tr w:rsidR="00F223D3" w:rsidRPr="000160C3" w14:paraId="7CC4BA03" w14:textId="77777777">
        <w:tc>
          <w:tcPr>
            <w:tcW w:w="3256" w:type="dxa"/>
            <w:vAlign w:val="center"/>
          </w:tcPr>
          <w:p w14:paraId="618A57D6" w14:textId="5C5CA1A1" w:rsidR="00F223D3" w:rsidRPr="000160C3" w:rsidRDefault="00F223D3" w:rsidP="001C47F4">
            <w:pPr>
              <w:pStyle w:val="TableText0"/>
              <w:keepNext/>
              <w:keepLines/>
              <w:spacing w:line="240" w:lineRule="auto"/>
            </w:pPr>
            <w:r w:rsidRPr="000160C3">
              <w:t xml:space="preserve">Estimated </w:t>
            </w:r>
            <w:r w:rsidR="00E622D9" w:rsidRPr="000160C3">
              <w:t>mg</w:t>
            </w:r>
            <w:r w:rsidRPr="000160C3">
              <w:t xml:space="preserve"> per dose</w:t>
            </w:r>
          </w:p>
        </w:tc>
        <w:tc>
          <w:tcPr>
            <w:tcW w:w="2902" w:type="dxa"/>
            <w:vAlign w:val="center"/>
          </w:tcPr>
          <w:p w14:paraId="1358853C" w14:textId="58F9FFF5" w:rsidR="00F223D3" w:rsidRPr="000160C3" w:rsidRDefault="00F223D3" w:rsidP="001C47F4">
            <w:pPr>
              <w:pStyle w:val="TableText0"/>
              <w:keepNext/>
              <w:keepLines/>
              <w:spacing w:line="240" w:lineRule="auto"/>
              <w:jc w:val="center"/>
            </w:pPr>
            <w:r w:rsidRPr="000160C3">
              <w:t>Step</w:t>
            </w:r>
            <w:r w:rsidR="00EC1990">
              <w:noBreakHyphen/>
            </w:r>
            <w:r w:rsidRPr="000160C3">
              <w:t>up dose 1: 3.88 mg</w:t>
            </w:r>
          </w:p>
          <w:p w14:paraId="45FC1621" w14:textId="05CA3AC4" w:rsidR="00F223D3" w:rsidRPr="000160C3" w:rsidRDefault="00F223D3" w:rsidP="001C47F4">
            <w:pPr>
              <w:pStyle w:val="TableText0"/>
              <w:keepNext/>
              <w:keepLines/>
              <w:spacing w:line="240" w:lineRule="auto"/>
              <w:jc w:val="center"/>
            </w:pPr>
            <w:r w:rsidRPr="000160C3">
              <w:t>Step</w:t>
            </w:r>
            <w:r w:rsidR="00EC1990">
              <w:noBreakHyphen/>
            </w:r>
            <w:r w:rsidRPr="000160C3">
              <w:t>up dose 2: 19.48 mg</w:t>
            </w:r>
          </w:p>
          <w:p w14:paraId="72E9C6D4" w14:textId="74A8965E" w:rsidR="00F223D3" w:rsidRPr="000160C3" w:rsidRDefault="00F223D3" w:rsidP="001C47F4">
            <w:pPr>
              <w:pStyle w:val="TableText0"/>
              <w:keepNext/>
              <w:keepLines/>
              <w:spacing w:line="240" w:lineRule="auto"/>
              <w:jc w:val="center"/>
            </w:pPr>
            <w:r w:rsidRPr="000160C3">
              <w:t>Treatment dose: 97.02 mg</w:t>
            </w:r>
          </w:p>
        </w:tc>
        <w:tc>
          <w:tcPr>
            <w:tcW w:w="2903" w:type="dxa"/>
            <w:vAlign w:val="center"/>
          </w:tcPr>
          <w:p w14:paraId="0D7DA0DD" w14:textId="56AF3924" w:rsidR="00F223D3" w:rsidRPr="000160C3" w:rsidRDefault="00F223D3" w:rsidP="001C47F4">
            <w:pPr>
              <w:pStyle w:val="TableText0"/>
              <w:keepNext/>
              <w:keepLines/>
              <w:spacing w:line="240" w:lineRule="auto"/>
              <w:jc w:val="center"/>
            </w:pPr>
            <w:r w:rsidRPr="000160C3">
              <w:t>Step</w:t>
            </w:r>
            <w:r w:rsidR="00EC1990">
              <w:noBreakHyphen/>
            </w:r>
            <w:r w:rsidRPr="000160C3">
              <w:t>up dose 1: 9.49 mg</w:t>
            </w:r>
          </w:p>
          <w:p w14:paraId="2790FCB4" w14:textId="1AD84298" w:rsidR="00F223D3" w:rsidRPr="000160C3" w:rsidRDefault="00F223D3" w:rsidP="001C47F4">
            <w:pPr>
              <w:pStyle w:val="TableText0"/>
              <w:keepNext/>
              <w:keepLines/>
              <w:spacing w:line="240" w:lineRule="auto"/>
              <w:jc w:val="center"/>
            </w:pPr>
            <w:r w:rsidRPr="000160C3">
              <w:t>Step</w:t>
            </w:r>
            <w:r w:rsidR="00EC1990">
              <w:noBreakHyphen/>
            </w:r>
            <w:r w:rsidRPr="000160C3">
              <w:t>up dose 2: 25.32 mg</w:t>
            </w:r>
          </w:p>
          <w:p w14:paraId="003B44A2" w14:textId="77777777" w:rsidR="00F223D3" w:rsidRPr="000160C3" w:rsidRDefault="00F223D3" w:rsidP="001C47F4">
            <w:pPr>
              <w:pStyle w:val="TableText0"/>
              <w:keepNext/>
              <w:keepLines/>
              <w:spacing w:line="240" w:lineRule="auto"/>
              <w:jc w:val="center"/>
            </w:pPr>
            <w:r w:rsidRPr="000160C3">
              <w:t>Treatment dose: 60.13 mg</w:t>
            </w:r>
          </w:p>
        </w:tc>
      </w:tr>
      <w:tr w:rsidR="00F223D3" w:rsidRPr="000160C3" w14:paraId="121B0A0B" w14:textId="77777777">
        <w:tc>
          <w:tcPr>
            <w:tcW w:w="3256" w:type="dxa"/>
            <w:vAlign w:val="center"/>
          </w:tcPr>
          <w:p w14:paraId="22210A04" w14:textId="3A5E2C47" w:rsidR="00F223D3" w:rsidRPr="000160C3" w:rsidRDefault="00F223D3" w:rsidP="001C47F4">
            <w:pPr>
              <w:pStyle w:val="TableText0"/>
              <w:keepNext/>
              <w:keepLines/>
              <w:spacing w:line="240" w:lineRule="auto"/>
            </w:pPr>
            <w:r w:rsidRPr="000160C3">
              <w:t>Proposed equi</w:t>
            </w:r>
            <w:r w:rsidR="00EC1990">
              <w:noBreakHyphen/>
            </w:r>
            <w:r w:rsidRPr="000160C3">
              <w:t>effective dose</w:t>
            </w:r>
            <w:r w:rsidR="0022748C" w:rsidRPr="000160C3">
              <w:t>s</w:t>
            </w:r>
          </w:p>
        </w:tc>
        <w:tc>
          <w:tcPr>
            <w:tcW w:w="5805" w:type="dxa"/>
            <w:gridSpan w:val="2"/>
            <w:vAlign w:val="center"/>
          </w:tcPr>
          <w:p w14:paraId="688A0628" w14:textId="395965C1" w:rsidR="00F223D3" w:rsidRPr="000160C3" w:rsidRDefault="0022748C" w:rsidP="001C47F4">
            <w:pPr>
              <w:pStyle w:val="TableText0"/>
              <w:keepNext/>
              <w:keepLines/>
              <w:spacing w:line="240" w:lineRule="auto"/>
              <w:jc w:val="center"/>
              <w:rPr>
                <w:i/>
                <w:iCs/>
              </w:rPr>
            </w:pPr>
            <w:r w:rsidRPr="000160C3">
              <w:rPr>
                <w:i/>
                <w:iCs/>
              </w:rPr>
              <w:t>5,</w:t>
            </w:r>
            <w:r w:rsidRPr="000160C3">
              <w:t xml:space="preserve">694 mg (corrected during evaluation) </w:t>
            </w:r>
            <w:r w:rsidR="00F223D3" w:rsidRPr="000160C3">
              <w:t>of teclistamab being equivalent to</w:t>
            </w:r>
            <w:r w:rsidRPr="000160C3">
              <w:t xml:space="preserve"> 3,552</w:t>
            </w:r>
            <w:r w:rsidR="00F223D3" w:rsidRPr="000160C3">
              <w:t xml:space="preserve"> mg </w:t>
            </w:r>
            <w:r w:rsidRPr="000160C3">
              <w:t xml:space="preserve">(corrected during evaluation) </w:t>
            </w:r>
            <w:r w:rsidR="00F223D3" w:rsidRPr="000160C3">
              <w:t>of elranatama</w:t>
            </w:r>
            <w:r w:rsidRPr="000160C3">
              <w:t>b</w:t>
            </w:r>
            <w:r w:rsidR="00F223D3" w:rsidRPr="000160C3">
              <w:t>.</w:t>
            </w:r>
          </w:p>
        </w:tc>
      </w:tr>
      <w:tr w:rsidR="00F223D3" w:rsidRPr="000160C3" w14:paraId="2396ED65" w14:textId="77777777" w:rsidTr="006B03CA">
        <w:tc>
          <w:tcPr>
            <w:tcW w:w="3256" w:type="dxa"/>
            <w:vAlign w:val="center"/>
          </w:tcPr>
          <w:p w14:paraId="325D15D9" w14:textId="77777777" w:rsidR="00F223D3" w:rsidRPr="000160C3" w:rsidRDefault="00F223D3" w:rsidP="001C47F4">
            <w:pPr>
              <w:pStyle w:val="TableText0"/>
              <w:keepNext/>
              <w:keepLines/>
              <w:spacing w:line="240" w:lineRule="auto"/>
            </w:pPr>
            <w:r w:rsidRPr="000160C3">
              <w:t>Drug cost per mg</w:t>
            </w:r>
          </w:p>
        </w:tc>
        <w:tc>
          <w:tcPr>
            <w:tcW w:w="5805" w:type="dxa"/>
            <w:gridSpan w:val="2"/>
            <w:vAlign w:val="center"/>
          </w:tcPr>
          <w:p w14:paraId="381BF51B" w14:textId="1E2687D6" w:rsidR="00F223D3" w:rsidRPr="000160C3" w:rsidRDefault="00F223D3" w:rsidP="001C47F4">
            <w:pPr>
              <w:pStyle w:val="TableText0"/>
              <w:keepNext/>
              <w:keepLines/>
              <w:spacing w:line="240" w:lineRule="auto"/>
              <w:jc w:val="center"/>
            </w:pPr>
            <w:r w:rsidRPr="000160C3">
              <w:t>A Special Pricing Arrangement (SPA) for teclistamab is requested, consistent with that proposed for elranatamab for 4L+ RRMM. It is proposed that teclistamab be listed at an effective AEMP per vial that reflects the agreed equi</w:t>
            </w:r>
            <w:r w:rsidR="00EC1990">
              <w:noBreakHyphen/>
            </w:r>
            <w:r w:rsidRPr="000160C3">
              <w:t>effective doses for teclistamab and elranatamab for the treatment of 4L+ RRMM.</w:t>
            </w:r>
          </w:p>
        </w:tc>
      </w:tr>
      <w:tr w:rsidR="00F223D3" w:rsidRPr="000160C3" w14:paraId="71A1FD4D" w14:textId="77777777">
        <w:tc>
          <w:tcPr>
            <w:tcW w:w="3256" w:type="dxa"/>
            <w:vAlign w:val="center"/>
          </w:tcPr>
          <w:p w14:paraId="701DF456" w14:textId="7802F4AF" w:rsidR="00F223D3" w:rsidRPr="000160C3" w:rsidRDefault="00F223D3" w:rsidP="001C47F4">
            <w:pPr>
              <w:pStyle w:val="TableText0"/>
              <w:keepNext/>
              <w:keepLines/>
              <w:spacing w:line="240" w:lineRule="auto"/>
            </w:pPr>
            <w:r w:rsidRPr="000160C3">
              <w:t>Total cost of hospitalisation during step</w:t>
            </w:r>
            <w:r w:rsidR="00EC1990">
              <w:noBreakHyphen/>
            </w:r>
            <w:r w:rsidRPr="000160C3">
              <w:t>up phase per patient</w:t>
            </w:r>
          </w:p>
        </w:tc>
        <w:tc>
          <w:tcPr>
            <w:tcW w:w="2902" w:type="dxa"/>
            <w:vAlign w:val="center"/>
          </w:tcPr>
          <w:p w14:paraId="48336D5F" w14:textId="77777777" w:rsidR="00F223D3" w:rsidRPr="000160C3" w:rsidRDefault="00F223D3" w:rsidP="001C47F4">
            <w:pPr>
              <w:pStyle w:val="TableText0"/>
              <w:keepNext/>
              <w:keepLines/>
              <w:spacing w:line="240" w:lineRule="auto"/>
              <w:jc w:val="center"/>
            </w:pPr>
            <w:r w:rsidRPr="000160C3">
              <w:t>$0.00</w:t>
            </w:r>
          </w:p>
        </w:tc>
        <w:tc>
          <w:tcPr>
            <w:tcW w:w="2903" w:type="dxa"/>
            <w:vAlign w:val="center"/>
          </w:tcPr>
          <w:p w14:paraId="77F79F2A" w14:textId="77777777" w:rsidR="00F223D3" w:rsidRPr="000160C3" w:rsidRDefault="00F223D3" w:rsidP="001C47F4">
            <w:pPr>
              <w:pStyle w:val="TableText0"/>
              <w:keepNext/>
              <w:keepLines/>
              <w:spacing w:line="240" w:lineRule="auto"/>
              <w:jc w:val="center"/>
            </w:pPr>
            <w:r w:rsidRPr="000160C3">
              <w:t>$2,142.57</w:t>
            </w:r>
          </w:p>
        </w:tc>
      </w:tr>
      <w:tr w:rsidR="00234A01" w:rsidRPr="000160C3" w14:paraId="4E24D7DB" w14:textId="77777777">
        <w:tc>
          <w:tcPr>
            <w:tcW w:w="3256" w:type="dxa"/>
            <w:vAlign w:val="center"/>
          </w:tcPr>
          <w:p w14:paraId="5AA0076C" w14:textId="25CEF200" w:rsidR="00234A01" w:rsidRPr="000160C3" w:rsidRDefault="00F31401" w:rsidP="001C47F4">
            <w:pPr>
              <w:pStyle w:val="TableText0"/>
              <w:keepNext/>
              <w:keepLines/>
              <w:spacing w:line="240" w:lineRule="auto"/>
            </w:pPr>
            <w:r w:rsidRPr="000160C3">
              <w:t xml:space="preserve">Number of doses administered </w:t>
            </w:r>
          </w:p>
        </w:tc>
        <w:tc>
          <w:tcPr>
            <w:tcW w:w="2902" w:type="dxa"/>
            <w:vAlign w:val="center"/>
          </w:tcPr>
          <w:p w14:paraId="4849B2DE" w14:textId="65F5547A" w:rsidR="00234A01" w:rsidRPr="000160C3" w:rsidRDefault="00F31401" w:rsidP="001C47F4">
            <w:pPr>
              <w:pStyle w:val="TableText0"/>
              <w:keepNext/>
              <w:keepLines/>
              <w:spacing w:line="240" w:lineRule="auto"/>
              <w:jc w:val="center"/>
            </w:pPr>
            <w:r w:rsidRPr="000160C3">
              <w:t>60.5</w:t>
            </w:r>
          </w:p>
        </w:tc>
        <w:tc>
          <w:tcPr>
            <w:tcW w:w="2903" w:type="dxa"/>
            <w:vAlign w:val="center"/>
          </w:tcPr>
          <w:p w14:paraId="4E5FD96C" w14:textId="471CA1A1" w:rsidR="00234A01" w:rsidRPr="000160C3" w:rsidRDefault="00F31401" w:rsidP="001C47F4">
            <w:pPr>
              <w:pStyle w:val="TableText0"/>
              <w:keepNext/>
              <w:keepLines/>
              <w:spacing w:line="240" w:lineRule="auto"/>
              <w:jc w:val="center"/>
            </w:pPr>
            <w:r w:rsidRPr="000160C3">
              <w:t>60.5</w:t>
            </w:r>
          </w:p>
        </w:tc>
      </w:tr>
      <w:tr w:rsidR="00F223D3" w:rsidRPr="000160C3" w14:paraId="339C394C" w14:textId="77777777">
        <w:tc>
          <w:tcPr>
            <w:tcW w:w="3256" w:type="dxa"/>
            <w:vAlign w:val="center"/>
          </w:tcPr>
          <w:p w14:paraId="6E7F5427" w14:textId="19D08F1C" w:rsidR="00F223D3" w:rsidRPr="000160C3" w:rsidRDefault="00F223D3" w:rsidP="001C47F4">
            <w:pPr>
              <w:pStyle w:val="TableText0"/>
              <w:keepNext/>
              <w:keepLines/>
              <w:spacing w:line="240" w:lineRule="auto"/>
            </w:pPr>
            <w:r w:rsidRPr="000160C3">
              <w:t>Total cost of drug administration per patient</w:t>
            </w:r>
          </w:p>
        </w:tc>
        <w:tc>
          <w:tcPr>
            <w:tcW w:w="2902" w:type="dxa"/>
            <w:vAlign w:val="center"/>
          </w:tcPr>
          <w:p w14:paraId="25CC4CA3" w14:textId="3A8FFA78" w:rsidR="00F223D3" w:rsidRPr="000160C3" w:rsidRDefault="0022748C" w:rsidP="001C47F4">
            <w:pPr>
              <w:pStyle w:val="TableText0"/>
              <w:keepNext/>
              <w:keepLines/>
              <w:spacing w:line="240" w:lineRule="auto"/>
              <w:jc w:val="center"/>
            </w:pPr>
            <w:r w:rsidRPr="000160C3">
              <w:t>$7,618.90</w:t>
            </w:r>
          </w:p>
        </w:tc>
        <w:tc>
          <w:tcPr>
            <w:tcW w:w="2903" w:type="dxa"/>
            <w:vAlign w:val="center"/>
          </w:tcPr>
          <w:p w14:paraId="29A4D56B" w14:textId="4DB15B1D" w:rsidR="00F223D3" w:rsidRPr="000160C3" w:rsidRDefault="0022748C" w:rsidP="001C47F4">
            <w:pPr>
              <w:pStyle w:val="TableText0"/>
              <w:keepNext/>
              <w:keepLines/>
              <w:spacing w:line="240" w:lineRule="auto"/>
              <w:jc w:val="center"/>
            </w:pPr>
            <w:r w:rsidRPr="000160C3">
              <w:t>$7,621.46</w:t>
            </w:r>
          </w:p>
        </w:tc>
      </w:tr>
      <w:tr w:rsidR="00F223D3" w:rsidRPr="000160C3" w14:paraId="6A90E011" w14:textId="77777777">
        <w:tc>
          <w:tcPr>
            <w:tcW w:w="3256" w:type="dxa"/>
            <w:vAlign w:val="center"/>
          </w:tcPr>
          <w:p w14:paraId="0B4EE0C5" w14:textId="77777777" w:rsidR="00F223D3" w:rsidRPr="000160C3" w:rsidRDefault="00F223D3" w:rsidP="001C47F4">
            <w:pPr>
              <w:pStyle w:val="TableText0"/>
              <w:keepNext/>
              <w:keepLines/>
              <w:spacing w:line="240" w:lineRule="auto"/>
              <w:rPr>
                <w:b/>
              </w:rPr>
            </w:pPr>
            <w:r w:rsidRPr="000160C3">
              <w:rPr>
                <w:b/>
              </w:rPr>
              <w:t>Total cost/patient/course</w:t>
            </w:r>
          </w:p>
        </w:tc>
        <w:tc>
          <w:tcPr>
            <w:tcW w:w="2902" w:type="dxa"/>
            <w:vAlign w:val="center"/>
          </w:tcPr>
          <w:p w14:paraId="6C1195F8" w14:textId="60F44833" w:rsidR="00F223D3" w:rsidRPr="000160C3" w:rsidRDefault="00F223D3" w:rsidP="001C47F4">
            <w:pPr>
              <w:pStyle w:val="TableText0"/>
              <w:keepNext/>
              <w:keepLines/>
              <w:spacing w:line="240" w:lineRule="auto"/>
              <w:jc w:val="center"/>
              <w:rPr>
                <w:b/>
              </w:rPr>
            </w:pPr>
            <w:r w:rsidRPr="000160C3">
              <w:t>Based on estimated dosing as per CMA approach above at an effective price established in relation to the equi</w:t>
            </w:r>
            <w:r w:rsidR="00EC1990">
              <w:noBreakHyphen/>
            </w:r>
            <w:r w:rsidRPr="000160C3">
              <w:t>effective dosing vs elranatamab, and the cost</w:t>
            </w:r>
            <w:r w:rsidR="00EC1990">
              <w:noBreakHyphen/>
            </w:r>
            <w:r w:rsidRPr="000160C3">
              <w:t>offsets (administration)</w:t>
            </w:r>
          </w:p>
        </w:tc>
        <w:tc>
          <w:tcPr>
            <w:tcW w:w="2903" w:type="dxa"/>
            <w:vAlign w:val="center"/>
          </w:tcPr>
          <w:p w14:paraId="79B331F8" w14:textId="3170E511" w:rsidR="00F223D3" w:rsidRPr="000160C3" w:rsidRDefault="00F223D3" w:rsidP="001C47F4">
            <w:pPr>
              <w:pStyle w:val="TableText0"/>
              <w:keepNext/>
              <w:keepLines/>
              <w:spacing w:line="240" w:lineRule="auto"/>
              <w:jc w:val="center"/>
            </w:pPr>
            <w:r w:rsidRPr="000160C3">
              <w:t>Based on estimated dosing as per CMA approach above at the agreed effective price for elranatamab, and the cost</w:t>
            </w:r>
            <w:r w:rsidR="00EC1990">
              <w:noBreakHyphen/>
            </w:r>
            <w:r w:rsidRPr="000160C3">
              <w:t>offsets (hospitalisation, administration)</w:t>
            </w:r>
          </w:p>
        </w:tc>
      </w:tr>
    </w:tbl>
    <w:p w14:paraId="79D7B306" w14:textId="77777777" w:rsidR="00BE64A1" w:rsidRPr="000160C3" w:rsidRDefault="00BE64A1" w:rsidP="001C47F4">
      <w:pPr>
        <w:pStyle w:val="TableText0"/>
        <w:rPr>
          <w:b/>
          <w:sz w:val="18"/>
          <w:szCs w:val="18"/>
        </w:rPr>
      </w:pPr>
      <w:r w:rsidRPr="000160C3">
        <w:rPr>
          <w:sz w:val="18"/>
          <w:szCs w:val="18"/>
        </w:rPr>
        <w:t xml:space="preserve">Source: Table 3.8 p241 of the submission, Section 3 Workbook, Sheets ‘Input’ and ‘Results’ </w:t>
      </w:r>
    </w:p>
    <w:p w14:paraId="62FBF120" w14:textId="4B147D20" w:rsidR="00BE64A1" w:rsidRPr="000160C3" w:rsidRDefault="00BE64A1" w:rsidP="001C47F4">
      <w:pPr>
        <w:pStyle w:val="TableText0"/>
        <w:rPr>
          <w:sz w:val="18"/>
          <w:szCs w:val="18"/>
        </w:rPr>
      </w:pPr>
      <w:r w:rsidRPr="000160C3">
        <w:rPr>
          <w:sz w:val="18"/>
          <w:szCs w:val="18"/>
        </w:rPr>
        <w:t xml:space="preserve">Abbreviations: </w:t>
      </w:r>
      <w:r w:rsidR="00992908" w:rsidRPr="000160C3">
        <w:rPr>
          <w:sz w:val="18"/>
          <w:szCs w:val="18"/>
        </w:rPr>
        <w:t xml:space="preserve">AEMP = </w:t>
      </w:r>
      <w:r w:rsidR="00D47F89" w:rsidRPr="000160C3">
        <w:rPr>
          <w:sz w:val="18"/>
          <w:szCs w:val="18"/>
        </w:rPr>
        <w:t>approved ex</w:t>
      </w:r>
      <w:r w:rsidR="00EC1990">
        <w:rPr>
          <w:sz w:val="18"/>
          <w:szCs w:val="18"/>
        </w:rPr>
        <w:noBreakHyphen/>
      </w:r>
      <w:r w:rsidR="00D47F89" w:rsidRPr="000160C3">
        <w:rPr>
          <w:sz w:val="18"/>
          <w:szCs w:val="18"/>
        </w:rPr>
        <w:t xml:space="preserve">manufacturer price; </w:t>
      </w:r>
      <w:r w:rsidRPr="000160C3">
        <w:rPr>
          <w:sz w:val="18"/>
          <w:szCs w:val="18"/>
        </w:rPr>
        <w:t>AR</w:t>
      </w:r>
      <w:r w:rsidR="00EC1990">
        <w:rPr>
          <w:sz w:val="18"/>
          <w:szCs w:val="18"/>
        </w:rPr>
        <w:noBreakHyphen/>
      </w:r>
      <w:r w:rsidRPr="000160C3">
        <w:rPr>
          <w:sz w:val="18"/>
          <w:szCs w:val="18"/>
        </w:rPr>
        <w:t xml:space="preserve">DRG = Australian Refined Diagnosis Related Groups; </w:t>
      </w:r>
      <w:r w:rsidR="00027062" w:rsidRPr="000160C3">
        <w:rPr>
          <w:sz w:val="18"/>
          <w:szCs w:val="18"/>
        </w:rPr>
        <w:t>CMA = cost</w:t>
      </w:r>
      <w:r w:rsidR="00EC1990">
        <w:rPr>
          <w:sz w:val="18"/>
          <w:szCs w:val="18"/>
        </w:rPr>
        <w:noBreakHyphen/>
      </w:r>
      <w:r w:rsidR="00027062" w:rsidRPr="000160C3">
        <w:rPr>
          <w:sz w:val="18"/>
          <w:szCs w:val="18"/>
        </w:rPr>
        <w:t xml:space="preserve">minimisation analysis; </w:t>
      </w:r>
      <w:r w:rsidRPr="000160C3">
        <w:rPr>
          <w:sz w:val="18"/>
          <w:szCs w:val="18"/>
        </w:rPr>
        <w:t xml:space="preserve">MBS = Medicare Benefits Schedule; </w:t>
      </w:r>
      <w:r w:rsidR="00F6778A" w:rsidRPr="000160C3">
        <w:rPr>
          <w:sz w:val="18"/>
          <w:szCs w:val="18"/>
        </w:rPr>
        <w:t>N = number; N</w:t>
      </w:r>
      <w:r w:rsidR="008E4DDA" w:rsidRPr="000160C3">
        <w:rPr>
          <w:sz w:val="18"/>
          <w:szCs w:val="18"/>
        </w:rPr>
        <w:t>/</w:t>
      </w:r>
      <w:r w:rsidR="00F6778A" w:rsidRPr="000160C3">
        <w:rPr>
          <w:sz w:val="18"/>
          <w:szCs w:val="18"/>
        </w:rPr>
        <w:t xml:space="preserve">A = not applicable; </w:t>
      </w:r>
      <w:r w:rsidRPr="000160C3">
        <w:rPr>
          <w:sz w:val="18"/>
          <w:szCs w:val="18"/>
        </w:rPr>
        <w:t xml:space="preserve">NR = not reported; Q2W = every 2 weeks; Q4W = every 4 weeks; RDI = relative dose intensity; </w:t>
      </w:r>
      <w:r w:rsidR="00032990" w:rsidRPr="000160C3">
        <w:rPr>
          <w:sz w:val="18"/>
          <w:szCs w:val="18"/>
        </w:rPr>
        <w:t xml:space="preserve">RRMM = </w:t>
      </w:r>
      <w:r w:rsidR="00027062" w:rsidRPr="000160C3">
        <w:rPr>
          <w:sz w:val="18"/>
          <w:szCs w:val="18"/>
        </w:rPr>
        <w:t xml:space="preserve">Relapsed refractory multiple myeloma; </w:t>
      </w:r>
      <w:r w:rsidRPr="000160C3">
        <w:rPr>
          <w:sz w:val="18"/>
          <w:szCs w:val="18"/>
        </w:rPr>
        <w:t>SPA = special pricing arrangement; TGA PI = Therapeutic Goods Administration product information</w:t>
      </w:r>
    </w:p>
    <w:p w14:paraId="3B49B4CE" w14:textId="77777777" w:rsidR="00F223D3" w:rsidRPr="000160C3" w:rsidRDefault="00F223D3" w:rsidP="001C47F4">
      <w:pPr>
        <w:pStyle w:val="TableText0"/>
        <w:rPr>
          <w:b/>
          <w:sz w:val="18"/>
          <w:szCs w:val="18"/>
        </w:rPr>
      </w:pPr>
    </w:p>
    <w:p w14:paraId="017C1547" w14:textId="2BF9D96B" w:rsidR="00BE5EBC" w:rsidRPr="006069AA" w:rsidRDefault="00BE5EBC" w:rsidP="001C47F4">
      <w:pPr>
        <w:pStyle w:val="3-BodyText"/>
      </w:pPr>
      <w:r w:rsidRPr="006069AA">
        <w:t xml:space="preserve">The results of sensitivity analyses </w:t>
      </w:r>
      <w:r w:rsidR="003B1D9B" w:rsidRPr="006069AA">
        <w:t xml:space="preserve">presented by the submission and </w:t>
      </w:r>
      <w:r w:rsidRPr="006069AA">
        <w:t xml:space="preserve">conducted during the evaluation are presented in </w:t>
      </w:r>
      <w:r w:rsidRPr="006069AA">
        <w:fldChar w:fldCharType="begin"/>
      </w:r>
      <w:r w:rsidRPr="006069AA">
        <w:instrText xml:space="preserve"> REF _Ref215908983 \h  \* MERGEFORMAT </w:instrText>
      </w:r>
      <w:r w:rsidRPr="006069AA">
        <w:fldChar w:fldCharType="separate"/>
      </w:r>
      <w:r w:rsidR="001C47F4" w:rsidRPr="000160C3">
        <w:t xml:space="preserve">Table </w:t>
      </w:r>
      <w:r w:rsidR="001C47F4">
        <w:t>14</w:t>
      </w:r>
      <w:r w:rsidRPr="006069AA">
        <w:fldChar w:fldCharType="end"/>
      </w:r>
      <w:r w:rsidRPr="006069AA">
        <w:t>. Treatment duration, the timepoint of transition to less frequent dosing, and the proportion of patients switching from QW to Q2W had the greatest impact on the proposed equi</w:t>
      </w:r>
      <w:r w:rsidR="00EC1990">
        <w:noBreakHyphen/>
      </w:r>
      <w:r w:rsidRPr="006069AA">
        <w:t>effective doses and number of administrations.</w:t>
      </w:r>
      <w:r w:rsidR="00A301DA" w:rsidRPr="006069AA">
        <w:t xml:space="preserve"> </w:t>
      </w:r>
      <w:r w:rsidR="00967359" w:rsidRPr="006069AA">
        <w:t xml:space="preserve">The ESC </w:t>
      </w:r>
      <w:r w:rsidR="00600EBB" w:rsidRPr="006069AA">
        <w:t xml:space="preserve">suggested Sensitivity Analysis </w:t>
      </w:r>
      <w:r w:rsidR="00A33969" w:rsidRPr="006069AA">
        <w:t>5</w:t>
      </w:r>
      <w:r w:rsidR="00600EBB" w:rsidRPr="006069AA">
        <w:t xml:space="preserve">, which assumed 100% of teclistamab patients achieved a CR at 6 months and could therefore switch from </w:t>
      </w:r>
      <w:r w:rsidR="00600EBB" w:rsidRPr="006069AA">
        <w:lastRenderedPageBreak/>
        <w:t>weekly to fortnightly dosing at 53 weeks</w:t>
      </w:r>
      <w:r w:rsidR="007F69BC" w:rsidRPr="006069AA">
        <w:t xml:space="preserve"> </w:t>
      </w:r>
      <w:r w:rsidR="00233108" w:rsidRPr="006069AA">
        <w:t xml:space="preserve">after maintaining CR for at least 6 months </w:t>
      </w:r>
      <w:r w:rsidR="007F69BC" w:rsidRPr="006069AA">
        <w:t>(dosing schedule as per the TGA PI and MajesTEC</w:t>
      </w:r>
      <w:r w:rsidR="00EC1990">
        <w:noBreakHyphen/>
      </w:r>
      <w:r w:rsidR="007F69BC" w:rsidRPr="006069AA">
        <w:t>1 study)</w:t>
      </w:r>
      <w:r w:rsidR="00120980" w:rsidRPr="006069AA">
        <w:t xml:space="preserve">. </w:t>
      </w:r>
    </w:p>
    <w:p w14:paraId="1048EA56" w14:textId="24BD027D" w:rsidR="00BE5EBC" w:rsidRPr="000160C3" w:rsidRDefault="00BE5EBC" w:rsidP="001C47F4">
      <w:pPr>
        <w:pStyle w:val="Caption"/>
        <w:rPr>
          <w:rStyle w:val="CommentReference"/>
          <w:b/>
          <w:bCs w:val="0"/>
          <w:szCs w:val="24"/>
        </w:rPr>
      </w:pPr>
      <w:bookmarkStart w:id="55" w:name="_Ref215908983"/>
      <w:r w:rsidRPr="000160C3">
        <w:t xml:space="preserve">Table </w:t>
      </w:r>
      <w:r>
        <w:fldChar w:fldCharType="begin"/>
      </w:r>
      <w:r>
        <w:instrText>SEQ Table \* ARABIC</w:instrText>
      </w:r>
      <w:r>
        <w:fldChar w:fldCharType="separate"/>
      </w:r>
      <w:r w:rsidR="001C47F4">
        <w:rPr>
          <w:noProof/>
        </w:rPr>
        <w:t>14</w:t>
      </w:r>
      <w:r>
        <w:fldChar w:fldCharType="end"/>
      </w:r>
      <w:bookmarkEnd w:id="55"/>
      <w:r w:rsidRPr="000160C3">
        <w:t>:</w:t>
      </w:r>
      <w:r w:rsidRPr="000160C3">
        <w:rPr>
          <w:rStyle w:val="CommentReference"/>
          <w:b/>
          <w:bCs w:val="0"/>
          <w:szCs w:val="24"/>
        </w:rPr>
        <w:t xml:space="preserve"> Sensitivity analyses </w:t>
      </w:r>
      <w:r w:rsidR="00F50A4F" w:rsidRPr="000160C3">
        <w:rPr>
          <w:rStyle w:val="CommentReference"/>
          <w:b/>
          <w:bCs w:val="0"/>
          <w:szCs w:val="24"/>
        </w:rPr>
        <w:t xml:space="preserve">provided in submission and </w:t>
      </w:r>
      <w:r w:rsidRPr="000160C3">
        <w:rPr>
          <w:rStyle w:val="CommentReference"/>
          <w:b/>
          <w:bCs w:val="0"/>
          <w:szCs w:val="24"/>
        </w:rPr>
        <w:t>conducted during the evaluation</w:t>
      </w:r>
      <w:r w:rsidR="00F50A4F" w:rsidRPr="000160C3">
        <w:rPr>
          <w:rStyle w:val="CommentReference"/>
          <w:b/>
          <w:bCs w:val="0"/>
          <w:szCs w:val="24"/>
        </w:rPr>
        <w:t xml:space="preserve"> (with all analyses based on revised base case)</w:t>
      </w:r>
    </w:p>
    <w:tbl>
      <w:tblPr>
        <w:tblStyle w:val="TableGrid"/>
        <w:tblW w:w="9061" w:type="dxa"/>
        <w:tblLayout w:type="fixed"/>
        <w:tblLook w:val="04A0" w:firstRow="1" w:lastRow="0" w:firstColumn="1" w:lastColumn="0" w:noHBand="0" w:noVBand="1"/>
        <w:tblCaption w:val="Table 14: Sensitivity analyses provided in submission and conducted during the evaluation (with all analyses based on revised base case)"/>
      </w:tblPr>
      <w:tblGrid>
        <w:gridCol w:w="3681"/>
        <w:gridCol w:w="567"/>
        <w:gridCol w:w="567"/>
        <w:gridCol w:w="1559"/>
        <w:gridCol w:w="567"/>
        <w:gridCol w:w="567"/>
        <w:gridCol w:w="1553"/>
      </w:tblGrid>
      <w:tr w:rsidR="00141BF2" w:rsidRPr="006069AA" w14:paraId="394835B3" w14:textId="5AE8B3B1" w:rsidTr="00DA0BD8">
        <w:tc>
          <w:tcPr>
            <w:tcW w:w="3681" w:type="dxa"/>
            <w:vMerge w:val="restart"/>
            <w:tcMar>
              <w:left w:w="28" w:type="dxa"/>
              <w:right w:w="28" w:type="dxa"/>
            </w:tcMar>
          </w:tcPr>
          <w:p w14:paraId="585298CB" w14:textId="52DD01FE" w:rsidR="00141BF2" w:rsidRPr="006069AA" w:rsidRDefault="00141BF2" w:rsidP="001C47F4">
            <w:pPr>
              <w:pStyle w:val="TableText0"/>
              <w:keepNext/>
              <w:keepLines/>
              <w:spacing w:line="240" w:lineRule="auto"/>
            </w:pPr>
          </w:p>
        </w:tc>
        <w:tc>
          <w:tcPr>
            <w:tcW w:w="2693" w:type="dxa"/>
            <w:gridSpan w:val="3"/>
            <w:tcMar>
              <w:left w:w="28" w:type="dxa"/>
              <w:right w:w="28" w:type="dxa"/>
            </w:tcMar>
            <w:vAlign w:val="center"/>
          </w:tcPr>
          <w:p w14:paraId="73BC87E3" w14:textId="20D4DB54" w:rsidR="00141BF2" w:rsidRPr="006069AA" w:rsidRDefault="00141BF2" w:rsidP="001C47F4">
            <w:pPr>
              <w:pStyle w:val="TableText0"/>
              <w:keepNext/>
              <w:keepLines/>
              <w:spacing w:line="240" w:lineRule="auto"/>
              <w:jc w:val="center"/>
              <w:rPr>
                <w:b/>
                <w:bCs w:val="0"/>
              </w:rPr>
            </w:pPr>
            <w:r w:rsidRPr="006069AA">
              <w:rPr>
                <w:b/>
                <w:bCs w:val="0"/>
              </w:rPr>
              <w:t>Equi</w:t>
            </w:r>
            <w:r w:rsidR="00EC1990">
              <w:rPr>
                <w:b/>
                <w:bCs w:val="0"/>
              </w:rPr>
              <w:noBreakHyphen/>
            </w:r>
            <w:r w:rsidRPr="006069AA">
              <w:rPr>
                <w:b/>
                <w:bCs w:val="0"/>
              </w:rPr>
              <w:t>effective dosing (mg)</w:t>
            </w:r>
          </w:p>
        </w:tc>
        <w:tc>
          <w:tcPr>
            <w:tcW w:w="2687" w:type="dxa"/>
            <w:gridSpan w:val="3"/>
            <w:tcMar>
              <w:left w:w="28" w:type="dxa"/>
              <w:right w:w="28" w:type="dxa"/>
            </w:tcMar>
            <w:vAlign w:val="center"/>
          </w:tcPr>
          <w:p w14:paraId="22B5F36C" w14:textId="0DA054FA" w:rsidR="00141BF2" w:rsidRPr="006069AA" w:rsidRDefault="00141BF2" w:rsidP="001C47F4">
            <w:pPr>
              <w:pStyle w:val="TableText0"/>
              <w:keepNext/>
              <w:keepLines/>
              <w:spacing w:line="240" w:lineRule="auto"/>
              <w:jc w:val="center"/>
              <w:rPr>
                <w:b/>
                <w:bCs w:val="0"/>
              </w:rPr>
            </w:pPr>
            <w:r w:rsidRPr="006069AA">
              <w:rPr>
                <w:b/>
                <w:bCs w:val="0"/>
              </w:rPr>
              <w:t>Number of administrations</w:t>
            </w:r>
          </w:p>
        </w:tc>
      </w:tr>
      <w:tr w:rsidR="00141BF2" w:rsidRPr="006069AA" w14:paraId="1BF42F8A" w14:textId="223A5097" w:rsidTr="00DA0BD8">
        <w:tc>
          <w:tcPr>
            <w:tcW w:w="3681" w:type="dxa"/>
            <w:vMerge/>
            <w:tcMar>
              <w:left w:w="28" w:type="dxa"/>
              <w:right w:w="28" w:type="dxa"/>
            </w:tcMar>
          </w:tcPr>
          <w:p w14:paraId="2240E819" w14:textId="2C4261F9" w:rsidR="00141BF2" w:rsidRPr="006069AA" w:rsidRDefault="00141BF2" w:rsidP="001C47F4">
            <w:pPr>
              <w:pStyle w:val="TableText0"/>
              <w:keepNext/>
              <w:keepLines/>
              <w:spacing w:line="240" w:lineRule="auto"/>
            </w:pPr>
          </w:p>
        </w:tc>
        <w:tc>
          <w:tcPr>
            <w:tcW w:w="567" w:type="dxa"/>
            <w:tcMar>
              <w:left w:w="28" w:type="dxa"/>
              <w:right w:w="28" w:type="dxa"/>
            </w:tcMar>
          </w:tcPr>
          <w:p w14:paraId="2F14D948" w14:textId="0AFE91B0" w:rsidR="00141BF2" w:rsidRPr="006069AA" w:rsidRDefault="00141BF2" w:rsidP="001C47F4">
            <w:pPr>
              <w:pStyle w:val="TableText0"/>
              <w:keepNext/>
              <w:keepLines/>
              <w:spacing w:line="240" w:lineRule="auto"/>
              <w:jc w:val="center"/>
              <w:rPr>
                <w:b/>
                <w:bCs w:val="0"/>
              </w:rPr>
            </w:pPr>
            <w:r w:rsidRPr="006069AA">
              <w:rPr>
                <w:b/>
                <w:bCs w:val="0"/>
              </w:rPr>
              <w:t>TEC</w:t>
            </w:r>
          </w:p>
        </w:tc>
        <w:tc>
          <w:tcPr>
            <w:tcW w:w="567" w:type="dxa"/>
            <w:tcMar>
              <w:left w:w="28" w:type="dxa"/>
              <w:right w:w="28" w:type="dxa"/>
            </w:tcMar>
          </w:tcPr>
          <w:p w14:paraId="4DE05C99" w14:textId="072FF2A2" w:rsidR="00141BF2" w:rsidRPr="006069AA" w:rsidRDefault="00141BF2" w:rsidP="001C47F4">
            <w:pPr>
              <w:pStyle w:val="TableText0"/>
              <w:keepNext/>
              <w:keepLines/>
              <w:spacing w:line="240" w:lineRule="auto"/>
              <w:jc w:val="center"/>
              <w:rPr>
                <w:b/>
                <w:bCs w:val="0"/>
              </w:rPr>
            </w:pPr>
            <w:r w:rsidRPr="006069AA">
              <w:rPr>
                <w:b/>
                <w:bCs w:val="0"/>
              </w:rPr>
              <w:t>ELR</w:t>
            </w:r>
          </w:p>
        </w:tc>
        <w:tc>
          <w:tcPr>
            <w:tcW w:w="1559" w:type="dxa"/>
            <w:tcMar>
              <w:left w:w="28" w:type="dxa"/>
              <w:right w:w="28" w:type="dxa"/>
            </w:tcMar>
            <w:vAlign w:val="center"/>
          </w:tcPr>
          <w:p w14:paraId="334D3153" w14:textId="0B38901B" w:rsidR="00141BF2" w:rsidRPr="006069AA" w:rsidRDefault="00141BF2" w:rsidP="001C47F4">
            <w:pPr>
              <w:pStyle w:val="TableText0"/>
              <w:keepNext/>
              <w:keepLines/>
              <w:spacing w:line="240" w:lineRule="auto"/>
              <w:jc w:val="center"/>
              <w:rPr>
                <w:b/>
                <w:bCs w:val="0"/>
              </w:rPr>
            </w:pPr>
            <w:r w:rsidRPr="006069AA">
              <w:rPr>
                <w:b/>
                <w:bCs w:val="0"/>
              </w:rPr>
              <w:t>% change vs base</w:t>
            </w:r>
          </w:p>
        </w:tc>
        <w:tc>
          <w:tcPr>
            <w:tcW w:w="567" w:type="dxa"/>
            <w:tcMar>
              <w:left w:w="28" w:type="dxa"/>
              <w:right w:w="28" w:type="dxa"/>
            </w:tcMar>
            <w:vAlign w:val="center"/>
          </w:tcPr>
          <w:p w14:paraId="336A0B87" w14:textId="714E1203" w:rsidR="00141BF2" w:rsidRPr="006069AA" w:rsidRDefault="00141BF2" w:rsidP="001C47F4">
            <w:pPr>
              <w:pStyle w:val="TableText0"/>
              <w:keepNext/>
              <w:keepLines/>
              <w:spacing w:line="240" w:lineRule="auto"/>
              <w:jc w:val="center"/>
              <w:rPr>
                <w:b/>
                <w:bCs w:val="0"/>
              </w:rPr>
            </w:pPr>
            <w:r w:rsidRPr="006069AA">
              <w:rPr>
                <w:b/>
                <w:bCs w:val="0"/>
              </w:rPr>
              <w:t>TEC</w:t>
            </w:r>
          </w:p>
        </w:tc>
        <w:tc>
          <w:tcPr>
            <w:tcW w:w="567" w:type="dxa"/>
            <w:tcMar>
              <w:left w:w="28" w:type="dxa"/>
              <w:right w:w="28" w:type="dxa"/>
            </w:tcMar>
            <w:vAlign w:val="center"/>
          </w:tcPr>
          <w:p w14:paraId="064913BC" w14:textId="744FC740" w:rsidR="00141BF2" w:rsidRPr="006069AA" w:rsidRDefault="00141BF2" w:rsidP="001C47F4">
            <w:pPr>
              <w:pStyle w:val="TableText0"/>
              <w:keepNext/>
              <w:keepLines/>
              <w:spacing w:line="240" w:lineRule="auto"/>
              <w:jc w:val="center"/>
              <w:rPr>
                <w:b/>
                <w:bCs w:val="0"/>
              </w:rPr>
            </w:pPr>
            <w:r w:rsidRPr="006069AA">
              <w:rPr>
                <w:b/>
                <w:bCs w:val="0"/>
              </w:rPr>
              <w:t>ELR</w:t>
            </w:r>
          </w:p>
        </w:tc>
        <w:tc>
          <w:tcPr>
            <w:tcW w:w="1553" w:type="dxa"/>
            <w:tcMar>
              <w:left w:w="28" w:type="dxa"/>
              <w:right w:w="28" w:type="dxa"/>
            </w:tcMar>
            <w:vAlign w:val="center"/>
          </w:tcPr>
          <w:p w14:paraId="3C86D708" w14:textId="7D683807" w:rsidR="00141BF2" w:rsidRPr="006069AA" w:rsidRDefault="00141BF2" w:rsidP="001C47F4">
            <w:pPr>
              <w:pStyle w:val="TableText0"/>
              <w:keepNext/>
              <w:keepLines/>
              <w:spacing w:line="240" w:lineRule="auto"/>
              <w:jc w:val="center"/>
              <w:rPr>
                <w:b/>
                <w:bCs w:val="0"/>
              </w:rPr>
            </w:pPr>
            <w:r w:rsidRPr="006069AA">
              <w:rPr>
                <w:b/>
                <w:bCs w:val="0"/>
              </w:rPr>
              <w:t>% change vs base</w:t>
            </w:r>
          </w:p>
        </w:tc>
      </w:tr>
      <w:tr w:rsidR="00141BF2" w:rsidRPr="006069AA" w14:paraId="3EA87D3C" w14:textId="58ADF31C" w:rsidTr="00DA0BD8">
        <w:tc>
          <w:tcPr>
            <w:tcW w:w="3681" w:type="dxa"/>
            <w:tcMar>
              <w:left w:w="28" w:type="dxa"/>
              <w:right w:w="28" w:type="dxa"/>
            </w:tcMar>
          </w:tcPr>
          <w:p w14:paraId="01D08E9D" w14:textId="62DF438D" w:rsidR="00141BF2" w:rsidRPr="006069AA" w:rsidRDefault="00141BF2" w:rsidP="001C47F4">
            <w:pPr>
              <w:pStyle w:val="TableText0"/>
              <w:keepNext/>
              <w:keepLines/>
              <w:spacing w:line="240" w:lineRule="auto"/>
            </w:pPr>
            <w:r w:rsidRPr="006069AA">
              <w:t xml:space="preserve">Revised base </w:t>
            </w:r>
            <w:proofErr w:type="spellStart"/>
            <w:r w:rsidRPr="006069AA">
              <w:t>case</w:t>
            </w:r>
            <w:r w:rsidRPr="006069AA">
              <w:rPr>
                <w:vertAlign w:val="superscript"/>
              </w:rPr>
              <w:t>a</w:t>
            </w:r>
            <w:proofErr w:type="spellEnd"/>
          </w:p>
        </w:tc>
        <w:tc>
          <w:tcPr>
            <w:tcW w:w="567" w:type="dxa"/>
            <w:tcMar>
              <w:left w:w="28" w:type="dxa"/>
              <w:right w:w="28" w:type="dxa"/>
            </w:tcMar>
            <w:vAlign w:val="center"/>
          </w:tcPr>
          <w:p w14:paraId="38FBC978" w14:textId="77547FFC" w:rsidR="00141BF2" w:rsidRPr="006069AA" w:rsidRDefault="00141BF2" w:rsidP="001C47F4">
            <w:pPr>
              <w:pStyle w:val="TableText0"/>
              <w:keepNext/>
              <w:keepLines/>
              <w:spacing w:line="240" w:lineRule="auto"/>
              <w:jc w:val="center"/>
            </w:pPr>
            <w:r w:rsidRPr="006069AA">
              <w:t>5,694</w:t>
            </w:r>
          </w:p>
        </w:tc>
        <w:tc>
          <w:tcPr>
            <w:tcW w:w="567" w:type="dxa"/>
            <w:tcMar>
              <w:left w:w="28" w:type="dxa"/>
              <w:right w:w="28" w:type="dxa"/>
            </w:tcMar>
            <w:vAlign w:val="center"/>
          </w:tcPr>
          <w:p w14:paraId="2E6CCF6C" w14:textId="5A9B7A6E" w:rsidR="00141BF2" w:rsidRPr="006069AA" w:rsidRDefault="00141BF2" w:rsidP="001C47F4">
            <w:pPr>
              <w:pStyle w:val="TableText0"/>
              <w:keepNext/>
              <w:keepLines/>
              <w:spacing w:line="240" w:lineRule="auto"/>
              <w:jc w:val="center"/>
            </w:pPr>
            <w:r w:rsidRPr="006069AA">
              <w:t>3,552</w:t>
            </w:r>
          </w:p>
        </w:tc>
        <w:tc>
          <w:tcPr>
            <w:tcW w:w="1559" w:type="dxa"/>
            <w:tcMar>
              <w:left w:w="28" w:type="dxa"/>
              <w:right w:w="28" w:type="dxa"/>
            </w:tcMar>
            <w:vAlign w:val="center"/>
          </w:tcPr>
          <w:p w14:paraId="7B64AB64" w14:textId="067A54C7" w:rsidR="00141BF2" w:rsidRPr="006069AA" w:rsidRDefault="00EC1990" w:rsidP="001C47F4">
            <w:pPr>
              <w:pStyle w:val="TableText0"/>
              <w:keepNext/>
              <w:keepLines/>
              <w:spacing w:line="240" w:lineRule="auto"/>
              <w:jc w:val="center"/>
            </w:pPr>
            <w:r>
              <w:noBreakHyphen/>
            </w:r>
          </w:p>
        </w:tc>
        <w:tc>
          <w:tcPr>
            <w:tcW w:w="567" w:type="dxa"/>
            <w:tcMar>
              <w:left w:w="28" w:type="dxa"/>
              <w:right w:w="28" w:type="dxa"/>
            </w:tcMar>
            <w:vAlign w:val="center"/>
          </w:tcPr>
          <w:p w14:paraId="60102665" w14:textId="764D1C00" w:rsidR="00141BF2" w:rsidRPr="006069AA" w:rsidRDefault="00141BF2" w:rsidP="001C47F4">
            <w:pPr>
              <w:pStyle w:val="TableText0"/>
              <w:keepNext/>
              <w:keepLines/>
              <w:spacing w:line="240" w:lineRule="auto"/>
              <w:jc w:val="center"/>
            </w:pPr>
            <w:r w:rsidRPr="006069AA">
              <w:t>60.5</w:t>
            </w:r>
          </w:p>
        </w:tc>
        <w:tc>
          <w:tcPr>
            <w:tcW w:w="567" w:type="dxa"/>
            <w:tcMar>
              <w:left w:w="28" w:type="dxa"/>
              <w:right w:w="28" w:type="dxa"/>
            </w:tcMar>
            <w:vAlign w:val="center"/>
          </w:tcPr>
          <w:p w14:paraId="669DCF53" w14:textId="1269089B" w:rsidR="00141BF2" w:rsidRPr="006069AA" w:rsidRDefault="00141BF2" w:rsidP="001C47F4">
            <w:pPr>
              <w:pStyle w:val="TableText0"/>
              <w:keepNext/>
              <w:keepLines/>
              <w:spacing w:line="240" w:lineRule="auto"/>
              <w:jc w:val="center"/>
            </w:pPr>
            <w:r w:rsidRPr="006069AA">
              <w:t>60.5</w:t>
            </w:r>
          </w:p>
        </w:tc>
        <w:tc>
          <w:tcPr>
            <w:tcW w:w="1553" w:type="dxa"/>
            <w:tcMar>
              <w:left w:w="28" w:type="dxa"/>
              <w:right w:w="28" w:type="dxa"/>
            </w:tcMar>
            <w:vAlign w:val="center"/>
          </w:tcPr>
          <w:p w14:paraId="3B5172A8" w14:textId="59A470AC" w:rsidR="00141BF2" w:rsidRPr="006069AA" w:rsidRDefault="00EC1990" w:rsidP="001C47F4">
            <w:pPr>
              <w:pStyle w:val="TableText0"/>
              <w:keepNext/>
              <w:keepLines/>
              <w:spacing w:line="240" w:lineRule="auto"/>
              <w:jc w:val="center"/>
            </w:pPr>
            <w:r>
              <w:noBreakHyphen/>
            </w:r>
          </w:p>
        </w:tc>
      </w:tr>
      <w:tr w:rsidR="00141BF2" w:rsidRPr="006069AA" w14:paraId="245DAFB4" w14:textId="58EF8132" w:rsidTr="00DA0BD8">
        <w:tc>
          <w:tcPr>
            <w:tcW w:w="3681" w:type="dxa"/>
            <w:tcMar>
              <w:left w:w="28" w:type="dxa"/>
              <w:right w:w="28" w:type="dxa"/>
            </w:tcMar>
            <w:vAlign w:val="center"/>
          </w:tcPr>
          <w:p w14:paraId="60D93758" w14:textId="63CD532F" w:rsidR="00141BF2" w:rsidRPr="006069AA" w:rsidRDefault="00141BF2" w:rsidP="001C47F4">
            <w:pPr>
              <w:pStyle w:val="TableText0"/>
              <w:keepNext/>
              <w:keepLines/>
              <w:spacing w:line="240" w:lineRule="auto"/>
            </w:pPr>
            <w:r w:rsidRPr="006069AA">
              <w:rPr>
                <w:b/>
                <w:bCs w:val="0"/>
              </w:rPr>
              <w:t>Sensitivity Analysis 1:</w:t>
            </w:r>
            <w:r w:rsidRPr="006069AA">
              <w:t xml:space="preserve"> </w:t>
            </w:r>
            <w:r w:rsidRPr="006069AA">
              <w:br/>
              <w:t xml:space="preserve">100% of patients switch to less frequent dosing at the earliest opportunity for both medicines (100% Q2W at 27 weeks for TEC, and 100% Q2W at 28 weeks and 100% Q4W at 52 weeks for </w:t>
            </w:r>
            <w:proofErr w:type="spellStart"/>
            <w:r w:rsidRPr="006069AA">
              <w:t>ELR</w:t>
            </w:r>
            <w:r w:rsidR="00FF534B" w:rsidRPr="006069AA">
              <w:rPr>
                <w:vertAlign w:val="superscript"/>
              </w:rPr>
              <w:t>b</w:t>
            </w:r>
            <w:proofErr w:type="spellEnd"/>
            <w:r w:rsidRPr="006069AA">
              <w:t>)</w:t>
            </w:r>
          </w:p>
        </w:tc>
        <w:tc>
          <w:tcPr>
            <w:tcW w:w="567" w:type="dxa"/>
            <w:tcMar>
              <w:left w:w="28" w:type="dxa"/>
              <w:right w:w="28" w:type="dxa"/>
            </w:tcMar>
            <w:vAlign w:val="center"/>
          </w:tcPr>
          <w:p w14:paraId="082D0EED" w14:textId="7D78239D" w:rsidR="00141BF2" w:rsidRPr="006069AA" w:rsidRDefault="00141BF2" w:rsidP="001C47F4">
            <w:pPr>
              <w:pStyle w:val="TableText0"/>
              <w:keepNext/>
              <w:keepLines/>
              <w:spacing w:line="240" w:lineRule="auto"/>
              <w:jc w:val="center"/>
            </w:pPr>
            <w:r w:rsidRPr="006069AA">
              <w:t>4,776</w:t>
            </w:r>
          </w:p>
        </w:tc>
        <w:tc>
          <w:tcPr>
            <w:tcW w:w="567" w:type="dxa"/>
            <w:tcMar>
              <w:left w:w="28" w:type="dxa"/>
              <w:right w:w="28" w:type="dxa"/>
            </w:tcMar>
            <w:vAlign w:val="center"/>
          </w:tcPr>
          <w:p w14:paraId="43A2596A" w14:textId="091B7585" w:rsidR="00141BF2" w:rsidRPr="006069AA" w:rsidRDefault="00141BF2" w:rsidP="001C47F4">
            <w:pPr>
              <w:pStyle w:val="TableText0"/>
              <w:keepNext/>
              <w:keepLines/>
              <w:spacing w:line="240" w:lineRule="auto"/>
              <w:jc w:val="center"/>
            </w:pPr>
            <w:r w:rsidRPr="006069AA">
              <w:t>2,620</w:t>
            </w:r>
          </w:p>
        </w:tc>
        <w:tc>
          <w:tcPr>
            <w:tcW w:w="1559" w:type="dxa"/>
            <w:tcMar>
              <w:left w:w="28" w:type="dxa"/>
              <w:right w:w="28" w:type="dxa"/>
            </w:tcMar>
            <w:vAlign w:val="center"/>
          </w:tcPr>
          <w:p w14:paraId="464CFDA4" w14:textId="0C73D46A" w:rsidR="00141BF2" w:rsidRPr="006069AA" w:rsidRDefault="00EC1990" w:rsidP="001C47F4">
            <w:pPr>
              <w:pStyle w:val="TableText0"/>
              <w:keepNext/>
              <w:keepLines/>
              <w:spacing w:line="240" w:lineRule="auto"/>
              <w:jc w:val="center"/>
            </w:pPr>
            <w:r>
              <w:noBreakHyphen/>
            </w:r>
            <w:r w:rsidR="00141BF2" w:rsidRPr="006069AA">
              <w:t>16.1% (TEC)</w:t>
            </w:r>
          </w:p>
          <w:p w14:paraId="12AB5705" w14:textId="29F1612B" w:rsidR="00141BF2" w:rsidRPr="006069AA" w:rsidRDefault="00EC1990" w:rsidP="001C47F4">
            <w:pPr>
              <w:pStyle w:val="TableText0"/>
              <w:keepNext/>
              <w:keepLines/>
              <w:spacing w:line="240" w:lineRule="auto"/>
              <w:jc w:val="center"/>
            </w:pPr>
            <w:r>
              <w:noBreakHyphen/>
            </w:r>
            <w:r w:rsidR="00141BF2" w:rsidRPr="006069AA">
              <w:t>26.2% (ELR)</w:t>
            </w:r>
          </w:p>
        </w:tc>
        <w:tc>
          <w:tcPr>
            <w:tcW w:w="567" w:type="dxa"/>
            <w:tcMar>
              <w:left w:w="28" w:type="dxa"/>
              <w:right w:w="28" w:type="dxa"/>
            </w:tcMar>
            <w:vAlign w:val="center"/>
          </w:tcPr>
          <w:p w14:paraId="52361782" w14:textId="693CD415" w:rsidR="00141BF2" w:rsidRPr="006069AA" w:rsidRDefault="00141BF2" w:rsidP="001C47F4">
            <w:pPr>
              <w:pStyle w:val="TableText0"/>
              <w:keepNext/>
              <w:keepLines/>
              <w:spacing w:line="240" w:lineRule="auto"/>
              <w:jc w:val="center"/>
            </w:pPr>
            <w:r w:rsidRPr="006069AA">
              <w:t>51.0</w:t>
            </w:r>
          </w:p>
        </w:tc>
        <w:tc>
          <w:tcPr>
            <w:tcW w:w="567" w:type="dxa"/>
            <w:tcMar>
              <w:left w:w="28" w:type="dxa"/>
              <w:right w:w="28" w:type="dxa"/>
            </w:tcMar>
            <w:vAlign w:val="center"/>
          </w:tcPr>
          <w:p w14:paraId="0030B504" w14:textId="15012D8A" w:rsidR="00141BF2" w:rsidRPr="006069AA" w:rsidRDefault="00141BF2" w:rsidP="001C47F4">
            <w:pPr>
              <w:pStyle w:val="TableText0"/>
              <w:keepNext/>
              <w:keepLines/>
              <w:spacing w:line="240" w:lineRule="auto"/>
              <w:jc w:val="center"/>
            </w:pPr>
            <w:r w:rsidRPr="006069AA">
              <w:t>45.0</w:t>
            </w:r>
          </w:p>
        </w:tc>
        <w:tc>
          <w:tcPr>
            <w:tcW w:w="1553" w:type="dxa"/>
            <w:tcMar>
              <w:left w:w="28" w:type="dxa"/>
              <w:right w:w="28" w:type="dxa"/>
            </w:tcMar>
            <w:vAlign w:val="center"/>
          </w:tcPr>
          <w:p w14:paraId="679D054F" w14:textId="4D570BB7" w:rsidR="00141BF2" w:rsidRPr="006069AA" w:rsidRDefault="00EC1990" w:rsidP="001C47F4">
            <w:pPr>
              <w:pStyle w:val="TableText0"/>
              <w:keepNext/>
              <w:keepLines/>
              <w:spacing w:line="240" w:lineRule="auto"/>
              <w:jc w:val="center"/>
            </w:pPr>
            <w:r>
              <w:noBreakHyphen/>
            </w:r>
            <w:r w:rsidR="00141BF2" w:rsidRPr="006069AA">
              <w:t>17.4% (TEC)</w:t>
            </w:r>
          </w:p>
          <w:p w14:paraId="0DE1A403" w14:textId="25C5DEC1" w:rsidR="00141BF2" w:rsidRPr="006069AA" w:rsidRDefault="00EC1990" w:rsidP="001C47F4">
            <w:pPr>
              <w:pStyle w:val="TableText0"/>
              <w:keepNext/>
              <w:keepLines/>
              <w:spacing w:line="240" w:lineRule="auto"/>
              <w:jc w:val="center"/>
            </w:pPr>
            <w:r>
              <w:noBreakHyphen/>
            </w:r>
            <w:r w:rsidR="00141BF2" w:rsidRPr="006069AA">
              <w:t>28.4% (ELR)</w:t>
            </w:r>
          </w:p>
        </w:tc>
      </w:tr>
      <w:tr w:rsidR="00141BF2" w:rsidRPr="006069AA" w14:paraId="76143318" w14:textId="03B80F80" w:rsidTr="00DA0BD8">
        <w:tc>
          <w:tcPr>
            <w:tcW w:w="3681" w:type="dxa"/>
            <w:tcMar>
              <w:left w:w="28" w:type="dxa"/>
              <w:right w:w="28" w:type="dxa"/>
            </w:tcMar>
            <w:vAlign w:val="center"/>
          </w:tcPr>
          <w:p w14:paraId="392A511A" w14:textId="0992DBB3" w:rsidR="00141BF2" w:rsidRPr="006069AA" w:rsidRDefault="00141BF2" w:rsidP="001C47F4">
            <w:pPr>
              <w:pStyle w:val="TableText0"/>
              <w:keepNext/>
              <w:keepLines/>
              <w:spacing w:line="240" w:lineRule="auto"/>
            </w:pPr>
            <w:r w:rsidRPr="006069AA">
              <w:rPr>
                <w:b/>
                <w:bCs w:val="0"/>
              </w:rPr>
              <w:t xml:space="preserve">Sensitivity Analysis 2: </w:t>
            </w:r>
            <w:r w:rsidRPr="006069AA">
              <w:br/>
              <w:t>Proportion, and time of switch, to fortnightly dosing of teclistamab based on MajesTEC</w:t>
            </w:r>
            <w:r w:rsidR="00EC1990">
              <w:noBreakHyphen/>
            </w:r>
            <w:r w:rsidRPr="006069AA">
              <w:t>1 (40.8% switch to fortnightly dosing from Week 53.3)</w:t>
            </w:r>
          </w:p>
        </w:tc>
        <w:tc>
          <w:tcPr>
            <w:tcW w:w="567" w:type="dxa"/>
            <w:tcMar>
              <w:left w:w="28" w:type="dxa"/>
              <w:right w:w="28" w:type="dxa"/>
            </w:tcMar>
            <w:vAlign w:val="center"/>
          </w:tcPr>
          <w:p w14:paraId="27761B94" w14:textId="38C8235A" w:rsidR="00141BF2" w:rsidRPr="006069AA" w:rsidRDefault="00141BF2" w:rsidP="001C47F4">
            <w:pPr>
              <w:pStyle w:val="TableText0"/>
              <w:keepNext/>
              <w:keepLines/>
              <w:spacing w:line="240" w:lineRule="auto"/>
              <w:jc w:val="center"/>
            </w:pPr>
            <w:r w:rsidRPr="006069AA">
              <w:t>6,</w:t>
            </w:r>
            <w:r w:rsidR="00863E0F" w:rsidRPr="006069AA">
              <w:t>553</w:t>
            </w:r>
          </w:p>
        </w:tc>
        <w:tc>
          <w:tcPr>
            <w:tcW w:w="567" w:type="dxa"/>
            <w:tcMar>
              <w:left w:w="28" w:type="dxa"/>
              <w:right w:w="28" w:type="dxa"/>
            </w:tcMar>
            <w:vAlign w:val="center"/>
          </w:tcPr>
          <w:p w14:paraId="790CBB07" w14:textId="4C6EE09C" w:rsidR="00141BF2" w:rsidRPr="006069AA" w:rsidRDefault="00141BF2" w:rsidP="001C47F4">
            <w:pPr>
              <w:pStyle w:val="TableText0"/>
              <w:keepNext/>
              <w:keepLines/>
              <w:spacing w:line="240" w:lineRule="auto"/>
              <w:jc w:val="center"/>
            </w:pPr>
            <w:r w:rsidRPr="006069AA">
              <w:t>3,552</w:t>
            </w:r>
          </w:p>
        </w:tc>
        <w:tc>
          <w:tcPr>
            <w:tcW w:w="1559" w:type="dxa"/>
            <w:tcMar>
              <w:left w:w="28" w:type="dxa"/>
              <w:right w:w="28" w:type="dxa"/>
            </w:tcMar>
            <w:vAlign w:val="center"/>
          </w:tcPr>
          <w:p w14:paraId="786FF992" w14:textId="1C04A9A3" w:rsidR="00141BF2" w:rsidRPr="006069AA" w:rsidRDefault="00141BF2" w:rsidP="001C47F4">
            <w:pPr>
              <w:pStyle w:val="TableText0"/>
              <w:keepNext/>
              <w:keepLines/>
              <w:spacing w:line="240" w:lineRule="auto"/>
              <w:jc w:val="center"/>
            </w:pPr>
            <w:r w:rsidRPr="006069AA">
              <w:t>+</w:t>
            </w:r>
            <w:r w:rsidR="00101F16" w:rsidRPr="006069AA">
              <w:t>15.1</w:t>
            </w:r>
            <w:r w:rsidRPr="006069AA">
              <w:t xml:space="preserve">% (TEC) </w:t>
            </w:r>
            <w:r w:rsidRPr="006069AA">
              <w:br/>
              <w:t>0% (ELR)</w:t>
            </w:r>
          </w:p>
        </w:tc>
        <w:tc>
          <w:tcPr>
            <w:tcW w:w="567" w:type="dxa"/>
            <w:tcMar>
              <w:left w:w="28" w:type="dxa"/>
              <w:right w:w="28" w:type="dxa"/>
            </w:tcMar>
            <w:vAlign w:val="center"/>
          </w:tcPr>
          <w:p w14:paraId="7AC643F5" w14:textId="10B1FD51" w:rsidR="00141BF2" w:rsidRPr="006069AA" w:rsidRDefault="00141BF2" w:rsidP="001C47F4">
            <w:pPr>
              <w:pStyle w:val="TableText0"/>
              <w:keepNext/>
              <w:keepLines/>
              <w:spacing w:line="240" w:lineRule="auto"/>
              <w:jc w:val="center"/>
            </w:pPr>
            <w:r w:rsidRPr="006069AA">
              <w:t>6</w:t>
            </w:r>
            <w:r w:rsidR="00101F16" w:rsidRPr="006069AA">
              <w:t>9</w:t>
            </w:r>
            <w:r w:rsidRPr="006069AA">
              <w:t>.</w:t>
            </w:r>
            <w:r w:rsidR="00101F16" w:rsidRPr="006069AA">
              <w:t>3</w:t>
            </w:r>
          </w:p>
        </w:tc>
        <w:tc>
          <w:tcPr>
            <w:tcW w:w="567" w:type="dxa"/>
            <w:tcMar>
              <w:left w:w="28" w:type="dxa"/>
              <w:right w:w="28" w:type="dxa"/>
            </w:tcMar>
            <w:vAlign w:val="center"/>
          </w:tcPr>
          <w:p w14:paraId="2329F9D4" w14:textId="67E9A4F4" w:rsidR="00141BF2" w:rsidRPr="006069AA" w:rsidRDefault="00141BF2" w:rsidP="001C47F4">
            <w:pPr>
              <w:pStyle w:val="TableText0"/>
              <w:keepNext/>
              <w:keepLines/>
              <w:spacing w:line="240" w:lineRule="auto"/>
              <w:jc w:val="center"/>
            </w:pPr>
            <w:r w:rsidRPr="006069AA">
              <w:t>60.5</w:t>
            </w:r>
          </w:p>
        </w:tc>
        <w:tc>
          <w:tcPr>
            <w:tcW w:w="1553" w:type="dxa"/>
            <w:tcMar>
              <w:left w:w="28" w:type="dxa"/>
              <w:right w:w="28" w:type="dxa"/>
            </w:tcMar>
            <w:vAlign w:val="center"/>
          </w:tcPr>
          <w:p w14:paraId="1C61FC2E" w14:textId="20F8CC08" w:rsidR="00141BF2" w:rsidRPr="006069AA" w:rsidRDefault="00141BF2" w:rsidP="001C47F4">
            <w:pPr>
              <w:pStyle w:val="TableText0"/>
              <w:keepNext/>
              <w:keepLines/>
              <w:spacing w:line="240" w:lineRule="auto"/>
              <w:jc w:val="center"/>
            </w:pPr>
            <w:r w:rsidRPr="006069AA">
              <w:t>+</w:t>
            </w:r>
            <w:r w:rsidR="002C1543" w:rsidRPr="006069AA">
              <w:t>14.</w:t>
            </w:r>
            <w:r w:rsidR="008C5A6D" w:rsidRPr="006069AA">
              <w:t>7</w:t>
            </w:r>
            <w:r w:rsidRPr="006069AA">
              <w:t xml:space="preserve">% (TEC) </w:t>
            </w:r>
            <w:r w:rsidRPr="006069AA">
              <w:br/>
              <w:t>0% (ELR)</w:t>
            </w:r>
          </w:p>
        </w:tc>
      </w:tr>
      <w:tr w:rsidR="00141BF2" w:rsidRPr="006069AA" w14:paraId="18AF15E0" w14:textId="0B1FB514" w:rsidTr="00DA0BD8">
        <w:tc>
          <w:tcPr>
            <w:tcW w:w="3681" w:type="dxa"/>
            <w:tcMar>
              <w:left w:w="28" w:type="dxa"/>
              <w:right w:w="28" w:type="dxa"/>
            </w:tcMar>
          </w:tcPr>
          <w:p w14:paraId="7FF91D5F" w14:textId="6EF9DE81" w:rsidR="00141BF2" w:rsidRPr="006069AA" w:rsidRDefault="00141BF2" w:rsidP="001C47F4">
            <w:pPr>
              <w:pStyle w:val="TableText0"/>
              <w:keepNext/>
              <w:keepLines/>
              <w:spacing w:line="240" w:lineRule="auto"/>
              <w:rPr>
                <w:b/>
                <w:bCs w:val="0"/>
              </w:rPr>
            </w:pPr>
            <w:r w:rsidRPr="006069AA">
              <w:rPr>
                <w:b/>
                <w:bCs w:val="0"/>
              </w:rPr>
              <w:t xml:space="preserve">Sensitivity Analysis 3: </w:t>
            </w:r>
          </w:p>
          <w:p w14:paraId="12E8B6E2" w14:textId="2ACD0E01" w:rsidR="00141BF2" w:rsidRPr="006069AA" w:rsidRDefault="00141BF2" w:rsidP="001C47F4">
            <w:pPr>
              <w:pStyle w:val="TableText0"/>
              <w:keepNext/>
              <w:keepLines/>
              <w:spacing w:line="240" w:lineRule="auto"/>
            </w:pPr>
            <w:r w:rsidRPr="006069AA">
              <w:t>Mean weight from Majestec</w:t>
            </w:r>
            <w:r w:rsidR="00EC1990">
              <w:noBreakHyphen/>
            </w:r>
            <w:r w:rsidRPr="006069AA">
              <w:t>1 (ph1+2; 75.02kg [SD 16.73])</w:t>
            </w:r>
          </w:p>
        </w:tc>
        <w:tc>
          <w:tcPr>
            <w:tcW w:w="567" w:type="dxa"/>
            <w:tcMar>
              <w:left w:w="28" w:type="dxa"/>
              <w:right w:w="28" w:type="dxa"/>
            </w:tcMar>
            <w:vAlign w:val="center"/>
          </w:tcPr>
          <w:p w14:paraId="04BCA8D6" w14:textId="63270F3D" w:rsidR="00141BF2" w:rsidRPr="006069AA" w:rsidRDefault="00141BF2" w:rsidP="001C47F4">
            <w:pPr>
              <w:pStyle w:val="TableText0"/>
              <w:keepNext/>
              <w:keepLines/>
              <w:spacing w:line="240" w:lineRule="auto"/>
              <w:jc w:val="center"/>
            </w:pPr>
            <w:r w:rsidRPr="006069AA">
              <w:t>5,865</w:t>
            </w:r>
          </w:p>
        </w:tc>
        <w:tc>
          <w:tcPr>
            <w:tcW w:w="567" w:type="dxa"/>
            <w:tcMar>
              <w:left w:w="28" w:type="dxa"/>
              <w:right w:w="28" w:type="dxa"/>
            </w:tcMar>
            <w:vAlign w:val="center"/>
          </w:tcPr>
          <w:p w14:paraId="54A5DE13" w14:textId="1A4772F6" w:rsidR="00141BF2" w:rsidRPr="006069AA" w:rsidRDefault="00141BF2" w:rsidP="001C47F4">
            <w:pPr>
              <w:pStyle w:val="TableText0"/>
              <w:keepNext/>
              <w:keepLines/>
              <w:spacing w:line="240" w:lineRule="auto"/>
              <w:jc w:val="center"/>
            </w:pPr>
            <w:r w:rsidRPr="006069AA">
              <w:t>3,552</w:t>
            </w:r>
          </w:p>
        </w:tc>
        <w:tc>
          <w:tcPr>
            <w:tcW w:w="1559" w:type="dxa"/>
            <w:tcMar>
              <w:left w:w="28" w:type="dxa"/>
              <w:right w:w="28" w:type="dxa"/>
            </w:tcMar>
            <w:vAlign w:val="center"/>
          </w:tcPr>
          <w:p w14:paraId="4341D613" w14:textId="0844E863" w:rsidR="00141BF2" w:rsidRPr="006069AA" w:rsidRDefault="00141BF2" w:rsidP="001C47F4">
            <w:pPr>
              <w:pStyle w:val="TableText0"/>
              <w:keepNext/>
              <w:keepLines/>
              <w:spacing w:line="240" w:lineRule="auto"/>
              <w:jc w:val="center"/>
            </w:pPr>
            <w:r w:rsidRPr="006069AA">
              <w:t xml:space="preserve">+3.0% (TEC) </w:t>
            </w:r>
          </w:p>
          <w:p w14:paraId="7A4571EA" w14:textId="5F217A70" w:rsidR="00141BF2" w:rsidRPr="006069AA" w:rsidRDefault="00141BF2" w:rsidP="001C47F4">
            <w:pPr>
              <w:pStyle w:val="TableText0"/>
              <w:keepNext/>
              <w:keepLines/>
              <w:spacing w:line="240" w:lineRule="auto"/>
              <w:jc w:val="center"/>
            </w:pPr>
            <w:r w:rsidRPr="006069AA">
              <w:t>0% (ELR)</w:t>
            </w:r>
          </w:p>
        </w:tc>
        <w:tc>
          <w:tcPr>
            <w:tcW w:w="567" w:type="dxa"/>
            <w:tcMar>
              <w:left w:w="28" w:type="dxa"/>
              <w:right w:w="28" w:type="dxa"/>
            </w:tcMar>
            <w:vAlign w:val="center"/>
          </w:tcPr>
          <w:p w14:paraId="5530173E" w14:textId="4C314F59" w:rsidR="00141BF2" w:rsidRPr="006069AA" w:rsidRDefault="00141BF2" w:rsidP="001C47F4">
            <w:pPr>
              <w:pStyle w:val="TableText0"/>
              <w:keepNext/>
              <w:keepLines/>
              <w:spacing w:line="240" w:lineRule="auto"/>
              <w:jc w:val="center"/>
            </w:pPr>
            <w:r w:rsidRPr="006069AA">
              <w:t>60.5</w:t>
            </w:r>
          </w:p>
        </w:tc>
        <w:tc>
          <w:tcPr>
            <w:tcW w:w="567" w:type="dxa"/>
            <w:tcMar>
              <w:left w:w="28" w:type="dxa"/>
              <w:right w:w="28" w:type="dxa"/>
            </w:tcMar>
            <w:vAlign w:val="center"/>
          </w:tcPr>
          <w:p w14:paraId="30F87B78" w14:textId="03534E8E" w:rsidR="00141BF2" w:rsidRPr="006069AA" w:rsidRDefault="00141BF2" w:rsidP="001C47F4">
            <w:pPr>
              <w:pStyle w:val="TableText0"/>
              <w:keepNext/>
              <w:keepLines/>
              <w:spacing w:line="240" w:lineRule="auto"/>
              <w:jc w:val="center"/>
            </w:pPr>
            <w:r w:rsidRPr="006069AA">
              <w:t>60.5</w:t>
            </w:r>
          </w:p>
        </w:tc>
        <w:tc>
          <w:tcPr>
            <w:tcW w:w="1553" w:type="dxa"/>
            <w:tcMar>
              <w:left w:w="28" w:type="dxa"/>
              <w:right w:w="28" w:type="dxa"/>
            </w:tcMar>
            <w:vAlign w:val="center"/>
          </w:tcPr>
          <w:p w14:paraId="47A56B2F" w14:textId="505CE7D9" w:rsidR="00141BF2" w:rsidRPr="006069AA" w:rsidRDefault="00141BF2" w:rsidP="001C47F4">
            <w:pPr>
              <w:pStyle w:val="TableText0"/>
              <w:keepNext/>
              <w:keepLines/>
              <w:spacing w:line="240" w:lineRule="auto"/>
              <w:jc w:val="center"/>
            </w:pPr>
            <w:r w:rsidRPr="006069AA">
              <w:t>0% (TEC)</w:t>
            </w:r>
          </w:p>
          <w:p w14:paraId="300DB395" w14:textId="47B52380" w:rsidR="00141BF2" w:rsidRPr="006069AA" w:rsidRDefault="00141BF2" w:rsidP="001C47F4">
            <w:pPr>
              <w:pStyle w:val="TableText0"/>
              <w:keepNext/>
              <w:keepLines/>
              <w:spacing w:line="240" w:lineRule="auto"/>
              <w:jc w:val="center"/>
            </w:pPr>
            <w:r w:rsidRPr="006069AA">
              <w:t>0% (ELR)</w:t>
            </w:r>
          </w:p>
        </w:tc>
      </w:tr>
      <w:tr w:rsidR="00141BF2" w:rsidRPr="006069AA" w14:paraId="054AE047" w14:textId="7B19BEF1" w:rsidTr="00DA0BD8">
        <w:tc>
          <w:tcPr>
            <w:tcW w:w="3681" w:type="dxa"/>
            <w:tcMar>
              <w:left w:w="28" w:type="dxa"/>
              <w:right w:w="28" w:type="dxa"/>
            </w:tcMar>
          </w:tcPr>
          <w:p w14:paraId="5B2E0F3A" w14:textId="67D12811" w:rsidR="00141BF2" w:rsidRPr="006069AA" w:rsidRDefault="00141BF2" w:rsidP="001C47F4">
            <w:pPr>
              <w:pStyle w:val="TableText0"/>
              <w:keepNext/>
              <w:keepLines/>
              <w:spacing w:line="240" w:lineRule="auto"/>
              <w:rPr>
                <w:b/>
              </w:rPr>
            </w:pPr>
            <w:r w:rsidRPr="006069AA">
              <w:rPr>
                <w:b/>
              </w:rPr>
              <w:t xml:space="preserve">Sensitivity Analysis </w:t>
            </w:r>
            <w:r w:rsidR="00B12C60" w:rsidRPr="006069AA">
              <w:rPr>
                <w:b/>
              </w:rPr>
              <w:t>4</w:t>
            </w:r>
            <w:r w:rsidRPr="006069AA">
              <w:rPr>
                <w:b/>
              </w:rPr>
              <w:t xml:space="preserve">: </w:t>
            </w:r>
          </w:p>
          <w:p w14:paraId="110B0674" w14:textId="4974C4FB" w:rsidR="00141BF2" w:rsidRPr="006069AA" w:rsidRDefault="00141BF2" w:rsidP="001C47F4">
            <w:pPr>
              <w:pStyle w:val="TableText0"/>
              <w:keepNext/>
              <w:keepLines/>
              <w:spacing w:line="240" w:lineRule="auto"/>
            </w:pPr>
            <w:r w:rsidRPr="006069AA">
              <w:t>Mean RDI (89.63%), based on MajesTEC</w:t>
            </w:r>
            <w:r w:rsidR="00EC1990">
              <w:noBreakHyphen/>
            </w:r>
            <w:r w:rsidRPr="006069AA">
              <w:t>1 RP2D only</w:t>
            </w:r>
          </w:p>
        </w:tc>
        <w:tc>
          <w:tcPr>
            <w:tcW w:w="567" w:type="dxa"/>
            <w:tcMar>
              <w:left w:w="28" w:type="dxa"/>
              <w:right w:w="28" w:type="dxa"/>
            </w:tcMar>
            <w:vAlign w:val="center"/>
          </w:tcPr>
          <w:p w14:paraId="6F035692" w14:textId="55EB366E" w:rsidR="00141BF2" w:rsidRPr="006069AA" w:rsidRDefault="00141BF2" w:rsidP="001C47F4">
            <w:pPr>
              <w:pStyle w:val="TableText0"/>
              <w:keepNext/>
              <w:keepLines/>
              <w:spacing w:line="240" w:lineRule="auto"/>
              <w:jc w:val="center"/>
            </w:pPr>
            <w:r w:rsidRPr="006069AA">
              <w:t>5,748</w:t>
            </w:r>
          </w:p>
        </w:tc>
        <w:tc>
          <w:tcPr>
            <w:tcW w:w="567" w:type="dxa"/>
            <w:tcMar>
              <w:left w:w="28" w:type="dxa"/>
              <w:right w:w="28" w:type="dxa"/>
            </w:tcMar>
            <w:vAlign w:val="center"/>
          </w:tcPr>
          <w:p w14:paraId="6E1D1559" w14:textId="34A9A068" w:rsidR="00141BF2" w:rsidRPr="006069AA" w:rsidRDefault="00141BF2" w:rsidP="001C47F4">
            <w:pPr>
              <w:pStyle w:val="TableText0"/>
              <w:keepNext/>
              <w:keepLines/>
              <w:spacing w:line="240" w:lineRule="auto"/>
              <w:jc w:val="center"/>
            </w:pPr>
            <w:r w:rsidRPr="006069AA">
              <w:t>3,552</w:t>
            </w:r>
          </w:p>
        </w:tc>
        <w:tc>
          <w:tcPr>
            <w:tcW w:w="1559" w:type="dxa"/>
            <w:tcMar>
              <w:left w:w="28" w:type="dxa"/>
              <w:right w:w="28" w:type="dxa"/>
            </w:tcMar>
            <w:vAlign w:val="center"/>
          </w:tcPr>
          <w:p w14:paraId="6CC8F057" w14:textId="1F532EAE" w:rsidR="00141BF2" w:rsidRPr="006069AA" w:rsidRDefault="00141BF2" w:rsidP="001C47F4">
            <w:pPr>
              <w:pStyle w:val="TableText0"/>
              <w:keepNext/>
              <w:keepLines/>
              <w:spacing w:line="240" w:lineRule="auto"/>
              <w:jc w:val="center"/>
            </w:pPr>
            <w:r w:rsidRPr="006069AA">
              <w:t>+1.0% (TEC)</w:t>
            </w:r>
          </w:p>
          <w:p w14:paraId="73B920EE" w14:textId="0F925ED5" w:rsidR="00141BF2" w:rsidRPr="006069AA" w:rsidRDefault="00141BF2" w:rsidP="001C47F4">
            <w:pPr>
              <w:pStyle w:val="TableText0"/>
              <w:keepNext/>
              <w:keepLines/>
              <w:spacing w:line="240" w:lineRule="auto"/>
              <w:jc w:val="center"/>
            </w:pPr>
            <w:r w:rsidRPr="006069AA">
              <w:t>0% (ELR)</w:t>
            </w:r>
          </w:p>
        </w:tc>
        <w:tc>
          <w:tcPr>
            <w:tcW w:w="567" w:type="dxa"/>
            <w:tcMar>
              <w:left w:w="28" w:type="dxa"/>
              <w:right w:w="28" w:type="dxa"/>
            </w:tcMar>
            <w:vAlign w:val="center"/>
          </w:tcPr>
          <w:p w14:paraId="203136E2" w14:textId="0795BB4D" w:rsidR="00141BF2" w:rsidRPr="006069AA" w:rsidRDefault="00141BF2" w:rsidP="001C47F4">
            <w:pPr>
              <w:pStyle w:val="TableText0"/>
              <w:keepNext/>
              <w:keepLines/>
              <w:spacing w:line="240" w:lineRule="auto"/>
              <w:jc w:val="center"/>
            </w:pPr>
            <w:r w:rsidRPr="006069AA">
              <w:t>60.5</w:t>
            </w:r>
          </w:p>
        </w:tc>
        <w:tc>
          <w:tcPr>
            <w:tcW w:w="567" w:type="dxa"/>
            <w:tcMar>
              <w:left w:w="28" w:type="dxa"/>
              <w:right w:w="28" w:type="dxa"/>
            </w:tcMar>
            <w:vAlign w:val="center"/>
          </w:tcPr>
          <w:p w14:paraId="1B134FA6" w14:textId="0F62976B" w:rsidR="00141BF2" w:rsidRPr="006069AA" w:rsidRDefault="00141BF2" w:rsidP="001C47F4">
            <w:pPr>
              <w:pStyle w:val="TableText0"/>
              <w:keepNext/>
              <w:keepLines/>
              <w:spacing w:line="240" w:lineRule="auto"/>
              <w:jc w:val="center"/>
            </w:pPr>
            <w:r w:rsidRPr="006069AA">
              <w:t>60.5</w:t>
            </w:r>
          </w:p>
        </w:tc>
        <w:tc>
          <w:tcPr>
            <w:tcW w:w="1553" w:type="dxa"/>
            <w:tcMar>
              <w:left w:w="28" w:type="dxa"/>
              <w:right w:w="28" w:type="dxa"/>
            </w:tcMar>
            <w:vAlign w:val="center"/>
          </w:tcPr>
          <w:p w14:paraId="4EE35B16" w14:textId="42BA1BF3" w:rsidR="00141BF2" w:rsidRPr="006069AA" w:rsidRDefault="00141BF2" w:rsidP="001C47F4">
            <w:pPr>
              <w:pStyle w:val="TableText0"/>
              <w:keepNext/>
              <w:keepLines/>
              <w:spacing w:line="240" w:lineRule="auto"/>
              <w:jc w:val="center"/>
            </w:pPr>
            <w:r w:rsidRPr="006069AA">
              <w:t>0%(TEC)</w:t>
            </w:r>
          </w:p>
          <w:p w14:paraId="032A3549" w14:textId="38825593" w:rsidR="00141BF2" w:rsidRPr="006069AA" w:rsidRDefault="00141BF2" w:rsidP="001C47F4">
            <w:pPr>
              <w:pStyle w:val="TableText0"/>
              <w:keepNext/>
              <w:keepLines/>
              <w:spacing w:line="240" w:lineRule="auto"/>
              <w:jc w:val="center"/>
            </w:pPr>
            <w:r w:rsidRPr="006069AA">
              <w:t>0%(ELR)</w:t>
            </w:r>
          </w:p>
        </w:tc>
      </w:tr>
      <w:tr w:rsidR="0031029F" w:rsidRPr="006069AA" w14:paraId="126FC79D" w14:textId="77777777" w:rsidTr="00DA0BD8">
        <w:tc>
          <w:tcPr>
            <w:tcW w:w="3681" w:type="dxa"/>
            <w:tcMar>
              <w:left w:w="28" w:type="dxa"/>
              <w:right w:w="28" w:type="dxa"/>
            </w:tcMar>
          </w:tcPr>
          <w:p w14:paraId="6A55D3A9" w14:textId="5DFAF4C2" w:rsidR="0031029F" w:rsidRPr="006069AA" w:rsidRDefault="0031029F" w:rsidP="001C47F4">
            <w:pPr>
              <w:pStyle w:val="TableText0"/>
              <w:keepNext/>
              <w:keepLines/>
              <w:spacing w:line="240" w:lineRule="auto"/>
              <w:rPr>
                <w:b/>
              </w:rPr>
            </w:pPr>
            <w:r w:rsidRPr="006069AA">
              <w:rPr>
                <w:b/>
              </w:rPr>
              <w:t xml:space="preserve">Sensitivity Analysis </w:t>
            </w:r>
            <w:r w:rsidR="00B12C60" w:rsidRPr="006069AA">
              <w:rPr>
                <w:b/>
              </w:rPr>
              <w:t>5</w:t>
            </w:r>
            <w:r w:rsidRPr="006069AA">
              <w:rPr>
                <w:b/>
              </w:rPr>
              <w:t>:</w:t>
            </w:r>
          </w:p>
          <w:p w14:paraId="07D70F8C" w14:textId="179B90AC" w:rsidR="0031029F" w:rsidRPr="006069AA" w:rsidRDefault="00BB3348" w:rsidP="001C47F4">
            <w:pPr>
              <w:pStyle w:val="TableText0"/>
              <w:keepNext/>
              <w:keepLines/>
              <w:spacing w:line="240" w:lineRule="auto"/>
              <w:rPr>
                <w:b/>
              </w:rPr>
            </w:pPr>
            <w:r w:rsidRPr="006069AA">
              <w:t>P</w:t>
            </w:r>
            <w:r w:rsidR="0031029F" w:rsidRPr="006069AA">
              <w:t xml:space="preserve">atients switch to less frequent dosing </w:t>
            </w:r>
            <w:r w:rsidR="00786922" w:rsidRPr="006069AA">
              <w:t xml:space="preserve">assuming it takes 6 months for TEC patients to achieve a CR and </w:t>
            </w:r>
            <w:r w:rsidR="0031029F" w:rsidRPr="006069AA">
              <w:t xml:space="preserve">at the earliest opportunity for </w:t>
            </w:r>
            <w:r w:rsidR="00786922" w:rsidRPr="006069AA">
              <w:t>ELR</w:t>
            </w:r>
            <w:r w:rsidR="0031029F" w:rsidRPr="006069AA">
              <w:t xml:space="preserve"> (100% Q2W at </w:t>
            </w:r>
            <w:r w:rsidRPr="006069AA">
              <w:t>53</w:t>
            </w:r>
            <w:r w:rsidR="0031029F" w:rsidRPr="006069AA">
              <w:t xml:space="preserve"> weeks for TEC, and 100% Q2W at 28 weeks and 100% Q4W at 52 weeks for ELR)</w:t>
            </w:r>
          </w:p>
        </w:tc>
        <w:tc>
          <w:tcPr>
            <w:tcW w:w="567" w:type="dxa"/>
            <w:tcMar>
              <w:left w:w="28" w:type="dxa"/>
              <w:right w:w="28" w:type="dxa"/>
            </w:tcMar>
            <w:vAlign w:val="center"/>
          </w:tcPr>
          <w:p w14:paraId="607C2FDF" w14:textId="7AA1BAAC" w:rsidR="0031029F" w:rsidRPr="006069AA" w:rsidRDefault="005A334A" w:rsidP="001C47F4">
            <w:pPr>
              <w:pStyle w:val="TableText0"/>
              <w:keepNext/>
              <w:keepLines/>
              <w:spacing w:line="240" w:lineRule="auto"/>
              <w:jc w:val="center"/>
            </w:pPr>
            <w:r w:rsidRPr="006069AA">
              <w:t>6,037</w:t>
            </w:r>
          </w:p>
        </w:tc>
        <w:tc>
          <w:tcPr>
            <w:tcW w:w="567" w:type="dxa"/>
            <w:tcMar>
              <w:left w:w="28" w:type="dxa"/>
              <w:right w:w="28" w:type="dxa"/>
            </w:tcMar>
            <w:vAlign w:val="center"/>
          </w:tcPr>
          <w:p w14:paraId="174558D4" w14:textId="1EE366EF" w:rsidR="0031029F" w:rsidRPr="006069AA" w:rsidRDefault="00736C9E" w:rsidP="001C47F4">
            <w:pPr>
              <w:pStyle w:val="TableText0"/>
              <w:keepNext/>
              <w:keepLines/>
              <w:spacing w:line="240" w:lineRule="auto"/>
              <w:jc w:val="center"/>
            </w:pPr>
            <w:r w:rsidRPr="006069AA">
              <w:t>2,620</w:t>
            </w:r>
          </w:p>
        </w:tc>
        <w:tc>
          <w:tcPr>
            <w:tcW w:w="1559" w:type="dxa"/>
            <w:tcMar>
              <w:left w:w="28" w:type="dxa"/>
              <w:right w:w="28" w:type="dxa"/>
            </w:tcMar>
            <w:vAlign w:val="center"/>
          </w:tcPr>
          <w:p w14:paraId="4AF1E80F" w14:textId="7369A853" w:rsidR="003A67FB" w:rsidRPr="006069AA" w:rsidRDefault="003A67FB" w:rsidP="001C47F4">
            <w:pPr>
              <w:pStyle w:val="TableText0"/>
              <w:keepNext/>
              <w:keepLines/>
              <w:spacing w:line="240" w:lineRule="auto"/>
              <w:jc w:val="center"/>
            </w:pPr>
            <w:r w:rsidRPr="006069AA">
              <w:t>+6.0% (TEC)</w:t>
            </w:r>
          </w:p>
          <w:p w14:paraId="5A6D762F" w14:textId="18B6881C" w:rsidR="0031029F" w:rsidRPr="006069AA" w:rsidRDefault="00EC1990" w:rsidP="001C47F4">
            <w:pPr>
              <w:pStyle w:val="TableText0"/>
              <w:keepNext/>
              <w:keepLines/>
              <w:spacing w:line="240" w:lineRule="auto"/>
              <w:jc w:val="center"/>
            </w:pPr>
            <w:r>
              <w:noBreakHyphen/>
            </w:r>
            <w:r w:rsidR="008764C4" w:rsidRPr="006069AA">
              <w:t>26.2% (ELR)</w:t>
            </w:r>
          </w:p>
        </w:tc>
        <w:tc>
          <w:tcPr>
            <w:tcW w:w="567" w:type="dxa"/>
            <w:tcMar>
              <w:left w:w="28" w:type="dxa"/>
              <w:right w:w="28" w:type="dxa"/>
            </w:tcMar>
            <w:vAlign w:val="center"/>
          </w:tcPr>
          <w:p w14:paraId="345BD99E" w14:textId="5D96B75C" w:rsidR="0031029F" w:rsidRPr="006069AA" w:rsidRDefault="008764C4" w:rsidP="001C47F4">
            <w:pPr>
              <w:pStyle w:val="TableText0"/>
              <w:keepNext/>
              <w:keepLines/>
              <w:spacing w:line="240" w:lineRule="auto"/>
              <w:jc w:val="center"/>
            </w:pPr>
            <w:r w:rsidRPr="006069AA">
              <w:t>64.0</w:t>
            </w:r>
          </w:p>
        </w:tc>
        <w:tc>
          <w:tcPr>
            <w:tcW w:w="567" w:type="dxa"/>
            <w:tcMar>
              <w:left w:w="28" w:type="dxa"/>
              <w:right w:w="28" w:type="dxa"/>
            </w:tcMar>
            <w:vAlign w:val="center"/>
          </w:tcPr>
          <w:p w14:paraId="42B8557E" w14:textId="4FBC114F" w:rsidR="0031029F" w:rsidRPr="006069AA" w:rsidRDefault="008764C4" w:rsidP="001C47F4">
            <w:pPr>
              <w:pStyle w:val="TableText0"/>
              <w:keepNext/>
              <w:keepLines/>
              <w:spacing w:line="240" w:lineRule="auto"/>
              <w:jc w:val="center"/>
            </w:pPr>
            <w:r w:rsidRPr="006069AA">
              <w:t>45.0</w:t>
            </w:r>
          </w:p>
        </w:tc>
        <w:tc>
          <w:tcPr>
            <w:tcW w:w="1553" w:type="dxa"/>
            <w:tcMar>
              <w:left w:w="28" w:type="dxa"/>
              <w:right w:w="28" w:type="dxa"/>
            </w:tcMar>
            <w:vAlign w:val="center"/>
          </w:tcPr>
          <w:p w14:paraId="2AF9E843" w14:textId="43E5144B" w:rsidR="00446C75" w:rsidRPr="006069AA" w:rsidRDefault="00446C75" w:rsidP="001C47F4">
            <w:pPr>
              <w:pStyle w:val="TableText0"/>
              <w:keepNext/>
              <w:keepLines/>
              <w:spacing w:line="240" w:lineRule="auto"/>
              <w:jc w:val="center"/>
            </w:pPr>
            <w:r w:rsidRPr="006069AA">
              <w:t>+5.8% (TEC)</w:t>
            </w:r>
          </w:p>
          <w:p w14:paraId="34B4AD79" w14:textId="1843F9D6" w:rsidR="0031029F" w:rsidRPr="006069AA" w:rsidRDefault="00EC1990" w:rsidP="001C47F4">
            <w:pPr>
              <w:pStyle w:val="TableText0"/>
              <w:keepNext/>
              <w:keepLines/>
              <w:spacing w:line="240" w:lineRule="auto"/>
              <w:jc w:val="center"/>
            </w:pPr>
            <w:r>
              <w:noBreakHyphen/>
            </w:r>
            <w:r w:rsidR="008764C4" w:rsidRPr="006069AA">
              <w:t>28.4</w:t>
            </w:r>
            <w:r w:rsidR="00446C75" w:rsidRPr="006069AA">
              <w:t>%</w:t>
            </w:r>
            <w:r w:rsidR="008764C4" w:rsidRPr="006069AA">
              <w:t xml:space="preserve"> (ELR)</w:t>
            </w:r>
          </w:p>
        </w:tc>
      </w:tr>
    </w:tbl>
    <w:p w14:paraId="09792B6A" w14:textId="77777777" w:rsidR="004E1244" w:rsidRPr="000160C3" w:rsidRDefault="004E1244" w:rsidP="001C47F4">
      <w:pPr>
        <w:rPr>
          <w:rFonts w:ascii="Arial Narrow" w:hAnsi="Arial Narrow"/>
          <w:sz w:val="18"/>
          <w:szCs w:val="18"/>
        </w:rPr>
      </w:pPr>
      <w:r w:rsidRPr="000160C3">
        <w:rPr>
          <w:rFonts w:ascii="Arial Narrow" w:hAnsi="Arial Narrow"/>
          <w:sz w:val="18"/>
          <w:szCs w:val="18"/>
        </w:rPr>
        <w:t xml:space="preserve">Source: Table 3.9 p242 of the submission </w:t>
      </w:r>
    </w:p>
    <w:p w14:paraId="08832A0C" w14:textId="77777777" w:rsidR="004E1244" w:rsidRPr="000160C3" w:rsidRDefault="004E1244" w:rsidP="001C47F4">
      <w:pPr>
        <w:rPr>
          <w:rFonts w:ascii="Arial Narrow" w:hAnsi="Arial Narrow"/>
          <w:sz w:val="18"/>
          <w:szCs w:val="18"/>
        </w:rPr>
      </w:pPr>
      <w:r w:rsidRPr="000160C3">
        <w:rPr>
          <w:rFonts w:ascii="Arial Narrow" w:hAnsi="Arial Narrow"/>
          <w:sz w:val="18"/>
          <w:szCs w:val="18"/>
        </w:rPr>
        <w:t xml:space="preserve">Abbreviations: ELR = elranatamab; FE = financial estimates; RDI = relative dose intensity; TEC = teclistamab </w:t>
      </w:r>
    </w:p>
    <w:p w14:paraId="2AF0CC1A" w14:textId="77777777" w:rsidR="004E1244" w:rsidRPr="000160C3" w:rsidRDefault="004E1244" w:rsidP="001C47F4">
      <w:pPr>
        <w:rPr>
          <w:rFonts w:ascii="Arial Narrow" w:hAnsi="Arial Narrow"/>
          <w:sz w:val="18"/>
          <w:szCs w:val="18"/>
        </w:rPr>
      </w:pPr>
      <w:r w:rsidRPr="000160C3">
        <w:rPr>
          <w:rFonts w:ascii="Arial Narrow" w:hAnsi="Arial Narrow"/>
          <w:sz w:val="18"/>
          <w:szCs w:val="18"/>
        </w:rPr>
        <w:t xml:space="preserve">Note: </w:t>
      </w:r>
    </w:p>
    <w:p w14:paraId="72D2CEB2" w14:textId="3172713D" w:rsidR="004E1244" w:rsidRPr="00083760" w:rsidRDefault="004E1244" w:rsidP="001C47F4">
      <w:pPr>
        <w:rPr>
          <w:rFonts w:ascii="Arial Narrow" w:hAnsi="Arial Narrow"/>
          <w:sz w:val="18"/>
          <w:szCs w:val="18"/>
        </w:rPr>
      </w:pPr>
      <w:r w:rsidRPr="003F39A5">
        <w:rPr>
          <w:rFonts w:ascii="Arial Narrow" w:hAnsi="Arial Narrow"/>
          <w:sz w:val="18"/>
          <w:szCs w:val="18"/>
          <w:vertAlign w:val="superscript"/>
        </w:rPr>
        <w:t>a</w:t>
      </w:r>
      <w:r w:rsidRPr="000160C3">
        <w:rPr>
          <w:rFonts w:ascii="Arial Narrow" w:hAnsi="Arial Narrow"/>
          <w:sz w:val="18"/>
          <w:szCs w:val="18"/>
        </w:rPr>
        <w:t xml:space="preserve"> </w:t>
      </w:r>
      <w:r w:rsidR="00FE299A" w:rsidRPr="000160C3">
        <w:rPr>
          <w:rFonts w:ascii="Arial Narrow" w:hAnsi="Arial Narrow"/>
          <w:sz w:val="18"/>
          <w:szCs w:val="18"/>
        </w:rPr>
        <w:t>R</w:t>
      </w:r>
      <w:r w:rsidR="001B5F3A" w:rsidRPr="000160C3">
        <w:rPr>
          <w:rFonts w:ascii="Arial Narrow" w:hAnsi="Arial Narrow"/>
          <w:sz w:val="18"/>
          <w:szCs w:val="18"/>
        </w:rPr>
        <w:t>e</w:t>
      </w:r>
      <w:r w:rsidRPr="000160C3">
        <w:rPr>
          <w:rFonts w:ascii="Arial Narrow" w:hAnsi="Arial Narrow"/>
          <w:sz w:val="18"/>
          <w:szCs w:val="18"/>
        </w:rPr>
        <w:t>fers to calculations conducted during the evaluation based on revised base case including correction of errors (sheet ‘Input’ Cell C8; corrected to weighted average RDI of 88.78% based on MajesTEC</w:t>
      </w:r>
      <w:r w:rsidR="00EC1990">
        <w:rPr>
          <w:rFonts w:ascii="Arial Narrow" w:hAnsi="Arial Narrow"/>
          <w:sz w:val="18"/>
          <w:szCs w:val="18"/>
        </w:rPr>
        <w:noBreakHyphen/>
      </w:r>
      <w:r w:rsidRPr="000160C3">
        <w:rPr>
          <w:rFonts w:ascii="Arial Narrow" w:hAnsi="Arial Narrow"/>
          <w:sz w:val="18"/>
          <w:szCs w:val="18"/>
        </w:rPr>
        <w:t>1 RP2D (89.63%) and Majes</w:t>
      </w:r>
      <w:r w:rsidR="00EC1990">
        <w:rPr>
          <w:rFonts w:ascii="Arial Narrow" w:hAnsi="Arial Narrow"/>
          <w:sz w:val="18"/>
          <w:szCs w:val="18"/>
        </w:rPr>
        <w:noBreakHyphen/>
      </w:r>
      <w:r w:rsidRPr="000160C3">
        <w:rPr>
          <w:rFonts w:ascii="Arial Narrow" w:hAnsi="Arial Narrow"/>
          <w:sz w:val="18"/>
          <w:szCs w:val="18"/>
        </w:rPr>
        <w:t>TEC</w:t>
      </w:r>
      <w:r w:rsidR="00EC1990">
        <w:rPr>
          <w:rFonts w:ascii="Arial Narrow" w:hAnsi="Arial Narrow"/>
          <w:sz w:val="18"/>
          <w:szCs w:val="18"/>
        </w:rPr>
        <w:noBreakHyphen/>
      </w:r>
      <w:r w:rsidRPr="000160C3">
        <w:rPr>
          <w:rFonts w:ascii="Arial Narrow" w:hAnsi="Arial Narrow"/>
          <w:sz w:val="18"/>
          <w:szCs w:val="18"/>
        </w:rPr>
        <w:t xml:space="preserve">1 China Cohort (83.6%); Sheet ‘Engine’ Cell A3: A100: treatment duration indexed sequentially </w:t>
      </w:r>
      <w:r w:rsidRPr="00083760">
        <w:rPr>
          <w:rFonts w:ascii="Arial Narrow" w:hAnsi="Arial Narrow"/>
          <w:sz w:val="18"/>
          <w:szCs w:val="18"/>
        </w:rPr>
        <w:t>by week; UCM = utilisation and cost model</w:t>
      </w:r>
    </w:p>
    <w:p w14:paraId="47EB2260" w14:textId="2303853B" w:rsidR="00FF534B" w:rsidRPr="00083760" w:rsidRDefault="00FF534B" w:rsidP="001C47F4">
      <w:pPr>
        <w:rPr>
          <w:rFonts w:ascii="Arial Narrow" w:hAnsi="Arial Narrow"/>
          <w:sz w:val="18"/>
          <w:szCs w:val="18"/>
        </w:rPr>
      </w:pPr>
      <w:r w:rsidRPr="00083760">
        <w:rPr>
          <w:rFonts w:ascii="Arial Narrow" w:hAnsi="Arial Narrow"/>
          <w:sz w:val="18"/>
          <w:szCs w:val="18"/>
          <w:vertAlign w:val="superscript"/>
        </w:rPr>
        <w:t>b</w:t>
      </w:r>
      <w:r w:rsidRPr="00083760">
        <w:rPr>
          <w:rFonts w:ascii="Arial Narrow" w:hAnsi="Arial Narrow"/>
          <w:sz w:val="18"/>
          <w:szCs w:val="18"/>
        </w:rPr>
        <w:t xml:space="preserve"> Aligns with </w:t>
      </w:r>
      <w:r w:rsidR="00D40353" w:rsidRPr="00083760">
        <w:rPr>
          <w:rFonts w:ascii="Arial Narrow" w:hAnsi="Arial Narrow"/>
          <w:sz w:val="18"/>
          <w:szCs w:val="18"/>
        </w:rPr>
        <w:t>the assumptions applied in the elranatamab cost effectiveness model</w:t>
      </w:r>
      <w:r w:rsidR="007A77AA" w:rsidRPr="00083760">
        <w:rPr>
          <w:rFonts w:ascii="Arial Narrow" w:hAnsi="Arial Narrow"/>
          <w:sz w:val="18"/>
          <w:szCs w:val="18"/>
        </w:rPr>
        <w:t xml:space="preserve"> (Table</w:t>
      </w:r>
      <w:r w:rsidR="00EC1990">
        <w:rPr>
          <w:rFonts w:ascii="Arial Narrow" w:hAnsi="Arial Narrow"/>
          <w:sz w:val="18"/>
          <w:szCs w:val="18"/>
        </w:rPr>
        <w:t xml:space="preserve"> </w:t>
      </w:r>
      <w:r w:rsidR="007A77AA" w:rsidRPr="00083760">
        <w:rPr>
          <w:rFonts w:ascii="Arial Narrow" w:hAnsi="Arial Narrow"/>
          <w:sz w:val="18"/>
          <w:szCs w:val="18"/>
        </w:rPr>
        <w:t>2, elranatamab PSD, March 2025 PBAC meeting).</w:t>
      </w:r>
    </w:p>
    <w:p w14:paraId="599E35B8" w14:textId="77777777" w:rsidR="00440AEF" w:rsidRPr="00083760" w:rsidRDefault="00440AEF" w:rsidP="001C47F4">
      <w:pPr>
        <w:rPr>
          <w:rFonts w:ascii="Arial Narrow" w:hAnsi="Arial Narrow"/>
          <w:sz w:val="18"/>
          <w:szCs w:val="18"/>
        </w:rPr>
      </w:pPr>
    </w:p>
    <w:p w14:paraId="460351CF" w14:textId="097A241D" w:rsidR="00536339" w:rsidRPr="000160C3" w:rsidRDefault="00536339" w:rsidP="001C47F4">
      <w:pPr>
        <w:pStyle w:val="3-BodyText"/>
      </w:pPr>
      <w:r w:rsidRPr="00083760">
        <w:t xml:space="preserve">To facilitate </w:t>
      </w:r>
      <w:r w:rsidRPr="00ED75D2">
        <w:t>interpretation of the CMA, the evaluation used the proposed published EMP price of teclist</w:t>
      </w:r>
      <w:r w:rsidR="008F00F6" w:rsidRPr="00ED75D2">
        <w:t>a</w:t>
      </w:r>
      <w:r w:rsidRPr="00ED75D2">
        <w:t>mab (</w:t>
      </w:r>
      <w:r w:rsidR="00E31323" w:rsidRPr="00ED75D2">
        <w:t>$</w:t>
      </w:r>
      <w:r w:rsidR="008142C5" w:rsidRPr="008142C5">
        <w:rPr>
          <w:sz w:val="2"/>
          <w:highlight w:val="black"/>
        </w:rPr>
        <w:t>redacted content</w:t>
      </w:r>
      <w:r w:rsidR="00E31323" w:rsidRPr="00ED75D2">
        <w:t xml:space="preserve"> per 153 </w:t>
      </w:r>
      <w:r w:rsidR="009A37E9" w:rsidRPr="00ED75D2">
        <w:t xml:space="preserve">mg </w:t>
      </w:r>
      <w:r w:rsidR="00E31323" w:rsidRPr="00ED75D2">
        <w:t>vial) to calculate the price of elranatamab that results in the same cost per patient (</w:t>
      </w:r>
      <w:r w:rsidR="00F52993" w:rsidRPr="00ED75D2">
        <w:t>$</w:t>
      </w:r>
      <w:r w:rsidR="008142C5" w:rsidRPr="008142C5">
        <w:rPr>
          <w:sz w:val="2"/>
          <w:highlight w:val="black"/>
        </w:rPr>
        <w:t>redacted content</w:t>
      </w:r>
      <w:r w:rsidR="00E31323" w:rsidRPr="00ED75D2">
        <w:t xml:space="preserve">, </w:t>
      </w:r>
      <w:r w:rsidR="009963CE" w:rsidRPr="00ED75D2">
        <w:fldChar w:fldCharType="begin"/>
      </w:r>
      <w:r w:rsidR="009963CE" w:rsidRPr="00ED75D2">
        <w:instrText xml:space="preserve"> REF _Ref219714914 \h </w:instrText>
      </w:r>
      <w:r w:rsidR="00FA2EBA" w:rsidRPr="00ED75D2">
        <w:instrText xml:space="preserve"> \* MERGEFORMAT </w:instrText>
      </w:r>
      <w:r w:rsidR="009963CE" w:rsidRPr="00ED75D2">
        <w:fldChar w:fldCharType="separate"/>
      </w:r>
      <w:r w:rsidR="001C47F4" w:rsidRPr="00ED75D2">
        <w:t>Table 15</w:t>
      </w:r>
      <w:r w:rsidR="009963CE" w:rsidRPr="00ED75D2">
        <w:fldChar w:fldCharType="end"/>
      </w:r>
      <w:r w:rsidR="00E31323" w:rsidRPr="00ED75D2">
        <w:t xml:space="preserve">) and ran the </w:t>
      </w:r>
      <w:r w:rsidR="008F00F6" w:rsidRPr="00ED75D2">
        <w:t xml:space="preserve">above </w:t>
      </w:r>
      <w:r w:rsidR="00DC2F79" w:rsidRPr="00ED75D2">
        <w:t>sensitivity analyses</w:t>
      </w:r>
      <w:r w:rsidR="00E31323" w:rsidRPr="00ED75D2">
        <w:t xml:space="preserve"> using these prices</w:t>
      </w:r>
      <w:r w:rsidR="00851C49" w:rsidRPr="00ED75D2">
        <w:t xml:space="preserve"> (</w:t>
      </w:r>
      <w:r w:rsidR="009963CE" w:rsidRPr="00ED75D2">
        <w:fldChar w:fldCharType="begin"/>
      </w:r>
      <w:r w:rsidR="009963CE" w:rsidRPr="00ED75D2">
        <w:instrText xml:space="preserve"> REF _Ref219714927 \h  \* MERGEFORMAT </w:instrText>
      </w:r>
      <w:r w:rsidR="009963CE" w:rsidRPr="00ED75D2">
        <w:fldChar w:fldCharType="separate"/>
      </w:r>
      <w:r w:rsidR="001C47F4" w:rsidRPr="00ED75D2">
        <w:t>Table 16</w:t>
      </w:r>
      <w:r w:rsidR="009963CE" w:rsidRPr="00ED75D2">
        <w:fldChar w:fldCharType="end"/>
      </w:r>
      <w:r w:rsidR="00851C49" w:rsidRPr="00ED75D2">
        <w:t>)</w:t>
      </w:r>
      <w:r w:rsidR="00E31323" w:rsidRPr="00ED75D2">
        <w:t>.</w:t>
      </w:r>
      <w:r w:rsidR="00E31323" w:rsidRPr="000160C3">
        <w:t xml:space="preserve"> </w:t>
      </w:r>
    </w:p>
    <w:p w14:paraId="6C13A2DE" w14:textId="111709E9" w:rsidR="00E31323" w:rsidRPr="000160C3" w:rsidRDefault="008F00F6" w:rsidP="001C47F4">
      <w:pPr>
        <w:pStyle w:val="Caption"/>
      </w:pPr>
      <w:bookmarkStart w:id="56" w:name="_Ref219714914"/>
      <w:r w:rsidRPr="000160C3">
        <w:t xml:space="preserve">Table </w:t>
      </w:r>
      <w:r>
        <w:fldChar w:fldCharType="begin"/>
      </w:r>
      <w:r>
        <w:instrText>SEQ Table \* ARABIC</w:instrText>
      </w:r>
      <w:r>
        <w:fldChar w:fldCharType="separate"/>
      </w:r>
      <w:r w:rsidR="001C47F4">
        <w:rPr>
          <w:noProof/>
        </w:rPr>
        <w:t>15</w:t>
      </w:r>
      <w:r>
        <w:fldChar w:fldCharType="end"/>
      </w:r>
      <w:bookmarkEnd w:id="56"/>
      <w:r w:rsidRPr="000160C3">
        <w:t xml:space="preserve">: </w:t>
      </w:r>
      <w:r w:rsidR="009D1E87" w:rsidRPr="000160C3">
        <w:t xml:space="preserve">CMA assuming published price of teclistamab proposed in financial estimates </w:t>
      </w:r>
    </w:p>
    <w:tbl>
      <w:tblPr>
        <w:tblStyle w:val="TableGrid"/>
        <w:tblW w:w="5000" w:type="pct"/>
        <w:tblLook w:val="04A0" w:firstRow="1" w:lastRow="0" w:firstColumn="1" w:lastColumn="0" w:noHBand="0" w:noVBand="1"/>
        <w:tblCaption w:val="Table 15: CMA assuming published price of teclistamab proposed in financial estimates "/>
      </w:tblPr>
      <w:tblGrid>
        <w:gridCol w:w="3022"/>
        <w:gridCol w:w="3019"/>
        <w:gridCol w:w="3021"/>
      </w:tblGrid>
      <w:tr w:rsidR="008F00F6" w:rsidRPr="000160C3" w14:paraId="71AEA6D0" w14:textId="77777777" w:rsidTr="00D658F5">
        <w:tc>
          <w:tcPr>
            <w:tcW w:w="1667" w:type="pct"/>
          </w:tcPr>
          <w:p w14:paraId="6244D535" w14:textId="77777777" w:rsidR="00D658F5" w:rsidRPr="000160C3" w:rsidRDefault="00D658F5" w:rsidP="001C47F4">
            <w:pPr>
              <w:pStyle w:val="3-BodyText"/>
              <w:keepNext/>
              <w:keepLines/>
              <w:numPr>
                <w:ilvl w:val="0"/>
                <w:numId w:val="0"/>
              </w:numPr>
              <w:spacing w:before="0" w:after="0"/>
              <w:rPr>
                <w:rFonts w:ascii="Arial Narrow" w:hAnsi="Arial Narrow"/>
                <w:sz w:val="20"/>
                <w:szCs w:val="20"/>
              </w:rPr>
            </w:pPr>
          </w:p>
        </w:tc>
        <w:tc>
          <w:tcPr>
            <w:tcW w:w="1666" w:type="pct"/>
          </w:tcPr>
          <w:p w14:paraId="05B43FF4" w14:textId="479C9C27" w:rsidR="00D658F5" w:rsidRPr="00A259A1" w:rsidRDefault="009D1E87" w:rsidP="001C47F4">
            <w:pPr>
              <w:pStyle w:val="3-BodyText"/>
              <w:keepNext/>
              <w:keepLines/>
              <w:numPr>
                <w:ilvl w:val="0"/>
                <w:numId w:val="0"/>
              </w:numPr>
              <w:spacing w:before="0" w:after="0"/>
              <w:rPr>
                <w:rFonts w:ascii="Arial Narrow" w:hAnsi="Arial Narrow"/>
                <w:b/>
                <w:bCs/>
                <w:sz w:val="20"/>
                <w:szCs w:val="20"/>
              </w:rPr>
            </w:pPr>
            <w:r w:rsidRPr="00A259A1">
              <w:rPr>
                <w:rFonts w:ascii="Arial Narrow" w:hAnsi="Arial Narrow"/>
                <w:b/>
                <w:bCs/>
                <w:sz w:val="20"/>
                <w:szCs w:val="20"/>
              </w:rPr>
              <w:t>Teclistama</w:t>
            </w:r>
            <w:r w:rsidR="0086378C" w:rsidRPr="00A259A1">
              <w:rPr>
                <w:rFonts w:ascii="Arial Narrow" w:hAnsi="Arial Narrow"/>
                <w:b/>
                <w:bCs/>
                <w:sz w:val="20"/>
                <w:szCs w:val="20"/>
              </w:rPr>
              <w:t>b</w:t>
            </w:r>
          </w:p>
        </w:tc>
        <w:tc>
          <w:tcPr>
            <w:tcW w:w="1667" w:type="pct"/>
          </w:tcPr>
          <w:p w14:paraId="6F06241E" w14:textId="0A1ADC51" w:rsidR="00D658F5" w:rsidRPr="00A259A1" w:rsidRDefault="009D1E87" w:rsidP="001C47F4">
            <w:pPr>
              <w:pStyle w:val="3-BodyText"/>
              <w:keepNext/>
              <w:keepLines/>
              <w:numPr>
                <w:ilvl w:val="0"/>
                <w:numId w:val="0"/>
              </w:numPr>
              <w:spacing w:before="0" w:after="0"/>
              <w:rPr>
                <w:rFonts w:ascii="Arial Narrow" w:hAnsi="Arial Narrow"/>
                <w:b/>
                <w:bCs/>
                <w:sz w:val="20"/>
                <w:szCs w:val="20"/>
              </w:rPr>
            </w:pPr>
            <w:r w:rsidRPr="00A259A1">
              <w:rPr>
                <w:rFonts w:ascii="Arial Narrow" w:hAnsi="Arial Narrow"/>
                <w:b/>
                <w:bCs/>
                <w:sz w:val="20"/>
                <w:szCs w:val="20"/>
              </w:rPr>
              <w:t>Elrana</w:t>
            </w:r>
            <w:r w:rsidR="002427AD" w:rsidRPr="00A259A1">
              <w:rPr>
                <w:rFonts w:ascii="Arial Narrow" w:hAnsi="Arial Narrow"/>
                <w:b/>
                <w:bCs/>
                <w:sz w:val="20"/>
                <w:szCs w:val="20"/>
              </w:rPr>
              <w:t>tamab</w:t>
            </w:r>
          </w:p>
        </w:tc>
      </w:tr>
      <w:tr w:rsidR="008F00F6" w:rsidRPr="000160C3" w14:paraId="3A97028A" w14:textId="77777777" w:rsidTr="00D658F5">
        <w:tc>
          <w:tcPr>
            <w:tcW w:w="1667" w:type="pct"/>
          </w:tcPr>
          <w:p w14:paraId="6E569627" w14:textId="60F3A19B" w:rsidR="00D658F5" w:rsidRPr="000160C3" w:rsidRDefault="00D658F5" w:rsidP="001C47F4">
            <w:pPr>
              <w:pStyle w:val="3-BodyText"/>
              <w:keepNext/>
              <w:keepLines/>
              <w:numPr>
                <w:ilvl w:val="0"/>
                <w:numId w:val="0"/>
              </w:numPr>
              <w:spacing w:before="0" w:after="0"/>
              <w:rPr>
                <w:rFonts w:ascii="Arial Narrow" w:hAnsi="Arial Narrow"/>
                <w:sz w:val="20"/>
                <w:szCs w:val="20"/>
              </w:rPr>
            </w:pPr>
            <w:r w:rsidRPr="000160C3">
              <w:rPr>
                <w:rFonts w:ascii="Arial Narrow" w:hAnsi="Arial Narrow"/>
                <w:sz w:val="20"/>
                <w:szCs w:val="20"/>
              </w:rPr>
              <w:t>EMP per vial</w:t>
            </w:r>
          </w:p>
        </w:tc>
        <w:tc>
          <w:tcPr>
            <w:tcW w:w="1666" w:type="pct"/>
          </w:tcPr>
          <w:p w14:paraId="0ACB4B0F" w14:textId="731352A7" w:rsidR="00D658F5" w:rsidRPr="00A259A1" w:rsidRDefault="00D658F5" w:rsidP="001C47F4">
            <w:pPr>
              <w:pStyle w:val="3-BodyText"/>
              <w:keepNext/>
              <w:keepLines/>
              <w:numPr>
                <w:ilvl w:val="0"/>
                <w:numId w:val="0"/>
              </w:numPr>
              <w:spacing w:before="0" w:after="0"/>
              <w:rPr>
                <w:rFonts w:ascii="Arial Narrow" w:hAnsi="Arial Narrow"/>
                <w:sz w:val="20"/>
                <w:szCs w:val="20"/>
              </w:rPr>
            </w:pPr>
            <w:r w:rsidRPr="00A259A1">
              <w:rPr>
                <w:rFonts w:ascii="Arial Narrow" w:hAnsi="Arial Narrow"/>
                <w:sz w:val="20"/>
                <w:szCs w:val="20"/>
              </w:rPr>
              <w:t>$</w:t>
            </w:r>
            <w:r w:rsidR="008142C5" w:rsidRPr="008142C5">
              <w:rPr>
                <w:rFonts w:ascii="Arial Narrow" w:hAnsi="Arial Narrow"/>
                <w:sz w:val="2"/>
                <w:szCs w:val="20"/>
                <w:highlight w:val="black"/>
              </w:rPr>
              <w:t>redacted content</w:t>
            </w:r>
            <w:r w:rsidR="00DD0926" w:rsidRPr="00A259A1">
              <w:rPr>
                <w:rFonts w:ascii="Arial Narrow" w:hAnsi="Arial Narrow"/>
                <w:sz w:val="20"/>
                <w:szCs w:val="20"/>
              </w:rPr>
              <w:t xml:space="preserve"> (153 mg)</w:t>
            </w:r>
          </w:p>
        </w:tc>
        <w:tc>
          <w:tcPr>
            <w:tcW w:w="1667" w:type="pct"/>
          </w:tcPr>
          <w:p w14:paraId="340B3FB6" w14:textId="684D101E" w:rsidR="00D658F5" w:rsidRPr="00A259A1" w:rsidRDefault="00DD0926" w:rsidP="001C47F4">
            <w:pPr>
              <w:pStyle w:val="3-BodyText"/>
              <w:keepNext/>
              <w:keepLines/>
              <w:numPr>
                <w:ilvl w:val="0"/>
                <w:numId w:val="0"/>
              </w:numPr>
              <w:spacing w:before="0" w:after="0"/>
              <w:rPr>
                <w:rFonts w:ascii="Arial Narrow" w:hAnsi="Arial Narrow"/>
                <w:sz w:val="20"/>
                <w:szCs w:val="20"/>
              </w:rPr>
            </w:pPr>
            <w:r w:rsidRPr="00A259A1">
              <w:rPr>
                <w:rFonts w:ascii="Arial Narrow" w:hAnsi="Arial Narrow"/>
                <w:sz w:val="20"/>
                <w:szCs w:val="20"/>
              </w:rPr>
              <w:t>$</w:t>
            </w:r>
            <w:r w:rsidR="008142C5" w:rsidRPr="008142C5">
              <w:rPr>
                <w:rFonts w:ascii="Arial Narrow" w:hAnsi="Arial Narrow"/>
                <w:sz w:val="2"/>
                <w:szCs w:val="20"/>
                <w:highlight w:val="black"/>
              </w:rPr>
              <w:t>redacted content</w:t>
            </w:r>
            <w:r w:rsidRPr="00A259A1">
              <w:rPr>
                <w:rFonts w:ascii="Arial Narrow" w:hAnsi="Arial Narrow"/>
                <w:sz w:val="20"/>
                <w:szCs w:val="20"/>
              </w:rPr>
              <w:t xml:space="preserve"> (76 mg)</w:t>
            </w:r>
          </w:p>
        </w:tc>
      </w:tr>
      <w:tr w:rsidR="008F00F6" w:rsidRPr="000160C3" w14:paraId="49E15FAE" w14:textId="77777777" w:rsidTr="00D658F5">
        <w:tc>
          <w:tcPr>
            <w:tcW w:w="1667" w:type="pct"/>
          </w:tcPr>
          <w:p w14:paraId="23FCBB57" w14:textId="206B59D1" w:rsidR="00D658F5" w:rsidRPr="000160C3" w:rsidRDefault="00D658F5" w:rsidP="001C47F4">
            <w:pPr>
              <w:pStyle w:val="3-BodyText"/>
              <w:keepNext/>
              <w:keepLines/>
              <w:numPr>
                <w:ilvl w:val="0"/>
                <w:numId w:val="0"/>
              </w:numPr>
              <w:spacing w:before="0" w:after="0"/>
              <w:rPr>
                <w:rFonts w:ascii="Arial Narrow" w:hAnsi="Arial Narrow"/>
                <w:sz w:val="20"/>
                <w:szCs w:val="20"/>
              </w:rPr>
            </w:pPr>
            <w:r w:rsidRPr="000160C3">
              <w:rPr>
                <w:rFonts w:ascii="Arial Narrow" w:hAnsi="Arial Narrow"/>
                <w:sz w:val="20"/>
                <w:szCs w:val="20"/>
              </w:rPr>
              <w:t>Total mg</w:t>
            </w:r>
          </w:p>
        </w:tc>
        <w:tc>
          <w:tcPr>
            <w:tcW w:w="1666" w:type="pct"/>
          </w:tcPr>
          <w:p w14:paraId="31ABC39C" w14:textId="729CA2CB" w:rsidR="00D658F5" w:rsidRPr="00A259A1" w:rsidRDefault="00DD0926" w:rsidP="001C47F4">
            <w:pPr>
              <w:pStyle w:val="3-BodyText"/>
              <w:keepNext/>
              <w:keepLines/>
              <w:numPr>
                <w:ilvl w:val="0"/>
                <w:numId w:val="0"/>
              </w:numPr>
              <w:spacing w:before="0" w:after="0"/>
              <w:rPr>
                <w:rFonts w:ascii="Arial Narrow" w:hAnsi="Arial Narrow"/>
                <w:sz w:val="20"/>
                <w:szCs w:val="20"/>
              </w:rPr>
            </w:pPr>
            <w:r w:rsidRPr="00A259A1">
              <w:rPr>
                <w:rFonts w:ascii="Arial Narrow" w:hAnsi="Arial Narrow"/>
                <w:sz w:val="20"/>
                <w:szCs w:val="20"/>
              </w:rPr>
              <w:t>5,694</w:t>
            </w:r>
          </w:p>
        </w:tc>
        <w:tc>
          <w:tcPr>
            <w:tcW w:w="1667" w:type="pct"/>
          </w:tcPr>
          <w:p w14:paraId="257C0AB2" w14:textId="417AB229" w:rsidR="00D658F5" w:rsidRPr="00A259A1" w:rsidRDefault="00DD0926" w:rsidP="001C47F4">
            <w:pPr>
              <w:pStyle w:val="3-BodyText"/>
              <w:keepNext/>
              <w:keepLines/>
              <w:numPr>
                <w:ilvl w:val="0"/>
                <w:numId w:val="0"/>
              </w:numPr>
              <w:spacing w:before="0" w:after="0"/>
              <w:rPr>
                <w:rFonts w:ascii="Arial Narrow" w:hAnsi="Arial Narrow"/>
                <w:sz w:val="20"/>
                <w:szCs w:val="20"/>
              </w:rPr>
            </w:pPr>
            <w:r w:rsidRPr="00A259A1">
              <w:rPr>
                <w:rFonts w:ascii="Arial Narrow" w:hAnsi="Arial Narrow"/>
                <w:sz w:val="20"/>
                <w:szCs w:val="20"/>
              </w:rPr>
              <w:t>3,552</w:t>
            </w:r>
          </w:p>
        </w:tc>
      </w:tr>
      <w:tr w:rsidR="008F00F6" w:rsidRPr="000160C3" w14:paraId="02E21095" w14:textId="77777777" w:rsidTr="00D658F5">
        <w:tc>
          <w:tcPr>
            <w:tcW w:w="1667" w:type="pct"/>
          </w:tcPr>
          <w:p w14:paraId="078E0C36" w14:textId="557EC5E2" w:rsidR="00D658F5" w:rsidRPr="000160C3" w:rsidRDefault="007133AD" w:rsidP="001C47F4">
            <w:pPr>
              <w:pStyle w:val="3-BodyText"/>
              <w:keepNext/>
              <w:keepLines/>
              <w:numPr>
                <w:ilvl w:val="0"/>
                <w:numId w:val="0"/>
              </w:numPr>
              <w:spacing w:before="0" w:after="0"/>
              <w:rPr>
                <w:rFonts w:ascii="Arial Narrow" w:hAnsi="Arial Narrow"/>
                <w:sz w:val="20"/>
                <w:szCs w:val="20"/>
              </w:rPr>
            </w:pPr>
            <w:r w:rsidRPr="000160C3">
              <w:rPr>
                <w:rFonts w:ascii="Arial Narrow" w:hAnsi="Arial Narrow"/>
                <w:sz w:val="20"/>
                <w:szCs w:val="20"/>
              </w:rPr>
              <w:t>Number of a</w:t>
            </w:r>
            <w:r w:rsidR="00D658F5" w:rsidRPr="000160C3">
              <w:rPr>
                <w:rFonts w:ascii="Arial Narrow" w:hAnsi="Arial Narrow"/>
                <w:sz w:val="20"/>
                <w:szCs w:val="20"/>
              </w:rPr>
              <w:t>dmin</w:t>
            </w:r>
            <w:r w:rsidRPr="000160C3">
              <w:rPr>
                <w:rFonts w:ascii="Arial Narrow" w:hAnsi="Arial Narrow"/>
                <w:sz w:val="20"/>
                <w:szCs w:val="20"/>
              </w:rPr>
              <w:t>istrations</w:t>
            </w:r>
          </w:p>
        </w:tc>
        <w:tc>
          <w:tcPr>
            <w:tcW w:w="1666" w:type="pct"/>
          </w:tcPr>
          <w:p w14:paraId="6F771602" w14:textId="4282CF00" w:rsidR="00D658F5" w:rsidRPr="00A259A1" w:rsidRDefault="00DD0926" w:rsidP="001C47F4">
            <w:pPr>
              <w:pStyle w:val="3-BodyText"/>
              <w:keepNext/>
              <w:keepLines/>
              <w:numPr>
                <w:ilvl w:val="0"/>
                <w:numId w:val="0"/>
              </w:numPr>
              <w:spacing w:before="0" w:after="0"/>
              <w:rPr>
                <w:rFonts w:ascii="Arial Narrow" w:hAnsi="Arial Narrow"/>
                <w:sz w:val="20"/>
                <w:szCs w:val="20"/>
              </w:rPr>
            </w:pPr>
            <w:r w:rsidRPr="00A259A1">
              <w:rPr>
                <w:rFonts w:ascii="Arial Narrow" w:hAnsi="Arial Narrow"/>
                <w:sz w:val="20"/>
                <w:szCs w:val="20"/>
              </w:rPr>
              <w:t>60.5</w:t>
            </w:r>
          </w:p>
        </w:tc>
        <w:tc>
          <w:tcPr>
            <w:tcW w:w="1667" w:type="pct"/>
          </w:tcPr>
          <w:p w14:paraId="469432E0" w14:textId="51BDA98F" w:rsidR="00D658F5" w:rsidRPr="00A259A1" w:rsidRDefault="00DD0926" w:rsidP="001C47F4">
            <w:pPr>
              <w:pStyle w:val="3-BodyText"/>
              <w:keepNext/>
              <w:keepLines/>
              <w:numPr>
                <w:ilvl w:val="0"/>
                <w:numId w:val="0"/>
              </w:numPr>
              <w:spacing w:before="0" w:after="0"/>
              <w:rPr>
                <w:rFonts w:ascii="Arial Narrow" w:hAnsi="Arial Narrow"/>
                <w:sz w:val="20"/>
                <w:szCs w:val="20"/>
              </w:rPr>
            </w:pPr>
            <w:r w:rsidRPr="00A259A1">
              <w:rPr>
                <w:rFonts w:ascii="Arial Narrow" w:hAnsi="Arial Narrow"/>
                <w:sz w:val="20"/>
                <w:szCs w:val="20"/>
              </w:rPr>
              <w:t>60.5</w:t>
            </w:r>
          </w:p>
        </w:tc>
      </w:tr>
      <w:tr w:rsidR="008F00F6" w:rsidRPr="000160C3" w14:paraId="46FF43A4" w14:textId="77777777" w:rsidTr="00D658F5">
        <w:tc>
          <w:tcPr>
            <w:tcW w:w="1667" w:type="pct"/>
          </w:tcPr>
          <w:p w14:paraId="4E5A462B" w14:textId="78DBD600" w:rsidR="00D658F5" w:rsidRPr="000160C3" w:rsidRDefault="00D658F5" w:rsidP="001C47F4">
            <w:pPr>
              <w:pStyle w:val="3-BodyText"/>
              <w:keepNext/>
              <w:keepLines/>
              <w:numPr>
                <w:ilvl w:val="0"/>
                <w:numId w:val="0"/>
              </w:numPr>
              <w:spacing w:before="0" w:after="0"/>
              <w:rPr>
                <w:rFonts w:ascii="Arial Narrow" w:hAnsi="Arial Narrow"/>
                <w:sz w:val="20"/>
                <w:szCs w:val="20"/>
              </w:rPr>
            </w:pPr>
            <w:r w:rsidRPr="000160C3">
              <w:rPr>
                <w:rFonts w:ascii="Arial Narrow" w:hAnsi="Arial Narrow"/>
                <w:sz w:val="20"/>
                <w:szCs w:val="20"/>
              </w:rPr>
              <w:t>Drug cost</w:t>
            </w:r>
          </w:p>
        </w:tc>
        <w:tc>
          <w:tcPr>
            <w:tcW w:w="1666" w:type="pct"/>
          </w:tcPr>
          <w:p w14:paraId="7842C299" w14:textId="4260CC93" w:rsidR="00D658F5" w:rsidRPr="00A259A1" w:rsidRDefault="00DD0926" w:rsidP="001C47F4">
            <w:pPr>
              <w:pStyle w:val="3-BodyText"/>
              <w:keepNext/>
              <w:keepLines/>
              <w:numPr>
                <w:ilvl w:val="0"/>
                <w:numId w:val="0"/>
              </w:numPr>
              <w:spacing w:before="0" w:after="0"/>
              <w:rPr>
                <w:rFonts w:ascii="Arial Narrow" w:hAnsi="Arial Narrow"/>
                <w:sz w:val="20"/>
                <w:szCs w:val="20"/>
              </w:rPr>
            </w:pPr>
            <w:r w:rsidRPr="00A259A1">
              <w:rPr>
                <w:rFonts w:ascii="Arial Narrow" w:hAnsi="Arial Narrow"/>
                <w:sz w:val="20"/>
                <w:szCs w:val="20"/>
              </w:rPr>
              <w:t>$</w:t>
            </w:r>
            <w:r w:rsidR="008142C5" w:rsidRPr="008142C5">
              <w:rPr>
                <w:rFonts w:ascii="Arial Narrow" w:hAnsi="Arial Narrow"/>
                <w:sz w:val="2"/>
                <w:szCs w:val="20"/>
                <w:highlight w:val="black"/>
              </w:rPr>
              <w:t>redacted content</w:t>
            </w:r>
          </w:p>
        </w:tc>
        <w:tc>
          <w:tcPr>
            <w:tcW w:w="1667" w:type="pct"/>
          </w:tcPr>
          <w:p w14:paraId="343065C3" w14:textId="6CF20320" w:rsidR="00D658F5" w:rsidRPr="00A259A1" w:rsidRDefault="00F3197F" w:rsidP="001C47F4">
            <w:pPr>
              <w:pStyle w:val="3-BodyText"/>
              <w:keepNext/>
              <w:keepLines/>
              <w:numPr>
                <w:ilvl w:val="0"/>
                <w:numId w:val="0"/>
              </w:numPr>
              <w:spacing w:before="0" w:after="0"/>
              <w:rPr>
                <w:rFonts w:ascii="Arial Narrow" w:hAnsi="Arial Narrow"/>
                <w:sz w:val="20"/>
                <w:szCs w:val="20"/>
              </w:rPr>
            </w:pPr>
            <w:r w:rsidRPr="00A259A1">
              <w:rPr>
                <w:rFonts w:ascii="Arial Narrow" w:hAnsi="Arial Narrow"/>
                <w:sz w:val="20"/>
                <w:szCs w:val="20"/>
              </w:rPr>
              <w:t>$</w:t>
            </w:r>
            <w:r w:rsidR="008142C5" w:rsidRPr="008142C5">
              <w:rPr>
                <w:rFonts w:ascii="Arial Narrow" w:hAnsi="Arial Narrow"/>
                <w:sz w:val="2"/>
                <w:szCs w:val="20"/>
                <w:highlight w:val="black"/>
              </w:rPr>
              <w:t>redacted content</w:t>
            </w:r>
          </w:p>
        </w:tc>
      </w:tr>
      <w:tr w:rsidR="008F00F6" w:rsidRPr="000160C3" w14:paraId="04C4771D" w14:textId="77777777" w:rsidTr="00D658F5">
        <w:tc>
          <w:tcPr>
            <w:tcW w:w="1667" w:type="pct"/>
          </w:tcPr>
          <w:p w14:paraId="4ACC1EC6" w14:textId="1842F8B9" w:rsidR="00D658F5" w:rsidRPr="000160C3" w:rsidRDefault="00D658F5" w:rsidP="001C47F4">
            <w:pPr>
              <w:pStyle w:val="3-BodyText"/>
              <w:keepNext/>
              <w:keepLines/>
              <w:numPr>
                <w:ilvl w:val="0"/>
                <w:numId w:val="0"/>
              </w:numPr>
              <w:spacing w:before="0" w:after="0"/>
              <w:rPr>
                <w:rFonts w:ascii="Arial Narrow" w:hAnsi="Arial Narrow"/>
                <w:sz w:val="20"/>
                <w:szCs w:val="20"/>
              </w:rPr>
            </w:pPr>
            <w:r w:rsidRPr="000160C3">
              <w:rPr>
                <w:rFonts w:ascii="Arial Narrow" w:hAnsi="Arial Narrow"/>
                <w:sz w:val="20"/>
                <w:szCs w:val="20"/>
              </w:rPr>
              <w:t>Inpatient costs</w:t>
            </w:r>
          </w:p>
        </w:tc>
        <w:tc>
          <w:tcPr>
            <w:tcW w:w="1666" w:type="pct"/>
          </w:tcPr>
          <w:p w14:paraId="13C55D3C" w14:textId="517699AB" w:rsidR="00D658F5" w:rsidRPr="00A259A1" w:rsidRDefault="00EC1990" w:rsidP="001C47F4">
            <w:pPr>
              <w:pStyle w:val="3-BodyText"/>
              <w:keepNext/>
              <w:keepLines/>
              <w:numPr>
                <w:ilvl w:val="0"/>
                <w:numId w:val="0"/>
              </w:numPr>
              <w:spacing w:before="0" w:after="0"/>
              <w:rPr>
                <w:rFonts w:ascii="Arial Narrow" w:hAnsi="Arial Narrow"/>
                <w:sz w:val="20"/>
                <w:szCs w:val="20"/>
              </w:rPr>
            </w:pPr>
            <w:r w:rsidRPr="00A259A1">
              <w:rPr>
                <w:rFonts w:ascii="Arial Narrow" w:hAnsi="Arial Narrow"/>
                <w:sz w:val="20"/>
                <w:szCs w:val="20"/>
              </w:rPr>
              <w:noBreakHyphen/>
            </w:r>
          </w:p>
        </w:tc>
        <w:tc>
          <w:tcPr>
            <w:tcW w:w="1667" w:type="pct"/>
          </w:tcPr>
          <w:p w14:paraId="15968F55" w14:textId="621F25D7" w:rsidR="00D658F5" w:rsidRPr="00A259A1" w:rsidRDefault="00F3197F" w:rsidP="001C47F4">
            <w:pPr>
              <w:pStyle w:val="3-BodyText"/>
              <w:keepNext/>
              <w:keepLines/>
              <w:numPr>
                <w:ilvl w:val="0"/>
                <w:numId w:val="0"/>
              </w:numPr>
              <w:spacing w:before="0" w:after="0"/>
              <w:rPr>
                <w:rFonts w:ascii="Arial Narrow" w:hAnsi="Arial Narrow"/>
                <w:sz w:val="20"/>
                <w:szCs w:val="20"/>
              </w:rPr>
            </w:pPr>
            <w:r w:rsidRPr="00A259A1">
              <w:rPr>
                <w:rFonts w:ascii="Arial Narrow" w:hAnsi="Arial Narrow"/>
                <w:sz w:val="20"/>
                <w:szCs w:val="20"/>
              </w:rPr>
              <w:t>$2,143</w:t>
            </w:r>
          </w:p>
        </w:tc>
      </w:tr>
      <w:tr w:rsidR="008F00F6" w:rsidRPr="000160C3" w14:paraId="6A456C1D" w14:textId="77777777" w:rsidTr="00D658F5">
        <w:tc>
          <w:tcPr>
            <w:tcW w:w="1667" w:type="pct"/>
          </w:tcPr>
          <w:p w14:paraId="2AC5423D" w14:textId="40258EB5" w:rsidR="00D658F5" w:rsidRPr="000160C3" w:rsidRDefault="00D658F5" w:rsidP="001C47F4">
            <w:pPr>
              <w:pStyle w:val="3-BodyText"/>
              <w:keepNext/>
              <w:keepLines/>
              <w:numPr>
                <w:ilvl w:val="0"/>
                <w:numId w:val="0"/>
              </w:numPr>
              <w:spacing w:before="0" w:after="0"/>
              <w:rPr>
                <w:rFonts w:ascii="Arial Narrow" w:hAnsi="Arial Narrow"/>
                <w:sz w:val="20"/>
                <w:szCs w:val="20"/>
              </w:rPr>
            </w:pPr>
            <w:r w:rsidRPr="000160C3">
              <w:rPr>
                <w:rFonts w:ascii="Arial Narrow" w:hAnsi="Arial Narrow"/>
                <w:sz w:val="20"/>
                <w:szCs w:val="20"/>
              </w:rPr>
              <w:t>Admin costs</w:t>
            </w:r>
          </w:p>
        </w:tc>
        <w:tc>
          <w:tcPr>
            <w:tcW w:w="1666" w:type="pct"/>
          </w:tcPr>
          <w:p w14:paraId="6C8AE38B" w14:textId="6F9D4B04" w:rsidR="00D658F5" w:rsidRPr="00A259A1" w:rsidRDefault="00F3197F" w:rsidP="001C47F4">
            <w:pPr>
              <w:pStyle w:val="3-BodyText"/>
              <w:keepNext/>
              <w:keepLines/>
              <w:numPr>
                <w:ilvl w:val="0"/>
                <w:numId w:val="0"/>
              </w:numPr>
              <w:spacing w:before="0" w:after="0"/>
              <w:rPr>
                <w:rFonts w:ascii="Arial Narrow" w:hAnsi="Arial Narrow"/>
                <w:sz w:val="20"/>
                <w:szCs w:val="20"/>
              </w:rPr>
            </w:pPr>
            <w:r w:rsidRPr="00A259A1">
              <w:rPr>
                <w:rFonts w:ascii="Arial Narrow" w:hAnsi="Arial Narrow"/>
                <w:sz w:val="20"/>
                <w:szCs w:val="20"/>
              </w:rPr>
              <w:t>$7,619</w:t>
            </w:r>
          </w:p>
        </w:tc>
        <w:tc>
          <w:tcPr>
            <w:tcW w:w="1667" w:type="pct"/>
          </w:tcPr>
          <w:p w14:paraId="27482CFB" w14:textId="54689635" w:rsidR="00D658F5" w:rsidRPr="00A259A1" w:rsidRDefault="00F3197F" w:rsidP="001C47F4">
            <w:pPr>
              <w:pStyle w:val="3-BodyText"/>
              <w:keepNext/>
              <w:keepLines/>
              <w:numPr>
                <w:ilvl w:val="0"/>
                <w:numId w:val="0"/>
              </w:numPr>
              <w:spacing w:before="0" w:after="0"/>
              <w:rPr>
                <w:rFonts w:ascii="Arial Narrow" w:hAnsi="Arial Narrow"/>
                <w:sz w:val="20"/>
                <w:szCs w:val="20"/>
              </w:rPr>
            </w:pPr>
            <w:r w:rsidRPr="00A259A1">
              <w:rPr>
                <w:rFonts w:ascii="Arial Narrow" w:hAnsi="Arial Narrow"/>
                <w:sz w:val="20"/>
                <w:szCs w:val="20"/>
              </w:rPr>
              <w:t>$7.621</w:t>
            </w:r>
          </w:p>
        </w:tc>
      </w:tr>
      <w:tr w:rsidR="008F00F6" w:rsidRPr="000160C3" w14:paraId="33779898" w14:textId="77777777" w:rsidTr="00D658F5">
        <w:tc>
          <w:tcPr>
            <w:tcW w:w="1667" w:type="pct"/>
          </w:tcPr>
          <w:p w14:paraId="5F60F738" w14:textId="3D8B1D20" w:rsidR="00D658F5" w:rsidRPr="000160C3" w:rsidRDefault="00D658F5" w:rsidP="001C47F4">
            <w:pPr>
              <w:pStyle w:val="3-BodyText"/>
              <w:keepNext/>
              <w:keepLines/>
              <w:numPr>
                <w:ilvl w:val="0"/>
                <w:numId w:val="0"/>
              </w:numPr>
              <w:spacing w:before="0" w:after="0"/>
              <w:rPr>
                <w:rFonts w:ascii="Arial Narrow" w:hAnsi="Arial Narrow"/>
                <w:sz w:val="20"/>
                <w:szCs w:val="20"/>
              </w:rPr>
            </w:pPr>
            <w:r w:rsidRPr="000160C3">
              <w:rPr>
                <w:rFonts w:ascii="Arial Narrow" w:hAnsi="Arial Narrow"/>
                <w:sz w:val="20"/>
                <w:szCs w:val="20"/>
              </w:rPr>
              <w:t>Total cost per patient</w:t>
            </w:r>
          </w:p>
        </w:tc>
        <w:tc>
          <w:tcPr>
            <w:tcW w:w="1666" w:type="pct"/>
          </w:tcPr>
          <w:p w14:paraId="25F91B34" w14:textId="03CDA122" w:rsidR="00D658F5" w:rsidRPr="00A259A1" w:rsidRDefault="00F3197F" w:rsidP="001C47F4">
            <w:pPr>
              <w:pStyle w:val="3-BodyText"/>
              <w:keepNext/>
              <w:keepLines/>
              <w:numPr>
                <w:ilvl w:val="0"/>
                <w:numId w:val="0"/>
              </w:numPr>
              <w:spacing w:before="0" w:after="0"/>
              <w:rPr>
                <w:rFonts w:ascii="Arial Narrow" w:hAnsi="Arial Narrow"/>
                <w:sz w:val="20"/>
                <w:szCs w:val="20"/>
              </w:rPr>
            </w:pPr>
            <w:r w:rsidRPr="00A259A1">
              <w:rPr>
                <w:rFonts w:ascii="Arial Narrow" w:hAnsi="Arial Narrow"/>
                <w:sz w:val="20"/>
                <w:szCs w:val="20"/>
              </w:rPr>
              <w:t>$</w:t>
            </w:r>
            <w:r w:rsidR="008142C5" w:rsidRPr="008142C5">
              <w:rPr>
                <w:rFonts w:ascii="Arial Narrow" w:hAnsi="Arial Narrow"/>
                <w:sz w:val="2"/>
                <w:szCs w:val="20"/>
                <w:highlight w:val="black"/>
              </w:rPr>
              <w:t>redacted content</w:t>
            </w:r>
          </w:p>
        </w:tc>
        <w:tc>
          <w:tcPr>
            <w:tcW w:w="1667" w:type="pct"/>
          </w:tcPr>
          <w:p w14:paraId="60955708" w14:textId="021287CD" w:rsidR="00D658F5" w:rsidRPr="00A259A1" w:rsidRDefault="00F3197F" w:rsidP="001C47F4">
            <w:pPr>
              <w:pStyle w:val="3-BodyText"/>
              <w:keepNext/>
              <w:keepLines/>
              <w:numPr>
                <w:ilvl w:val="0"/>
                <w:numId w:val="0"/>
              </w:numPr>
              <w:spacing w:before="0" w:after="0"/>
              <w:rPr>
                <w:rFonts w:ascii="Arial Narrow" w:hAnsi="Arial Narrow"/>
                <w:sz w:val="20"/>
                <w:szCs w:val="20"/>
              </w:rPr>
            </w:pPr>
            <w:r w:rsidRPr="00A259A1">
              <w:rPr>
                <w:rFonts w:ascii="Arial Narrow" w:hAnsi="Arial Narrow"/>
                <w:sz w:val="20"/>
                <w:szCs w:val="20"/>
              </w:rPr>
              <w:t>$</w:t>
            </w:r>
            <w:r w:rsidR="008142C5" w:rsidRPr="008142C5">
              <w:rPr>
                <w:rFonts w:ascii="Arial Narrow" w:hAnsi="Arial Narrow"/>
                <w:sz w:val="2"/>
                <w:szCs w:val="20"/>
                <w:highlight w:val="black"/>
              </w:rPr>
              <w:t>redacted content</w:t>
            </w:r>
          </w:p>
        </w:tc>
      </w:tr>
    </w:tbl>
    <w:p w14:paraId="544AF1BB" w14:textId="4328EF47" w:rsidR="007133AD" w:rsidRPr="000160C3" w:rsidRDefault="007133AD" w:rsidP="001C47F4">
      <w:pPr>
        <w:pStyle w:val="TableFooter"/>
      </w:pPr>
      <w:r w:rsidRPr="000160C3">
        <w:t xml:space="preserve">Source: calculated using corrected CMA spreadsheet provided with submission </w:t>
      </w:r>
    </w:p>
    <w:p w14:paraId="134CAE81" w14:textId="5A712252" w:rsidR="00E31323" w:rsidRPr="000160C3" w:rsidRDefault="008F00F6" w:rsidP="001C47F4">
      <w:pPr>
        <w:pStyle w:val="TableFooter"/>
      </w:pPr>
      <w:r w:rsidRPr="000160C3">
        <w:t xml:space="preserve">Abbreviations: </w:t>
      </w:r>
      <w:r w:rsidR="00851C49" w:rsidRPr="000160C3">
        <w:t xml:space="preserve">CMA = cost minimisation approach; </w:t>
      </w:r>
      <w:r w:rsidR="007133AD" w:rsidRPr="000160C3">
        <w:t>EMP = ex</w:t>
      </w:r>
      <w:r w:rsidR="00EC1990">
        <w:noBreakHyphen/>
      </w:r>
      <w:r w:rsidR="007133AD" w:rsidRPr="000160C3">
        <w:t>manufacturer price</w:t>
      </w:r>
    </w:p>
    <w:p w14:paraId="10DD9D1C" w14:textId="77777777" w:rsidR="007133AD" w:rsidRPr="000160C3" w:rsidRDefault="007133AD" w:rsidP="001C47F4">
      <w:pPr>
        <w:pStyle w:val="TableFooter"/>
        <w:rPr>
          <w:i/>
          <w:iCs/>
          <w:color w:val="0066FF"/>
        </w:rPr>
      </w:pPr>
    </w:p>
    <w:p w14:paraId="583205BE" w14:textId="72826094" w:rsidR="003A4D78" w:rsidRPr="000160C3" w:rsidRDefault="00851C49" w:rsidP="00A94840">
      <w:pPr>
        <w:pStyle w:val="Caption"/>
      </w:pPr>
      <w:bookmarkStart w:id="57" w:name="_Ref219714927"/>
      <w:r w:rsidRPr="000160C3">
        <w:lastRenderedPageBreak/>
        <w:t xml:space="preserve">Table </w:t>
      </w:r>
      <w:r>
        <w:fldChar w:fldCharType="begin"/>
      </w:r>
      <w:r>
        <w:instrText>SEQ Table \* ARABIC</w:instrText>
      </w:r>
      <w:r>
        <w:fldChar w:fldCharType="separate"/>
      </w:r>
      <w:r w:rsidR="001C47F4">
        <w:rPr>
          <w:noProof/>
        </w:rPr>
        <w:t>16</w:t>
      </w:r>
      <w:r>
        <w:fldChar w:fldCharType="end"/>
      </w:r>
      <w:bookmarkEnd w:id="57"/>
      <w:r w:rsidRPr="000160C3">
        <w:t xml:space="preserve">: </w:t>
      </w:r>
      <w:r w:rsidR="002427AD" w:rsidRPr="000160C3">
        <w:t>Sensitivity analys</w:t>
      </w:r>
      <w:r w:rsidR="007133AD" w:rsidRPr="000160C3">
        <w:t>e</w:t>
      </w:r>
      <w:r w:rsidR="002427AD" w:rsidRPr="000160C3">
        <w:t xml:space="preserve">s based on CMA presented in </w:t>
      </w:r>
      <w:r w:rsidR="009963CE" w:rsidRPr="000160C3">
        <w:fldChar w:fldCharType="begin"/>
      </w:r>
      <w:r w:rsidR="009963CE" w:rsidRPr="000160C3">
        <w:instrText xml:space="preserve"> REF _Ref219714914 \h </w:instrText>
      </w:r>
      <w:r w:rsidR="00222D49" w:rsidRPr="000160C3">
        <w:instrText xml:space="preserve"> \* MERGEFORMAT </w:instrText>
      </w:r>
      <w:r w:rsidR="009963CE" w:rsidRPr="000160C3">
        <w:fldChar w:fldCharType="separate"/>
      </w:r>
      <w:r w:rsidR="001C47F4" w:rsidRPr="000160C3">
        <w:t xml:space="preserve">Table </w:t>
      </w:r>
      <w:r w:rsidR="001C47F4">
        <w:t>15</w:t>
      </w:r>
      <w:r w:rsidR="009963CE" w:rsidRPr="000160C3">
        <w:fldChar w:fldCharType="end"/>
      </w:r>
    </w:p>
    <w:tbl>
      <w:tblPr>
        <w:tblStyle w:val="TableGrid"/>
        <w:tblW w:w="0" w:type="auto"/>
        <w:tblLook w:val="04A0" w:firstRow="1" w:lastRow="0" w:firstColumn="1" w:lastColumn="0" w:noHBand="0" w:noVBand="1"/>
        <w:tblCaption w:val="Table 16: Sensitivity analyses based on CMA presented in Table 15"/>
      </w:tblPr>
      <w:tblGrid>
        <w:gridCol w:w="2356"/>
        <w:gridCol w:w="2265"/>
        <w:gridCol w:w="1940"/>
        <w:gridCol w:w="2501"/>
      </w:tblGrid>
      <w:tr w:rsidR="00851C49" w:rsidRPr="000160C3" w14:paraId="39CBD8F7" w14:textId="77777777" w:rsidTr="00E84754">
        <w:tc>
          <w:tcPr>
            <w:tcW w:w="2356" w:type="dxa"/>
          </w:tcPr>
          <w:p w14:paraId="2BCEEEA1" w14:textId="77777777" w:rsidR="002772B4" w:rsidRPr="000160C3" w:rsidRDefault="002772B4" w:rsidP="00A94840">
            <w:pPr>
              <w:pStyle w:val="3-BodyText"/>
              <w:keepNext/>
              <w:numPr>
                <w:ilvl w:val="0"/>
                <w:numId w:val="0"/>
              </w:numPr>
              <w:spacing w:before="0" w:after="0"/>
              <w:rPr>
                <w:rFonts w:ascii="Arial Narrow" w:hAnsi="Arial Narrow"/>
                <w:sz w:val="20"/>
                <w:szCs w:val="18"/>
              </w:rPr>
            </w:pPr>
          </w:p>
        </w:tc>
        <w:tc>
          <w:tcPr>
            <w:tcW w:w="2265" w:type="dxa"/>
          </w:tcPr>
          <w:p w14:paraId="3CA56803" w14:textId="678FE544" w:rsidR="002772B4" w:rsidRPr="000160C3" w:rsidRDefault="002772B4" w:rsidP="00A94840">
            <w:pPr>
              <w:pStyle w:val="3-BodyText"/>
              <w:keepNext/>
              <w:numPr>
                <w:ilvl w:val="0"/>
                <w:numId w:val="0"/>
              </w:numPr>
              <w:spacing w:before="0" w:after="0"/>
              <w:rPr>
                <w:rFonts w:ascii="Arial Narrow" w:hAnsi="Arial Narrow"/>
                <w:b/>
                <w:bCs/>
                <w:sz w:val="20"/>
                <w:szCs w:val="18"/>
              </w:rPr>
            </w:pPr>
            <w:r w:rsidRPr="000160C3">
              <w:rPr>
                <w:rFonts w:ascii="Arial Narrow" w:hAnsi="Arial Narrow"/>
                <w:b/>
                <w:bCs/>
                <w:sz w:val="20"/>
                <w:szCs w:val="18"/>
              </w:rPr>
              <w:t>Cost per patient</w:t>
            </w:r>
          </w:p>
        </w:tc>
        <w:tc>
          <w:tcPr>
            <w:tcW w:w="1940" w:type="dxa"/>
          </w:tcPr>
          <w:p w14:paraId="2048A895" w14:textId="1BC55DBD" w:rsidR="002772B4" w:rsidRPr="000160C3" w:rsidRDefault="007133AD" w:rsidP="00A94840">
            <w:pPr>
              <w:pStyle w:val="3-BodyText"/>
              <w:keepNext/>
              <w:numPr>
                <w:ilvl w:val="0"/>
                <w:numId w:val="0"/>
              </w:numPr>
              <w:spacing w:before="0" w:after="0"/>
              <w:rPr>
                <w:rFonts w:ascii="Arial Narrow" w:hAnsi="Arial Narrow"/>
                <w:b/>
                <w:bCs/>
                <w:sz w:val="20"/>
                <w:szCs w:val="18"/>
              </w:rPr>
            </w:pPr>
            <w:r w:rsidRPr="000160C3">
              <w:rPr>
                <w:rFonts w:ascii="Arial Narrow" w:hAnsi="Arial Narrow"/>
                <w:b/>
                <w:bCs/>
                <w:sz w:val="20"/>
                <w:szCs w:val="18"/>
              </w:rPr>
              <w:t xml:space="preserve">Teclistamab </w:t>
            </w:r>
            <w:r w:rsidR="002772B4" w:rsidRPr="000160C3">
              <w:rPr>
                <w:rFonts w:ascii="Arial Narrow" w:hAnsi="Arial Narrow"/>
                <w:b/>
                <w:bCs/>
                <w:sz w:val="20"/>
                <w:szCs w:val="18"/>
              </w:rPr>
              <w:t>EMP</w:t>
            </w:r>
          </w:p>
        </w:tc>
        <w:tc>
          <w:tcPr>
            <w:tcW w:w="2501" w:type="dxa"/>
          </w:tcPr>
          <w:p w14:paraId="3094068B" w14:textId="584E171C" w:rsidR="002772B4" w:rsidRPr="000160C3" w:rsidRDefault="002772B4" w:rsidP="00A94840">
            <w:pPr>
              <w:pStyle w:val="3-BodyText"/>
              <w:keepNext/>
              <w:numPr>
                <w:ilvl w:val="0"/>
                <w:numId w:val="0"/>
              </w:numPr>
              <w:spacing w:before="0" w:after="0"/>
              <w:rPr>
                <w:rFonts w:ascii="Arial Narrow" w:hAnsi="Arial Narrow"/>
                <w:b/>
                <w:bCs/>
                <w:sz w:val="20"/>
                <w:szCs w:val="18"/>
              </w:rPr>
            </w:pPr>
            <w:r w:rsidRPr="000160C3">
              <w:rPr>
                <w:rFonts w:ascii="Arial Narrow" w:hAnsi="Arial Narrow"/>
                <w:b/>
                <w:bCs/>
                <w:sz w:val="20"/>
                <w:szCs w:val="18"/>
              </w:rPr>
              <w:t xml:space="preserve">% change in </w:t>
            </w:r>
            <w:r w:rsidR="007133AD" w:rsidRPr="000160C3">
              <w:rPr>
                <w:rFonts w:ascii="Arial Narrow" w:hAnsi="Arial Narrow"/>
                <w:b/>
                <w:bCs/>
                <w:sz w:val="20"/>
                <w:szCs w:val="18"/>
              </w:rPr>
              <w:t>teclistamab</w:t>
            </w:r>
            <w:r w:rsidRPr="000160C3">
              <w:rPr>
                <w:rFonts w:ascii="Arial Narrow" w:hAnsi="Arial Narrow"/>
                <w:b/>
                <w:bCs/>
                <w:sz w:val="20"/>
                <w:szCs w:val="18"/>
              </w:rPr>
              <w:t xml:space="preserve"> EMP</w:t>
            </w:r>
          </w:p>
        </w:tc>
      </w:tr>
      <w:tr w:rsidR="00851C49" w:rsidRPr="000160C3" w14:paraId="09FC7D2E" w14:textId="77777777" w:rsidTr="00E84754">
        <w:tc>
          <w:tcPr>
            <w:tcW w:w="2356" w:type="dxa"/>
          </w:tcPr>
          <w:p w14:paraId="5E775A72" w14:textId="28CFD465" w:rsidR="002772B4" w:rsidRPr="000160C3" w:rsidRDefault="002772B4" w:rsidP="00A94840">
            <w:pPr>
              <w:pStyle w:val="3-BodyText"/>
              <w:keepNext/>
              <w:numPr>
                <w:ilvl w:val="0"/>
                <w:numId w:val="0"/>
              </w:numPr>
              <w:spacing w:before="0" w:after="0"/>
              <w:rPr>
                <w:rFonts w:ascii="Arial Narrow" w:hAnsi="Arial Narrow"/>
                <w:sz w:val="20"/>
                <w:szCs w:val="18"/>
              </w:rPr>
            </w:pPr>
            <w:r w:rsidRPr="000160C3">
              <w:rPr>
                <w:rFonts w:ascii="Arial Narrow" w:hAnsi="Arial Narrow"/>
                <w:sz w:val="20"/>
                <w:szCs w:val="18"/>
              </w:rPr>
              <w:t>Base case</w:t>
            </w:r>
          </w:p>
        </w:tc>
        <w:tc>
          <w:tcPr>
            <w:tcW w:w="2265" w:type="dxa"/>
          </w:tcPr>
          <w:p w14:paraId="23D5A321" w14:textId="72EAD2A0" w:rsidR="002772B4" w:rsidRPr="00A259A1" w:rsidRDefault="00151C05" w:rsidP="00A94840">
            <w:pPr>
              <w:pStyle w:val="3-BodyText"/>
              <w:keepNext/>
              <w:numPr>
                <w:ilvl w:val="0"/>
                <w:numId w:val="0"/>
              </w:numPr>
              <w:spacing w:before="0" w:after="0"/>
              <w:rPr>
                <w:rFonts w:ascii="Arial Narrow" w:hAnsi="Arial Narrow"/>
                <w:sz w:val="20"/>
                <w:szCs w:val="18"/>
              </w:rPr>
            </w:pPr>
            <w:r w:rsidRPr="00A259A1">
              <w:rPr>
                <w:rFonts w:ascii="Arial Narrow" w:hAnsi="Arial Narrow"/>
                <w:sz w:val="20"/>
                <w:szCs w:val="20"/>
              </w:rPr>
              <w:t>$</w:t>
            </w:r>
            <w:r w:rsidR="008142C5" w:rsidRPr="008142C5">
              <w:rPr>
                <w:rFonts w:ascii="Arial Narrow" w:hAnsi="Arial Narrow"/>
                <w:sz w:val="2"/>
                <w:szCs w:val="20"/>
                <w:highlight w:val="black"/>
              </w:rPr>
              <w:t>redacted content</w:t>
            </w:r>
          </w:p>
        </w:tc>
        <w:tc>
          <w:tcPr>
            <w:tcW w:w="1940" w:type="dxa"/>
          </w:tcPr>
          <w:p w14:paraId="4461705C" w14:textId="39C25FA0" w:rsidR="002772B4" w:rsidRPr="00A259A1" w:rsidRDefault="00151C05" w:rsidP="00A94840">
            <w:pPr>
              <w:pStyle w:val="3-BodyText"/>
              <w:keepNext/>
              <w:numPr>
                <w:ilvl w:val="0"/>
                <w:numId w:val="0"/>
              </w:numPr>
              <w:spacing w:before="0" w:after="0"/>
              <w:rPr>
                <w:rFonts w:ascii="Arial Narrow" w:hAnsi="Arial Narrow"/>
                <w:sz w:val="20"/>
                <w:szCs w:val="18"/>
              </w:rPr>
            </w:pPr>
            <w:r w:rsidRPr="00A259A1">
              <w:rPr>
                <w:rFonts w:ascii="Arial Narrow" w:hAnsi="Arial Narrow"/>
                <w:sz w:val="20"/>
                <w:szCs w:val="18"/>
              </w:rPr>
              <w:t>$</w:t>
            </w:r>
            <w:r w:rsidR="008142C5" w:rsidRPr="008142C5">
              <w:rPr>
                <w:rFonts w:ascii="Arial Narrow" w:hAnsi="Arial Narrow"/>
                <w:sz w:val="2"/>
                <w:szCs w:val="18"/>
                <w:highlight w:val="black"/>
              </w:rPr>
              <w:t>redacted content</w:t>
            </w:r>
          </w:p>
        </w:tc>
        <w:tc>
          <w:tcPr>
            <w:tcW w:w="2501" w:type="dxa"/>
          </w:tcPr>
          <w:p w14:paraId="55DFE90D" w14:textId="199C4AAA" w:rsidR="002772B4" w:rsidRPr="000160C3" w:rsidRDefault="00EC1990" w:rsidP="00A94840">
            <w:pPr>
              <w:pStyle w:val="3-BodyText"/>
              <w:keepNext/>
              <w:numPr>
                <w:ilvl w:val="0"/>
                <w:numId w:val="0"/>
              </w:numPr>
              <w:spacing w:before="0" w:after="0"/>
              <w:rPr>
                <w:rFonts w:ascii="Arial Narrow" w:hAnsi="Arial Narrow"/>
                <w:sz w:val="20"/>
                <w:szCs w:val="18"/>
              </w:rPr>
            </w:pPr>
            <w:r>
              <w:rPr>
                <w:rFonts w:ascii="Arial Narrow" w:hAnsi="Arial Narrow"/>
                <w:sz w:val="20"/>
                <w:szCs w:val="18"/>
              </w:rPr>
              <w:noBreakHyphen/>
            </w:r>
          </w:p>
        </w:tc>
      </w:tr>
      <w:tr w:rsidR="00851C49" w:rsidRPr="00083760" w14:paraId="299EB90F" w14:textId="77777777" w:rsidTr="00E84754">
        <w:tc>
          <w:tcPr>
            <w:tcW w:w="2356" w:type="dxa"/>
          </w:tcPr>
          <w:p w14:paraId="548692D0" w14:textId="04E9A797" w:rsidR="002772B4" w:rsidRPr="00083760" w:rsidRDefault="002772B4" w:rsidP="00A94840">
            <w:pPr>
              <w:pStyle w:val="3-BodyText"/>
              <w:keepNext/>
              <w:numPr>
                <w:ilvl w:val="0"/>
                <w:numId w:val="0"/>
              </w:numPr>
              <w:spacing w:before="0" w:after="0"/>
              <w:rPr>
                <w:rFonts w:ascii="Arial Narrow" w:hAnsi="Arial Narrow"/>
                <w:sz w:val="20"/>
                <w:szCs w:val="18"/>
              </w:rPr>
            </w:pPr>
            <w:r w:rsidRPr="00083760">
              <w:rPr>
                <w:rFonts w:ascii="Arial Narrow" w:hAnsi="Arial Narrow"/>
                <w:sz w:val="20"/>
                <w:szCs w:val="18"/>
              </w:rPr>
              <w:t>Sensitivity Analys</w:t>
            </w:r>
            <w:r w:rsidR="007133AD" w:rsidRPr="00083760">
              <w:rPr>
                <w:rFonts w:ascii="Arial Narrow" w:hAnsi="Arial Narrow"/>
                <w:sz w:val="20"/>
                <w:szCs w:val="18"/>
              </w:rPr>
              <w:t>i</w:t>
            </w:r>
            <w:r w:rsidRPr="00083760">
              <w:rPr>
                <w:rFonts w:ascii="Arial Narrow" w:hAnsi="Arial Narrow"/>
                <w:sz w:val="20"/>
                <w:szCs w:val="18"/>
              </w:rPr>
              <w:t>s 1</w:t>
            </w:r>
          </w:p>
        </w:tc>
        <w:tc>
          <w:tcPr>
            <w:tcW w:w="2265" w:type="dxa"/>
          </w:tcPr>
          <w:p w14:paraId="49BB0E81" w14:textId="296D75DC" w:rsidR="002772B4" w:rsidRPr="00A259A1" w:rsidRDefault="00B44714" w:rsidP="00A94840">
            <w:pPr>
              <w:pStyle w:val="3-BodyText"/>
              <w:keepNext/>
              <w:numPr>
                <w:ilvl w:val="0"/>
                <w:numId w:val="0"/>
              </w:numPr>
              <w:spacing w:before="0" w:after="0"/>
              <w:rPr>
                <w:rFonts w:ascii="Arial Narrow" w:hAnsi="Arial Narrow"/>
                <w:sz w:val="20"/>
                <w:szCs w:val="20"/>
              </w:rPr>
            </w:pPr>
            <w:r w:rsidRPr="00A259A1">
              <w:rPr>
                <w:rFonts w:ascii="Arial Narrow" w:hAnsi="Arial Narrow"/>
                <w:sz w:val="20"/>
                <w:szCs w:val="20"/>
              </w:rPr>
              <w:t>$</w:t>
            </w:r>
            <w:r w:rsidR="008142C5" w:rsidRPr="008142C5">
              <w:rPr>
                <w:rFonts w:ascii="Arial Narrow" w:hAnsi="Arial Narrow"/>
                <w:sz w:val="2"/>
                <w:szCs w:val="20"/>
                <w:highlight w:val="black"/>
              </w:rPr>
              <w:t>redacted content</w:t>
            </w:r>
          </w:p>
        </w:tc>
        <w:tc>
          <w:tcPr>
            <w:tcW w:w="1940" w:type="dxa"/>
          </w:tcPr>
          <w:p w14:paraId="06EE3E67" w14:textId="6954D271" w:rsidR="002772B4" w:rsidRPr="00A259A1" w:rsidRDefault="000C1C33" w:rsidP="00A94840">
            <w:pPr>
              <w:pStyle w:val="3-BodyText"/>
              <w:keepNext/>
              <w:numPr>
                <w:ilvl w:val="0"/>
                <w:numId w:val="0"/>
              </w:numPr>
              <w:spacing w:before="0" w:after="0"/>
              <w:rPr>
                <w:rFonts w:ascii="Arial Narrow" w:hAnsi="Arial Narrow"/>
                <w:sz w:val="20"/>
                <w:szCs w:val="20"/>
              </w:rPr>
            </w:pPr>
            <w:r w:rsidRPr="00A259A1">
              <w:rPr>
                <w:rFonts w:ascii="Arial Narrow" w:hAnsi="Arial Narrow"/>
                <w:sz w:val="20"/>
                <w:szCs w:val="20"/>
              </w:rPr>
              <w:t>$</w:t>
            </w:r>
            <w:r w:rsidR="008142C5" w:rsidRPr="008142C5">
              <w:rPr>
                <w:rFonts w:ascii="Arial Narrow" w:hAnsi="Arial Narrow"/>
                <w:sz w:val="2"/>
                <w:szCs w:val="20"/>
                <w:highlight w:val="black"/>
              </w:rPr>
              <w:t>redacted content</w:t>
            </w:r>
          </w:p>
        </w:tc>
        <w:tc>
          <w:tcPr>
            <w:tcW w:w="2501" w:type="dxa"/>
          </w:tcPr>
          <w:p w14:paraId="282835A5" w14:textId="5B07F3C8" w:rsidR="002772B4" w:rsidRPr="00083760" w:rsidRDefault="00EC1990" w:rsidP="00A94840">
            <w:pPr>
              <w:pStyle w:val="3-BodyText"/>
              <w:keepNext/>
              <w:numPr>
                <w:ilvl w:val="0"/>
                <w:numId w:val="0"/>
              </w:numPr>
              <w:spacing w:before="0" w:after="0"/>
              <w:ind w:left="720" w:hanging="720"/>
              <w:rPr>
                <w:rFonts w:ascii="Arial Narrow" w:hAnsi="Arial Narrow"/>
                <w:sz w:val="20"/>
                <w:szCs w:val="18"/>
              </w:rPr>
            </w:pPr>
            <w:r>
              <w:rPr>
                <w:rFonts w:ascii="Arial Narrow" w:hAnsi="Arial Narrow"/>
                <w:sz w:val="20"/>
                <w:szCs w:val="18"/>
              </w:rPr>
              <w:noBreakHyphen/>
            </w:r>
            <w:r w:rsidR="000C1C33" w:rsidRPr="00083760">
              <w:rPr>
                <w:rFonts w:ascii="Arial Narrow" w:hAnsi="Arial Narrow"/>
                <w:sz w:val="20"/>
                <w:szCs w:val="18"/>
              </w:rPr>
              <w:t>12.1%</w:t>
            </w:r>
          </w:p>
        </w:tc>
      </w:tr>
      <w:tr w:rsidR="00851C49" w:rsidRPr="00083760" w14:paraId="4BCBF98C" w14:textId="77777777" w:rsidTr="00E84754">
        <w:tc>
          <w:tcPr>
            <w:tcW w:w="2356" w:type="dxa"/>
          </w:tcPr>
          <w:p w14:paraId="39005357" w14:textId="08BE86F7" w:rsidR="002772B4" w:rsidRPr="00083760" w:rsidRDefault="002772B4" w:rsidP="00A94840">
            <w:pPr>
              <w:pStyle w:val="3-BodyText"/>
              <w:keepNext/>
              <w:numPr>
                <w:ilvl w:val="0"/>
                <w:numId w:val="0"/>
              </w:numPr>
              <w:spacing w:before="0" w:after="0"/>
              <w:rPr>
                <w:rFonts w:ascii="Arial Narrow" w:hAnsi="Arial Narrow"/>
                <w:sz w:val="20"/>
                <w:szCs w:val="18"/>
              </w:rPr>
            </w:pPr>
            <w:r w:rsidRPr="00083760">
              <w:rPr>
                <w:rFonts w:ascii="Arial Narrow" w:hAnsi="Arial Narrow"/>
                <w:sz w:val="20"/>
                <w:szCs w:val="18"/>
              </w:rPr>
              <w:t>Sensitivity Analys</w:t>
            </w:r>
            <w:r w:rsidR="007133AD" w:rsidRPr="00083760">
              <w:rPr>
                <w:rFonts w:ascii="Arial Narrow" w:hAnsi="Arial Narrow"/>
                <w:sz w:val="20"/>
                <w:szCs w:val="18"/>
              </w:rPr>
              <w:t>i</w:t>
            </w:r>
            <w:r w:rsidRPr="00083760">
              <w:rPr>
                <w:rFonts w:ascii="Arial Narrow" w:hAnsi="Arial Narrow"/>
                <w:sz w:val="20"/>
                <w:szCs w:val="18"/>
              </w:rPr>
              <w:t>s 2</w:t>
            </w:r>
          </w:p>
        </w:tc>
        <w:tc>
          <w:tcPr>
            <w:tcW w:w="2265" w:type="dxa"/>
          </w:tcPr>
          <w:p w14:paraId="5C89FEAE" w14:textId="62E034A7" w:rsidR="002772B4" w:rsidRPr="00A259A1" w:rsidRDefault="006A234D" w:rsidP="00A94840">
            <w:pPr>
              <w:pStyle w:val="3-BodyText"/>
              <w:keepNext/>
              <w:numPr>
                <w:ilvl w:val="0"/>
                <w:numId w:val="0"/>
              </w:numPr>
              <w:spacing w:before="0" w:after="0"/>
              <w:rPr>
                <w:rFonts w:ascii="Arial Narrow" w:hAnsi="Arial Narrow"/>
                <w:sz w:val="20"/>
                <w:szCs w:val="18"/>
              </w:rPr>
            </w:pPr>
            <w:r w:rsidRPr="00A259A1">
              <w:rPr>
                <w:rFonts w:ascii="Arial Narrow" w:hAnsi="Arial Narrow"/>
                <w:sz w:val="20"/>
                <w:szCs w:val="18"/>
              </w:rPr>
              <w:t>$</w:t>
            </w:r>
            <w:r w:rsidR="008142C5" w:rsidRPr="008142C5">
              <w:rPr>
                <w:rFonts w:ascii="Arial Narrow" w:hAnsi="Arial Narrow"/>
                <w:sz w:val="2"/>
                <w:szCs w:val="18"/>
                <w:highlight w:val="black"/>
              </w:rPr>
              <w:t>redacted content</w:t>
            </w:r>
          </w:p>
        </w:tc>
        <w:tc>
          <w:tcPr>
            <w:tcW w:w="1940" w:type="dxa"/>
          </w:tcPr>
          <w:p w14:paraId="14C6C813" w14:textId="0C80F60A" w:rsidR="002772B4" w:rsidRPr="00A259A1" w:rsidRDefault="00572A03" w:rsidP="00A94840">
            <w:pPr>
              <w:pStyle w:val="3-BodyText"/>
              <w:keepNext/>
              <w:numPr>
                <w:ilvl w:val="0"/>
                <w:numId w:val="0"/>
              </w:numPr>
              <w:spacing w:before="0" w:after="0"/>
              <w:rPr>
                <w:rFonts w:ascii="Arial Narrow" w:hAnsi="Arial Narrow"/>
                <w:sz w:val="20"/>
                <w:szCs w:val="18"/>
              </w:rPr>
            </w:pPr>
            <w:r w:rsidRPr="00A259A1">
              <w:rPr>
                <w:rFonts w:ascii="Arial Narrow" w:hAnsi="Arial Narrow"/>
                <w:sz w:val="20"/>
                <w:szCs w:val="18"/>
              </w:rPr>
              <w:t>$</w:t>
            </w:r>
            <w:r w:rsidR="008142C5" w:rsidRPr="008142C5">
              <w:rPr>
                <w:rFonts w:ascii="Arial Narrow" w:hAnsi="Arial Narrow"/>
                <w:sz w:val="2"/>
                <w:szCs w:val="18"/>
                <w:highlight w:val="black"/>
              </w:rPr>
              <w:t>redacted content</w:t>
            </w:r>
          </w:p>
        </w:tc>
        <w:tc>
          <w:tcPr>
            <w:tcW w:w="2501" w:type="dxa"/>
          </w:tcPr>
          <w:p w14:paraId="34FC3D64" w14:textId="7AB280F8" w:rsidR="002772B4" w:rsidRPr="00083760" w:rsidRDefault="00EC1990" w:rsidP="00A94840">
            <w:pPr>
              <w:pStyle w:val="3-BodyText"/>
              <w:keepNext/>
              <w:numPr>
                <w:ilvl w:val="0"/>
                <w:numId w:val="0"/>
              </w:numPr>
              <w:spacing w:before="0" w:after="0"/>
              <w:rPr>
                <w:rFonts w:ascii="Arial Narrow" w:hAnsi="Arial Narrow"/>
                <w:sz w:val="20"/>
                <w:szCs w:val="18"/>
              </w:rPr>
            </w:pPr>
            <w:r>
              <w:rPr>
                <w:rFonts w:ascii="Arial Narrow" w:hAnsi="Arial Narrow"/>
                <w:sz w:val="20"/>
                <w:szCs w:val="18"/>
              </w:rPr>
              <w:noBreakHyphen/>
            </w:r>
            <w:r w:rsidR="00572A03" w:rsidRPr="00083760">
              <w:rPr>
                <w:rFonts w:ascii="Arial Narrow" w:hAnsi="Arial Narrow"/>
                <w:sz w:val="20"/>
                <w:szCs w:val="18"/>
              </w:rPr>
              <w:t>13.5%</w:t>
            </w:r>
          </w:p>
        </w:tc>
      </w:tr>
      <w:tr w:rsidR="00851C49" w:rsidRPr="00083760" w14:paraId="779D15DD" w14:textId="77777777" w:rsidTr="00E84754">
        <w:tc>
          <w:tcPr>
            <w:tcW w:w="2356" w:type="dxa"/>
          </w:tcPr>
          <w:p w14:paraId="0D635981" w14:textId="49D549BB" w:rsidR="002772B4" w:rsidRPr="00083760" w:rsidRDefault="002772B4" w:rsidP="00A94840">
            <w:pPr>
              <w:pStyle w:val="3-BodyText"/>
              <w:keepNext/>
              <w:numPr>
                <w:ilvl w:val="0"/>
                <w:numId w:val="0"/>
              </w:numPr>
              <w:spacing w:before="0" w:after="0"/>
              <w:rPr>
                <w:rFonts w:ascii="Arial Narrow" w:hAnsi="Arial Narrow"/>
                <w:sz w:val="20"/>
                <w:szCs w:val="18"/>
              </w:rPr>
            </w:pPr>
            <w:r w:rsidRPr="00083760">
              <w:rPr>
                <w:rFonts w:ascii="Arial Narrow" w:hAnsi="Arial Narrow"/>
                <w:sz w:val="20"/>
                <w:szCs w:val="18"/>
              </w:rPr>
              <w:t>Sensitivity Analys</w:t>
            </w:r>
            <w:r w:rsidR="007133AD" w:rsidRPr="00083760">
              <w:rPr>
                <w:rFonts w:ascii="Arial Narrow" w:hAnsi="Arial Narrow"/>
                <w:sz w:val="20"/>
                <w:szCs w:val="18"/>
              </w:rPr>
              <w:t>i</w:t>
            </w:r>
            <w:r w:rsidRPr="00083760">
              <w:rPr>
                <w:rFonts w:ascii="Arial Narrow" w:hAnsi="Arial Narrow"/>
                <w:sz w:val="20"/>
                <w:szCs w:val="18"/>
              </w:rPr>
              <w:t>s 3</w:t>
            </w:r>
          </w:p>
        </w:tc>
        <w:tc>
          <w:tcPr>
            <w:tcW w:w="2265" w:type="dxa"/>
          </w:tcPr>
          <w:p w14:paraId="376D54A6" w14:textId="1B76F32D" w:rsidR="002772B4" w:rsidRPr="00A259A1" w:rsidRDefault="0033100C" w:rsidP="00A94840">
            <w:pPr>
              <w:pStyle w:val="3-BodyText"/>
              <w:keepNext/>
              <w:numPr>
                <w:ilvl w:val="0"/>
                <w:numId w:val="0"/>
              </w:numPr>
              <w:spacing w:before="0" w:after="0"/>
              <w:rPr>
                <w:rFonts w:ascii="Arial Narrow" w:hAnsi="Arial Narrow"/>
                <w:sz w:val="20"/>
                <w:szCs w:val="20"/>
              </w:rPr>
            </w:pPr>
            <w:r w:rsidRPr="00A259A1">
              <w:rPr>
                <w:rFonts w:ascii="Arial Narrow" w:hAnsi="Arial Narrow" w:cs="Arial"/>
                <w:sz w:val="20"/>
                <w:szCs w:val="20"/>
              </w:rPr>
              <w:t>$</w:t>
            </w:r>
            <w:r w:rsidR="008142C5" w:rsidRPr="008142C5">
              <w:rPr>
                <w:rFonts w:ascii="Arial Narrow" w:hAnsi="Arial Narrow" w:cs="Arial"/>
                <w:sz w:val="2"/>
                <w:szCs w:val="20"/>
                <w:highlight w:val="black"/>
              </w:rPr>
              <w:t>redacted content</w:t>
            </w:r>
          </w:p>
        </w:tc>
        <w:tc>
          <w:tcPr>
            <w:tcW w:w="1940" w:type="dxa"/>
          </w:tcPr>
          <w:p w14:paraId="6874D413" w14:textId="025B4D80" w:rsidR="002772B4" w:rsidRPr="00A259A1" w:rsidRDefault="0033100C" w:rsidP="00A94840">
            <w:pPr>
              <w:pStyle w:val="3-BodyText"/>
              <w:keepNext/>
              <w:numPr>
                <w:ilvl w:val="0"/>
                <w:numId w:val="0"/>
              </w:numPr>
              <w:spacing w:before="0" w:after="0"/>
              <w:rPr>
                <w:rFonts w:ascii="Arial Narrow" w:hAnsi="Arial Narrow"/>
                <w:sz w:val="20"/>
                <w:szCs w:val="20"/>
              </w:rPr>
            </w:pPr>
            <w:r w:rsidRPr="00A259A1">
              <w:rPr>
                <w:rFonts w:ascii="Arial Narrow" w:hAnsi="Arial Narrow"/>
                <w:sz w:val="20"/>
                <w:szCs w:val="20"/>
              </w:rPr>
              <w:t>$</w:t>
            </w:r>
            <w:r w:rsidR="008142C5" w:rsidRPr="008142C5">
              <w:rPr>
                <w:rFonts w:ascii="Arial Narrow" w:hAnsi="Arial Narrow"/>
                <w:sz w:val="2"/>
                <w:szCs w:val="20"/>
                <w:highlight w:val="black"/>
              </w:rPr>
              <w:t>redacted content</w:t>
            </w:r>
          </w:p>
        </w:tc>
        <w:tc>
          <w:tcPr>
            <w:tcW w:w="2501" w:type="dxa"/>
          </w:tcPr>
          <w:p w14:paraId="78553347" w14:textId="0A4B78C8" w:rsidR="002772B4" w:rsidRPr="00083760" w:rsidRDefault="00EC1990" w:rsidP="00A94840">
            <w:pPr>
              <w:pStyle w:val="3-BodyText"/>
              <w:keepNext/>
              <w:numPr>
                <w:ilvl w:val="0"/>
                <w:numId w:val="0"/>
              </w:numPr>
              <w:spacing w:before="0" w:after="0"/>
              <w:rPr>
                <w:rFonts w:ascii="Arial Narrow" w:hAnsi="Arial Narrow"/>
                <w:sz w:val="20"/>
                <w:szCs w:val="18"/>
              </w:rPr>
            </w:pPr>
            <w:r>
              <w:rPr>
                <w:rFonts w:ascii="Arial Narrow" w:hAnsi="Arial Narrow"/>
                <w:sz w:val="20"/>
                <w:szCs w:val="18"/>
              </w:rPr>
              <w:noBreakHyphen/>
            </w:r>
            <w:r w:rsidR="005B2727" w:rsidRPr="00083760">
              <w:rPr>
                <w:rFonts w:ascii="Arial Narrow" w:hAnsi="Arial Narrow"/>
                <w:sz w:val="20"/>
                <w:szCs w:val="18"/>
              </w:rPr>
              <w:t>2.9%</w:t>
            </w:r>
          </w:p>
        </w:tc>
      </w:tr>
      <w:tr w:rsidR="00851C49" w:rsidRPr="00083760" w14:paraId="4F5FB268" w14:textId="77777777" w:rsidTr="00E84754">
        <w:tc>
          <w:tcPr>
            <w:tcW w:w="2356" w:type="dxa"/>
          </w:tcPr>
          <w:p w14:paraId="3AB1396D" w14:textId="2A9A782C" w:rsidR="002772B4" w:rsidRPr="00083760" w:rsidRDefault="002772B4" w:rsidP="00A94840">
            <w:pPr>
              <w:pStyle w:val="3-BodyText"/>
              <w:keepNext/>
              <w:numPr>
                <w:ilvl w:val="0"/>
                <w:numId w:val="0"/>
              </w:numPr>
              <w:spacing w:before="0" w:after="0"/>
              <w:rPr>
                <w:rFonts w:ascii="Arial Narrow" w:hAnsi="Arial Narrow"/>
                <w:sz w:val="20"/>
                <w:szCs w:val="18"/>
              </w:rPr>
            </w:pPr>
            <w:r w:rsidRPr="00083760">
              <w:rPr>
                <w:rFonts w:ascii="Arial Narrow" w:hAnsi="Arial Narrow"/>
                <w:sz w:val="20"/>
                <w:szCs w:val="18"/>
              </w:rPr>
              <w:t>Sensitivity Analys</w:t>
            </w:r>
            <w:r w:rsidR="007133AD" w:rsidRPr="00083760">
              <w:rPr>
                <w:rFonts w:ascii="Arial Narrow" w:hAnsi="Arial Narrow"/>
                <w:sz w:val="20"/>
                <w:szCs w:val="18"/>
              </w:rPr>
              <w:t>i</w:t>
            </w:r>
            <w:r w:rsidRPr="00083760">
              <w:rPr>
                <w:rFonts w:ascii="Arial Narrow" w:hAnsi="Arial Narrow"/>
                <w:sz w:val="20"/>
                <w:szCs w:val="18"/>
              </w:rPr>
              <w:t xml:space="preserve">s </w:t>
            </w:r>
            <w:r w:rsidR="005C1C92" w:rsidRPr="00083760">
              <w:rPr>
                <w:rFonts w:ascii="Arial Narrow" w:hAnsi="Arial Narrow"/>
                <w:sz w:val="20"/>
                <w:szCs w:val="18"/>
              </w:rPr>
              <w:t>4</w:t>
            </w:r>
          </w:p>
        </w:tc>
        <w:tc>
          <w:tcPr>
            <w:tcW w:w="2265" w:type="dxa"/>
          </w:tcPr>
          <w:p w14:paraId="3BF4E616" w14:textId="6759279C" w:rsidR="002772B4" w:rsidRPr="00A259A1" w:rsidRDefault="00F9106D" w:rsidP="00A94840">
            <w:pPr>
              <w:pStyle w:val="3-BodyText"/>
              <w:keepNext/>
              <w:numPr>
                <w:ilvl w:val="0"/>
                <w:numId w:val="0"/>
              </w:numPr>
              <w:spacing w:before="0" w:after="0"/>
              <w:rPr>
                <w:rFonts w:ascii="Arial Narrow" w:hAnsi="Arial Narrow"/>
                <w:sz w:val="20"/>
                <w:szCs w:val="18"/>
              </w:rPr>
            </w:pPr>
            <w:r w:rsidRPr="00A259A1">
              <w:rPr>
                <w:rFonts w:ascii="Arial Narrow" w:hAnsi="Arial Narrow"/>
                <w:sz w:val="20"/>
                <w:szCs w:val="18"/>
              </w:rPr>
              <w:t>$</w:t>
            </w:r>
            <w:r w:rsidR="008142C5" w:rsidRPr="008142C5">
              <w:rPr>
                <w:rFonts w:ascii="Arial Narrow" w:hAnsi="Arial Narrow"/>
                <w:sz w:val="2"/>
                <w:szCs w:val="18"/>
                <w:highlight w:val="black"/>
              </w:rPr>
              <w:t>redacted content</w:t>
            </w:r>
          </w:p>
        </w:tc>
        <w:tc>
          <w:tcPr>
            <w:tcW w:w="1940" w:type="dxa"/>
          </w:tcPr>
          <w:p w14:paraId="37DA40CE" w14:textId="6CE2AC5F" w:rsidR="002772B4" w:rsidRPr="00A259A1" w:rsidRDefault="00F9106D" w:rsidP="00A94840">
            <w:pPr>
              <w:pStyle w:val="3-BodyText"/>
              <w:keepNext/>
              <w:numPr>
                <w:ilvl w:val="0"/>
                <w:numId w:val="0"/>
              </w:numPr>
              <w:spacing w:before="0" w:after="0"/>
              <w:rPr>
                <w:rFonts w:ascii="Arial Narrow" w:hAnsi="Arial Narrow"/>
                <w:sz w:val="20"/>
                <w:szCs w:val="18"/>
              </w:rPr>
            </w:pPr>
            <w:r w:rsidRPr="00A259A1">
              <w:rPr>
                <w:rFonts w:ascii="Arial Narrow" w:hAnsi="Arial Narrow"/>
                <w:sz w:val="20"/>
                <w:szCs w:val="18"/>
              </w:rPr>
              <w:t>$</w:t>
            </w:r>
            <w:r w:rsidR="008142C5" w:rsidRPr="008142C5">
              <w:rPr>
                <w:rFonts w:ascii="Arial Narrow" w:hAnsi="Arial Narrow"/>
                <w:sz w:val="2"/>
                <w:szCs w:val="18"/>
                <w:highlight w:val="black"/>
              </w:rPr>
              <w:t>redacted content</w:t>
            </w:r>
          </w:p>
        </w:tc>
        <w:tc>
          <w:tcPr>
            <w:tcW w:w="2501" w:type="dxa"/>
          </w:tcPr>
          <w:p w14:paraId="3D2BAB84" w14:textId="22DCCA92" w:rsidR="002772B4" w:rsidRPr="00083760" w:rsidRDefault="00EC1990" w:rsidP="00A94840">
            <w:pPr>
              <w:pStyle w:val="3-BodyText"/>
              <w:keepNext/>
              <w:numPr>
                <w:ilvl w:val="0"/>
                <w:numId w:val="0"/>
              </w:numPr>
              <w:spacing w:before="0" w:after="0"/>
              <w:rPr>
                <w:rFonts w:ascii="Arial Narrow" w:hAnsi="Arial Narrow"/>
                <w:sz w:val="20"/>
                <w:szCs w:val="18"/>
              </w:rPr>
            </w:pPr>
            <w:r>
              <w:rPr>
                <w:rFonts w:ascii="Arial Narrow" w:hAnsi="Arial Narrow"/>
                <w:sz w:val="20"/>
                <w:szCs w:val="18"/>
              </w:rPr>
              <w:noBreakHyphen/>
            </w:r>
            <w:r w:rsidR="00B16FA4" w:rsidRPr="00083760">
              <w:rPr>
                <w:rFonts w:ascii="Arial Narrow" w:hAnsi="Arial Narrow"/>
                <w:sz w:val="20"/>
                <w:szCs w:val="18"/>
              </w:rPr>
              <w:t>0.9</w:t>
            </w:r>
            <w:r w:rsidR="004E1D9D" w:rsidRPr="00083760">
              <w:rPr>
                <w:rFonts w:ascii="Arial Narrow" w:hAnsi="Arial Narrow"/>
                <w:sz w:val="20"/>
                <w:szCs w:val="18"/>
              </w:rPr>
              <w:t>%</w:t>
            </w:r>
          </w:p>
        </w:tc>
      </w:tr>
      <w:tr w:rsidR="003D33A7" w:rsidRPr="00083760" w14:paraId="1505B82B" w14:textId="77777777" w:rsidTr="00E84754">
        <w:tc>
          <w:tcPr>
            <w:tcW w:w="2356" w:type="dxa"/>
          </w:tcPr>
          <w:p w14:paraId="5A98FDFF" w14:textId="0F007E93" w:rsidR="003D33A7" w:rsidRPr="00083760" w:rsidRDefault="003D33A7" w:rsidP="00A94840">
            <w:pPr>
              <w:pStyle w:val="3-BodyText"/>
              <w:keepNext/>
              <w:numPr>
                <w:ilvl w:val="0"/>
                <w:numId w:val="0"/>
              </w:numPr>
              <w:spacing w:before="0" w:after="0"/>
              <w:jc w:val="left"/>
              <w:rPr>
                <w:rFonts w:ascii="Arial Narrow" w:hAnsi="Arial Narrow"/>
                <w:sz w:val="20"/>
                <w:szCs w:val="18"/>
              </w:rPr>
            </w:pPr>
            <w:r w:rsidRPr="00083760">
              <w:rPr>
                <w:rFonts w:ascii="Arial Narrow" w:hAnsi="Arial Narrow"/>
                <w:sz w:val="20"/>
                <w:szCs w:val="18"/>
              </w:rPr>
              <w:t>Sensitivity Analysis 5</w:t>
            </w:r>
          </w:p>
        </w:tc>
        <w:tc>
          <w:tcPr>
            <w:tcW w:w="2265" w:type="dxa"/>
          </w:tcPr>
          <w:p w14:paraId="3A551008" w14:textId="254CAB4F" w:rsidR="003D33A7" w:rsidRPr="00A259A1" w:rsidRDefault="003D33A7" w:rsidP="00A94840">
            <w:pPr>
              <w:pStyle w:val="3-BodyText"/>
              <w:keepNext/>
              <w:numPr>
                <w:ilvl w:val="0"/>
                <w:numId w:val="0"/>
              </w:numPr>
              <w:spacing w:before="0" w:after="0"/>
              <w:rPr>
                <w:rFonts w:ascii="Arial Narrow" w:hAnsi="Arial Narrow"/>
                <w:sz w:val="20"/>
                <w:szCs w:val="18"/>
              </w:rPr>
            </w:pPr>
            <w:r w:rsidRPr="00A259A1">
              <w:rPr>
                <w:rFonts w:ascii="Arial Narrow" w:hAnsi="Arial Narrow"/>
                <w:sz w:val="20"/>
                <w:szCs w:val="18"/>
              </w:rPr>
              <w:t>$</w:t>
            </w:r>
            <w:r w:rsidR="008142C5" w:rsidRPr="008142C5">
              <w:rPr>
                <w:rFonts w:ascii="Arial Narrow" w:hAnsi="Arial Narrow"/>
                <w:sz w:val="2"/>
                <w:szCs w:val="18"/>
                <w:highlight w:val="black"/>
              </w:rPr>
              <w:t>redacted content</w:t>
            </w:r>
          </w:p>
        </w:tc>
        <w:tc>
          <w:tcPr>
            <w:tcW w:w="1940" w:type="dxa"/>
          </w:tcPr>
          <w:p w14:paraId="6C54C810" w14:textId="10B70BD7" w:rsidR="003D33A7" w:rsidRPr="00A259A1" w:rsidRDefault="00CE3C78" w:rsidP="00A94840">
            <w:pPr>
              <w:pStyle w:val="3-BodyText"/>
              <w:keepNext/>
              <w:numPr>
                <w:ilvl w:val="0"/>
                <w:numId w:val="0"/>
              </w:numPr>
              <w:spacing w:before="0" w:after="0"/>
              <w:rPr>
                <w:rFonts w:ascii="Arial Narrow" w:hAnsi="Arial Narrow"/>
                <w:sz w:val="20"/>
                <w:szCs w:val="18"/>
              </w:rPr>
            </w:pPr>
            <w:r w:rsidRPr="00A259A1">
              <w:rPr>
                <w:rFonts w:ascii="Arial Narrow" w:hAnsi="Arial Narrow"/>
                <w:sz w:val="20"/>
                <w:szCs w:val="18"/>
              </w:rPr>
              <w:t>$</w:t>
            </w:r>
            <w:r w:rsidR="008142C5" w:rsidRPr="008142C5">
              <w:rPr>
                <w:rFonts w:ascii="Arial Narrow" w:hAnsi="Arial Narrow"/>
                <w:sz w:val="2"/>
                <w:szCs w:val="18"/>
                <w:highlight w:val="black"/>
              </w:rPr>
              <w:t>redacted content</w:t>
            </w:r>
          </w:p>
        </w:tc>
        <w:tc>
          <w:tcPr>
            <w:tcW w:w="2501" w:type="dxa"/>
          </w:tcPr>
          <w:p w14:paraId="0B8C00C2" w14:textId="317DBC99" w:rsidR="003D33A7" w:rsidRPr="00083760" w:rsidRDefault="00EC1990" w:rsidP="00A94840">
            <w:pPr>
              <w:pStyle w:val="3-BodyText"/>
              <w:keepNext/>
              <w:numPr>
                <w:ilvl w:val="0"/>
                <w:numId w:val="0"/>
              </w:numPr>
              <w:spacing w:before="0" w:after="0"/>
              <w:rPr>
                <w:rFonts w:ascii="Arial Narrow" w:hAnsi="Arial Narrow"/>
                <w:sz w:val="20"/>
                <w:szCs w:val="18"/>
              </w:rPr>
            </w:pPr>
            <w:r>
              <w:rPr>
                <w:rFonts w:ascii="Arial Narrow" w:hAnsi="Arial Narrow"/>
                <w:sz w:val="20"/>
                <w:szCs w:val="18"/>
              </w:rPr>
              <w:noBreakHyphen/>
            </w:r>
            <w:r w:rsidR="00CE3C78" w:rsidRPr="00083760">
              <w:rPr>
                <w:rFonts w:ascii="Arial Narrow" w:hAnsi="Arial Narrow"/>
                <w:sz w:val="20"/>
                <w:szCs w:val="18"/>
              </w:rPr>
              <w:t>31.1%</w:t>
            </w:r>
          </w:p>
        </w:tc>
      </w:tr>
      <w:tr w:rsidR="003D33A7" w:rsidRPr="00083760" w14:paraId="26C90DD1" w14:textId="77777777" w:rsidTr="00E84754">
        <w:tc>
          <w:tcPr>
            <w:tcW w:w="2356" w:type="dxa"/>
          </w:tcPr>
          <w:p w14:paraId="27C9D44C" w14:textId="57F2A975" w:rsidR="003D33A7" w:rsidRPr="00083760" w:rsidRDefault="003D33A7" w:rsidP="00A94840">
            <w:pPr>
              <w:pStyle w:val="3-BodyText"/>
              <w:keepNext/>
              <w:numPr>
                <w:ilvl w:val="0"/>
                <w:numId w:val="0"/>
              </w:numPr>
              <w:spacing w:before="0" w:after="0"/>
              <w:jc w:val="left"/>
              <w:rPr>
                <w:rFonts w:ascii="Arial Narrow" w:hAnsi="Arial Narrow"/>
                <w:sz w:val="20"/>
                <w:szCs w:val="18"/>
              </w:rPr>
            </w:pPr>
            <w:r w:rsidRPr="00083760">
              <w:rPr>
                <w:rFonts w:ascii="Arial Narrow" w:hAnsi="Arial Narrow"/>
                <w:sz w:val="20"/>
                <w:szCs w:val="18"/>
              </w:rPr>
              <w:t>Sensitivity Analysis 5 PLUS removal of hospitalisation costs</w:t>
            </w:r>
          </w:p>
        </w:tc>
        <w:tc>
          <w:tcPr>
            <w:tcW w:w="2265" w:type="dxa"/>
          </w:tcPr>
          <w:p w14:paraId="04E22AE6" w14:textId="1F40EFE1" w:rsidR="003D33A7" w:rsidRPr="00A259A1" w:rsidRDefault="00D147B2" w:rsidP="00A94840">
            <w:pPr>
              <w:pStyle w:val="3-BodyText"/>
              <w:keepNext/>
              <w:numPr>
                <w:ilvl w:val="0"/>
                <w:numId w:val="0"/>
              </w:numPr>
              <w:spacing w:before="0" w:after="0"/>
              <w:rPr>
                <w:rFonts w:ascii="Arial Narrow" w:hAnsi="Arial Narrow"/>
                <w:sz w:val="20"/>
                <w:szCs w:val="18"/>
              </w:rPr>
            </w:pPr>
            <w:r w:rsidRPr="00A259A1">
              <w:rPr>
                <w:rFonts w:ascii="Arial Narrow" w:hAnsi="Arial Narrow"/>
                <w:sz w:val="20"/>
                <w:szCs w:val="18"/>
              </w:rPr>
              <w:t>$</w:t>
            </w:r>
            <w:r w:rsidR="008142C5" w:rsidRPr="008142C5">
              <w:rPr>
                <w:rFonts w:ascii="Arial Narrow" w:hAnsi="Arial Narrow"/>
                <w:sz w:val="2"/>
                <w:szCs w:val="18"/>
                <w:highlight w:val="black"/>
              </w:rPr>
              <w:t>redacted content</w:t>
            </w:r>
          </w:p>
        </w:tc>
        <w:tc>
          <w:tcPr>
            <w:tcW w:w="1940" w:type="dxa"/>
          </w:tcPr>
          <w:p w14:paraId="73947160" w14:textId="2AEC2E06" w:rsidR="003D33A7" w:rsidRPr="00A259A1" w:rsidRDefault="006A2323" w:rsidP="00A94840">
            <w:pPr>
              <w:pStyle w:val="3-BodyText"/>
              <w:keepNext/>
              <w:numPr>
                <w:ilvl w:val="0"/>
                <w:numId w:val="0"/>
              </w:numPr>
              <w:spacing w:before="0" w:after="0"/>
              <w:rPr>
                <w:rFonts w:ascii="Arial Narrow" w:hAnsi="Arial Narrow"/>
                <w:sz w:val="20"/>
                <w:szCs w:val="18"/>
              </w:rPr>
            </w:pPr>
            <w:r w:rsidRPr="00A259A1">
              <w:rPr>
                <w:rFonts w:ascii="Arial Narrow" w:hAnsi="Arial Narrow"/>
                <w:sz w:val="20"/>
                <w:szCs w:val="18"/>
              </w:rPr>
              <w:t>$</w:t>
            </w:r>
            <w:r w:rsidR="008142C5" w:rsidRPr="008142C5">
              <w:rPr>
                <w:rFonts w:ascii="Arial Narrow" w:hAnsi="Arial Narrow"/>
                <w:sz w:val="2"/>
                <w:szCs w:val="18"/>
                <w:highlight w:val="black"/>
              </w:rPr>
              <w:t>redacted content</w:t>
            </w:r>
          </w:p>
        </w:tc>
        <w:tc>
          <w:tcPr>
            <w:tcW w:w="2501" w:type="dxa"/>
          </w:tcPr>
          <w:p w14:paraId="20CE5614" w14:textId="7E4BDC8A" w:rsidR="003D33A7" w:rsidRPr="00083760" w:rsidRDefault="00EC1990" w:rsidP="00A94840">
            <w:pPr>
              <w:pStyle w:val="3-BodyText"/>
              <w:keepNext/>
              <w:numPr>
                <w:ilvl w:val="0"/>
                <w:numId w:val="0"/>
              </w:numPr>
              <w:spacing w:before="0" w:after="0"/>
              <w:rPr>
                <w:rFonts w:ascii="Arial Narrow" w:hAnsi="Arial Narrow"/>
                <w:sz w:val="20"/>
                <w:szCs w:val="18"/>
              </w:rPr>
            </w:pPr>
            <w:r>
              <w:rPr>
                <w:rFonts w:ascii="Arial Narrow" w:hAnsi="Arial Narrow"/>
                <w:sz w:val="20"/>
                <w:szCs w:val="18"/>
              </w:rPr>
              <w:noBreakHyphen/>
            </w:r>
            <w:r w:rsidR="006A2323" w:rsidRPr="00083760">
              <w:rPr>
                <w:rFonts w:ascii="Arial Narrow" w:hAnsi="Arial Narrow"/>
                <w:sz w:val="20"/>
                <w:szCs w:val="18"/>
              </w:rPr>
              <w:t>31.9%</w:t>
            </w:r>
          </w:p>
        </w:tc>
      </w:tr>
    </w:tbl>
    <w:p w14:paraId="381451F9" w14:textId="77777777" w:rsidR="007133AD" w:rsidRPr="000160C3" w:rsidRDefault="007133AD" w:rsidP="00A94840">
      <w:pPr>
        <w:pStyle w:val="TableFooter"/>
        <w:keepNext/>
      </w:pPr>
      <w:r w:rsidRPr="000160C3">
        <w:t xml:space="preserve">Source: calculated using corrected CMA spreadsheet provided with submission </w:t>
      </w:r>
    </w:p>
    <w:p w14:paraId="7E99A049" w14:textId="3054BCA8" w:rsidR="007133AD" w:rsidRPr="000160C3" w:rsidRDefault="00851C49" w:rsidP="00A94840">
      <w:pPr>
        <w:pStyle w:val="TableFooter"/>
        <w:keepNext/>
      </w:pPr>
      <w:r w:rsidRPr="000160C3">
        <w:t xml:space="preserve">Abbreviations: CMA = cost minimisation approach; </w:t>
      </w:r>
      <w:r w:rsidR="007133AD" w:rsidRPr="000160C3">
        <w:t>EMP = ex</w:t>
      </w:r>
      <w:r w:rsidR="00EC1990">
        <w:noBreakHyphen/>
      </w:r>
      <w:r w:rsidR="007133AD" w:rsidRPr="000160C3">
        <w:t>manufacturer price</w:t>
      </w:r>
    </w:p>
    <w:p w14:paraId="74BA7F84" w14:textId="7BF3CBF2" w:rsidR="00EB24F2" w:rsidRPr="00CC16B5" w:rsidRDefault="00EB24F2" w:rsidP="001C47F4">
      <w:pPr>
        <w:pStyle w:val="3-BodyText"/>
        <w:rPr>
          <w:color w:val="0066FF"/>
        </w:rPr>
      </w:pPr>
      <w:r w:rsidRPr="00083760">
        <w:t>Should the PBAC accept the clinical claim of overall non</w:t>
      </w:r>
      <w:r w:rsidR="00EC1990">
        <w:noBreakHyphen/>
      </w:r>
      <w:r w:rsidRPr="00083760">
        <w:t>inferior effectiveness and safety, the cost</w:t>
      </w:r>
      <w:r w:rsidR="00EC1990">
        <w:noBreakHyphen/>
      </w:r>
      <w:r w:rsidRPr="00083760">
        <w:t xml:space="preserve">minimisation approach must establish that the cost per patient for treatment with </w:t>
      </w:r>
      <w:r w:rsidR="003C4B03" w:rsidRPr="00083760">
        <w:t>teclist</w:t>
      </w:r>
      <w:r w:rsidR="008C68F7" w:rsidRPr="00083760">
        <w:t>amab</w:t>
      </w:r>
      <w:r w:rsidRPr="00083760">
        <w:t xml:space="preserve"> would be no more than the cost per patient of </w:t>
      </w:r>
      <w:r w:rsidR="008C68F7" w:rsidRPr="00083760">
        <w:t>elranatamab</w:t>
      </w:r>
      <w:r w:rsidR="00E3160C">
        <w:t>.</w:t>
      </w:r>
      <w:r w:rsidRPr="00083760">
        <w:t xml:space="preserve"> Where these cost per patient calculations are uncertain, the guiding principle is that the Australian Government should not bear the financial risk of this uncertainty because the Australian population already has access to therapy that is at least as effective and safe. In this case, the PBAC should consider the following parameters: </w:t>
      </w:r>
      <w:r w:rsidR="00945DFF" w:rsidRPr="00083760">
        <w:t xml:space="preserve">treatment duration, </w:t>
      </w:r>
      <w:r w:rsidR="00A40A1A" w:rsidRPr="00083760">
        <w:t>timepoint</w:t>
      </w:r>
      <w:r w:rsidR="00773BB3" w:rsidRPr="00083760">
        <w:t xml:space="preserve"> </w:t>
      </w:r>
      <w:r w:rsidR="00A40A1A" w:rsidRPr="00083760">
        <w:t>for change</w:t>
      </w:r>
      <w:r w:rsidR="00773BB3" w:rsidRPr="00083760">
        <w:t xml:space="preserve"> and proportion of patients </w:t>
      </w:r>
      <w:r w:rsidR="00057436" w:rsidRPr="00083760">
        <w:t xml:space="preserve">changing </w:t>
      </w:r>
      <w:r w:rsidR="00A40A1A" w:rsidRPr="00083760">
        <w:t>dose frequency</w:t>
      </w:r>
      <w:r w:rsidR="00057436" w:rsidRPr="00083760">
        <w:t>.</w:t>
      </w:r>
      <w:r w:rsidR="00EC1990">
        <w:t xml:space="preserve"> </w:t>
      </w:r>
    </w:p>
    <w:p w14:paraId="7E704DD2" w14:textId="44BEF8AC" w:rsidR="00BD0DA9" w:rsidRPr="00E26D73" w:rsidRDefault="00BD0DA9" w:rsidP="001C47F4">
      <w:pPr>
        <w:pStyle w:val="3-BodyText"/>
      </w:pPr>
      <w:bookmarkStart w:id="58" w:name="_Ref225154909"/>
      <w:r w:rsidRPr="00015D60">
        <w:t xml:space="preserve">The PBAC </w:t>
      </w:r>
      <w:r w:rsidR="00D40874" w:rsidRPr="00015D60">
        <w:t xml:space="preserve">recalled that when considering elranatamab in March 2025, </w:t>
      </w:r>
      <w:r w:rsidR="00E4155F">
        <w:t xml:space="preserve">the economic and financial model assumed </w:t>
      </w:r>
      <w:r w:rsidR="00D40874" w:rsidRPr="00015D60">
        <w:t xml:space="preserve">that </w:t>
      </w:r>
      <w:r w:rsidR="00E4155F">
        <w:t xml:space="preserve">all </w:t>
      </w:r>
      <w:r w:rsidR="00FF5CA7" w:rsidRPr="00015D60">
        <w:t xml:space="preserve">patients </w:t>
      </w:r>
      <w:r w:rsidR="00E4155F">
        <w:t>w</w:t>
      </w:r>
      <w:r w:rsidR="00FF5CA7" w:rsidRPr="00015D60">
        <w:t xml:space="preserve">ould switch to less frequent </w:t>
      </w:r>
      <w:r w:rsidR="00FF5CA7" w:rsidRPr="00E26D73">
        <w:t xml:space="preserve">dosing </w:t>
      </w:r>
      <w:r w:rsidR="00186D9D" w:rsidRPr="00E26D73">
        <w:t>at the earliest opportunity</w:t>
      </w:r>
      <w:r w:rsidR="00F963CA" w:rsidRPr="00E26D73">
        <w:t xml:space="preserve"> (see paragraph </w:t>
      </w:r>
      <w:r w:rsidR="00F963CA" w:rsidRPr="00E26D73">
        <w:fldChar w:fldCharType="begin"/>
      </w:r>
      <w:r w:rsidR="00F963CA" w:rsidRPr="00E26D73">
        <w:instrText xml:space="preserve"> REF _Ref225152854 \r \h </w:instrText>
      </w:r>
      <w:r w:rsidR="00F963CA" w:rsidRPr="00E26D73">
        <w:fldChar w:fldCharType="separate"/>
      </w:r>
      <w:r w:rsidR="00D44478">
        <w:t>6.73</w:t>
      </w:r>
      <w:r w:rsidR="00F963CA" w:rsidRPr="00E26D73">
        <w:fldChar w:fldCharType="end"/>
      </w:r>
      <w:r w:rsidR="00F963CA" w:rsidRPr="00E26D73">
        <w:t>) according to the TGA PI</w:t>
      </w:r>
      <w:r w:rsidR="00F963CA" w:rsidRPr="00E26D73">
        <w:rPr>
          <w:rStyle w:val="FootnoteReference"/>
        </w:rPr>
        <w:footnoteReference w:id="11"/>
      </w:r>
      <w:r w:rsidR="00F963CA" w:rsidRPr="00E26D73">
        <w:t xml:space="preserve">. </w:t>
      </w:r>
      <w:r w:rsidR="00F2786B" w:rsidRPr="00E26D73">
        <w:t xml:space="preserve">. </w:t>
      </w:r>
      <w:r w:rsidR="00186D9D" w:rsidRPr="00E26D73">
        <w:t xml:space="preserve">Therefore, for the CMA, the PBAC </w:t>
      </w:r>
      <w:r w:rsidRPr="00E26D73">
        <w:t xml:space="preserve">considered </w:t>
      </w:r>
      <w:r w:rsidR="00186D9D" w:rsidRPr="00E26D73">
        <w:t>that:</w:t>
      </w:r>
      <w:bookmarkEnd w:id="58"/>
    </w:p>
    <w:p w14:paraId="27D9FD2C" w14:textId="58A4CDEF" w:rsidR="00F03AD9" w:rsidRPr="00E26D73" w:rsidRDefault="00F03AD9" w:rsidP="001C47F4">
      <w:pPr>
        <w:pStyle w:val="3-BodyText"/>
        <w:numPr>
          <w:ilvl w:val="0"/>
          <w:numId w:val="13"/>
        </w:numPr>
        <w:ind w:left="1077" w:hanging="357"/>
      </w:pPr>
      <w:r w:rsidRPr="00E26D73">
        <w:t xml:space="preserve">All patients </w:t>
      </w:r>
      <w:r w:rsidR="00186D9D" w:rsidRPr="00E26D73">
        <w:t xml:space="preserve">should </w:t>
      </w:r>
      <w:r w:rsidRPr="00E26D73">
        <w:t xml:space="preserve">switch to less frequent dosing for </w:t>
      </w:r>
      <w:r w:rsidR="00186D9D" w:rsidRPr="00E26D73">
        <w:t xml:space="preserve">teclistamab and </w:t>
      </w:r>
      <w:r w:rsidRPr="00E26D73">
        <w:t xml:space="preserve">elranatamab at </w:t>
      </w:r>
      <w:r w:rsidR="00186D9D" w:rsidRPr="00E26D73">
        <w:t xml:space="preserve">the </w:t>
      </w:r>
      <w:r w:rsidRPr="00E26D73">
        <w:t xml:space="preserve">earliest opportunity according to </w:t>
      </w:r>
      <w:r w:rsidR="007C26B3" w:rsidRPr="00E26D73">
        <w:t xml:space="preserve">the relevant </w:t>
      </w:r>
      <w:r w:rsidRPr="00E26D73">
        <w:t>TGA PI</w:t>
      </w:r>
      <w:r w:rsidR="007C26B3" w:rsidRPr="00E26D73">
        <w:t xml:space="preserve"> documents</w:t>
      </w:r>
      <w:r w:rsidR="00A734A4" w:rsidRPr="00E26D73">
        <w:t xml:space="preserve"> (teclistamab patients switch to Q2W at 5</w:t>
      </w:r>
      <w:r w:rsidR="00D578E2" w:rsidRPr="00E26D73">
        <w:t>3</w:t>
      </w:r>
      <w:r w:rsidR="00A734A4" w:rsidRPr="00E26D73">
        <w:t xml:space="preserve"> weeks; elranatamab </w:t>
      </w:r>
      <w:r w:rsidR="000C2B29" w:rsidRPr="00E26D73">
        <w:t xml:space="preserve">patients switch to Q2W at </w:t>
      </w:r>
      <w:r w:rsidR="007C26B3" w:rsidRPr="00E26D73">
        <w:t>2</w:t>
      </w:r>
      <w:r w:rsidR="00AF6C31" w:rsidRPr="00E26D73">
        <w:t>5</w:t>
      </w:r>
      <w:r w:rsidR="000C2B29" w:rsidRPr="00E26D73">
        <w:t xml:space="preserve"> weeks, and </w:t>
      </w:r>
      <w:r w:rsidR="00F4447A" w:rsidRPr="00E26D73">
        <w:t xml:space="preserve">to Q4W at </w:t>
      </w:r>
      <w:r w:rsidR="007C26B3" w:rsidRPr="00E26D73">
        <w:t>4</w:t>
      </w:r>
      <w:r w:rsidR="00AF6C31" w:rsidRPr="00E26D73">
        <w:t>9</w:t>
      </w:r>
      <w:r w:rsidR="00F4447A" w:rsidRPr="00E26D73">
        <w:t xml:space="preserve"> weeks</w:t>
      </w:r>
      <w:r w:rsidR="00AD6A31" w:rsidRPr="00E26D73">
        <w:t>;</w:t>
      </w:r>
    </w:p>
    <w:p w14:paraId="1230F409" w14:textId="457D3100" w:rsidR="00F03AD9" w:rsidRPr="00E26D73" w:rsidRDefault="00B531A4" w:rsidP="001C47F4">
      <w:pPr>
        <w:pStyle w:val="3-BodyText"/>
        <w:numPr>
          <w:ilvl w:val="0"/>
          <w:numId w:val="13"/>
        </w:numPr>
        <w:ind w:left="1077" w:hanging="357"/>
      </w:pPr>
      <w:r w:rsidRPr="00E26D73">
        <w:t xml:space="preserve">It would be appropriate to apply the same </w:t>
      </w:r>
      <w:r w:rsidR="007A3328" w:rsidRPr="00E26D73">
        <w:t xml:space="preserve">relative dose intensity applied </w:t>
      </w:r>
      <w:r w:rsidR="00AD6A31" w:rsidRPr="00E26D73">
        <w:t>to</w:t>
      </w:r>
      <w:r w:rsidR="007A3328" w:rsidRPr="00E26D73">
        <w:t xml:space="preserve"> elranatamab (79.12%) to </w:t>
      </w:r>
      <w:r w:rsidR="00AD6A31" w:rsidRPr="00E26D73">
        <w:t>teclistamab</w:t>
      </w:r>
      <w:r w:rsidR="0071733D" w:rsidRPr="00E26D73">
        <w:t xml:space="preserve"> as there was no evidence to suggest it may be different in clinical practice</w:t>
      </w:r>
      <w:r w:rsidR="00AD6A31" w:rsidRPr="00E26D73">
        <w:t>; and</w:t>
      </w:r>
    </w:p>
    <w:p w14:paraId="64B4909C" w14:textId="328E1DF7" w:rsidR="00BD0DA9" w:rsidRPr="00E26D73" w:rsidRDefault="00D02B6F" w:rsidP="001C47F4">
      <w:pPr>
        <w:pStyle w:val="3-BodyText"/>
        <w:numPr>
          <w:ilvl w:val="0"/>
          <w:numId w:val="13"/>
        </w:numPr>
        <w:ind w:left="1077" w:hanging="357"/>
      </w:pPr>
      <w:r w:rsidRPr="00E26D73">
        <w:t>Hospital costs should be removed for all patients</w:t>
      </w:r>
      <w:r w:rsidR="00CD6C7A" w:rsidRPr="00E26D73">
        <w:t xml:space="preserve"> (as discussed in paragraph </w:t>
      </w:r>
      <w:r w:rsidR="00CD6C7A" w:rsidRPr="00E26D73">
        <w:fldChar w:fldCharType="begin"/>
      </w:r>
      <w:r w:rsidR="00CD6C7A" w:rsidRPr="00E26D73">
        <w:instrText xml:space="preserve"> REF _Ref225153895 \r \h </w:instrText>
      </w:r>
      <w:r w:rsidR="00CD6C7A" w:rsidRPr="00E26D73">
        <w:fldChar w:fldCharType="separate"/>
      </w:r>
      <w:r w:rsidR="00D44478">
        <w:t>6.60</w:t>
      </w:r>
      <w:r w:rsidR="00CD6C7A" w:rsidRPr="00E26D73">
        <w:fldChar w:fldCharType="end"/>
      </w:r>
      <w:r w:rsidR="00CD6C7A" w:rsidRPr="00E26D73">
        <w:t>)</w:t>
      </w:r>
      <w:r w:rsidRPr="00E26D73">
        <w:t>.</w:t>
      </w:r>
    </w:p>
    <w:p w14:paraId="077625C1" w14:textId="0C9E1296" w:rsidR="00BD0DA9" w:rsidRPr="00015D60" w:rsidRDefault="00334938" w:rsidP="001C47F4">
      <w:pPr>
        <w:pStyle w:val="Caption"/>
      </w:pPr>
      <w:bookmarkStart w:id="59" w:name="_Ref224906973"/>
      <w:r w:rsidRPr="00015D60">
        <w:t xml:space="preserve">Table </w:t>
      </w:r>
      <w:r>
        <w:fldChar w:fldCharType="begin"/>
      </w:r>
      <w:r>
        <w:instrText>SEQ Table \* ARABIC</w:instrText>
      </w:r>
      <w:r>
        <w:fldChar w:fldCharType="separate"/>
      </w:r>
      <w:r w:rsidR="001C47F4">
        <w:rPr>
          <w:noProof/>
        </w:rPr>
        <w:t>17</w:t>
      </w:r>
      <w:r>
        <w:fldChar w:fldCharType="end"/>
      </w:r>
      <w:bookmarkEnd w:id="59"/>
      <w:r w:rsidRPr="00015D60">
        <w:t>:</w:t>
      </w:r>
      <w:r w:rsidR="00EC1990">
        <w:t xml:space="preserve"> </w:t>
      </w:r>
      <w:r w:rsidR="00F03AD9" w:rsidRPr="00015D60">
        <w:t>PBAC</w:t>
      </w:r>
      <w:r w:rsidR="004F6CC2" w:rsidRPr="00015D60">
        <w:t>’s revised CMA</w:t>
      </w:r>
      <w:r w:rsidR="00F03AD9" w:rsidRPr="00015D60">
        <w:t xml:space="preserve"> scenario</w:t>
      </w:r>
      <w:r w:rsidR="00630A63" w:rsidRPr="00015D60">
        <w:t xml:space="preserve"> </w:t>
      </w:r>
    </w:p>
    <w:tbl>
      <w:tblPr>
        <w:tblStyle w:val="TableGrid"/>
        <w:tblW w:w="5000" w:type="pct"/>
        <w:tblLook w:val="04A0" w:firstRow="1" w:lastRow="0" w:firstColumn="1" w:lastColumn="0" w:noHBand="0" w:noVBand="1"/>
        <w:tblCaption w:val="Table 17: PBAC’s revised CMA scenario "/>
      </w:tblPr>
      <w:tblGrid>
        <w:gridCol w:w="1813"/>
        <w:gridCol w:w="1813"/>
        <w:gridCol w:w="1812"/>
        <w:gridCol w:w="1812"/>
        <w:gridCol w:w="1812"/>
      </w:tblGrid>
      <w:tr w:rsidR="009219BC" w:rsidRPr="00015D60" w14:paraId="6287A03B" w14:textId="77777777" w:rsidTr="00A652A3">
        <w:trPr>
          <w:trHeight w:val="70"/>
        </w:trPr>
        <w:tc>
          <w:tcPr>
            <w:tcW w:w="1000" w:type="pct"/>
          </w:tcPr>
          <w:p w14:paraId="39DB822D" w14:textId="77777777" w:rsidR="009219BC" w:rsidRPr="00015D60" w:rsidRDefault="009219BC" w:rsidP="001C47F4">
            <w:pPr>
              <w:pStyle w:val="3-BodyText"/>
              <w:numPr>
                <w:ilvl w:val="0"/>
                <w:numId w:val="0"/>
              </w:numPr>
              <w:spacing w:before="0" w:after="0"/>
              <w:rPr>
                <w:rFonts w:ascii="Arial Narrow" w:hAnsi="Arial Narrow"/>
                <w:sz w:val="20"/>
                <w:szCs w:val="18"/>
              </w:rPr>
            </w:pPr>
          </w:p>
        </w:tc>
        <w:tc>
          <w:tcPr>
            <w:tcW w:w="1000" w:type="pct"/>
          </w:tcPr>
          <w:p w14:paraId="351DDA94" w14:textId="3F410920" w:rsidR="009219BC" w:rsidRPr="00A259A1" w:rsidRDefault="009219BC" w:rsidP="001C47F4">
            <w:pPr>
              <w:pStyle w:val="3-BodyText"/>
              <w:numPr>
                <w:ilvl w:val="0"/>
                <w:numId w:val="0"/>
              </w:numPr>
              <w:spacing w:before="0" w:after="0"/>
              <w:rPr>
                <w:rFonts w:ascii="Arial Narrow" w:hAnsi="Arial Narrow"/>
                <w:b/>
                <w:bCs/>
                <w:sz w:val="20"/>
                <w:szCs w:val="18"/>
              </w:rPr>
            </w:pPr>
            <w:r w:rsidRPr="00A259A1">
              <w:rPr>
                <w:rFonts w:ascii="Arial Narrow" w:hAnsi="Arial Narrow"/>
                <w:b/>
                <w:bCs/>
                <w:sz w:val="20"/>
                <w:szCs w:val="18"/>
              </w:rPr>
              <w:t>Cost per patient</w:t>
            </w:r>
          </w:p>
        </w:tc>
        <w:tc>
          <w:tcPr>
            <w:tcW w:w="1000" w:type="pct"/>
          </w:tcPr>
          <w:p w14:paraId="55573EA0" w14:textId="7326B82E" w:rsidR="009219BC" w:rsidRPr="00A259A1" w:rsidRDefault="009219BC" w:rsidP="001C47F4">
            <w:pPr>
              <w:pStyle w:val="3-BodyText"/>
              <w:numPr>
                <w:ilvl w:val="0"/>
                <w:numId w:val="0"/>
              </w:numPr>
              <w:spacing w:before="0" w:after="0"/>
              <w:rPr>
                <w:rFonts w:ascii="Arial Narrow" w:hAnsi="Arial Narrow"/>
                <w:b/>
                <w:bCs/>
                <w:sz w:val="20"/>
                <w:szCs w:val="18"/>
              </w:rPr>
            </w:pPr>
            <w:r w:rsidRPr="00A259A1">
              <w:rPr>
                <w:rFonts w:ascii="Arial Narrow" w:hAnsi="Arial Narrow"/>
                <w:b/>
                <w:bCs/>
                <w:sz w:val="20"/>
                <w:szCs w:val="18"/>
              </w:rPr>
              <w:t>EMP</w:t>
            </w:r>
          </w:p>
        </w:tc>
        <w:tc>
          <w:tcPr>
            <w:tcW w:w="1000" w:type="pct"/>
          </w:tcPr>
          <w:p w14:paraId="0F0A5852" w14:textId="1C3CF04C" w:rsidR="009219BC" w:rsidRPr="00015D60" w:rsidRDefault="009219BC" w:rsidP="001C47F4">
            <w:pPr>
              <w:pStyle w:val="3-BodyText"/>
              <w:numPr>
                <w:ilvl w:val="0"/>
                <w:numId w:val="0"/>
              </w:numPr>
              <w:spacing w:before="0" w:after="0"/>
              <w:rPr>
                <w:rFonts w:ascii="Arial Narrow" w:hAnsi="Arial Narrow"/>
                <w:b/>
                <w:bCs/>
                <w:sz w:val="20"/>
                <w:szCs w:val="18"/>
              </w:rPr>
            </w:pPr>
            <w:r w:rsidRPr="00015D60">
              <w:rPr>
                <w:rFonts w:ascii="Arial Narrow" w:hAnsi="Arial Narrow"/>
                <w:b/>
                <w:bCs/>
                <w:sz w:val="20"/>
                <w:szCs w:val="18"/>
              </w:rPr>
              <w:t># doses</w:t>
            </w:r>
          </w:p>
        </w:tc>
        <w:tc>
          <w:tcPr>
            <w:tcW w:w="1000" w:type="pct"/>
          </w:tcPr>
          <w:p w14:paraId="1AEAED40" w14:textId="2FEF0738" w:rsidR="009219BC" w:rsidRPr="00015D60" w:rsidRDefault="009219BC" w:rsidP="001C47F4">
            <w:pPr>
              <w:pStyle w:val="3-BodyText"/>
              <w:numPr>
                <w:ilvl w:val="0"/>
                <w:numId w:val="0"/>
              </w:numPr>
              <w:spacing w:before="0" w:after="0"/>
              <w:rPr>
                <w:rFonts w:ascii="Arial Narrow" w:hAnsi="Arial Narrow"/>
                <w:b/>
                <w:bCs/>
                <w:sz w:val="20"/>
                <w:szCs w:val="18"/>
              </w:rPr>
            </w:pPr>
            <w:r w:rsidRPr="00015D60">
              <w:rPr>
                <w:rFonts w:ascii="Arial Narrow" w:hAnsi="Arial Narrow"/>
                <w:b/>
                <w:bCs/>
                <w:sz w:val="20"/>
                <w:szCs w:val="18"/>
              </w:rPr>
              <w:t>mg over 71 weeks</w:t>
            </w:r>
          </w:p>
        </w:tc>
      </w:tr>
      <w:tr w:rsidR="009219BC" w:rsidRPr="00015D60" w14:paraId="539CF36F" w14:textId="77777777" w:rsidTr="009219BC">
        <w:tc>
          <w:tcPr>
            <w:tcW w:w="1000" w:type="pct"/>
          </w:tcPr>
          <w:p w14:paraId="0D4E4BF6" w14:textId="644D248E" w:rsidR="009219BC" w:rsidRPr="00015D60" w:rsidRDefault="009219BC" w:rsidP="001C47F4">
            <w:pPr>
              <w:pStyle w:val="3-BodyText"/>
              <w:numPr>
                <w:ilvl w:val="0"/>
                <w:numId w:val="0"/>
              </w:numPr>
              <w:spacing w:before="0" w:after="0"/>
              <w:rPr>
                <w:rFonts w:ascii="Arial Narrow" w:hAnsi="Arial Narrow"/>
                <w:sz w:val="20"/>
                <w:szCs w:val="18"/>
              </w:rPr>
            </w:pPr>
            <w:r w:rsidRPr="00015D60">
              <w:rPr>
                <w:rFonts w:ascii="Arial Narrow" w:hAnsi="Arial Narrow"/>
                <w:sz w:val="20"/>
                <w:szCs w:val="18"/>
              </w:rPr>
              <w:t>Teclistamab</w:t>
            </w:r>
          </w:p>
        </w:tc>
        <w:tc>
          <w:tcPr>
            <w:tcW w:w="1000" w:type="pct"/>
            <w:vMerge w:val="restart"/>
            <w:vAlign w:val="center"/>
          </w:tcPr>
          <w:p w14:paraId="0FC4DF0E" w14:textId="5AEFE6A3" w:rsidR="009219BC" w:rsidRPr="00A259A1" w:rsidRDefault="009219BC" w:rsidP="001C47F4">
            <w:pPr>
              <w:pStyle w:val="3-BodyText"/>
              <w:numPr>
                <w:ilvl w:val="0"/>
                <w:numId w:val="0"/>
              </w:numPr>
              <w:spacing w:before="0" w:after="0"/>
              <w:rPr>
                <w:rFonts w:ascii="Arial Narrow" w:hAnsi="Arial Narrow"/>
                <w:sz w:val="20"/>
                <w:szCs w:val="18"/>
              </w:rPr>
            </w:pPr>
            <w:r w:rsidRPr="00A259A1">
              <w:rPr>
                <w:rFonts w:ascii="Arial Narrow" w:hAnsi="Arial Narrow"/>
                <w:sz w:val="20"/>
                <w:szCs w:val="18"/>
              </w:rPr>
              <w:t>$</w:t>
            </w:r>
            <w:r w:rsidR="008142C5" w:rsidRPr="008142C5">
              <w:rPr>
                <w:rFonts w:ascii="Arial Narrow" w:hAnsi="Arial Narrow"/>
                <w:sz w:val="2"/>
                <w:szCs w:val="18"/>
                <w:highlight w:val="black"/>
              </w:rPr>
              <w:t>redacted content</w:t>
            </w:r>
          </w:p>
        </w:tc>
        <w:tc>
          <w:tcPr>
            <w:tcW w:w="1000" w:type="pct"/>
          </w:tcPr>
          <w:p w14:paraId="0EADE8E4" w14:textId="27701B62" w:rsidR="009219BC" w:rsidRPr="00A259A1" w:rsidRDefault="009219BC" w:rsidP="001C47F4">
            <w:pPr>
              <w:pStyle w:val="3-BodyText"/>
              <w:numPr>
                <w:ilvl w:val="0"/>
                <w:numId w:val="0"/>
              </w:numPr>
              <w:spacing w:before="0" w:after="0"/>
              <w:rPr>
                <w:rFonts w:ascii="Arial Narrow" w:hAnsi="Arial Narrow"/>
                <w:sz w:val="20"/>
                <w:szCs w:val="18"/>
              </w:rPr>
            </w:pPr>
            <w:r w:rsidRPr="00A259A1">
              <w:rPr>
                <w:rFonts w:ascii="Arial Narrow" w:hAnsi="Arial Narrow"/>
                <w:sz w:val="20"/>
                <w:szCs w:val="18"/>
              </w:rPr>
              <w:t>$</w:t>
            </w:r>
            <w:r w:rsidR="008142C5" w:rsidRPr="008142C5">
              <w:rPr>
                <w:rFonts w:ascii="Arial Narrow" w:hAnsi="Arial Narrow"/>
                <w:sz w:val="2"/>
                <w:szCs w:val="18"/>
                <w:highlight w:val="black"/>
              </w:rPr>
              <w:t>redacted content</w:t>
            </w:r>
            <w:r w:rsidR="00427640" w:rsidRPr="00A259A1">
              <w:rPr>
                <w:rFonts w:ascii="Arial Narrow" w:hAnsi="Arial Narrow"/>
                <w:sz w:val="20"/>
                <w:szCs w:val="18"/>
              </w:rPr>
              <w:t xml:space="preserve"> (</w:t>
            </w:r>
            <w:r w:rsidR="00EC1990" w:rsidRPr="00A259A1">
              <w:rPr>
                <w:rFonts w:ascii="Arial Narrow" w:hAnsi="Arial Narrow"/>
                <w:sz w:val="20"/>
                <w:szCs w:val="18"/>
              </w:rPr>
              <w:noBreakHyphen/>
            </w:r>
            <w:r w:rsidR="008142C5" w:rsidRPr="008142C5">
              <w:rPr>
                <w:rFonts w:ascii="Arial Narrow" w:hAnsi="Arial Narrow"/>
                <w:sz w:val="2"/>
                <w:szCs w:val="18"/>
                <w:highlight w:val="black"/>
              </w:rPr>
              <w:t>redacted content</w:t>
            </w:r>
            <w:r w:rsidR="00427640" w:rsidRPr="00A259A1">
              <w:rPr>
                <w:rFonts w:ascii="Arial Narrow" w:hAnsi="Arial Narrow"/>
                <w:sz w:val="20"/>
                <w:szCs w:val="18"/>
              </w:rPr>
              <w:t>%)</w:t>
            </w:r>
          </w:p>
        </w:tc>
        <w:tc>
          <w:tcPr>
            <w:tcW w:w="1000" w:type="pct"/>
          </w:tcPr>
          <w:p w14:paraId="40CC2D46" w14:textId="29227CC1" w:rsidR="009219BC" w:rsidRPr="00015D60" w:rsidRDefault="009219BC" w:rsidP="001C47F4">
            <w:pPr>
              <w:pStyle w:val="3-BodyText"/>
              <w:numPr>
                <w:ilvl w:val="0"/>
                <w:numId w:val="0"/>
              </w:numPr>
              <w:spacing w:before="0" w:after="0"/>
              <w:rPr>
                <w:rFonts w:ascii="Arial Narrow" w:hAnsi="Arial Narrow"/>
                <w:sz w:val="20"/>
                <w:szCs w:val="18"/>
              </w:rPr>
            </w:pPr>
            <w:r w:rsidRPr="00015D60">
              <w:rPr>
                <w:rFonts w:ascii="Arial Narrow" w:hAnsi="Arial Narrow"/>
                <w:sz w:val="20"/>
                <w:szCs w:val="18"/>
              </w:rPr>
              <w:t>64</w:t>
            </w:r>
          </w:p>
        </w:tc>
        <w:tc>
          <w:tcPr>
            <w:tcW w:w="1000" w:type="pct"/>
          </w:tcPr>
          <w:p w14:paraId="73F1A3FA" w14:textId="46CA6C03" w:rsidR="009219BC" w:rsidRPr="00015D60" w:rsidRDefault="009219BC" w:rsidP="001C47F4">
            <w:pPr>
              <w:pStyle w:val="3-BodyText"/>
              <w:numPr>
                <w:ilvl w:val="0"/>
                <w:numId w:val="0"/>
              </w:numPr>
              <w:spacing w:before="0" w:after="0"/>
              <w:rPr>
                <w:rFonts w:ascii="Arial Narrow" w:hAnsi="Arial Narrow"/>
                <w:sz w:val="20"/>
                <w:szCs w:val="18"/>
              </w:rPr>
            </w:pPr>
            <w:r w:rsidRPr="00015D60">
              <w:rPr>
                <w:rFonts w:ascii="Arial Narrow" w:hAnsi="Arial Narrow"/>
                <w:sz w:val="20"/>
                <w:szCs w:val="18"/>
              </w:rPr>
              <w:t>5,380</w:t>
            </w:r>
            <w:r w:rsidR="000B253F" w:rsidRPr="00015D60">
              <w:rPr>
                <w:rFonts w:ascii="Arial Narrow" w:hAnsi="Arial Narrow"/>
                <w:sz w:val="20"/>
                <w:szCs w:val="18"/>
              </w:rPr>
              <w:t xml:space="preserve"> mg</w:t>
            </w:r>
          </w:p>
        </w:tc>
      </w:tr>
      <w:tr w:rsidR="009219BC" w:rsidRPr="00F4447A" w14:paraId="7035E006" w14:textId="77777777" w:rsidTr="009219BC">
        <w:tc>
          <w:tcPr>
            <w:tcW w:w="1000" w:type="pct"/>
          </w:tcPr>
          <w:p w14:paraId="0E6C041E" w14:textId="31063E16" w:rsidR="009219BC" w:rsidRPr="00015D60" w:rsidRDefault="009219BC" w:rsidP="001C47F4">
            <w:pPr>
              <w:pStyle w:val="3-BodyText"/>
              <w:numPr>
                <w:ilvl w:val="0"/>
                <w:numId w:val="0"/>
              </w:numPr>
              <w:spacing w:before="0" w:after="0"/>
              <w:rPr>
                <w:rFonts w:ascii="Arial Narrow" w:hAnsi="Arial Narrow"/>
                <w:sz w:val="20"/>
                <w:szCs w:val="18"/>
              </w:rPr>
            </w:pPr>
            <w:r w:rsidRPr="00015D60">
              <w:rPr>
                <w:rFonts w:ascii="Arial Narrow" w:hAnsi="Arial Narrow"/>
                <w:sz w:val="20"/>
                <w:szCs w:val="18"/>
              </w:rPr>
              <w:t>Elranatamab</w:t>
            </w:r>
          </w:p>
        </w:tc>
        <w:tc>
          <w:tcPr>
            <w:tcW w:w="1000" w:type="pct"/>
            <w:vMerge/>
          </w:tcPr>
          <w:p w14:paraId="60E6B236" w14:textId="77777777" w:rsidR="009219BC" w:rsidRPr="00A259A1" w:rsidRDefault="009219BC" w:rsidP="001C47F4">
            <w:pPr>
              <w:pStyle w:val="3-BodyText"/>
              <w:numPr>
                <w:ilvl w:val="0"/>
                <w:numId w:val="0"/>
              </w:numPr>
              <w:spacing w:before="0" w:after="0"/>
              <w:rPr>
                <w:rFonts w:ascii="Arial Narrow" w:hAnsi="Arial Narrow"/>
                <w:sz w:val="20"/>
                <w:szCs w:val="18"/>
              </w:rPr>
            </w:pPr>
          </w:p>
        </w:tc>
        <w:tc>
          <w:tcPr>
            <w:tcW w:w="1000" w:type="pct"/>
          </w:tcPr>
          <w:p w14:paraId="0D4FAE1E" w14:textId="67357D94" w:rsidR="009219BC" w:rsidRPr="00A259A1" w:rsidRDefault="009219BC" w:rsidP="001C47F4">
            <w:pPr>
              <w:pStyle w:val="3-BodyText"/>
              <w:numPr>
                <w:ilvl w:val="0"/>
                <w:numId w:val="0"/>
              </w:numPr>
              <w:spacing w:before="0" w:after="0"/>
              <w:rPr>
                <w:rFonts w:ascii="Arial Narrow" w:hAnsi="Arial Narrow"/>
                <w:sz w:val="20"/>
                <w:szCs w:val="18"/>
              </w:rPr>
            </w:pPr>
            <w:r w:rsidRPr="00A259A1">
              <w:rPr>
                <w:rFonts w:ascii="Arial Narrow" w:hAnsi="Arial Narrow"/>
                <w:sz w:val="20"/>
                <w:szCs w:val="18"/>
              </w:rPr>
              <w:t>$</w:t>
            </w:r>
            <w:r w:rsidR="008142C5" w:rsidRPr="008142C5">
              <w:rPr>
                <w:rFonts w:ascii="Arial Narrow" w:hAnsi="Arial Narrow"/>
                <w:sz w:val="2"/>
                <w:szCs w:val="18"/>
                <w:highlight w:val="black"/>
              </w:rPr>
              <w:t>redacted content</w:t>
            </w:r>
          </w:p>
        </w:tc>
        <w:tc>
          <w:tcPr>
            <w:tcW w:w="1000" w:type="pct"/>
          </w:tcPr>
          <w:p w14:paraId="44D768F9" w14:textId="34DDE822" w:rsidR="009219BC" w:rsidRPr="00015D60" w:rsidRDefault="009219BC" w:rsidP="001C47F4">
            <w:pPr>
              <w:pStyle w:val="3-BodyText"/>
              <w:numPr>
                <w:ilvl w:val="0"/>
                <w:numId w:val="0"/>
              </w:numPr>
              <w:spacing w:before="0" w:after="0"/>
              <w:rPr>
                <w:rFonts w:ascii="Arial Narrow" w:hAnsi="Arial Narrow"/>
                <w:sz w:val="20"/>
                <w:szCs w:val="18"/>
              </w:rPr>
            </w:pPr>
            <w:r w:rsidRPr="00015D60">
              <w:rPr>
                <w:rFonts w:ascii="Arial Narrow" w:hAnsi="Arial Narrow"/>
                <w:sz w:val="20"/>
                <w:szCs w:val="18"/>
              </w:rPr>
              <w:t>4</w:t>
            </w:r>
            <w:r w:rsidR="00693B3B" w:rsidRPr="00015D60">
              <w:rPr>
                <w:rFonts w:ascii="Arial Narrow" w:hAnsi="Arial Narrow"/>
                <w:sz w:val="20"/>
                <w:szCs w:val="18"/>
              </w:rPr>
              <w:t>3</w:t>
            </w:r>
          </w:p>
        </w:tc>
        <w:tc>
          <w:tcPr>
            <w:tcW w:w="1000" w:type="pct"/>
          </w:tcPr>
          <w:p w14:paraId="16E2FB84" w14:textId="35895194" w:rsidR="009219BC" w:rsidRPr="00F4447A" w:rsidRDefault="00693B3B" w:rsidP="001C47F4">
            <w:pPr>
              <w:pStyle w:val="3-BodyText"/>
              <w:numPr>
                <w:ilvl w:val="0"/>
                <w:numId w:val="0"/>
              </w:numPr>
              <w:spacing w:before="0" w:after="0"/>
              <w:rPr>
                <w:rFonts w:ascii="Arial Narrow" w:hAnsi="Arial Narrow"/>
                <w:sz w:val="20"/>
                <w:szCs w:val="18"/>
              </w:rPr>
            </w:pPr>
            <w:r w:rsidRPr="00015D60">
              <w:rPr>
                <w:rFonts w:ascii="Arial Narrow" w:hAnsi="Arial Narrow"/>
                <w:sz w:val="20"/>
                <w:szCs w:val="18"/>
              </w:rPr>
              <w:t>2,500</w:t>
            </w:r>
            <w:r w:rsidR="000B253F" w:rsidRPr="00015D60">
              <w:rPr>
                <w:rFonts w:ascii="Arial Narrow" w:hAnsi="Arial Narrow"/>
                <w:sz w:val="20"/>
                <w:szCs w:val="18"/>
              </w:rPr>
              <w:t xml:space="preserve"> mg</w:t>
            </w:r>
          </w:p>
        </w:tc>
      </w:tr>
    </w:tbl>
    <w:p w14:paraId="0888AF67" w14:textId="445532E8" w:rsidR="00BD0DA9" w:rsidRDefault="000B253F" w:rsidP="001C47F4">
      <w:pPr>
        <w:pStyle w:val="TableFooter"/>
      </w:pPr>
      <w:r>
        <w:t>Source: Prepared during preparation of the minutes</w:t>
      </w:r>
    </w:p>
    <w:p w14:paraId="7AA72E12" w14:textId="73BF6DC9" w:rsidR="000B253F" w:rsidRDefault="000B253F" w:rsidP="001C47F4">
      <w:pPr>
        <w:pStyle w:val="TableFooter"/>
      </w:pPr>
      <w:r>
        <w:t>EMP = ex</w:t>
      </w:r>
      <w:r w:rsidR="00EC1990">
        <w:noBreakHyphen/>
      </w:r>
      <w:r>
        <w:t>manufacturer price</w:t>
      </w:r>
    </w:p>
    <w:p w14:paraId="709A4056" w14:textId="77777777" w:rsidR="00BE5EBC" w:rsidRPr="000160C3" w:rsidRDefault="00BE5EBC" w:rsidP="001C47F4">
      <w:pPr>
        <w:pStyle w:val="4-SubsectionHeading"/>
      </w:pPr>
      <w:bookmarkStart w:id="60" w:name="_Toc22897646"/>
      <w:bookmarkStart w:id="61" w:name="_Toc219718654"/>
      <w:r w:rsidRPr="000160C3">
        <w:t>Drug cost/patient/course</w:t>
      </w:r>
      <w:bookmarkEnd w:id="60"/>
      <w:bookmarkEnd w:id="61"/>
    </w:p>
    <w:p w14:paraId="52AFA255" w14:textId="76A7F404" w:rsidR="001B0BCB" w:rsidRDefault="00C51C90" w:rsidP="001C47F4">
      <w:pPr>
        <w:pStyle w:val="3-BodyText"/>
      </w:pPr>
      <w:bookmarkStart w:id="62" w:name="_Hlk107307804"/>
      <w:r>
        <w:t xml:space="preserve">The evaluation calculated a drug cost per patient per </w:t>
      </w:r>
      <w:r w:rsidRPr="00E87284">
        <w:t>course of $</w:t>
      </w:r>
      <w:r w:rsidR="008142C5" w:rsidRPr="008142C5">
        <w:rPr>
          <w:sz w:val="2"/>
          <w:highlight w:val="black"/>
        </w:rPr>
        <w:t>redacted content</w:t>
      </w:r>
      <w:r w:rsidR="008142C5" w:rsidRPr="008142C5">
        <w:t xml:space="preserve"> </w:t>
      </w:r>
      <w:r w:rsidRPr="00E87284">
        <w:t>based</w:t>
      </w:r>
      <w:r w:rsidRPr="00C51C90">
        <w:t xml:space="preserve"> on the proposed published price of teclistamab</w:t>
      </w:r>
      <w:r>
        <w:t xml:space="preserve"> (as</w:t>
      </w:r>
      <w:r w:rsidR="008259CC">
        <w:t xml:space="preserve"> presented in</w:t>
      </w:r>
      <w:r>
        <w:t xml:space="preserve"> </w:t>
      </w:r>
      <w:r>
        <w:fldChar w:fldCharType="begin"/>
      </w:r>
      <w:r>
        <w:instrText xml:space="preserve"> REF _Ref219714914 \h </w:instrText>
      </w:r>
      <w:r>
        <w:fldChar w:fldCharType="separate"/>
      </w:r>
      <w:r w:rsidR="001C47F4" w:rsidRPr="000160C3">
        <w:t xml:space="preserve">Table </w:t>
      </w:r>
      <w:r w:rsidR="001C47F4">
        <w:rPr>
          <w:noProof/>
        </w:rPr>
        <w:t>15</w:t>
      </w:r>
      <w:r>
        <w:fldChar w:fldCharType="end"/>
      </w:r>
      <w:r>
        <w:t>)</w:t>
      </w:r>
      <w:r w:rsidRPr="00C51C90">
        <w:t>.</w:t>
      </w:r>
      <w:r>
        <w:rPr>
          <w:rFonts w:ascii="Arial Narrow" w:hAnsi="Arial Narrow"/>
          <w:sz w:val="20"/>
          <w:szCs w:val="20"/>
        </w:rPr>
        <w:t xml:space="preserve"> </w:t>
      </w:r>
    </w:p>
    <w:p w14:paraId="0140A698" w14:textId="77777777" w:rsidR="00BE5EBC" w:rsidRPr="000160C3" w:rsidRDefault="00BE5EBC" w:rsidP="001C47F4">
      <w:pPr>
        <w:pStyle w:val="4-SubsectionHeading"/>
      </w:pPr>
      <w:bookmarkStart w:id="63" w:name="_Toc22897647"/>
      <w:bookmarkStart w:id="64" w:name="_Toc219718655"/>
      <w:bookmarkEnd w:id="62"/>
      <w:r w:rsidRPr="000160C3">
        <w:lastRenderedPageBreak/>
        <w:t>Estimated PBS usage &amp; financial implications</w:t>
      </w:r>
      <w:bookmarkEnd w:id="63"/>
      <w:bookmarkEnd w:id="64"/>
    </w:p>
    <w:p w14:paraId="2843C6D3" w14:textId="2C562B89" w:rsidR="00BE5EBC" w:rsidRPr="000160C3" w:rsidRDefault="00BE5EBC" w:rsidP="001C47F4">
      <w:pPr>
        <w:pStyle w:val="3-BodyText"/>
        <w:rPr>
          <w:color w:val="0066FF"/>
        </w:rPr>
      </w:pPr>
      <w:r w:rsidRPr="000160C3">
        <w:t>This submission w</w:t>
      </w:r>
      <w:r w:rsidR="009C267C" w:rsidRPr="000160C3">
        <w:t>as</w:t>
      </w:r>
      <w:r w:rsidRPr="000160C3">
        <w:t xml:space="preserve"> not considered by DUSC</w:t>
      </w:r>
      <w:r w:rsidRPr="000160C3">
        <w:rPr>
          <w:color w:val="0070C0"/>
        </w:rPr>
        <w:t>.</w:t>
      </w:r>
    </w:p>
    <w:p w14:paraId="4B2F4992" w14:textId="6456801C" w:rsidR="00BE5EBC" w:rsidRPr="000160C3" w:rsidRDefault="00BE5EBC" w:rsidP="001C47F4">
      <w:pPr>
        <w:pStyle w:val="COMexecsummnumbered"/>
        <w:numPr>
          <w:ilvl w:val="1"/>
          <w:numId w:val="6"/>
        </w:numPr>
      </w:pPr>
      <w:r w:rsidRPr="000160C3">
        <w:t xml:space="preserve">The submission used an epidemiological approach to estimate the utilisation and financial implications of listing teclistamab for the treatment of patients with RRMM who have received at least three prior lines of therapy that include a PI, </w:t>
      </w:r>
      <w:proofErr w:type="spellStart"/>
      <w:r w:rsidRPr="000160C3">
        <w:t>IMiD</w:t>
      </w:r>
      <w:proofErr w:type="spellEnd"/>
      <w:r w:rsidRPr="000160C3">
        <w:t>, and an anti</w:t>
      </w:r>
      <w:r w:rsidR="00EC1990">
        <w:noBreakHyphen/>
      </w:r>
      <w:r w:rsidRPr="000160C3">
        <w:t xml:space="preserve">CD38 antibody. </w:t>
      </w:r>
      <w:r w:rsidR="00860C36" w:rsidRPr="000160C3">
        <w:t>A</w:t>
      </w:r>
      <w:r w:rsidRPr="000160C3">
        <w:t>s elranatamab</w:t>
      </w:r>
      <w:r w:rsidR="00096966" w:rsidRPr="000160C3">
        <w:t>,</w:t>
      </w:r>
      <w:r w:rsidRPr="000160C3">
        <w:t xml:space="preserve"> which was nominated as the main comparator</w:t>
      </w:r>
      <w:r w:rsidR="00096966" w:rsidRPr="000160C3">
        <w:t>,</w:t>
      </w:r>
      <w:r w:rsidRPr="000160C3">
        <w:t xml:space="preserve"> </w:t>
      </w:r>
      <w:r w:rsidR="00DC3032">
        <w:t>was</w:t>
      </w:r>
      <w:r w:rsidR="00DC3032" w:rsidRPr="000160C3">
        <w:t xml:space="preserve"> </w:t>
      </w:r>
      <w:r w:rsidRPr="000160C3">
        <w:t>not listed on the PBS</w:t>
      </w:r>
      <w:r w:rsidR="00DA6A91">
        <w:t xml:space="preserve"> at the time of submission</w:t>
      </w:r>
      <w:r w:rsidR="00860C36" w:rsidRPr="000160C3">
        <w:t>,</w:t>
      </w:r>
      <w:r w:rsidRPr="000160C3">
        <w:t xml:space="preserve"> a market share approach </w:t>
      </w:r>
      <w:r w:rsidR="00096966" w:rsidRPr="000160C3">
        <w:t xml:space="preserve">was </w:t>
      </w:r>
      <w:r w:rsidRPr="000160C3">
        <w:t>not possible.</w:t>
      </w:r>
      <w:r w:rsidRPr="000160C3">
        <w:rPr>
          <w:i/>
          <w:iCs/>
        </w:rPr>
        <w:t xml:space="preserve"> </w:t>
      </w:r>
    </w:p>
    <w:p w14:paraId="70263EDD" w14:textId="285C9EA5" w:rsidR="00BE5EBC" w:rsidRPr="000160C3" w:rsidRDefault="00BE5EBC" w:rsidP="001C47F4">
      <w:pPr>
        <w:pStyle w:val="3-BodyText"/>
        <w:rPr>
          <w:color w:val="0066FF"/>
        </w:rPr>
      </w:pPr>
      <w:r w:rsidRPr="000160C3">
        <w:rPr>
          <w:color w:val="000000" w:themeColor="text1"/>
        </w:rPr>
        <w:t xml:space="preserve">The key inputs to the financial estimates are presented in </w:t>
      </w:r>
      <w:r w:rsidRPr="000160C3">
        <w:rPr>
          <w:color w:val="000000" w:themeColor="text1"/>
        </w:rPr>
        <w:fldChar w:fldCharType="begin"/>
      </w:r>
      <w:r w:rsidRPr="000160C3">
        <w:rPr>
          <w:color w:val="000000" w:themeColor="text1"/>
        </w:rPr>
        <w:instrText xml:space="preserve"> REF _Ref215909856 \h </w:instrText>
      </w:r>
      <w:r w:rsidRPr="000160C3">
        <w:rPr>
          <w:color w:val="000000" w:themeColor="text1"/>
        </w:rPr>
      </w:r>
      <w:r w:rsidRPr="000160C3">
        <w:rPr>
          <w:color w:val="000000" w:themeColor="text1"/>
        </w:rPr>
        <w:fldChar w:fldCharType="separate"/>
      </w:r>
      <w:r w:rsidR="001C47F4" w:rsidRPr="000160C3">
        <w:t xml:space="preserve">Table </w:t>
      </w:r>
      <w:r w:rsidR="001C47F4">
        <w:rPr>
          <w:noProof/>
        </w:rPr>
        <w:t>18</w:t>
      </w:r>
      <w:r w:rsidRPr="000160C3">
        <w:rPr>
          <w:color w:val="000000" w:themeColor="text1"/>
        </w:rPr>
        <w:fldChar w:fldCharType="end"/>
      </w:r>
      <w:r w:rsidRPr="000160C3">
        <w:rPr>
          <w:color w:val="000000" w:themeColor="text1"/>
        </w:rPr>
        <w:t xml:space="preserve">. </w:t>
      </w:r>
    </w:p>
    <w:p w14:paraId="06469E1F" w14:textId="5B3FBEEC" w:rsidR="00BE5EBC" w:rsidRPr="000160C3" w:rsidRDefault="00BE5EBC" w:rsidP="001C47F4">
      <w:pPr>
        <w:pStyle w:val="Caption"/>
        <w:rPr>
          <w:rStyle w:val="CommentReference"/>
          <w:b/>
          <w:szCs w:val="24"/>
        </w:rPr>
      </w:pPr>
      <w:bookmarkStart w:id="65" w:name="_Ref215909856"/>
      <w:r w:rsidRPr="000160C3">
        <w:t xml:space="preserve">Table </w:t>
      </w:r>
      <w:r>
        <w:fldChar w:fldCharType="begin"/>
      </w:r>
      <w:r>
        <w:instrText>SEQ Table \* ARABIC</w:instrText>
      </w:r>
      <w:r>
        <w:fldChar w:fldCharType="separate"/>
      </w:r>
      <w:r w:rsidR="001C47F4">
        <w:rPr>
          <w:noProof/>
        </w:rPr>
        <w:t>18</w:t>
      </w:r>
      <w:r>
        <w:fldChar w:fldCharType="end"/>
      </w:r>
      <w:bookmarkEnd w:id="65"/>
      <w:r w:rsidRPr="000160C3">
        <w:t>:</w:t>
      </w:r>
      <w:r w:rsidRPr="000160C3">
        <w:rPr>
          <w:rStyle w:val="CommentReference"/>
          <w:b/>
          <w:szCs w:val="24"/>
        </w:rPr>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8: Key inputs for financial estimates"/>
      </w:tblPr>
      <w:tblGrid>
        <w:gridCol w:w="1526"/>
        <w:gridCol w:w="3998"/>
        <w:gridCol w:w="3656"/>
      </w:tblGrid>
      <w:tr w:rsidR="00BE5EBC" w:rsidRPr="000160C3" w14:paraId="058001DE" w14:textId="77777777" w:rsidTr="00925EFD">
        <w:trPr>
          <w:cantSplit/>
          <w:tblHeader/>
        </w:trPr>
        <w:tc>
          <w:tcPr>
            <w:tcW w:w="1526" w:type="dxa"/>
            <w:vAlign w:val="center"/>
          </w:tcPr>
          <w:p w14:paraId="5E2CCC39" w14:textId="77777777" w:rsidR="00BE5EBC" w:rsidRPr="000160C3" w:rsidRDefault="00BE5EBC" w:rsidP="001C47F4">
            <w:pPr>
              <w:pStyle w:val="COMTableheadingrow"/>
              <w:keepLines/>
              <w:rPr>
                <w:lang w:val="en-AU"/>
              </w:rPr>
            </w:pPr>
            <w:r w:rsidRPr="000160C3">
              <w:rPr>
                <w:lang w:val="en-AU"/>
              </w:rPr>
              <w:t>Data</w:t>
            </w:r>
          </w:p>
        </w:tc>
        <w:tc>
          <w:tcPr>
            <w:tcW w:w="3998" w:type="dxa"/>
            <w:vAlign w:val="center"/>
          </w:tcPr>
          <w:p w14:paraId="77A3930D" w14:textId="77777777" w:rsidR="00BE5EBC" w:rsidRPr="000160C3" w:rsidRDefault="00BE5EBC" w:rsidP="001C47F4">
            <w:pPr>
              <w:pStyle w:val="COMTableheadingrow"/>
              <w:keepLines/>
              <w:jc w:val="center"/>
              <w:rPr>
                <w:lang w:val="en-AU"/>
              </w:rPr>
            </w:pPr>
            <w:r w:rsidRPr="000160C3">
              <w:rPr>
                <w:lang w:val="en-AU"/>
              </w:rPr>
              <w:t>Value applied and source</w:t>
            </w:r>
          </w:p>
        </w:tc>
        <w:tc>
          <w:tcPr>
            <w:tcW w:w="3656" w:type="dxa"/>
            <w:vAlign w:val="center"/>
          </w:tcPr>
          <w:p w14:paraId="594D4C96" w14:textId="1CF22D49" w:rsidR="00BE5EBC" w:rsidRPr="000160C3" w:rsidRDefault="00BE5EBC" w:rsidP="001C47F4">
            <w:pPr>
              <w:pStyle w:val="COMTableheadingrow"/>
              <w:keepLines/>
              <w:jc w:val="center"/>
              <w:rPr>
                <w:lang w:val="en-AU"/>
              </w:rPr>
            </w:pPr>
            <w:r w:rsidRPr="000160C3">
              <w:rPr>
                <w:lang w:val="en-AU"/>
              </w:rPr>
              <w:t>Comment</w:t>
            </w:r>
          </w:p>
        </w:tc>
      </w:tr>
      <w:tr w:rsidR="00BE5EBC" w:rsidRPr="000160C3" w14:paraId="607ECB07" w14:textId="77777777" w:rsidTr="00925EFD">
        <w:trPr>
          <w:cantSplit/>
        </w:trPr>
        <w:tc>
          <w:tcPr>
            <w:tcW w:w="9180" w:type="dxa"/>
            <w:gridSpan w:val="3"/>
            <w:vAlign w:val="center"/>
          </w:tcPr>
          <w:p w14:paraId="1AD4604B" w14:textId="77777777" w:rsidR="00BE5EBC" w:rsidRPr="000160C3" w:rsidRDefault="00BE5EBC" w:rsidP="001C47F4">
            <w:pPr>
              <w:pStyle w:val="COMTableheadingrow"/>
              <w:keepLines/>
              <w:rPr>
                <w:lang w:val="en-AU"/>
              </w:rPr>
            </w:pPr>
            <w:r w:rsidRPr="000160C3">
              <w:rPr>
                <w:lang w:val="en-AU"/>
              </w:rPr>
              <w:t>Eligible population</w:t>
            </w:r>
          </w:p>
        </w:tc>
      </w:tr>
      <w:tr w:rsidR="00BE5EBC" w:rsidRPr="000160C3" w14:paraId="13B62C11" w14:textId="77777777" w:rsidTr="00925EFD">
        <w:trPr>
          <w:cantSplit/>
        </w:trPr>
        <w:tc>
          <w:tcPr>
            <w:tcW w:w="1526" w:type="dxa"/>
            <w:vAlign w:val="center"/>
          </w:tcPr>
          <w:p w14:paraId="7B3FA4B4" w14:textId="5D802F06" w:rsidR="00BE5EBC" w:rsidRPr="000160C3" w:rsidRDefault="00EC4A6F" w:rsidP="001C47F4">
            <w:pPr>
              <w:pStyle w:val="COMTabletext"/>
              <w:keepLines/>
            </w:pPr>
            <w:r>
              <w:t xml:space="preserve">Number </w:t>
            </w:r>
            <w:r w:rsidR="00BE5EBC" w:rsidRPr="000160C3">
              <w:t>of MM patients that are TCE</w:t>
            </w:r>
          </w:p>
        </w:tc>
        <w:tc>
          <w:tcPr>
            <w:tcW w:w="3998" w:type="dxa"/>
            <w:vAlign w:val="center"/>
          </w:tcPr>
          <w:p w14:paraId="4E47885F" w14:textId="7F8C4D0E" w:rsidR="00D55E6F" w:rsidRPr="000160C3" w:rsidRDefault="00D75B91" w:rsidP="001C47F4">
            <w:pPr>
              <w:pStyle w:val="TableText0"/>
              <w:spacing w:line="240" w:lineRule="auto"/>
            </w:pPr>
            <w:r w:rsidRPr="000160C3">
              <w:t>PBS 100% dataset 2021 to 2025 (July to June) inclusive</w:t>
            </w:r>
            <w:r w:rsidR="00D55E6F" w:rsidRPr="000160C3">
              <w:t xml:space="preserve"> with a linear extrapolation to estimate patient numbers from 2025/2026 onwards:</w:t>
            </w:r>
          </w:p>
          <w:p w14:paraId="539E9370" w14:textId="15508D40" w:rsidR="00BE5EBC" w:rsidRPr="000160C3" w:rsidRDefault="00BE5EBC" w:rsidP="001C47F4">
            <w:pPr>
              <w:pStyle w:val="TableText0"/>
              <w:spacing w:line="240" w:lineRule="auto"/>
            </w:pPr>
            <w:r w:rsidRPr="000160C3">
              <w:t>Yr 1: 1,075</w:t>
            </w:r>
          </w:p>
          <w:p w14:paraId="058B07E2" w14:textId="619305CE" w:rsidR="00BE5EBC" w:rsidRPr="000160C3" w:rsidRDefault="00BE5EBC" w:rsidP="001C47F4">
            <w:pPr>
              <w:pStyle w:val="TableText0"/>
              <w:spacing w:line="240" w:lineRule="auto"/>
            </w:pPr>
            <w:r w:rsidRPr="000160C3">
              <w:t>Yr 2: 1</w:t>
            </w:r>
            <w:r w:rsidR="002C14C1">
              <w:t>,</w:t>
            </w:r>
            <w:r w:rsidRPr="000160C3">
              <w:t>181</w:t>
            </w:r>
          </w:p>
          <w:p w14:paraId="41BA148F" w14:textId="77777777" w:rsidR="00BE5EBC" w:rsidRPr="000160C3" w:rsidRDefault="00BE5EBC" w:rsidP="001C47F4">
            <w:pPr>
              <w:pStyle w:val="TableText0"/>
              <w:spacing w:line="240" w:lineRule="auto"/>
            </w:pPr>
            <w:r w:rsidRPr="000160C3">
              <w:t>Yr 3: 1,286</w:t>
            </w:r>
          </w:p>
          <w:p w14:paraId="1AB39947" w14:textId="77777777" w:rsidR="00BE5EBC" w:rsidRPr="000160C3" w:rsidRDefault="00BE5EBC" w:rsidP="001C47F4">
            <w:pPr>
              <w:pStyle w:val="TableText0"/>
              <w:spacing w:line="240" w:lineRule="auto"/>
            </w:pPr>
            <w:r w:rsidRPr="000160C3">
              <w:t>Yr 4: 1,392</w:t>
            </w:r>
          </w:p>
          <w:p w14:paraId="770BFEC6" w14:textId="77777777" w:rsidR="00BE5EBC" w:rsidRPr="000160C3" w:rsidRDefault="00BE5EBC" w:rsidP="001C47F4">
            <w:pPr>
              <w:pStyle w:val="TableText0"/>
              <w:spacing w:line="240" w:lineRule="auto"/>
            </w:pPr>
            <w:r w:rsidRPr="000160C3">
              <w:t>Yr 5: 1,498</w:t>
            </w:r>
          </w:p>
          <w:p w14:paraId="220B2B1F" w14:textId="55C58BA5" w:rsidR="00BE5EBC" w:rsidRPr="000160C3" w:rsidRDefault="00BE5EBC" w:rsidP="001C47F4">
            <w:pPr>
              <w:pStyle w:val="COMTabletext"/>
              <w:keepLines/>
            </w:pPr>
            <w:r w:rsidRPr="000160C3">
              <w:t>Yr 6: 1,604</w:t>
            </w:r>
          </w:p>
        </w:tc>
        <w:tc>
          <w:tcPr>
            <w:tcW w:w="3656" w:type="dxa"/>
            <w:vAlign w:val="center"/>
          </w:tcPr>
          <w:p w14:paraId="218202E7" w14:textId="381921C2" w:rsidR="00DA6A91" w:rsidRPr="000160C3" w:rsidRDefault="001421AF" w:rsidP="001C47F4">
            <w:pPr>
              <w:pStyle w:val="TableText0"/>
              <w:spacing w:line="240" w:lineRule="auto"/>
            </w:pPr>
            <w:r>
              <w:t>L</w:t>
            </w:r>
            <w:r w:rsidR="00BE5EBC" w:rsidRPr="000160C3">
              <w:t>inear extrapolation may overestimate patient numbers.</w:t>
            </w:r>
            <w:r w:rsidR="00EC1990">
              <w:t xml:space="preserve"> </w:t>
            </w:r>
          </w:p>
        </w:tc>
      </w:tr>
      <w:tr w:rsidR="00BE5EBC" w:rsidRPr="000160C3" w14:paraId="08AC7875" w14:textId="77777777" w:rsidTr="00925EFD">
        <w:trPr>
          <w:cantSplit/>
          <w:trHeight w:val="1217"/>
        </w:trPr>
        <w:tc>
          <w:tcPr>
            <w:tcW w:w="1526" w:type="dxa"/>
            <w:vAlign w:val="center"/>
          </w:tcPr>
          <w:p w14:paraId="4EC53AFA" w14:textId="77777777" w:rsidR="00BE5EBC" w:rsidRPr="000160C3" w:rsidRDefault="00BE5EBC" w:rsidP="001C47F4">
            <w:pPr>
              <w:pStyle w:val="COMTabletext"/>
              <w:keepNext w:val="0"/>
            </w:pPr>
            <w:r w:rsidRPr="000160C3">
              <w:t>Proportion initiating 4L therapy</w:t>
            </w:r>
          </w:p>
        </w:tc>
        <w:tc>
          <w:tcPr>
            <w:tcW w:w="3998" w:type="dxa"/>
            <w:vAlign w:val="center"/>
          </w:tcPr>
          <w:p w14:paraId="7F746880" w14:textId="202E26DC" w:rsidR="00BE5EBC" w:rsidRPr="000160C3" w:rsidRDefault="00BE5EBC" w:rsidP="001C47F4">
            <w:pPr>
              <w:pStyle w:val="COMTabletext"/>
              <w:keepNext w:val="0"/>
            </w:pPr>
            <w:r w:rsidRPr="000160C3">
              <w:t>72%</w:t>
            </w:r>
          </w:p>
          <w:p w14:paraId="57980C09" w14:textId="1F9E9C2A" w:rsidR="00BE5EBC" w:rsidRPr="000160C3" w:rsidRDefault="00BE5EBC" w:rsidP="001C47F4">
            <w:pPr>
              <w:pStyle w:val="COMTabletext"/>
              <w:keepNext w:val="0"/>
            </w:pPr>
            <w:r w:rsidRPr="000160C3">
              <w:t xml:space="preserve">Based on MRDR data </w:t>
            </w:r>
            <w:r w:rsidR="009A560D" w:rsidRPr="000160C3">
              <w:t xml:space="preserve">(September 2022) </w:t>
            </w:r>
            <w:r w:rsidRPr="000160C3">
              <w:t xml:space="preserve">adjusted to age reclassification of </w:t>
            </w:r>
            <w:r w:rsidR="00AF2B48" w:rsidRPr="000160C3">
              <w:t>study</w:t>
            </w:r>
            <w:r w:rsidRPr="000160C3">
              <w:t xml:space="preserve"> demographics from the MajesTEC</w:t>
            </w:r>
            <w:r w:rsidR="00EC1990">
              <w:noBreakHyphen/>
            </w:r>
            <w:r w:rsidRPr="000160C3">
              <w:t xml:space="preserve">1 </w:t>
            </w:r>
            <w:r w:rsidR="00AF2B48" w:rsidRPr="000160C3">
              <w:t>study</w:t>
            </w:r>
            <w:r w:rsidRPr="000160C3">
              <w:t xml:space="preserve"> to weight these attrition rates across all patient subgroups aged 65 years and over. The age distribution was based on the combined pivotal (RP2D cohort, N =165) and Chinese (N = 26) cohort. </w:t>
            </w:r>
          </w:p>
        </w:tc>
        <w:tc>
          <w:tcPr>
            <w:tcW w:w="3656" w:type="dxa"/>
            <w:vAlign w:val="center"/>
          </w:tcPr>
          <w:p w14:paraId="7F12A0B7" w14:textId="57DF196C" w:rsidR="00BE5EBC" w:rsidRPr="000160C3" w:rsidRDefault="008C1729" w:rsidP="001C47F4">
            <w:pPr>
              <w:pStyle w:val="TableText0"/>
              <w:spacing w:line="240" w:lineRule="auto"/>
            </w:pPr>
            <w:r>
              <w:t xml:space="preserve">The PBAC </w:t>
            </w:r>
            <w:r w:rsidR="00C87E75">
              <w:t xml:space="preserve">considered </w:t>
            </w:r>
            <w:r w:rsidR="00A24B37">
              <w:t xml:space="preserve">72% </w:t>
            </w:r>
            <w:r w:rsidR="00C87E75">
              <w:t xml:space="preserve">was </w:t>
            </w:r>
            <w:r w:rsidR="00C469DB">
              <w:t xml:space="preserve">an </w:t>
            </w:r>
            <w:r w:rsidR="00C87E75">
              <w:t>overestimat</w:t>
            </w:r>
            <w:r w:rsidR="00C469DB">
              <w:t>e</w:t>
            </w:r>
            <w:r w:rsidR="00C87E75">
              <w:t xml:space="preserve">, </w:t>
            </w:r>
            <w:r>
              <w:t>not</w:t>
            </w:r>
            <w:r w:rsidR="00C87E75">
              <w:t>ing</w:t>
            </w:r>
            <w:r>
              <w:t xml:space="preserve"> the elranatamab resubmission assumed 40</w:t>
            </w:r>
            <w:r w:rsidR="00853A32">
              <w:t>% in Year 1</w:t>
            </w:r>
            <w:r w:rsidR="009D1631">
              <w:t>,</w:t>
            </w:r>
            <w:r w:rsidR="00853A32">
              <w:t xml:space="preserve"> increasing over time (</w:t>
            </w:r>
            <w:r w:rsidR="00A24B37">
              <w:t xml:space="preserve">Table 18, elranatamab PSD, March 2025 PBAC meeting). </w:t>
            </w:r>
          </w:p>
        </w:tc>
      </w:tr>
      <w:tr w:rsidR="00BE5EBC" w:rsidRPr="000160C3" w14:paraId="3AC52A81" w14:textId="77777777" w:rsidTr="00925EFD">
        <w:trPr>
          <w:cantSplit/>
        </w:trPr>
        <w:tc>
          <w:tcPr>
            <w:tcW w:w="1526" w:type="dxa"/>
            <w:vAlign w:val="center"/>
          </w:tcPr>
          <w:p w14:paraId="5B95CA3D" w14:textId="77777777" w:rsidR="00BE5EBC" w:rsidRPr="000160C3" w:rsidRDefault="00BE5EBC" w:rsidP="001C47F4">
            <w:pPr>
              <w:pStyle w:val="COMTabletext"/>
              <w:keepNext w:val="0"/>
            </w:pPr>
            <w:r w:rsidRPr="000160C3">
              <w:t>Total TCE patients initiating 4L therapy</w:t>
            </w:r>
          </w:p>
        </w:tc>
        <w:tc>
          <w:tcPr>
            <w:tcW w:w="3998" w:type="dxa"/>
            <w:vAlign w:val="center"/>
          </w:tcPr>
          <w:p w14:paraId="1C7C66AC" w14:textId="77777777" w:rsidR="00BE5EBC" w:rsidRPr="000160C3" w:rsidRDefault="00BE5EBC" w:rsidP="001C47F4">
            <w:pPr>
              <w:pStyle w:val="COMTabletext"/>
            </w:pPr>
            <w:r w:rsidRPr="000160C3">
              <w:t>Yr 1: 774</w:t>
            </w:r>
          </w:p>
          <w:p w14:paraId="6B7B8629" w14:textId="77777777" w:rsidR="00BE5EBC" w:rsidRPr="000160C3" w:rsidRDefault="00BE5EBC" w:rsidP="001C47F4">
            <w:pPr>
              <w:pStyle w:val="COMTabletext"/>
            </w:pPr>
            <w:r w:rsidRPr="000160C3">
              <w:t>Yr 2: 850</w:t>
            </w:r>
          </w:p>
          <w:p w14:paraId="7CD6BD24" w14:textId="77777777" w:rsidR="00BE5EBC" w:rsidRPr="000160C3" w:rsidRDefault="00BE5EBC" w:rsidP="001C47F4">
            <w:pPr>
              <w:pStyle w:val="COMTabletext"/>
            </w:pPr>
            <w:r w:rsidRPr="000160C3">
              <w:t>Yr 3: 926</w:t>
            </w:r>
          </w:p>
          <w:p w14:paraId="5522FDCC" w14:textId="77777777" w:rsidR="00BE5EBC" w:rsidRPr="000160C3" w:rsidRDefault="00BE5EBC" w:rsidP="001C47F4">
            <w:pPr>
              <w:pStyle w:val="COMTabletext"/>
            </w:pPr>
            <w:r w:rsidRPr="000160C3">
              <w:t>Yr 4: 1,002</w:t>
            </w:r>
          </w:p>
          <w:p w14:paraId="3A6F4E5B" w14:textId="77777777" w:rsidR="00BE5EBC" w:rsidRPr="000160C3" w:rsidRDefault="00BE5EBC" w:rsidP="001C47F4">
            <w:pPr>
              <w:pStyle w:val="COMTabletext"/>
            </w:pPr>
            <w:r w:rsidRPr="000160C3">
              <w:t>Yr 5: 1,078</w:t>
            </w:r>
          </w:p>
          <w:p w14:paraId="5B1DCB54" w14:textId="77777777" w:rsidR="00BE5EBC" w:rsidRPr="000160C3" w:rsidRDefault="00BE5EBC" w:rsidP="001C47F4">
            <w:pPr>
              <w:pStyle w:val="COMTabletext"/>
              <w:keepNext w:val="0"/>
            </w:pPr>
            <w:r w:rsidRPr="000160C3">
              <w:t>Yr 6: 1,155</w:t>
            </w:r>
          </w:p>
        </w:tc>
        <w:tc>
          <w:tcPr>
            <w:tcW w:w="3656" w:type="dxa"/>
            <w:vAlign w:val="center"/>
          </w:tcPr>
          <w:p w14:paraId="210E404A" w14:textId="16D8F90B" w:rsidR="00BE5EBC" w:rsidRPr="000160C3" w:rsidRDefault="00EC1990" w:rsidP="001C47F4">
            <w:pPr>
              <w:pStyle w:val="TableText0"/>
              <w:spacing w:line="240" w:lineRule="auto"/>
            </w:pPr>
            <w:r>
              <w:noBreakHyphen/>
            </w:r>
          </w:p>
        </w:tc>
      </w:tr>
      <w:tr w:rsidR="00BE5EBC" w:rsidRPr="000160C3" w14:paraId="45D30E34" w14:textId="77777777" w:rsidTr="00925EFD">
        <w:trPr>
          <w:cantSplit/>
        </w:trPr>
        <w:tc>
          <w:tcPr>
            <w:tcW w:w="9180" w:type="dxa"/>
            <w:gridSpan w:val="3"/>
            <w:vAlign w:val="center"/>
          </w:tcPr>
          <w:p w14:paraId="38FC659D" w14:textId="77777777" w:rsidR="00BE5EBC" w:rsidRPr="000160C3" w:rsidRDefault="00BE5EBC" w:rsidP="001C47F4">
            <w:pPr>
              <w:pStyle w:val="COMTabletext"/>
              <w:keepNext w:val="0"/>
              <w:rPr>
                <w:b/>
                <w:bCs w:val="0"/>
              </w:rPr>
            </w:pPr>
            <w:r w:rsidRPr="000160C3">
              <w:rPr>
                <w:b/>
                <w:bCs w:val="0"/>
              </w:rPr>
              <w:t>Treatment utilisation</w:t>
            </w:r>
          </w:p>
        </w:tc>
      </w:tr>
      <w:tr w:rsidR="00BE5EBC" w:rsidRPr="000160C3" w14:paraId="1CFA0DC8" w14:textId="77777777" w:rsidTr="00925EFD">
        <w:trPr>
          <w:cantSplit/>
        </w:trPr>
        <w:tc>
          <w:tcPr>
            <w:tcW w:w="1526" w:type="dxa"/>
            <w:vAlign w:val="center"/>
          </w:tcPr>
          <w:p w14:paraId="4CD4B662" w14:textId="77777777" w:rsidR="00BE5EBC" w:rsidRPr="000160C3" w:rsidRDefault="00BE5EBC" w:rsidP="001C47F4">
            <w:pPr>
              <w:pStyle w:val="COMTabletext"/>
              <w:keepNext w:val="0"/>
            </w:pPr>
            <w:r w:rsidRPr="000160C3">
              <w:t xml:space="preserve">BCMA utilisation in 4L setting </w:t>
            </w:r>
          </w:p>
        </w:tc>
        <w:tc>
          <w:tcPr>
            <w:tcW w:w="3998" w:type="dxa"/>
            <w:vAlign w:val="center"/>
          </w:tcPr>
          <w:p w14:paraId="1765B11C" w14:textId="24A75213" w:rsidR="00BE5EBC" w:rsidRPr="00625A97" w:rsidRDefault="00BE5EBC" w:rsidP="001C47F4">
            <w:pPr>
              <w:pStyle w:val="COMTabletext"/>
            </w:pPr>
            <w:r w:rsidRPr="000160C3">
              <w:t>Yr 1</w:t>
            </w:r>
            <w:r w:rsidRPr="00625A97">
              <w:t xml:space="preserve">: </w:t>
            </w:r>
            <w:r w:rsidR="008142C5" w:rsidRPr="008142C5">
              <w:rPr>
                <w:sz w:val="2"/>
                <w:highlight w:val="black"/>
              </w:rPr>
              <w:t>redacted content</w:t>
            </w:r>
            <w:r w:rsidRPr="00625A97">
              <w:t>%</w:t>
            </w:r>
          </w:p>
          <w:p w14:paraId="33483B0A" w14:textId="4043C16E" w:rsidR="00BE5EBC" w:rsidRPr="00625A97" w:rsidRDefault="00BE5EBC" w:rsidP="001C47F4">
            <w:pPr>
              <w:pStyle w:val="COMTabletext"/>
            </w:pPr>
            <w:r w:rsidRPr="00625A97">
              <w:t xml:space="preserve">Yr 2: </w:t>
            </w:r>
            <w:r w:rsidR="008142C5" w:rsidRPr="008142C5">
              <w:rPr>
                <w:sz w:val="2"/>
                <w:highlight w:val="black"/>
              </w:rPr>
              <w:t>redacted content</w:t>
            </w:r>
            <w:r w:rsidRPr="00625A97">
              <w:t>%</w:t>
            </w:r>
          </w:p>
          <w:p w14:paraId="750DCD7D" w14:textId="48941A7B" w:rsidR="00BE5EBC" w:rsidRPr="00625A97" w:rsidRDefault="00BE5EBC" w:rsidP="001C47F4">
            <w:pPr>
              <w:pStyle w:val="COMTabletext"/>
            </w:pPr>
            <w:r w:rsidRPr="00625A97">
              <w:t xml:space="preserve">Yr 3: </w:t>
            </w:r>
            <w:r w:rsidR="008142C5" w:rsidRPr="008142C5">
              <w:rPr>
                <w:sz w:val="2"/>
                <w:highlight w:val="black"/>
              </w:rPr>
              <w:t>redacted content</w:t>
            </w:r>
            <w:r w:rsidRPr="00625A97">
              <w:t>%</w:t>
            </w:r>
          </w:p>
          <w:p w14:paraId="2D9132F7" w14:textId="551B5EAC" w:rsidR="00BE5EBC" w:rsidRPr="000160C3" w:rsidRDefault="00BE5EBC" w:rsidP="001C47F4">
            <w:pPr>
              <w:pStyle w:val="COMTabletext"/>
            </w:pPr>
            <w:r w:rsidRPr="00625A97">
              <w:t xml:space="preserve">Yr 4: </w:t>
            </w:r>
            <w:r w:rsidR="008142C5" w:rsidRPr="008142C5">
              <w:rPr>
                <w:sz w:val="2"/>
                <w:highlight w:val="black"/>
              </w:rPr>
              <w:t>redacted content</w:t>
            </w:r>
            <w:r w:rsidRPr="00625A97">
              <w:t>%</w:t>
            </w:r>
          </w:p>
          <w:p w14:paraId="365CFFA1" w14:textId="5C2EB68C" w:rsidR="00BE5EBC" w:rsidRPr="000160C3" w:rsidRDefault="00BE5EBC" w:rsidP="001C47F4">
            <w:pPr>
              <w:pStyle w:val="COMTabletext"/>
            </w:pPr>
            <w:r w:rsidRPr="000160C3">
              <w:t xml:space="preserve">Yr 5: </w:t>
            </w:r>
            <w:r w:rsidR="008142C5" w:rsidRPr="008142C5">
              <w:rPr>
                <w:sz w:val="2"/>
                <w:highlight w:val="black"/>
              </w:rPr>
              <w:t>redacted content</w:t>
            </w:r>
            <w:r w:rsidRPr="000160C3">
              <w:t>%</w:t>
            </w:r>
          </w:p>
          <w:p w14:paraId="0A3C701A" w14:textId="2641A8AE" w:rsidR="00BE5EBC" w:rsidRPr="000160C3" w:rsidRDefault="00BE5EBC" w:rsidP="001C47F4">
            <w:pPr>
              <w:pStyle w:val="COMTabletext"/>
              <w:keepNext w:val="0"/>
            </w:pPr>
            <w:r w:rsidRPr="000160C3">
              <w:t xml:space="preserve">Yr 6: </w:t>
            </w:r>
            <w:r w:rsidR="008142C5" w:rsidRPr="008142C5">
              <w:rPr>
                <w:sz w:val="2"/>
                <w:highlight w:val="black"/>
              </w:rPr>
              <w:t>redacted content</w:t>
            </w:r>
            <w:r w:rsidRPr="000160C3">
              <w:t>%</w:t>
            </w:r>
          </w:p>
        </w:tc>
        <w:tc>
          <w:tcPr>
            <w:tcW w:w="3656" w:type="dxa"/>
            <w:vAlign w:val="center"/>
          </w:tcPr>
          <w:p w14:paraId="4BA53BF5" w14:textId="6F39FB78" w:rsidR="00BE5EBC" w:rsidRPr="002C3D1F" w:rsidRDefault="00905751" w:rsidP="001C47F4">
            <w:pPr>
              <w:pStyle w:val="TableText0"/>
              <w:spacing w:line="240" w:lineRule="auto"/>
            </w:pPr>
            <w:r>
              <w:t xml:space="preserve">The submission justified this </w:t>
            </w:r>
            <w:r w:rsidR="00BE5EBC" w:rsidRPr="000160C3">
              <w:t xml:space="preserve">based on claim that the 4L TCE RRMM population is expected to be </w:t>
            </w:r>
            <w:r w:rsidR="003D437F">
              <w:t>large</w:t>
            </w:r>
            <w:r w:rsidR="00BE5EBC" w:rsidRPr="000160C3">
              <w:t xml:space="preserve"> and to increase over time; 4L+ TCE RRMM patients will likely be refractory to most PBS options, so the availability of a new class of medicine will address a high unmet need</w:t>
            </w:r>
            <w:r w:rsidR="00BE5EBC" w:rsidRPr="000160C3">
              <w:rPr>
                <w:i/>
                <w:iCs/>
              </w:rPr>
              <w:t>.</w:t>
            </w:r>
          </w:p>
        </w:tc>
      </w:tr>
      <w:tr w:rsidR="00BE5EBC" w:rsidRPr="000160C3" w14:paraId="5898CD71" w14:textId="77777777" w:rsidTr="00925EFD">
        <w:trPr>
          <w:cantSplit/>
          <w:trHeight w:val="1106"/>
        </w:trPr>
        <w:tc>
          <w:tcPr>
            <w:tcW w:w="1526" w:type="dxa"/>
            <w:vAlign w:val="center"/>
          </w:tcPr>
          <w:p w14:paraId="3FEF7B16" w14:textId="6B22F235" w:rsidR="00BE5EBC" w:rsidRPr="000160C3" w:rsidRDefault="00BE5EBC" w:rsidP="001C47F4">
            <w:pPr>
              <w:pStyle w:val="COMTabletext"/>
              <w:keepNext w:val="0"/>
            </w:pPr>
            <w:r w:rsidRPr="000160C3">
              <w:t>Uptake rate</w:t>
            </w:r>
            <w:r w:rsidR="00EC1990">
              <w:t xml:space="preserve"> </w:t>
            </w:r>
          </w:p>
        </w:tc>
        <w:tc>
          <w:tcPr>
            <w:tcW w:w="3998" w:type="dxa"/>
            <w:vAlign w:val="center"/>
          </w:tcPr>
          <w:p w14:paraId="6151D521" w14:textId="168BECB6" w:rsidR="00BE5EBC" w:rsidRPr="000160C3" w:rsidRDefault="006657B5" w:rsidP="001C47F4">
            <w:pPr>
              <w:pStyle w:val="COMTabletext"/>
              <w:keepNext w:val="0"/>
            </w:pPr>
            <w:r w:rsidRPr="000160C3">
              <w:t>Assumption (source not provided)</w:t>
            </w:r>
            <w:r w:rsidRPr="000160C3">
              <w:br/>
            </w:r>
            <w:r w:rsidR="00BE5EBC" w:rsidRPr="000160C3">
              <w:t>Yr</w:t>
            </w:r>
            <w:r w:rsidRPr="000160C3">
              <w:t xml:space="preserve"> </w:t>
            </w:r>
            <w:r w:rsidR="00BE5EBC" w:rsidRPr="000160C3">
              <w:t xml:space="preserve">1: </w:t>
            </w:r>
            <w:r w:rsidR="008142C5" w:rsidRPr="008142C5">
              <w:rPr>
                <w:sz w:val="2"/>
                <w:highlight w:val="black"/>
              </w:rPr>
              <w:t>redacted content</w:t>
            </w:r>
            <w:r w:rsidR="00BE5EBC" w:rsidRPr="000160C3">
              <w:t xml:space="preserve">%; </w:t>
            </w:r>
          </w:p>
          <w:p w14:paraId="1B6A4089" w14:textId="006BEF38" w:rsidR="00BE5EBC" w:rsidRPr="000160C3" w:rsidRDefault="00BE5EBC" w:rsidP="001C47F4">
            <w:pPr>
              <w:pStyle w:val="COMTabletext"/>
              <w:keepNext w:val="0"/>
            </w:pPr>
            <w:r w:rsidRPr="000160C3">
              <w:t xml:space="preserve">Yr 2: </w:t>
            </w:r>
            <w:r w:rsidR="008142C5" w:rsidRPr="008142C5">
              <w:rPr>
                <w:sz w:val="2"/>
                <w:highlight w:val="black"/>
              </w:rPr>
              <w:t>redacted content</w:t>
            </w:r>
            <w:r w:rsidRPr="000160C3">
              <w:t xml:space="preserve">%; </w:t>
            </w:r>
          </w:p>
          <w:p w14:paraId="563A90AC" w14:textId="65CAEA7B" w:rsidR="00BE5EBC" w:rsidRPr="000160C3" w:rsidRDefault="00BE5EBC" w:rsidP="001C47F4">
            <w:pPr>
              <w:pStyle w:val="COMTabletext"/>
              <w:keepNext w:val="0"/>
            </w:pPr>
            <w:r w:rsidRPr="000160C3">
              <w:t xml:space="preserve">Yr 3: </w:t>
            </w:r>
            <w:r w:rsidR="008142C5" w:rsidRPr="008142C5">
              <w:rPr>
                <w:sz w:val="2"/>
                <w:highlight w:val="black"/>
              </w:rPr>
              <w:t>redacted content</w:t>
            </w:r>
            <w:r w:rsidRPr="000160C3">
              <w:t xml:space="preserve">%; </w:t>
            </w:r>
          </w:p>
          <w:p w14:paraId="1FCD0C93" w14:textId="6EEDBE0F" w:rsidR="00BE5EBC" w:rsidRPr="000160C3" w:rsidRDefault="00BE5EBC" w:rsidP="001C47F4">
            <w:pPr>
              <w:pStyle w:val="COMTabletext"/>
              <w:keepNext w:val="0"/>
            </w:pPr>
            <w:r w:rsidRPr="000160C3">
              <w:t xml:space="preserve">Yr 4: </w:t>
            </w:r>
            <w:r w:rsidR="008142C5" w:rsidRPr="008142C5">
              <w:rPr>
                <w:sz w:val="2"/>
                <w:highlight w:val="black"/>
              </w:rPr>
              <w:t>redacted content</w:t>
            </w:r>
            <w:r w:rsidRPr="000160C3">
              <w:t xml:space="preserve">%; </w:t>
            </w:r>
          </w:p>
          <w:p w14:paraId="18682112" w14:textId="122DD286" w:rsidR="00BE5EBC" w:rsidRPr="000160C3" w:rsidRDefault="00BE5EBC" w:rsidP="001C47F4">
            <w:pPr>
              <w:pStyle w:val="COMTabletext"/>
              <w:keepNext w:val="0"/>
            </w:pPr>
            <w:r w:rsidRPr="000160C3">
              <w:t>Yr 5:</w:t>
            </w:r>
            <w:r w:rsidR="00C44970" w:rsidRPr="000160C3">
              <w:t xml:space="preserve"> </w:t>
            </w:r>
            <w:r w:rsidR="008142C5" w:rsidRPr="008142C5">
              <w:rPr>
                <w:sz w:val="2"/>
                <w:highlight w:val="black"/>
              </w:rPr>
              <w:t>redacted content</w:t>
            </w:r>
            <w:r w:rsidRPr="000160C3">
              <w:t xml:space="preserve">%; </w:t>
            </w:r>
          </w:p>
          <w:p w14:paraId="64B9E1AA" w14:textId="1F38D178" w:rsidR="00BE5EBC" w:rsidRPr="000160C3" w:rsidRDefault="00BE5EBC" w:rsidP="001C47F4">
            <w:pPr>
              <w:pStyle w:val="COMTabletext"/>
              <w:keepNext w:val="0"/>
            </w:pPr>
            <w:r w:rsidRPr="000160C3">
              <w:t xml:space="preserve">Yr 6: </w:t>
            </w:r>
            <w:r w:rsidR="008142C5" w:rsidRPr="008142C5">
              <w:rPr>
                <w:sz w:val="2"/>
                <w:highlight w:val="black"/>
              </w:rPr>
              <w:t>redacted content</w:t>
            </w:r>
            <w:r w:rsidRPr="000160C3">
              <w:t xml:space="preserve">%; </w:t>
            </w:r>
          </w:p>
        </w:tc>
        <w:tc>
          <w:tcPr>
            <w:tcW w:w="3656" w:type="dxa"/>
            <w:vAlign w:val="center"/>
          </w:tcPr>
          <w:p w14:paraId="4A1311A5" w14:textId="68F59D41" w:rsidR="00BE5EBC" w:rsidRPr="000160C3" w:rsidRDefault="00BE5EBC" w:rsidP="001C47F4">
            <w:pPr>
              <w:pStyle w:val="TableText0"/>
              <w:spacing w:line="240" w:lineRule="auto"/>
            </w:pPr>
            <w:r w:rsidRPr="000160C3">
              <w:t xml:space="preserve">Submission claimed that </w:t>
            </w:r>
            <w:r w:rsidR="00C44970" w:rsidRPr="000160C3">
              <w:t>the high</w:t>
            </w:r>
            <w:r w:rsidRPr="000160C3">
              <w:t xml:space="preserve"> uptake</w:t>
            </w:r>
            <w:r w:rsidR="00C44970" w:rsidRPr="000160C3">
              <w:t xml:space="preserve"> rates</w:t>
            </w:r>
            <w:r w:rsidRPr="000160C3">
              <w:t xml:space="preserve"> for teclistamab </w:t>
            </w:r>
            <w:r w:rsidR="00A64EDC">
              <w:t xml:space="preserve">was </w:t>
            </w:r>
            <w:r w:rsidRPr="000160C3">
              <w:t>due to weight</w:t>
            </w:r>
            <w:r w:rsidR="00EC1990">
              <w:noBreakHyphen/>
            </w:r>
            <w:r w:rsidRPr="000160C3">
              <w:t>based dosing regimen</w:t>
            </w:r>
            <w:r w:rsidR="00A64EDC">
              <w:t>,</w:t>
            </w:r>
            <w:r w:rsidR="00C102B1">
              <w:t xml:space="preserve"> which ensured a </w:t>
            </w:r>
            <w:r w:rsidR="00A64EDC">
              <w:t>consistent therapeutic exposure across a diverse patient population,</w:t>
            </w:r>
            <w:r w:rsidRPr="000160C3">
              <w:t xml:space="preserve"> and </w:t>
            </w:r>
            <w:r w:rsidR="00A64EDC">
              <w:t xml:space="preserve">as teclistamab does not require </w:t>
            </w:r>
            <w:r w:rsidRPr="000160C3">
              <w:t>hospitalisations during the step</w:t>
            </w:r>
            <w:r w:rsidR="00EC1990">
              <w:noBreakHyphen/>
            </w:r>
            <w:r w:rsidRPr="000160C3">
              <w:t xml:space="preserve">up dosing phase. </w:t>
            </w:r>
            <w:r w:rsidR="004F5FCB">
              <w:t>N</w:t>
            </w:r>
            <w:r w:rsidR="00C45EE4">
              <w:t xml:space="preserve">oting the </w:t>
            </w:r>
            <w:r w:rsidR="00133D1A">
              <w:t xml:space="preserve">clinical claim of </w:t>
            </w:r>
            <w:r w:rsidR="00C45EE4">
              <w:t>non</w:t>
            </w:r>
            <w:r w:rsidR="00EC1990">
              <w:noBreakHyphen/>
            </w:r>
            <w:r w:rsidR="00C45EE4">
              <w:t>inferiority</w:t>
            </w:r>
            <w:r w:rsidR="004F5FCB">
              <w:t>,</w:t>
            </w:r>
            <w:r w:rsidR="00C44970" w:rsidRPr="000160C3">
              <w:t xml:space="preserve"> </w:t>
            </w:r>
            <w:r w:rsidR="006A72DC">
              <w:t xml:space="preserve">the PBAC considered </w:t>
            </w:r>
            <w:r w:rsidR="00617203">
              <w:t xml:space="preserve">a maximum market share of </w:t>
            </w:r>
            <w:r w:rsidR="008142C5" w:rsidRPr="008142C5">
              <w:rPr>
                <w:sz w:val="2"/>
                <w:highlight w:val="black"/>
              </w:rPr>
              <w:t>redacted content</w:t>
            </w:r>
            <w:r w:rsidR="00617203">
              <w:t>% would be appropriate.</w:t>
            </w:r>
            <w:r w:rsidR="00EC1990">
              <w:t xml:space="preserve"> </w:t>
            </w:r>
          </w:p>
        </w:tc>
      </w:tr>
      <w:tr w:rsidR="00BE5EBC" w:rsidRPr="000160C3" w14:paraId="07CE1716" w14:textId="77777777" w:rsidTr="00925EFD">
        <w:trPr>
          <w:cantSplit/>
        </w:trPr>
        <w:tc>
          <w:tcPr>
            <w:tcW w:w="1526" w:type="dxa"/>
            <w:vAlign w:val="center"/>
          </w:tcPr>
          <w:p w14:paraId="790E5478" w14:textId="77777777" w:rsidR="00BE5EBC" w:rsidRPr="000160C3" w:rsidRDefault="00BE5EBC" w:rsidP="001C47F4">
            <w:pPr>
              <w:pStyle w:val="COMTabletext"/>
              <w:keepNext w:val="0"/>
            </w:pPr>
            <w:r w:rsidRPr="000160C3">
              <w:t>Teclistamab treatment adherence</w:t>
            </w:r>
          </w:p>
        </w:tc>
        <w:tc>
          <w:tcPr>
            <w:tcW w:w="3998" w:type="dxa"/>
            <w:vAlign w:val="center"/>
          </w:tcPr>
          <w:p w14:paraId="35CB796E" w14:textId="5849BD92" w:rsidR="00BE5EBC" w:rsidRPr="000160C3" w:rsidRDefault="00BE5EBC" w:rsidP="001C47F4">
            <w:pPr>
              <w:pStyle w:val="COMTabletext"/>
              <w:keepNext w:val="0"/>
            </w:pPr>
            <w:r w:rsidRPr="000160C3">
              <w:t>88.81%; based on the mean RDI reported for teclistamab in MajesTEC</w:t>
            </w:r>
            <w:r w:rsidR="00EC1990">
              <w:noBreakHyphen/>
            </w:r>
            <w:r w:rsidRPr="000160C3">
              <w:t>1.</w:t>
            </w:r>
          </w:p>
        </w:tc>
        <w:tc>
          <w:tcPr>
            <w:tcW w:w="3656" w:type="dxa"/>
            <w:vAlign w:val="center"/>
          </w:tcPr>
          <w:p w14:paraId="59FE31EC" w14:textId="652C9105" w:rsidR="00BE5EBC" w:rsidRPr="000160C3" w:rsidRDefault="00EC1990" w:rsidP="001C47F4">
            <w:pPr>
              <w:pStyle w:val="TableText0"/>
              <w:spacing w:line="240" w:lineRule="auto"/>
            </w:pPr>
            <w:r>
              <w:noBreakHyphen/>
            </w:r>
            <w:r w:rsidR="00BE5EBC" w:rsidRPr="000160C3">
              <w:t xml:space="preserve"> </w:t>
            </w:r>
          </w:p>
        </w:tc>
      </w:tr>
      <w:tr w:rsidR="00BE5EBC" w:rsidRPr="000160C3" w14:paraId="6C6CFBD9" w14:textId="77777777" w:rsidTr="00925EFD">
        <w:trPr>
          <w:cantSplit/>
        </w:trPr>
        <w:tc>
          <w:tcPr>
            <w:tcW w:w="1526" w:type="dxa"/>
            <w:vAlign w:val="center"/>
          </w:tcPr>
          <w:p w14:paraId="08584D22" w14:textId="77777777" w:rsidR="00BE5EBC" w:rsidRPr="000160C3" w:rsidRDefault="00BE5EBC" w:rsidP="001C47F4">
            <w:pPr>
              <w:pStyle w:val="COMTabletext"/>
              <w:keepNext w:val="0"/>
            </w:pPr>
            <w:r w:rsidRPr="000160C3">
              <w:lastRenderedPageBreak/>
              <w:t>Elranatamab treatment adherence</w:t>
            </w:r>
          </w:p>
        </w:tc>
        <w:tc>
          <w:tcPr>
            <w:tcW w:w="3998" w:type="dxa"/>
            <w:vAlign w:val="center"/>
          </w:tcPr>
          <w:p w14:paraId="3E93D649" w14:textId="7B053F1F" w:rsidR="00BE5EBC" w:rsidRPr="000160C3" w:rsidRDefault="00BE5EBC" w:rsidP="001C47F4">
            <w:pPr>
              <w:pStyle w:val="COMTabletext"/>
            </w:pPr>
            <w:r w:rsidRPr="000160C3">
              <w:t>79.12%; based on the RDI reported for elranatamab in MagnetisMM</w:t>
            </w:r>
            <w:r w:rsidR="00EC1990">
              <w:noBreakHyphen/>
            </w:r>
            <w:r w:rsidRPr="000160C3">
              <w:t>3</w:t>
            </w:r>
          </w:p>
        </w:tc>
        <w:tc>
          <w:tcPr>
            <w:tcW w:w="3656" w:type="dxa"/>
            <w:vAlign w:val="center"/>
          </w:tcPr>
          <w:p w14:paraId="48908C8E" w14:textId="04FDA21F" w:rsidR="00026529" w:rsidRPr="000160C3" w:rsidRDefault="00EC1990" w:rsidP="001C47F4">
            <w:pPr>
              <w:pStyle w:val="TableText0"/>
              <w:spacing w:line="240" w:lineRule="auto"/>
            </w:pPr>
            <w:r>
              <w:noBreakHyphen/>
            </w:r>
            <w:r w:rsidR="00BE5EBC" w:rsidRPr="000160C3">
              <w:t xml:space="preserve"> </w:t>
            </w:r>
          </w:p>
        </w:tc>
      </w:tr>
      <w:tr w:rsidR="00BE5EBC" w:rsidRPr="000160C3" w14:paraId="485D7215" w14:textId="77777777" w:rsidTr="00925EFD">
        <w:trPr>
          <w:cantSplit/>
          <w:trHeight w:val="356"/>
        </w:trPr>
        <w:tc>
          <w:tcPr>
            <w:tcW w:w="1526" w:type="dxa"/>
            <w:vAlign w:val="center"/>
          </w:tcPr>
          <w:p w14:paraId="2C06B2FD" w14:textId="77777777" w:rsidR="00BE5EBC" w:rsidRPr="000160C3" w:rsidRDefault="00BE5EBC" w:rsidP="001C47F4">
            <w:pPr>
              <w:pStyle w:val="COMTabletext"/>
              <w:keepNext w:val="0"/>
            </w:pPr>
            <w:r w:rsidRPr="000160C3">
              <w:t>Treatment duration</w:t>
            </w:r>
          </w:p>
        </w:tc>
        <w:tc>
          <w:tcPr>
            <w:tcW w:w="3998" w:type="dxa"/>
            <w:vAlign w:val="center"/>
          </w:tcPr>
          <w:p w14:paraId="180D50D4" w14:textId="36A34900" w:rsidR="00BE5EBC" w:rsidRPr="000160C3" w:rsidRDefault="00BE5EBC" w:rsidP="001C47F4">
            <w:pPr>
              <w:pStyle w:val="COMTabletext"/>
              <w:keepNext w:val="0"/>
            </w:pPr>
            <w:r w:rsidRPr="000160C3">
              <w:t xml:space="preserve">71 weeks; based on the mean treatment duration for elranatamab in the March 2025 submission (Table 18, elranatamab PSD, March 2025 PBAC </w:t>
            </w:r>
            <w:r w:rsidR="00B25B96" w:rsidRPr="000160C3">
              <w:t>m</w:t>
            </w:r>
            <w:r w:rsidRPr="000160C3">
              <w:t>eeting).</w:t>
            </w:r>
          </w:p>
        </w:tc>
        <w:tc>
          <w:tcPr>
            <w:tcW w:w="3656" w:type="dxa"/>
            <w:vAlign w:val="center"/>
          </w:tcPr>
          <w:p w14:paraId="7E7ACED3" w14:textId="0DA8E9CF" w:rsidR="00BE5EBC" w:rsidRPr="000160C3" w:rsidRDefault="00BE5EBC" w:rsidP="001C47F4">
            <w:pPr>
              <w:pStyle w:val="COMTabletext"/>
              <w:keepNext w:val="0"/>
            </w:pPr>
            <w:r w:rsidRPr="000160C3">
              <w:t>This was in line with the clinical claim of non</w:t>
            </w:r>
            <w:r w:rsidR="00EC1990">
              <w:noBreakHyphen/>
            </w:r>
            <w:r w:rsidRPr="000160C3">
              <w:t>inferiority and the CMA approach to the submission.</w:t>
            </w:r>
            <w:r w:rsidRPr="000160C3">
              <w:rPr>
                <w:rFonts w:cstheme="minorHAnsi"/>
                <w:szCs w:val="20"/>
                <w:lang w:eastAsia="en-US"/>
              </w:rPr>
              <w:t xml:space="preserve"> </w:t>
            </w:r>
          </w:p>
        </w:tc>
      </w:tr>
      <w:tr w:rsidR="00096966" w:rsidRPr="000160C3" w14:paraId="70DE523E" w14:textId="77777777" w:rsidTr="00925EFD">
        <w:trPr>
          <w:cantSplit/>
        </w:trPr>
        <w:tc>
          <w:tcPr>
            <w:tcW w:w="9180" w:type="dxa"/>
            <w:gridSpan w:val="3"/>
            <w:vAlign w:val="center"/>
          </w:tcPr>
          <w:p w14:paraId="3A51D828" w14:textId="0FC297BD" w:rsidR="00096966" w:rsidRPr="000160C3" w:rsidRDefault="00096966" w:rsidP="001C47F4">
            <w:pPr>
              <w:pStyle w:val="COMTabletext"/>
              <w:keepNext w:val="0"/>
            </w:pPr>
            <w:r w:rsidRPr="000160C3">
              <w:rPr>
                <w:b/>
                <w:bCs w:val="0"/>
              </w:rPr>
              <w:t xml:space="preserve">Costs </w:t>
            </w:r>
          </w:p>
        </w:tc>
      </w:tr>
      <w:tr w:rsidR="00BE5EBC" w:rsidRPr="000160C3" w14:paraId="53D8ACC1" w14:textId="77777777" w:rsidTr="00925EFD">
        <w:trPr>
          <w:cantSplit/>
        </w:trPr>
        <w:tc>
          <w:tcPr>
            <w:tcW w:w="1526" w:type="dxa"/>
            <w:vAlign w:val="center"/>
          </w:tcPr>
          <w:p w14:paraId="1C05FAF4" w14:textId="77777777" w:rsidR="00BE5EBC" w:rsidRPr="000160C3" w:rsidRDefault="00BE5EBC" w:rsidP="001C47F4">
            <w:pPr>
              <w:pStyle w:val="COMTabletext"/>
              <w:keepNext w:val="0"/>
            </w:pPr>
            <w:r w:rsidRPr="000160C3">
              <w:t xml:space="preserve">Teclistamab </w:t>
            </w:r>
          </w:p>
        </w:tc>
        <w:tc>
          <w:tcPr>
            <w:tcW w:w="3998" w:type="dxa"/>
            <w:vAlign w:val="center"/>
          </w:tcPr>
          <w:p w14:paraId="2C7921CF" w14:textId="765C2BBD" w:rsidR="00BE5EBC" w:rsidRPr="000079F7" w:rsidRDefault="00536339" w:rsidP="001C47F4">
            <w:pPr>
              <w:pStyle w:val="TableText0"/>
              <w:spacing w:line="240" w:lineRule="auto"/>
            </w:pPr>
            <w:r w:rsidRPr="000079F7">
              <w:t xml:space="preserve">Requested published price: </w:t>
            </w:r>
            <w:r w:rsidR="00BE5EBC" w:rsidRPr="000079F7">
              <w:t xml:space="preserve">DPMQ </w:t>
            </w:r>
            <w:r w:rsidRPr="000079F7">
              <w:t xml:space="preserve">/ EMP </w:t>
            </w:r>
          </w:p>
          <w:p w14:paraId="3E12BA65" w14:textId="16920FC0" w:rsidR="00BE5EBC" w:rsidRPr="000079F7" w:rsidRDefault="00BE5EBC" w:rsidP="001C47F4">
            <w:pPr>
              <w:pStyle w:val="TableText0"/>
              <w:spacing w:line="240" w:lineRule="auto"/>
            </w:pPr>
            <w:r w:rsidRPr="000079F7">
              <w:t>30</w:t>
            </w:r>
            <w:r w:rsidR="0047301A" w:rsidRPr="000079F7">
              <w:t xml:space="preserve"> </w:t>
            </w:r>
            <w:r w:rsidRPr="000079F7">
              <w:t>mg: $</w:t>
            </w:r>
            <w:r w:rsidR="008142C5" w:rsidRPr="008142C5">
              <w:rPr>
                <w:sz w:val="2"/>
                <w:highlight w:val="black"/>
              </w:rPr>
              <w:t>redacted content</w:t>
            </w:r>
            <w:r w:rsidR="00CD4265" w:rsidRPr="000079F7">
              <w:t xml:space="preserve"> </w:t>
            </w:r>
            <w:r w:rsidR="00536339" w:rsidRPr="000079F7">
              <w:t xml:space="preserve">/ </w:t>
            </w:r>
            <w:r w:rsidR="00904652" w:rsidRPr="000079F7">
              <w:t>$</w:t>
            </w:r>
            <w:r w:rsidR="008142C5" w:rsidRPr="008142C5">
              <w:rPr>
                <w:sz w:val="2"/>
                <w:highlight w:val="black"/>
              </w:rPr>
              <w:t>redacted content</w:t>
            </w:r>
          </w:p>
          <w:p w14:paraId="6F85975F" w14:textId="4E874E01" w:rsidR="00BE5EBC" w:rsidRPr="000160C3" w:rsidRDefault="00BE5EBC" w:rsidP="001C47F4">
            <w:pPr>
              <w:pStyle w:val="COMTabletext"/>
              <w:keepNext w:val="0"/>
            </w:pPr>
            <w:r w:rsidRPr="000079F7">
              <w:t>153</w:t>
            </w:r>
            <w:r w:rsidR="0047301A" w:rsidRPr="000079F7">
              <w:t xml:space="preserve"> </w:t>
            </w:r>
            <w:r w:rsidRPr="000079F7">
              <w:t>mg: $</w:t>
            </w:r>
            <w:r w:rsidR="008142C5" w:rsidRPr="008142C5">
              <w:rPr>
                <w:sz w:val="2"/>
                <w:highlight w:val="black"/>
              </w:rPr>
              <w:t>redacted content</w:t>
            </w:r>
            <w:r w:rsidR="00CD4265" w:rsidRPr="000079F7">
              <w:t xml:space="preserve"> </w:t>
            </w:r>
            <w:r w:rsidR="00536339" w:rsidRPr="000079F7">
              <w:t xml:space="preserve">/ </w:t>
            </w:r>
            <w:r w:rsidR="00904652" w:rsidRPr="000079F7">
              <w:t>$</w:t>
            </w:r>
            <w:r w:rsidR="008142C5" w:rsidRPr="008142C5">
              <w:rPr>
                <w:sz w:val="2"/>
                <w:highlight w:val="black"/>
              </w:rPr>
              <w:t>redacted content</w:t>
            </w:r>
          </w:p>
        </w:tc>
        <w:tc>
          <w:tcPr>
            <w:tcW w:w="3656" w:type="dxa"/>
            <w:vAlign w:val="center"/>
          </w:tcPr>
          <w:p w14:paraId="730CF9D1" w14:textId="06C5AA37" w:rsidR="00BE5EBC" w:rsidRPr="000160C3" w:rsidRDefault="00BE5EBC" w:rsidP="001C47F4">
            <w:pPr>
              <w:pStyle w:val="COMTabletext"/>
              <w:keepNext w:val="0"/>
            </w:pPr>
            <w:r w:rsidRPr="000160C3">
              <w:t xml:space="preserve">Effective price was not presented as elranatamab was not PBS listed at time of the submission. </w:t>
            </w:r>
            <w:r w:rsidRPr="000160C3">
              <w:rPr>
                <w:szCs w:val="18"/>
              </w:rPr>
              <w:t xml:space="preserve">Special Pricing Arrangements </w:t>
            </w:r>
            <w:r w:rsidR="0047301A" w:rsidRPr="000160C3">
              <w:rPr>
                <w:szCs w:val="18"/>
              </w:rPr>
              <w:t xml:space="preserve">for teclistamab are </w:t>
            </w:r>
            <w:r w:rsidRPr="000160C3">
              <w:rPr>
                <w:szCs w:val="18"/>
              </w:rPr>
              <w:t>requested</w:t>
            </w:r>
          </w:p>
        </w:tc>
      </w:tr>
      <w:tr w:rsidR="00BE5EBC" w:rsidRPr="000160C3" w14:paraId="3F3155F5" w14:textId="77777777" w:rsidTr="00925EFD">
        <w:trPr>
          <w:cantSplit/>
        </w:trPr>
        <w:tc>
          <w:tcPr>
            <w:tcW w:w="1526" w:type="dxa"/>
            <w:vAlign w:val="center"/>
          </w:tcPr>
          <w:p w14:paraId="3A683C42" w14:textId="77777777" w:rsidR="00BE5EBC" w:rsidRPr="000160C3" w:rsidRDefault="00BE5EBC" w:rsidP="001C47F4">
            <w:pPr>
              <w:pStyle w:val="COMTabletext"/>
              <w:keepNext w:val="0"/>
            </w:pPr>
            <w:r w:rsidRPr="000160C3">
              <w:t xml:space="preserve">Elranatamab </w:t>
            </w:r>
          </w:p>
        </w:tc>
        <w:tc>
          <w:tcPr>
            <w:tcW w:w="3998" w:type="dxa"/>
            <w:vAlign w:val="center"/>
          </w:tcPr>
          <w:p w14:paraId="2B686982" w14:textId="23F43612" w:rsidR="00BE5EBC" w:rsidRPr="000160C3" w:rsidRDefault="00BE5EBC" w:rsidP="001C47F4">
            <w:pPr>
              <w:pStyle w:val="COMTabletext"/>
              <w:keepNext w:val="0"/>
            </w:pPr>
            <w:r w:rsidRPr="000160C3">
              <w:t>Not PBS listed</w:t>
            </w:r>
            <w:r w:rsidR="00C07B68" w:rsidRPr="000160C3">
              <w:t xml:space="preserve">: In the </w:t>
            </w:r>
            <w:r w:rsidR="00303E42" w:rsidRPr="000160C3">
              <w:t>interim</w:t>
            </w:r>
            <w:r w:rsidR="00C07B68" w:rsidRPr="000160C3">
              <w:t xml:space="preserve"> </w:t>
            </w:r>
            <w:r w:rsidR="009F36D4" w:rsidRPr="000160C3">
              <w:t xml:space="preserve">it is </w:t>
            </w:r>
            <w:r w:rsidR="00C07B68" w:rsidRPr="000160C3">
              <w:t xml:space="preserve">assumed </w:t>
            </w:r>
            <w:r w:rsidR="000B59AC" w:rsidRPr="000160C3">
              <w:t>that the published DPMQ for elranatamab is equivalent to that of teclistamab</w:t>
            </w:r>
            <w:r w:rsidR="005033F6" w:rsidRPr="000160C3">
              <w:t>:</w:t>
            </w:r>
            <w:r w:rsidR="00EC1990">
              <w:t xml:space="preserve"> </w:t>
            </w:r>
          </w:p>
          <w:p w14:paraId="348510C3" w14:textId="52F21E37" w:rsidR="008D20AE" w:rsidRPr="00B214C4" w:rsidRDefault="008D20AE" w:rsidP="001C47F4">
            <w:pPr>
              <w:pStyle w:val="TableText0"/>
              <w:spacing w:line="240" w:lineRule="auto"/>
            </w:pPr>
            <w:r w:rsidRPr="00B214C4">
              <w:t xml:space="preserve">Assumed published price: DPMQ / EMP </w:t>
            </w:r>
          </w:p>
          <w:p w14:paraId="3D4B1A0A" w14:textId="1373A493" w:rsidR="00844725" w:rsidRPr="00B214C4" w:rsidRDefault="00812322" w:rsidP="001C47F4">
            <w:pPr>
              <w:pStyle w:val="TableText0"/>
              <w:spacing w:line="240" w:lineRule="auto"/>
            </w:pPr>
            <w:r w:rsidRPr="00B214C4">
              <w:t>44</w:t>
            </w:r>
            <w:r w:rsidR="00844725" w:rsidRPr="00B214C4">
              <w:t xml:space="preserve"> mg: $</w:t>
            </w:r>
            <w:r w:rsidR="008142C5" w:rsidRPr="008142C5">
              <w:rPr>
                <w:sz w:val="2"/>
                <w:highlight w:val="black"/>
              </w:rPr>
              <w:t>redacted content</w:t>
            </w:r>
            <w:r w:rsidR="00CD4265" w:rsidRPr="00B214C4">
              <w:t xml:space="preserve"> </w:t>
            </w:r>
            <w:r w:rsidR="008D20AE" w:rsidRPr="00B214C4">
              <w:t>/ $</w:t>
            </w:r>
            <w:r w:rsidR="008142C5" w:rsidRPr="008142C5">
              <w:rPr>
                <w:sz w:val="2"/>
                <w:highlight w:val="black"/>
              </w:rPr>
              <w:t>redacted content</w:t>
            </w:r>
          </w:p>
          <w:p w14:paraId="4BDC8924" w14:textId="7440BE42" w:rsidR="00CA6847" w:rsidRPr="000160C3" w:rsidRDefault="00667095" w:rsidP="001C47F4">
            <w:pPr>
              <w:pStyle w:val="COMTabletext"/>
              <w:keepNext w:val="0"/>
            </w:pPr>
            <w:r w:rsidRPr="00B214C4">
              <w:t>76</w:t>
            </w:r>
            <w:r w:rsidR="00844725" w:rsidRPr="00B214C4">
              <w:t xml:space="preserve"> mg: $</w:t>
            </w:r>
            <w:r w:rsidR="008142C5" w:rsidRPr="008142C5">
              <w:rPr>
                <w:sz w:val="2"/>
                <w:highlight w:val="black"/>
              </w:rPr>
              <w:t>redacted content</w:t>
            </w:r>
            <w:r w:rsidR="00CD4265" w:rsidRPr="00B214C4">
              <w:t xml:space="preserve"> </w:t>
            </w:r>
            <w:r w:rsidR="008D20AE" w:rsidRPr="00B214C4">
              <w:t>/ $</w:t>
            </w:r>
            <w:r w:rsidR="008142C5" w:rsidRPr="008142C5">
              <w:rPr>
                <w:sz w:val="2"/>
                <w:highlight w:val="black"/>
              </w:rPr>
              <w:t>redacted content</w:t>
            </w:r>
          </w:p>
        </w:tc>
        <w:tc>
          <w:tcPr>
            <w:tcW w:w="3656" w:type="dxa"/>
            <w:vAlign w:val="center"/>
          </w:tcPr>
          <w:p w14:paraId="09DF4F64" w14:textId="7852D7E4" w:rsidR="00BE5EBC" w:rsidRPr="000160C3" w:rsidRDefault="0047301A" w:rsidP="001C47F4">
            <w:pPr>
              <w:pStyle w:val="COMTabletext"/>
              <w:keepNext w:val="0"/>
            </w:pPr>
            <w:r w:rsidRPr="000160C3">
              <w:t>Neither t</w:t>
            </w:r>
            <w:r w:rsidR="00BE5EBC" w:rsidRPr="000160C3">
              <w:t xml:space="preserve">he published </w:t>
            </w:r>
            <w:r w:rsidRPr="000160C3">
              <w:t xml:space="preserve">nor effective </w:t>
            </w:r>
            <w:r w:rsidR="00BE5EBC" w:rsidRPr="000160C3">
              <w:t xml:space="preserve">price for elranatamab </w:t>
            </w:r>
            <w:r w:rsidR="004E4184">
              <w:t>were</w:t>
            </w:r>
            <w:r w:rsidR="004E4184" w:rsidRPr="000160C3">
              <w:t xml:space="preserve"> </w:t>
            </w:r>
            <w:r w:rsidR="00BE5EBC" w:rsidRPr="000160C3">
              <w:t>available</w:t>
            </w:r>
            <w:r w:rsidRPr="000160C3">
              <w:t>.</w:t>
            </w:r>
          </w:p>
          <w:p w14:paraId="48412034" w14:textId="77777777" w:rsidR="0095052A" w:rsidRPr="000160C3" w:rsidRDefault="0095052A" w:rsidP="001C47F4">
            <w:pPr>
              <w:pStyle w:val="COMTabletext"/>
              <w:keepNext w:val="0"/>
            </w:pPr>
          </w:p>
          <w:p w14:paraId="668609C2" w14:textId="2E23CF5A" w:rsidR="00BE5EBC" w:rsidRPr="000160C3" w:rsidRDefault="0095052A" w:rsidP="001C47F4">
            <w:pPr>
              <w:pStyle w:val="COMTabletext"/>
              <w:keepNext w:val="0"/>
            </w:pPr>
            <w:r w:rsidRPr="000160C3">
              <w:t xml:space="preserve">The price assumed is higher than the </w:t>
            </w:r>
            <w:r w:rsidR="00940DE2" w:rsidRPr="000160C3">
              <w:t xml:space="preserve">cost minimised </w:t>
            </w:r>
            <w:r w:rsidRPr="000160C3">
              <w:t xml:space="preserve">price calculated </w:t>
            </w:r>
            <w:r w:rsidR="00940DE2" w:rsidRPr="000160C3">
              <w:t xml:space="preserve">using </w:t>
            </w:r>
            <w:r w:rsidR="00940DE2" w:rsidRPr="00B214C4">
              <w:t>the proposed published price of teclistamab (</w:t>
            </w:r>
            <w:r w:rsidR="008D20AE" w:rsidRPr="00B214C4">
              <w:t xml:space="preserve">EMP </w:t>
            </w:r>
            <w:r w:rsidR="008D20AE" w:rsidRPr="00B214C4">
              <w:rPr>
                <w:szCs w:val="20"/>
              </w:rPr>
              <w:t>$</w:t>
            </w:r>
            <w:r w:rsidR="008142C5" w:rsidRPr="008142C5">
              <w:rPr>
                <w:sz w:val="2"/>
                <w:szCs w:val="20"/>
                <w:highlight w:val="black"/>
              </w:rPr>
              <w:t>redacted content</w:t>
            </w:r>
            <w:r w:rsidR="008142C5" w:rsidRPr="008142C5">
              <w:rPr>
                <w:szCs w:val="20"/>
              </w:rPr>
              <w:t xml:space="preserve"> </w:t>
            </w:r>
            <w:r w:rsidR="008D20AE" w:rsidRPr="000160C3">
              <w:rPr>
                <w:szCs w:val="20"/>
              </w:rPr>
              <w:t>for 76 mg</w:t>
            </w:r>
            <w:r w:rsidR="009D3316" w:rsidRPr="000160C3">
              <w:rPr>
                <w:szCs w:val="20"/>
              </w:rPr>
              <w:t xml:space="preserve">, see </w:t>
            </w:r>
            <w:r w:rsidR="00EA3DEA" w:rsidRPr="000160C3">
              <w:rPr>
                <w:szCs w:val="20"/>
                <w:highlight w:val="yellow"/>
              </w:rPr>
              <w:fldChar w:fldCharType="begin"/>
            </w:r>
            <w:r w:rsidR="00EA3DEA" w:rsidRPr="000160C3">
              <w:rPr>
                <w:szCs w:val="20"/>
              </w:rPr>
              <w:instrText xml:space="preserve"> REF _Ref219714914 \h </w:instrText>
            </w:r>
            <w:r w:rsidR="00222D49" w:rsidRPr="000160C3">
              <w:rPr>
                <w:szCs w:val="20"/>
                <w:highlight w:val="yellow"/>
              </w:rPr>
              <w:instrText xml:space="preserve"> \* MERGEFORMAT </w:instrText>
            </w:r>
            <w:r w:rsidR="00EA3DEA" w:rsidRPr="000160C3">
              <w:rPr>
                <w:szCs w:val="20"/>
                <w:highlight w:val="yellow"/>
              </w:rPr>
            </w:r>
            <w:r w:rsidR="00EA3DEA" w:rsidRPr="000160C3">
              <w:rPr>
                <w:szCs w:val="20"/>
                <w:highlight w:val="yellow"/>
              </w:rPr>
              <w:fldChar w:fldCharType="separate"/>
            </w:r>
            <w:r w:rsidR="001C47F4" w:rsidRPr="000160C3">
              <w:t xml:space="preserve">Table </w:t>
            </w:r>
            <w:r w:rsidR="001C47F4">
              <w:t>15</w:t>
            </w:r>
            <w:r w:rsidR="00EA3DEA" w:rsidRPr="000160C3">
              <w:rPr>
                <w:szCs w:val="20"/>
                <w:highlight w:val="yellow"/>
              </w:rPr>
              <w:fldChar w:fldCharType="end"/>
            </w:r>
            <w:r w:rsidR="008D20AE" w:rsidRPr="000160C3">
              <w:rPr>
                <w:szCs w:val="20"/>
              </w:rPr>
              <w:t>)</w:t>
            </w:r>
          </w:p>
        </w:tc>
      </w:tr>
    </w:tbl>
    <w:p w14:paraId="332172A7" w14:textId="77777777" w:rsidR="00BE5EBC" w:rsidRPr="000160C3" w:rsidRDefault="00BE5EBC" w:rsidP="001C47F4">
      <w:pPr>
        <w:pStyle w:val="FooterTableFigure"/>
        <w:rPr>
          <w:szCs w:val="18"/>
        </w:rPr>
      </w:pPr>
      <w:r w:rsidRPr="000160C3">
        <w:rPr>
          <w:szCs w:val="18"/>
        </w:rPr>
        <w:t xml:space="preserve">Source: Section 4, of the submission; Section 4 financial implications Excel workbook. </w:t>
      </w:r>
    </w:p>
    <w:p w14:paraId="25383CA6" w14:textId="0A71331A" w:rsidR="00BE5EBC" w:rsidRPr="000160C3" w:rsidRDefault="00BE5EBC" w:rsidP="001C47F4">
      <w:pPr>
        <w:pStyle w:val="FooterTableFigure"/>
        <w:rPr>
          <w:szCs w:val="18"/>
        </w:rPr>
      </w:pPr>
      <w:r w:rsidRPr="000160C3">
        <w:rPr>
          <w:szCs w:val="18"/>
        </w:rPr>
        <w:t xml:space="preserve">Abbreviations: </w:t>
      </w:r>
      <w:r w:rsidR="00330F08" w:rsidRPr="000160C3">
        <w:rPr>
          <w:szCs w:val="18"/>
        </w:rPr>
        <w:t>BCMA = B</w:t>
      </w:r>
      <w:r w:rsidR="00EC1990">
        <w:rPr>
          <w:szCs w:val="18"/>
        </w:rPr>
        <w:noBreakHyphen/>
      </w:r>
      <w:r w:rsidR="00330F08" w:rsidRPr="000160C3">
        <w:rPr>
          <w:szCs w:val="18"/>
        </w:rPr>
        <w:t xml:space="preserve">cell maturation antigen; </w:t>
      </w:r>
      <w:r w:rsidRPr="000160C3">
        <w:rPr>
          <w:szCs w:val="18"/>
        </w:rPr>
        <w:t>CAR</w:t>
      </w:r>
      <w:r w:rsidR="00EC1990">
        <w:rPr>
          <w:szCs w:val="18"/>
        </w:rPr>
        <w:noBreakHyphen/>
      </w:r>
      <w:r w:rsidRPr="000160C3">
        <w:rPr>
          <w:szCs w:val="18"/>
        </w:rPr>
        <w:t>T</w:t>
      </w:r>
      <w:r w:rsidR="00101D55" w:rsidRPr="000160C3">
        <w:rPr>
          <w:szCs w:val="18"/>
        </w:rPr>
        <w:t xml:space="preserve"> =</w:t>
      </w:r>
      <w:r w:rsidR="00EC1990">
        <w:rPr>
          <w:szCs w:val="18"/>
        </w:rPr>
        <w:t xml:space="preserve"> </w:t>
      </w:r>
      <w:r w:rsidRPr="000160C3">
        <w:rPr>
          <w:szCs w:val="18"/>
        </w:rPr>
        <w:t>Chimeric Antigen Receptor T</w:t>
      </w:r>
      <w:r w:rsidR="00EC1990">
        <w:rPr>
          <w:szCs w:val="18"/>
        </w:rPr>
        <w:noBreakHyphen/>
      </w:r>
      <w:r w:rsidRPr="000160C3">
        <w:rPr>
          <w:szCs w:val="18"/>
        </w:rPr>
        <w:t xml:space="preserve">cell; </w:t>
      </w:r>
      <w:r w:rsidR="00207B57" w:rsidRPr="000160C3">
        <w:rPr>
          <w:szCs w:val="18"/>
        </w:rPr>
        <w:t>CMA = cost</w:t>
      </w:r>
      <w:r w:rsidR="00EC1990">
        <w:rPr>
          <w:szCs w:val="18"/>
        </w:rPr>
        <w:noBreakHyphen/>
      </w:r>
      <w:r w:rsidR="00207B57" w:rsidRPr="000160C3">
        <w:rPr>
          <w:szCs w:val="18"/>
        </w:rPr>
        <w:t xml:space="preserve">minimisation analysis; </w:t>
      </w:r>
      <w:r w:rsidRPr="000160C3">
        <w:rPr>
          <w:szCs w:val="18"/>
        </w:rPr>
        <w:t>DUSC</w:t>
      </w:r>
      <w:r w:rsidR="00101D55" w:rsidRPr="000160C3">
        <w:rPr>
          <w:szCs w:val="18"/>
        </w:rPr>
        <w:t xml:space="preserve"> = </w:t>
      </w:r>
      <w:r w:rsidRPr="000160C3">
        <w:rPr>
          <w:szCs w:val="18"/>
        </w:rPr>
        <w:t>Drug Utilisation Sub</w:t>
      </w:r>
      <w:r w:rsidR="00EC1990">
        <w:rPr>
          <w:szCs w:val="18"/>
        </w:rPr>
        <w:noBreakHyphen/>
      </w:r>
      <w:r w:rsidRPr="000160C3">
        <w:rPr>
          <w:szCs w:val="18"/>
        </w:rPr>
        <w:t xml:space="preserve">Committee; </w:t>
      </w:r>
      <w:r w:rsidR="00207B57" w:rsidRPr="000160C3">
        <w:rPr>
          <w:szCs w:val="18"/>
        </w:rPr>
        <w:t>DPMQ = Dispensed Price for Maximum Quantity;</w:t>
      </w:r>
      <w:r w:rsidR="00207B57" w:rsidRPr="000160C3">
        <w:rPr>
          <w:b/>
          <w:bCs/>
          <w:szCs w:val="18"/>
        </w:rPr>
        <w:t xml:space="preserve"> </w:t>
      </w:r>
      <w:r w:rsidRPr="000160C3">
        <w:rPr>
          <w:szCs w:val="18"/>
        </w:rPr>
        <w:t>MBS</w:t>
      </w:r>
      <w:r w:rsidR="00101D55" w:rsidRPr="000160C3">
        <w:rPr>
          <w:szCs w:val="18"/>
        </w:rPr>
        <w:t xml:space="preserve"> =</w:t>
      </w:r>
      <w:r w:rsidRPr="000160C3">
        <w:rPr>
          <w:szCs w:val="18"/>
        </w:rPr>
        <w:t xml:space="preserve">Medicare Benefits Schedule; </w:t>
      </w:r>
      <w:r w:rsidR="00C62EE3" w:rsidRPr="000160C3">
        <w:rPr>
          <w:szCs w:val="18"/>
        </w:rPr>
        <w:t xml:space="preserve">MM= multiple myeloma; </w:t>
      </w:r>
      <w:r w:rsidR="008F5F3B" w:rsidRPr="000160C3">
        <w:rPr>
          <w:szCs w:val="18"/>
        </w:rPr>
        <w:t xml:space="preserve">MRDR = Myeloma and Related Disease Registry; </w:t>
      </w:r>
      <w:r w:rsidR="00207B57" w:rsidRPr="000160C3">
        <w:rPr>
          <w:szCs w:val="18"/>
        </w:rPr>
        <w:t xml:space="preserve">PBAC = </w:t>
      </w:r>
      <w:r w:rsidR="001917FA" w:rsidRPr="000160C3">
        <w:rPr>
          <w:szCs w:val="18"/>
        </w:rPr>
        <w:t xml:space="preserve">Pharmaceutical Benefits Advisory Committee; </w:t>
      </w:r>
      <w:r w:rsidR="00B348A1" w:rsidRPr="000160C3">
        <w:rPr>
          <w:szCs w:val="18"/>
        </w:rPr>
        <w:t>PBS = Pharmaceutical Benefits Scheme</w:t>
      </w:r>
      <w:r w:rsidR="003A18A5" w:rsidRPr="000160C3">
        <w:rPr>
          <w:szCs w:val="18"/>
        </w:rPr>
        <w:t xml:space="preserve">; </w:t>
      </w:r>
      <w:r w:rsidR="00726D6C" w:rsidRPr="000160C3">
        <w:rPr>
          <w:szCs w:val="18"/>
        </w:rPr>
        <w:t xml:space="preserve">PSD = public summary </w:t>
      </w:r>
      <w:r w:rsidR="00C62EE3" w:rsidRPr="000160C3">
        <w:rPr>
          <w:szCs w:val="18"/>
        </w:rPr>
        <w:t>document</w:t>
      </w:r>
      <w:r w:rsidR="00726D6C" w:rsidRPr="000160C3">
        <w:rPr>
          <w:szCs w:val="18"/>
        </w:rPr>
        <w:t xml:space="preserve">; </w:t>
      </w:r>
      <w:r w:rsidR="007E380C" w:rsidRPr="000160C3">
        <w:rPr>
          <w:szCs w:val="18"/>
        </w:rPr>
        <w:t xml:space="preserve">RDI = relative dose intensity; RRMM = </w:t>
      </w:r>
      <w:r w:rsidR="00A84E59" w:rsidRPr="000160C3">
        <w:rPr>
          <w:szCs w:val="18"/>
        </w:rPr>
        <w:t>r</w:t>
      </w:r>
      <w:r w:rsidR="005814F5" w:rsidRPr="000160C3">
        <w:rPr>
          <w:szCs w:val="18"/>
        </w:rPr>
        <w:t xml:space="preserve">elapsed refractory multiple myeloma; TCE = </w:t>
      </w:r>
      <w:r w:rsidR="00726D6C" w:rsidRPr="000160C3">
        <w:rPr>
          <w:szCs w:val="18"/>
        </w:rPr>
        <w:t>Triple</w:t>
      </w:r>
      <w:r w:rsidR="00EC1990">
        <w:rPr>
          <w:szCs w:val="18"/>
        </w:rPr>
        <w:noBreakHyphen/>
      </w:r>
      <w:r w:rsidR="00726D6C" w:rsidRPr="000160C3">
        <w:rPr>
          <w:szCs w:val="18"/>
        </w:rPr>
        <w:t xml:space="preserve">class exposed; </w:t>
      </w:r>
      <w:r w:rsidRPr="000160C3">
        <w:rPr>
          <w:szCs w:val="18"/>
        </w:rPr>
        <w:t>Yr</w:t>
      </w:r>
      <w:r w:rsidR="00BB6780" w:rsidRPr="000160C3">
        <w:rPr>
          <w:szCs w:val="18"/>
        </w:rPr>
        <w:t xml:space="preserve"> </w:t>
      </w:r>
      <w:r w:rsidR="008E2623" w:rsidRPr="000160C3">
        <w:rPr>
          <w:szCs w:val="18"/>
        </w:rPr>
        <w:t>=</w:t>
      </w:r>
      <w:r w:rsidR="00BB6780" w:rsidRPr="000160C3">
        <w:rPr>
          <w:szCs w:val="18"/>
        </w:rPr>
        <w:t xml:space="preserve"> </w:t>
      </w:r>
      <w:r w:rsidRPr="000160C3">
        <w:rPr>
          <w:szCs w:val="18"/>
        </w:rPr>
        <w:t>Year</w:t>
      </w:r>
      <w:r w:rsidR="008F5F3B" w:rsidRPr="000160C3">
        <w:rPr>
          <w:szCs w:val="18"/>
        </w:rPr>
        <w:t>; 4L</w:t>
      </w:r>
      <w:r w:rsidR="00BB6780" w:rsidRPr="000160C3">
        <w:rPr>
          <w:szCs w:val="18"/>
        </w:rPr>
        <w:t xml:space="preserve"> </w:t>
      </w:r>
      <w:r w:rsidR="008F5F3B" w:rsidRPr="000160C3">
        <w:rPr>
          <w:szCs w:val="18"/>
        </w:rPr>
        <w:t>= fourth</w:t>
      </w:r>
      <w:r w:rsidR="00EC1990">
        <w:rPr>
          <w:szCs w:val="18"/>
        </w:rPr>
        <w:noBreakHyphen/>
      </w:r>
      <w:r w:rsidR="008F5F3B" w:rsidRPr="000160C3">
        <w:rPr>
          <w:szCs w:val="18"/>
        </w:rPr>
        <w:t xml:space="preserve">line </w:t>
      </w:r>
    </w:p>
    <w:p w14:paraId="0E24812D" w14:textId="58A41C80" w:rsidR="00BE5EBC" w:rsidRPr="000160C3" w:rsidRDefault="00BE5EBC" w:rsidP="001C47F4">
      <w:pPr>
        <w:pStyle w:val="3-BodyText"/>
      </w:pPr>
      <w:r w:rsidRPr="000160C3">
        <w:t>The estimated number of scripts for teclistamab and elranatamab reflect</w:t>
      </w:r>
      <w:r w:rsidR="00CA269A" w:rsidRPr="000160C3">
        <w:t>ed</w:t>
      </w:r>
      <w:r w:rsidRPr="000160C3">
        <w:t xml:space="preserve"> the change in dosing frequenc</w:t>
      </w:r>
      <w:r w:rsidR="00CA269A" w:rsidRPr="000160C3">
        <w:t>ies</w:t>
      </w:r>
      <w:r w:rsidRPr="000160C3">
        <w:t xml:space="preserve"> over the average course of therapy (71 weeks) as per the assumptions applied in the CMA. </w:t>
      </w:r>
    </w:p>
    <w:p w14:paraId="5905B149" w14:textId="394F7268" w:rsidR="00D31E65" w:rsidRPr="000160C3" w:rsidRDefault="00BE5EBC" w:rsidP="001C47F4">
      <w:pPr>
        <w:pStyle w:val="3-BodyText"/>
      </w:pPr>
      <w:bookmarkStart w:id="66" w:name="_Ref225159272"/>
      <w:r w:rsidRPr="000160C3">
        <w:rPr>
          <w:iCs/>
        </w:rPr>
        <w:t xml:space="preserve">The proportion of patients and timing </w:t>
      </w:r>
      <w:r w:rsidR="00CA269A" w:rsidRPr="000160C3">
        <w:rPr>
          <w:iCs/>
        </w:rPr>
        <w:t xml:space="preserve">of switching </w:t>
      </w:r>
      <w:r w:rsidRPr="000160C3">
        <w:rPr>
          <w:iCs/>
        </w:rPr>
        <w:t>from QW to Q2W for teclistamab was consistent with the estimates applied in the CMA</w:t>
      </w:r>
      <w:r w:rsidRPr="000160C3">
        <w:rPr>
          <w:i/>
          <w:iCs/>
        </w:rPr>
        <w:t xml:space="preserve">. </w:t>
      </w:r>
      <w:r w:rsidRPr="000160C3">
        <w:t>However,</w:t>
      </w:r>
      <w:r w:rsidR="00AD1E44" w:rsidRPr="000160C3">
        <w:rPr>
          <w:i/>
          <w:iCs/>
        </w:rPr>
        <w:t xml:space="preserve"> </w:t>
      </w:r>
      <w:r w:rsidR="00AD1E44" w:rsidRPr="000160C3">
        <w:t>the</w:t>
      </w:r>
      <w:r w:rsidRPr="000160C3">
        <w:rPr>
          <w:i/>
          <w:iCs/>
        </w:rPr>
        <w:t xml:space="preserve"> </w:t>
      </w:r>
      <w:r w:rsidRPr="000160C3">
        <w:rPr>
          <w:szCs w:val="20"/>
        </w:rPr>
        <w:t xml:space="preserve">financial estimates model did not apply a linear increase in fortnightly dosing between </w:t>
      </w:r>
      <w:r w:rsidR="00DB0689" w:rsidRPr="000160C3">
        <w:rPr>
          <w:szCs w:val="20"/>
        </w:rPr>
        <w:t xml:space="preserve">Weeks </w:t>
      </w:r>
      <w:r w:rsidRPr="000160C3">
        <w:rPr>
          <w:szCs w:val="20"/>
        </w:rPr>
        <w:t>27 and 53 as per the assumption applied in the CMA</w:t>
      </w:r>
      <w:r w:rsidR="00F261EA" w:rsidRPr="000160C3">
        <w:rPr>
          <w:szCs w:val="20"/>
        </w:rPr>
        <w:t>.</w:t>
      </w:r>
      <w:r w:rsidR="00495E83" w:rsidRPr="000160C3">
        <w:rPr>
          <w:szCs w:val="20"/>
        </w:rPr>
        <w:t xml:space="preserve"> I</w:t>
      </w:r>
      <w:r w:rsidR="0014429F" w:rsidRPr="000160C3">
        <w:rPr>
          <w:szCs w:val="20"/>
        </w:rPr>
        <w:t>nstead</w:t>
      </w:r>
      <w:r w:rsidR="00495E83" w:rsidRPr="000160C3">
        <w:rPr>
          <w:szCs w:val="20"/>
        </w:rPr>
        <w:t>,</w:t>
      </w:r>
      <w:r w:rsidR="0014429F" w:rsidRPr="000160C3">
        <w:rPr>
          <w:szCs w:val="20"/>
        </w:rPr>
        <w:t xml:space="preserve"> </w:t>
      </w:r>
      <w:r w:rsidR="00F261EA" w:rsidRPr="000160C3">
        <w:rPr>
          <w:szCs w:val="20"/>
        </w:rPr>
        <w:t xml:space="preserve">the financial estimates model </w:t>
      </w:r>
      <w:r w:rsidRPr="000160C3">
        <w:rPr>
          <w:szCs w:val="20"/>
        </w:rPr>
        <w:t>was based on switch</w:t>
      </w:r>
      <w:r w:rsidR="0014429F" w:rsidRPr="000160C3">
        <w:rPr>
          <w:szCs w:val="20"/>
        </w:rPr>
        <w:t>ing</w:t>
      </w:r>
      <w:r w:rsidRPr="000160C3">
        <w:rPr>
          <w:szCs w:val="20"/>
        </w:rPr>
        <w:t xml:space="preserve"> to less frequent dosing at discrete time points (i.e. </w:t>
      </w:r>
      <w:r w:rsidR="00DB0689" w:rsidRPr="000160C3">
        <w:rPr>
          <w:szCs w:val="20"/>
        </w:rPr>
        <w:t xml:space="preserve">Week </w:t>
      </w:r>
      <w:r w:rsidRPr="000160C3">
        <w:rPr>
          <w:szCs w:val="20"/>
        </w:rPr>
        <w:t xml:space="preserve">27 and </w:t>
      </w:r>
      <w:r w:rsidR="00DB0689" w:rsidRPr="000160C3">
        <w:rPr>
          <w:szCs w:val="20"/>
        </w:rPr>
        <w:t xml:space="preserve">Week </w:t>
      </w:r>
      <w:r w:rsidRPr="000160C3">
        <w:rPr>
          <w:szCs w:val="20"/>
        </w:rPr>
        <w:t>53).</w:t>
      </w:r>
      <w:r w:rsidRPr="000160C3">
        <w:t xml:space="preserve"> </w:t>
      </w:r>
      <w:r w:rsidR="00FA3EB3" w:rsidRPr="000160C3">
        <w:t>This resulted in t</w:t>
      </w:r>
      <w:r w:rsidRPr="000160C3">
        <w:rPr>
          <w:szCs w:val="20"/>
        </w:rPr>
        <w:t xml:space="preserve">he </w:t>
      </w:r>
      <w:r w:rsidR="00075A31" w:rsidRPr="000160C3">
        <w:rPr>
          <w:szCs w:val="20"/>
        </w:rPr>
        <w:t xml:space="preserve">lower </w:t>
      </w:r>
      <w:r w:rsidRPr="000160C3">
        <w:rPr>
          <w:szCs w:val="20"/>
        </w:rPr>
        <w:t xml:space="preserve">number of teclistamab doses estimated in </w:t>
      </w:r>
      <w:r w:rsidR="00075A31" w:rsidRPr="000160C3">
        <w:rPr>
          <w:szCs w:val="20"/>
        </w:rPr>
        <w:t>the CMA</w:t>
      </w:r>
      <w:r w:rsidRPr="000160C3">
        <w:rPr>
          <w:szCs w:val="20"/>
        </w:rPr>
        <w:t xml:space="preserve"> (60.5) </w:t>
      </w:r>
      <w:r w:rsidR="00075A31" w:rsidRPr="000160C3">
        <w:rPr>
          <w:szCs w:val="20"/>
        </w:rPr>
        <w:t>compared to</w:t>
      </w:r>
      <w:r w:rsidRPr="000160C3">
        <w:rPr>
          <w:szCs w:val="20"/>
        </w:rPr>
        <w:t xml:space="preserve"> the number of doses applied in </w:t>
      </w:r>
      <w:r w:rsidR="00EA3C28" w:rsidRPr="000160C3">
        <w:rPr>
          <w:szCs w:val="20"/>
        </w:rPr>
        <w:t>the financial estimates model</w:t>
      </w:r>
      <w:r w:rsidR="009049A3" w:rsidRPr="000160C3">
        <w:rPr>
          <w:szCs w:val="20"/>
        </w:rPr>
        <w:t xml:space="preserve"> </w:t>
      </w:r>
      <w:r w:rsidRPr="000160C3">
        <w:rPr>
          <w:szCs w:val="20"/>
        </w:rPr>
        <w:t>(61.8)</w:t>
      </w:r>
      <w:r w:rsidRPr="000160C3">
        <w:t>.</w:t>
      </w:r>
      <w:bookmarkEnd w:id="66"/>
      <w:r w:rsidR="00EC1990">
        <w:rPr>
          <w:rFonts w:cstheme="minorHAnsi"/>
        </w:rPr>
        <w:t xml:space="preserve"> </w:t>
      </w:r>
    </w:p>
    <w:p w14:paraId="297C4AA1" w14:textId="1FC4667A" w:rsidR="00BE5EBC" w:rsidRPr="000160C3" w:rsidRDefault="00D31E65" w:rsidP="001C47F4">
      <w:pPr>
        <w:pStyle w:val="3-BodyText"/>
      </w:pPr>
      <w:r w:rsidRPr="000160C3">
        <w:rPr>
          <w:rFonts w:cstheme="minorHAnsi"/>
        </w:rPr>
        <w:t>T</w:t>
      </w:r>
      <w:r w:rsidR="00BE5EBC" w:rsidRPr="000160C3">
        <w:rPr>
          <w:rFonts w:cstheme="minorHAnsi"/>
        </w:rPr>
        <w:t>he net change in the number of prescriptions was likely underestimated as the submission applied the timepoint for switching from teclistamab QW to Q2W based on time to CR or better (6.47 months) which was substantially lower than the mean time to switch in Ma</w:t>
      </w:r>
      <w:r w:rsidR="0081280E" w:rsidRPr="000160C3">
        <w:rPr>
          <w:rFonts w:cstheme="minorHAnsi"/>
        </w:rPr>
        <w:t>j</w:t>
      </w:r>
      <w:r w:rsidR="00BE5EBC" w:rsidRPr="000160C3">
        <w:rPr>
          <w:rFonts w:cstheme="minorHAnsi"/>
        </w:rPr>
        <w:t>esTEC</w:t>
      </w:r>
      <w:r w:rsidR="00EC1990">
        <w:rPr>
          <w:rFonts w:cstheme="minorHAnsi"/>
        </w:rPr>
        <w:noBreakHyphen/>
      </w:r>
      <w:r w:rsidR="00BE5EBC" w:rsidRPr="000160C3">
        <w:rPr>
          <w:rFonts w:cstheme="minorHAnsi"/>
        </w:rPr>
        <w:t xml:space="preserve">1 (12.3 months) and was inconsistent with the recommendation for switching in the TGA </w:t>
      </w:r>
      <w:r w:rsidR="00A43E10" w:rsidRPr="000160C3">
        <w:rPr>
          <w:rFonts w:cstheme="minorHAnsi"/>
        </w:rPr>
        <w:t>PI</w:t>
      </w:r>
      <w:r w:rsidR="00BE5EBC" w:rsidRPr="000160C3">
        <w:rPr>
          <w:rFonts w:cstheme="minorHAnsi"/>
        </w:rPr>
        <w:t xml:space="preserve"> (</w:t>
      </w:r>
      <w:r w:rsidR="00BF525F" w:rsidRPr="000160C3">
        <w:rPr>
          <w:rFonts w:cstheme="minorHAnsi"/>
        </w:rPr>
        <w:t xml:space="preserve">see </w:t>
      </w:r>
      <w:r w:rsidR="00C54A04" w:rsidRPr="000160C3">
        <w:rPr>
          <w:rFonts w:cstheme="minorHAnsi"/>
        </w:rPr>
        <w:fldChar w:fldCharType="begin"/>
      </w:r>
      <w:r w:rsidR="00C54A04" w:rsidRPr="000160C3">
        <w:rPr>
          <w:rFonts w:cstheme="minorHAnsi"/>
        </w:rPr>
        <w:instrText xml:space="preserve"> REF _Ref215479821 \h </w:instrText>
      </w:r>
      <w:r w:rsidR="00064ECF" w:rsidRPr="000160C3">
        <w:rPr>
          <w:rFonts w:cstheme="minorHAnsi"/>
        </w:rPr>
        <w:instrText xml:space="preserve"> \* MERGEFORMAT </w:instrText>
      </w:r>
      <w:r w:rsidR="00C54A04" w:rsidRPr="000160C3">
        <w:rPr>
          <w:rFonts w:cstheme="minorHAnsi"/>
        </w:rPr>
      </w:r>
      <w:r w:rsidR="00C54A04" w:rsidRPr="000160C3">
        <w:rPr>
          <w:rFonts w:cstheme="minorHAnsi"/>
        </w:rPr>
        <w:fldChar w:fldCharType="separate"/>
      </w:r>
      <w:r w:rsidR="001C47F4" w:rsidRPr="000160C3">
        <w:t xml:space="preserve">Table </w:t>
      </w:r>
      <w:r w:rsidR="001C47F4">
        <w:t>1</w:t>
      </w:r>
      <w:r w:rsidR="00C54A04" w:rsidRPr="000160C3">
        <w:rPr>
          <w:rFonts w:cstheme="minorHAnsi"/>
        </w:rPr>
        <w:fldChar w:fldCharType="end"/>
      </w:r>
      <w:r w:rsidR="00BF525F" w:rsidRPr="000160C3">
        <w:rPr>
          <w:rFonts w:cstheme="minorHAnsi"/>
        </w:rPr>
        <w:t xml:space="preserve"> and</w:t>
      </w:r>
      <w:r w:rsidR="00B30C33" w:rsidRPr="000160C3">
        <w:rPr>
          <w:rFonts w:cstheme="minorHAnsi"/>
        </w:rPr>
        <w:t xml:space="preserve"> paragraph </w:t>
      </w:r>
      <w:r w:rsidR="00B30C33" w:rsidRPr="000160C3">
        <w:rPr>
          <w:rFonts w:cstheme="minorHAnsi"/>
        </w:rPr>
        <w:fldChar w:fldCharType="begin"/>
      </w:r>
      <w:r w:rsidR="00B30C33" w:rsidRPr="000160C3">
        <w:rPr>
          <w:rFonts w:cstheme="minorHAnsi"/>
        </w:rPr>
        <w:instrText xml:space="preserve"> REF _Ref221265433 \r \h </w:instrText>
      </w:r>
      <w:r w:rsidR="00B30C33" w:rsidRPr="000160C3">
        <w:rPr>
          <w:rFonts w:cstheme="minorHAnsi"/>
        </w:rPr>
      </w:r>
      <w:r w:rsidR="00B30C33" w:rsidRPr="000160C3">
        <w:rPr>
          <w:rFonts w:cstheme="minorHAnsi"/>
        </w:rPr>
        <w:fldChar w:fldCharType="separate"/>
      </w:r>
      <w:r w:rsidR="00D44478">
        <w:rPr>
          <w:rFonts w:cstheme="minorHAnsi"/>
        </w:rPr>
        <w:t>6.51</w:t>
      </w:r>
      <w:r w:rsidR="00B30C33" w:rsidRPr="000160C3">
        <w:rPr>
          <w:rFonts w:cstheme="minorHAnsi"/>
        </w:rPr>
        <w:fldChar w:fldCharType="end"/>
      </w:r>
      <w:r w:rsidR="00BE5EBC" w:rsidRPr="000160C3">
        <w:rPr>
          <w:rFonts w:cstheme="minorHAnsi"/>
        </w:rPr>
        <w:t xml:space="preserve">). </w:t>
      </w:r>
    </w:p>
    <w:p w14:paraId="7C274402" w14:textId="10CBA032" w:rsidR="00DC7CDE" w:rsidRPr="000160C3" w:rsidRDefault="00BE5EBC" w:rsidP="001C47F4">
      <w:pPr>
        <w:pStyle w:val="3-BodyText"/>
      </w:pPr>
      <w:bookmarkStart w:id="67" w:name="_Ref225152854"/>
      <w:r w:rsidRPr="000160C3">
        <w:t xml:space="preserve">The proportion of patients and timing </w:t>
      </w:r>
      <w:r w:rsidR="001F532E" w:rsidRPr="000160C3">
        <w:t>of switching</w:t>
      </w:r>
      <w:r w:rsidRPr="000160C3">
        <w:t xml:space="preserve"> to less frequent dosing for elranatamab was consistent with the estimates applied in the CMA. </w:t>
      </w:r>
      <w:r w:rsidR="00DC7CDE" w:rsidRPr="000160C3">
        <w:t xml:space="preserve">However, the </w:t>
      </w:r>
      <w:r w:rsidR="00246C23">
        <w:t xml:space="preserve">economic model and </w:t>
      </w:r>
      <w:r w:rsidR="00DC7CDE" w:rsidRPr="000160C3">
        <w:t>financial estimates considered by the PBAC in March 2025 assumed that all patients receive elranatamab weekly in the first 24 weeks, every 2 weeks from Week 25 to Week 48, and every 4 weeks from Week 49 onwards (see Table</w:t>
      </w:r>
      <w:r w:rsidR="007222C8">
        <w:t>s 2 and</w:t>
      </w:r>
      <w:r w:rsidR="00DC7CDE" w:rsidRPr="000160C3">
        <w:t xml:space="preserve"> 18, elranatamab PSD, March 2025 PBAC meeting).</w:t>
      </w:r>
      <w:bookmarkEnd w:id="67"/>
    </w:p>
    <w:p w14:paraId="2047CD92" w14:textId="23AC8D87" w:rsidR="00BE5EBC" w:rsidRPr="000160C3" w:rsidRDefault="00BE5EBC" w:rsidP="001C47F4">
      <w:pPr>
        <w:pStyle w:val="3-BodyText"/>
        <w:rPr>
          <w:i/>
          <w:iCs/>
        </w:rPr>
      </w:pPr>
      <w:r w:rsidRPr="000160C3">
        <w:t>The mean number of elranatamab doses (60.5) was less than the number of doses of teclistamab (61.5).</w:t>
      </w:r>
      <w:r w:rsidRPr="000160C3">
        <w:rPr>
          <w:i/>
          <w:iCs/>
        </w:rPr>
        <w:t xml:space="preserve"> </w:t>
      </w:r>
      <w:r w:rsidRPr="000160C3">
        <w:t xml:space="preserve">The submission stated that the number of elranatamab scripts affected by the proposed listing was lower than the increase in teclistamab scripts, due to </w:t>
      </w:r>
      <w:r w:rsidR="002E4FB1" w:rsidRPr="000160C3">
        <w:t xml:space="preserve">the </w:t>
      </w:r>
      <w:r w:rsidRPr="000160C3">
        <w:t xml:space="preserve">less frequent dosing </w:t>
      </w:r>
      <w:r w:rsidR="002E4FB1" w:rsidRPr="000160C3">
        <w:t xml:space="preserve">of elranatamab </w:t>
      </w:r>
      <w:r w:rsidRPr="000160C3">
        <w:t>(Q4W), and lower compliance rate (79.12%) compared to teclistamab.</w:t>
      </w:r>
    </w:p>
    <w:p w14:paraId="3B030563" w14:textId="5863937A" w:rsidR="00386E4A" w:rsidRPr="000160C3" w:rsidRDefault="00386E4A" w:rsidP="001C47F4">
      <w:pPr>
        <w:pStyle w:val="COMTableheadingrow"/>
        <w:rPr>
          <w:lang w:val="en-AU"/>
        </w:rPr>
      </w:pPr>
      <w:bookmarkStart w:id="68" w:name="_Ref104805295"/>
      <w:r w:rsidRPr="000160C3">
        <w:rPr>
          <w:lang w:val="en-AU"/>
        </w:rPr>
        <w:lastRenderedPageBreak/>
        <w:t xml:space="preserve">Table </w:t>
      </w:r>
      <w:r w:rsidRPr="000160C3">
        <w:rPr>
          <w:lang w:val="en-AU"/>
        </w:rPr>
        <w:fldChar w:fldCharType="begin"/>
      </w:r>
      <w:r w:rsidRPr="000160C3">
        <w:rPr>
          <w:lang w:val="en-AU"/>
        </w:rPr>
        <w:instrText xml:space="preserve"> SEQ Table \* ARABIC </w:instrText>
      </w:r>
      <w:r w:rsidRPr="000160C3">
        <w:rPr>
          <w:lang w:val="en-AU"/>
        </w:rPr>
        <w:fldChar w:fldCharType="separate"/>
      </w:r>
      <w:r w:rsidR="001C47F4">
        <w:rPr>
          <w:noProof/>
          <w:lang w:val="en-AU"/>
        </w:rPr>
        <w:t>19</w:t>
      </w:r>
      <w:r w:rsidRPr="000160C3">
        <w:rPr>
          <w:lang w:val="en-AU"/>
        </w:rPr>
        <w:fldChar w:fldCharType="end"/>
      </w:r>
      <w:bookmarkEnd w:id="68"/>
      <w:r w:rsidRPr="000160C3">
        <w:rPr>
          <w:lang w:val="en-AU"/>
        </w:rPr>
        <w:t>: Estimated use and financial implications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Estimated use and financial implications"/>
      </w:tblPr>
      <w:tblGrid>
        <w:gridCol w:w="2279"/>
        <w:gridCol w:w="1083"/>
        <w:gridCol w:w="1083"/>
        <w:gridCol w:w="1119"/>
        <w:gridCol w:w="1226"/>
        <w:gridCol w:w="1155"/>
        <w:gridCol w:w="1122"/>
      </w:tblGrid>
      <w:tr w:rsidR="002E42C4" w:rsidRPr="000160C3" w14:paraId="4804A8F7" w14:textId="77777777" w:rsidTr="00491A61">
        <w:trPr>
          <w:tblHeader/>
        </w:trPr>
        <w:tc>
          <w:tcPr>
            <w:tcW w:w="1257" w:type="pct"/>
            <w:vAlign w:val="center"/>
          </w:tcPr>
          <w:p w14:paraId="7DF285E5" w14:textId="77777777" w:rsidR="00386E4A" w:rsidRPr="000160C3" w:rsidRDefault="00386E4A" w:rsidP="001C47F4">
            <w:pPr>
              <w:pStyle w:val="COMTabletext"/>
              <w:rPr>
                <w:b/>
                <w:bCs w:val="0"/>
              </w:rPr>
            </w:pPr>
          </w:p>
        </w:tc>
        <w:tc>
          <w:tcPr>
            <w:tcW w:w="597" w:type="pct"/>
            <w:vAlign w:val="center"/>
          </w:tcPr>
          <w:p w14:paraId="5C07A7B6" w14:textId="77777777" w:rsidR="00386E4A" w:rsidRPr="000160C3" w:rsidRDefault="00386E4A" w:rsidP="001C47F4">
            <w:pPr>
              <w:pStyle w:val="COMTabletext"/>
              <w:jc w:val="center"/>
              <w:rPr>
                <w:b/>
                <w:bCs w:val="0"/>
              </w:rPr>
            </w:pPr>
            <w:r w:rsidRPr="000160C3">
              <w:rPr>
                <w:b/>
                <w:bCs w:val="0"/>
              </w:rPr>
              <w:t>Year 1</w:t>
            </w:r>
          </w:p>
        </w:tc>
        <w:tc>
          <w:tcPr>
            <w:tcW w:w="597" w:type="pct"/>
            <w:vAlign w:val="center"/>
          </w:tcPr>
          <w:p w14:paraId="2CB9E52F" w14:textId="77777777" w:rsidR="00386E4A" w:rsidRPr="000160C3" w:rsidRDefault="00386E4A" w:rsidP="001C47F4">
            <w:pPr>
              <w:pStyle w:val="COMTabletext"/>
              <w:jc w:val="center"/>
              <w:rPr>
                <w:b/>
                <w:bCs w:val="0"/>
              </w:rPr>
            </w:pPr>
            <w:r w:rsidRPr="000160C3">
              <w:rPr>
                <w:b/>
                <w:bCs w:val="0"/>
              </w:rPr>
              <w:t>Year 2</w:t>
            </w:r>
          </w:p>
        </w:tc>
        <w:tc>
          <w:tcPr>
            <w:tcW w:w="617" w:type="pct"/>
            <w:vAlign w:val="center"/>
          </w:tcPr>
          <w:p w14:paraId="7299FD69" w14:textId="77777777" w:rsidR="00386E4A" w:rsidRPr="000160C3" w:rsidRDefault="00386E4A" w:rsidP="001C47F4">
            <w:pPr>
              <w:pStyle w:val="COMTabletext"/>
              <w:jc w:val="center"/>
              <w:rPr>
                <w:b/>
                <w:bCs w:val="0"/>
              </w:rPr>
            </w:pPr>
            <w:r w:rsidRPr="000160C3">
              <w:rPr>
                <w:b/>
                <w:bCs w:val="0"/>
              </w:rPr>
              <w:t>Year 3</w:t>
            </w:r>
          </w:p>
        </w:tc>
        <w:tc>
          <w:tcPr>
            <w:tcW w:w="676" w:type="pct"/>
            <w:vAlign w:val="center"/>
          </w:tcPr>
          <w:p w14:paraId="189B8DF9" w14:textId="77777777" w:rsidR="00386E4A" w:rsidRPr="000160C3" w:rsidRDefault="00386E4A" w:rsidP="001C47F4">
            <w:pPr>
              <w:pStyle w:val="COMTabletext"/>
              <w:jc w:val="center"/>
              <w:rPr>
                <w:b/>
                <w:bCs w:val="0"/>
              </w:rPr>
            </w:pPr>
            <w:r w:rsidRPr="000160C3">
              <w:rPr>
                <w:b/>
                <w:bCs w:val="0"/>
              </w:rPr>
              <w:t>Year 4</w:t>
            </w:r>
          </w:p>
        </w:tc>
        <w:tc>
          <w:tcPr>
            <w:tcW w:w="637" w:type="pct"/>
            <w:vAlign w:val="center"/>
          </w:tcPr>
          <w:p w14:paraId="22A2416E" w14:textId="77777777" w:rsidR="00386E4A" w:rsidRPr="000160C3" w:rsidRDefault="00386E4A" w:rsidP="001C47F4">
            <w:pPr>
              <w:pStyle w:val="COMTabletext"/>
              <w:jc w:val="center"/>
              <w:rPr>
                <w:b/>
                <w:bCs w:val="0"/>
              </w:rPr>
            </w:pPr>
            <w:r w:rsidRPr="000160C3">
              <w:rPr>
                <w:b/>
                <w:bCs w:val="0"/>
              </w:rPr>
              <w:t>Year 5</w:t>
            </w:r>
          </w:p>
        </w:tc>
        <w:tc>
          <w:tcPr>
            <w:tcW w:w="620" w:type="pct"/>
            <w:vAlign w:val="center"/>
          </w:tcPr>
          <w:p w14:paraId="45B4E6BD" w14:textId="77777777" w:rsidR="00386E4A" w:rsidRPr="000160C3" w:rsidRDefault="00386E4A" w:rsidP="001C47F4">
            <w:pPr>
              <w:pStyle w:val="COMTabletext"/>
              <w:jc w:val="center"/>
              <w:rPr>
                <w:b/>
                <w:bCs w:val="0"/>
              </w:rPr>
            </w:pPr>
            <w:r w:rsidRPr="000160C3">
              <w:rPr>
                <w:b/>
                <w:bCs w:val="0"/>
              </w:rPr>
              <w:t>Year 6</w:t>
            </w:r>
          </w:p>
        </w:tc>
      </w:tr>
      <w:tr w:rsidR="00386E4A" w:rsidRPr="000160C3" w14:paraId="385EB0F6" w14:textId="77777777" w:rsidTr="00491A61">
        <w:tc>
          <w:tcPr>
            <w:tcW w:w="5000" w:type="pct"/>
            <w:gridSpan w:val="7"/>
            <w:vAlign w:val="center"/>
          </w:tcPr>
          <w:p w14:paraId="75D2F06E" w14:textId="77777777" w:rsidR="00386E4A" w:rsidRPr="000160C3" w:rsidRDefault="00386E4A" w:rsidP="001C47F4">
            <w:pPr>
              <w:pStyle w:val="COMTabletext"/>
              <w:rPr>
                <w:b/>
                <w:bCs w:val="0"/>
              </w:rPr>
            </w:pPr>
            <w:r w:rsidRPr="000160C3">
              <w:rPr>
                <w:b/>
                <w:bCs w:val="0"/>
              </w:rPr>
              <w:t>Estimated extent of use</w:t>
            </w:r>
          </w:p>
        </w:tc>
      </w:tr>
      <w:tr w:rsidR="002E42C4" w:rsidRPr="000160C3" w14:paraId="7456BED8" w14:textId="77777777" w:rsidTr="00491A61">
        <w:tc>
          <w:tcPr>
            <w:tcW w:w="1257" w:type="pct"/>
            <w:vAlign w:val="center"/>
          </w:tcPr>
          <w:p w14:paraId="379083A4" w14:textId="68597562" w:rsidR="003E2706" w:rsidRPr="000160C3" w:rsidRDefault="003E2706" w:rsidP="001C47F4">
            <w:pPr>
              <w:pStyle w:val="COMTabletext"/>
            </w:pPr>
            <w:r w:rsidRPr="000160C3">
              <w:t>Number of patients treated</w:t>
            </w:r>
            <w:r>
              <w:t>, total market</w:t>
            </w:r>
          </w:p>
        </w:tc>
        <w:tc>
          <w:tcPr>
            <w:tcW w:w="597" w:type="pct"/>
            <w:vAlign w:val="center"/>
          </w:tcPr>
          <w:p w14:paraId="3E16F116" w14:textId="75D4B08B" w:rsidR="003E2706" w:rsidRPr="00DD1CEE" w:rsidRDefault="008142C5" w:rsidP="001C47F4">
            <w:pPr>
              <w:pStyle w:val="COMTabletext"/>
              <w:jc w:val="center"/>
              <w:rPr>
                <w:vertAlign w:val="superscript"/>
              </w:rPr>
            </w:pPr>
            <w:r w:rsidRPr="008142C5">
              <w:rPr>
                <w:sz w:val="2"/>
                <w:highlight w:val="black"/>
              </w:rPr>
              <w:t>redacted content</w:t>
            </w:r>
            <w:r w:rsidR="00DD1CEE">
              <w:rPr>
                <w:vertAlign w:val="superscript"/>
              </w:rPr>
              <w:t>1</w:t>
            </w:r>
          </w:p>
        </w:tc>
        <w:tc>
          <w:tcPr>
            <w:tcW w:w="597" w:type="pct"/>
            <w:vAlign w:val="center"/>
          </w:tcPr>
          <w:p w14:paraId="112BAFEA" w14:textId="560016F6" w:rsidR="003E2706" w:rsidRPr="00DB53EC" w:rsidRDefault="008142C5" w:rsidP="001C47F4">
            <w:pPr>
              <w:pStyle w:val="COMTabletext"/>
              <w:jc w:val="center"/>
              <w:rPr>
                <w:vertAlign w:val="superscript"/>
              </w:rPr>
            </w:pPr>
            <w:r w:rsidRPr="008142C5">
              <w:rPr>
                <w:sz w:val="2"/>
                <w:highlight w:val="black"/>
              </w:rPr>
              <w:t>redacted content</w:t>
            </w:r>
            <w:r w:rsidR="00DB53EC">
              <w:rPr>
                <w:vertAlign w:val="superscript"/>
              </w:rPr>
              <w:t>2</w:t>
            </w:r>
          </w:p>
        </w:tc>
        <w:tc>
          <w:tcPr>
            <w:tcW w:w="617" w:type="pct"/>
            <w:vAlign w:val="center"/>
          </w:tcPr>
          <w:p w14:paraId="54084C18" w14:textId="617497B2" w:rsidR="003E2706" w:rsidRPr="00DB53EC" w:rsidRDefault="008142C5" w:rsidP="001C47F4">
            <w:pPr>
              <w:pStyle w:val="COMTabletext"/>
              <w:jc w:val="center"/>
              <w:rPr>
                <w:vertAlign w:val="superscript"/>
              </w:rPr>
            </w:pPr>
            <w:r w:rsidRPr="008142C5">
              <w:rPr>
                <w:sz w:val="2"/>
                <w:highlight w:val="black"/>
              </w:rPr>
              <w:t>redacted content</w:t>
            </w:r>
            <w:r w:rsidR="00DB53EC">
              <w:rPr>
                <w:vertAlign w:val="superscript"/>
              </w:rPr>
              <w:t>2</w:t>
            </w:r>
          </w:p>
        </w:tc>
        <w:tc>
          <w:tcPr>
            <w:tcW w:w="676" w:type="pct"/>
            <w:vAlign w:val="center"/>
          </w:tcPr>
          <w:p w14:paraId="5D5C1560" w14:textId="18D552FC" w:rsidR="003E2706" w:rsidRPr="00DB53EC" w:rsidRDefault="008142C5" w:rsidP="001C47F4">
            <w:pPr>
              <w:pStyle w:val="COMTabletext"/>
              <w:jc w:val="center"/>
              <w:rPr>
                <w:vertAlign w:val="superscript"/>
              </w:rPr>
            </w:pPr>
            <w:r w:rsidRPr="008142C5">
              <w:rPr>
                <w:sz w:val="2"/>
                <w:highlight w:val="black"/>
              </w:rPr>
              <w:t>redacted content</w:t>
            </w:r>
            <w:r w:rsidR="00DB53EC">
              <w:rPr>
                <w:vertAlign w:val="superscript"/>
              </w:rPr>
              <w:t>2</w:t>
            </w:r>
          </w:p>
        </w:tc>
        <w:tc>
          <w:tcPr>
            <w:tcW w:w="637" w:type="pct"/>
            <w:vAlign w:val="center"/>
          </w:tcPr>
          <w:p w14:paraId="30ACE9DB" w14:textId="26730513" w:rsidR="003E2706" w:rsidRPr="00DB53EC" w:rsidRDefault="008142C5" w:rsidP="001C47F4">
            <w:pPr>
              <w:pStyle w:val="COMTabletext"/>
              <w:jc w:val="center"/>
              <w:rPr>
                <w:vertAlign w:val="superscript"/>
              </w:rPr>
            </w:pPr>
            <w:r w:rsidRPr="008142C5">
              <w:rPr>
                <w:sz w:val="2"/>
                <w:highlight w:val="black"/>
              </w:rPr>
              <w:t>redacted content</w:t>
            </w:r>
            <w:r w:rsidR="00DB53EC">
              <w:rPr>
                <w:vertAlign w:val="superscript"/>
              </w:rPr>
              <w:t>2</w:t>
            </w:r>
          </w:p>
        </w:tc>
        <w:tc>
          <w:tcPr>
            <w:tcW w:w="620" w:type="pct"/>
            <w:vAlign w:val="center"/>
          </w:tcPr>
          <w:p w14:paraId="74943233" w14:textId="199C6975" w:rsidR="003E2706" w:rsidRPr="00DB53EC" w:rsidRDefault="008142C5" w:rsidP="001C47F4">
            <w:pPr>
              <w:pStyle w:val="COMTabletext"/>
              <w:jc w:val="center"/>
              <w:rPr>
                <w:vertAlign w:val="superscript"/>
              </w:rPr>
            </w:pPr>
            <w:r w:rsidRPr="008142C5">
              <w:rPr>
                <w:sz w:val="2"/>
                <w:highlight w:val="black"/>
              </w:rPr>
              <w:t>redacted content</w:t>
            </w:r>
            <w:r w:rsidR="00DB53EC">
              <w:rPr>
                <w:vertAlign w:val="superscript"/>
              </w:rPr>
              <w:t>2</w:t>
            </w:r>
          </w:p>
        </w:tc>
      </w:tr>
      <w:tr w:rsidR="002E42C4" w:rsidRPr="000160C3" w14:paraId="040204B8" w14:textId="77777777" w:rsidTr="00491A61">
        <w:tc>
          <w:tcPr>
            <w:tcW w:w="1257" w:type="pct"/>
            <w:vAlign w:val="center"/>
          </w:tcPr>
          <w:p w14:paraId="23B790BB" w14:textId="3E376085" w:rsidR="00E87441" w:rsidRPr="000160C3" w:rsidRDefault="00E87441" w:rsidP="001C47F4">
            <w:pPr>
              <w:pStyle w:val="COMTabletext"/>
              <w:rPr>
                <w:rFonts w:ascii="Times" w:hAnsi="Times"/>
              </w:rPr>
            </w:pPr>
            <w:r w:rsidRPr="000160C3">
              <w:t>Number of patients treated</w:t>
            </w:r>
            <w:r w:rsidR="003E2706">
              <w:t>, teclistamab</w:t>
            </w:r>
          </w:p>
        </w:tc>
        <w:tc>
          <w:tcPr>
            <w:tcW w:w="597" w:type="pct"/>
            <w:vAlign w:val="center"/>
          </w:tcPr>
          <w:p w14:paraId="543814B9" w14:textId="60C17225" w:rsidR="00E87441" w:rsidRPr="00DD1CEE" w:rsidRDefault="008142C5" w:rsidP="001C47F4">
            <w:pPr>
              <w:pStyle w:val="COMTabletext"/>
              <w:jc w:val="center"/>
              <w:rPr>
                <w:vertAlign w:val="superscript"/>
              </w:rPr>
            </w:pPr>
            <w:r w:rsidRPr="008142C5">
              <w:rPr>
                <w:sz w:val="2"/>
                <w:highlight w:val="black"/>
              </w:rPr>
              <w:t>redacted content</w:t>
            </w:r>
            <w:r w:rsidR="00DD1CEE">
              <w:rPr>
                <w:vertAlign w:val="superscript"/>
              </w:rPr>
              <w:t>1</w:t>
            </w:r>
          </w:p>
        </w:tc>
        <w:tc>
          <w:tcPr>
            <w:tcW w:w="597" w:type="pct"/>
            <w:vAlign w:val="center"/>
          </w:tcPr>
          <w:p w14:paraId="067FDF4B" w14:textId="039FC585" w:rsidR="00E87441" w:rsidRPr="00DD1CEE" w:rsidRDefault="008142C5" w:rsidP="001C47F4">
            <w:pPr>
              <w:pStyle w:val="COMTabletext"/>
              <w:jc w:val="center"/>
              <w:rPr>
                <w:vertAlign w:val="superscript"/>
              </w:rPr>
            </w:pPr>
            <w:r w:rsidRPr="008142C5">
              <w:rPr>
                <w:sz w:val="2"/>
                <w:highlight w:val="black"/>
              </w:rPr>
              <w:t>redacted content</w:t>
            </w:r>
            <w:r w:rsidR="00DD1CEE">
              <w:rPr>
                <w:vertAlign w:val="superscript"/>
              </w:rPr>
              <w:t>1</w:t>
            </w:r>
          </w:p>
        </w:tc>
        <w:tc>
          <w:tcPr>
            <w:tcW w:w="617" w:type="pct"/>
            <w:vAlign w:val="center"/>
          </w:tcPr>
          <w:p w14:paraId="72A5EACD" w14:textId="1749D65A" w:rsidR="00E87441" w:rsidRPr="00DD1CEE" w:rsidRDefault="008142C5" w:rsidP="001C47F4">
            <w:pPr>
              <w:pStyle w:val="COMTabletext"/>
              <w:jc w:val="center"/>
              <w:rPr>
                <w:vertAlign w:val="superscript"/>
              </w:rPr>
            </w:pPr>
            <w:r w:rsidRPr="008142C5">
              <w:rPr>
                <w:sz w:val="2"/>
                <w:highlight w:val="black"/>
              </w:rPr>
              <w:t>redacted content</w:t>
            </w:r>
            <w:r w:rsidR="00DD1CEE">
              <w:rPr>
                <w:vertAlign w:val="superscript"/>
              </w:rPr>
              <w:t>1</w:t>
            </w:r>
          </w:p>
        </w:tc>
        <w:tc>
          <w:tcPr>
            <w:tcW w:w="676" w:type="pct"/>
            <w:vAlign w:val="center"/>
          </w:tcPr>
          <w:p w14:paraId="622DC144" w14:textId="4B942C54" w:rsidR="00E87441" w:rsidRPr="00DD1CEE" w:rsidRDefault="008142C5" w:rsidP="001C47F4">
            <w:pPr>
              <w:pStyle w:val="COMTabletext"/>
              <w:jc w:val="center"/>
              <w:rPr>
                <w:vertAlign w:val="superscript"/>
              </w:rPr>
            </w:pPr>
            <w:r w:rsidRPr="008142C5">
              <w:rPr>
                <w:sz w:val="2"/>
                <w:highlight w:val="black"/>
              </w:rPr>
              <w:t>redacted content</w:t>
            </w:r>
            <w:r w:rsidR="00DD1CEE">
              <w:rPr>
                <w:vertAlign w:val="superscript"/>
              </w:rPr>
              <w:t>1</w:t>
            </w:r>
          </w:p>
        </w:tc>
        <w:tc>
          <w:tcPr>
            <w:tcW w:w="637" w:type="pct"/>
            <w:vAlign w:val="center"/>
          </w:tcPr>
          <w:p w14:paraId="105C4538" w14:textId="4CC18E97" w:rsidR="00E87441" w:rsidRPr="00DD1CEE" w:rsidRDefault="008142C5" w:rsidP="001C47F4">
            <w:pPr>
              <w:pStyle w:val="COMTabletext"/>
              <w:jc w:val="center"/>
              <w:rPr>
                <w:vertAlign w:val="superscript"/>
              </w:rPr>
            </w:pPr>
            <w:r w:rsidRPr="008142C5">
              <w:rPr>
                <w:sz w:val="2"/>
                <w:highlight w:val="black"/>
              </w:rPr>
              <w:t>redacted content</w:t>
            </w:r>
            <w:r w:rsidR="00DD1CEE">
              <w:rPr>
                <w:vertAlign w:val="superscript"/>
              </w:rPr>
              <w:t>1</w:t>
            </w:r>
          </w:p>
        </w:tc>
        <w:tc>
          <w:tcPr>
            <w:tcW w:w="620" w:type="pct"/>
            <w:vAlign w:val="center"/>
          </w:tcPr>
          <w:p w14:paraId="3ED81DF5" w14:textId="54D326E8" w:rsidR="00E87441" w:rsidRPr="00DD1CEE" w:rsidRDefault="008142C5" w:rsidP="001C47F4">
            <w:pPr>
              <w:pStyle w:val="COMTabletext"/>
              <w:jc w:val="center"/>
              <w:rPr>
                <w:vertAlign w:val="superscript"/>
              </w:rPr>
            </w:pPr>
            <w:r w:rsidRPr="008142C5">
              <w:rPr>
                <w:sz w:val="2"/>
                <w:highlight w:val="black"/>
              </w:rPr>
              <w:t>redacted content</w:t>
            </w:r>
            <w:r w:rsidR="00DD1CEE">
              <w:rPr>
                <w:vertAlign w:val="superscript"/>
              </w:rPr>
              <w:t>1</w:t>
            </w:r>
          </w:p>
        </w:tc>
      </w:tr>
      <w:tr w:rsidR="002E42C4" w:rsidRPr="000160C3" w14:paraId="06EE2249" w14:textId="77777777" w:rsidTr="00491A61">
        <w:tc>
          <w:tcPr>
            <w:tcW w:w="1257" w:type="pct"/>
          </w:tcPr>
          <w:p w14:paraId="5C7BA99C" w14:textId="29DB8A7D" w:rsidR="00E87441" w:rsidRPr="000160C3" w:rsidRDefault="00E87441" w:rsidP="001C47F4">
            <w:pPr>
              <w:pStyle w:val="COMTabletext"/>
            </w:pPr>
            <w:r w:rsidRPr="000160C3">
              <w:t>Teclistamab scripts</w:t>
            </w:r>
          </w:p>
        </w:tc>
        <w:tc>
          <w:tcPr>
            <w:tcW w:w="597" w:type="pct"/>
            <w:vAlign w:val="center"/>
          </w:tcPr>
          <w:p w14:paraId="0F26AA4E" w14:textId="65F3188D" w:rsidR="00E87441" w:rsidRPr="00835FC0" w:rsidRDefault="008142C5" w:rsidP="001C47F4">
            <w:pPr>
              <w:pStyle w:val="COMTabletext"/>
              <w:jc w:val="center"/>
              <w:rPr>
                <w:vertAlign w:val="superscript"/>
              </w:rPr>
            </w:pPr>
            <w:r w:rsidRPr="008142C5">
              <w:rPr>
                <w:sz w:val="2"/>
                <w:szCs w:val="20"/>
                <w:highlight w:val="black"/>
              </w:rPr>
              <w:t>redacted content</w:t>
            </w:r>
            <w:r w:rsidR="00835FC0">
              <w:rPr>
                <w:szCs w:val="20"/>
                <w:vertAlign w:val="superscript"/>
              </w:rPr>
              <w:t>3</w:t>
            </w:r>
          </w:p>
        </w:tc>
        <w:tc>
          <w:tcPr>
            <w:tcW w:w="597" w:type="pct"/>
            <w:vAlign w:val="center"/>
          </w:tcPr>
          <w:p w14:paraId="596023A3" w14:textId="6EAC7991" w:rsidR="00E87441" w:rsidRPr="004906A5" w:rsidRDefault="008142C5" w:rsidP="001C47F4">
            <w:pPr>
              <w:pStyle w:val="COMTabletext"/>
              <w:jc w:val="center"/>
              <w:rPr>
                <w:vertAlign w:val="superscript"/>
              </w:rPr>
            </w:pPr>
            <w:r w:rsidRPr="008142C5">
              <w:rPr>
                <w:sz w:val="2"/>
                <w:szCs w:val="20"/>
                <w:highlight w:val="black"/>
              </w:rPr>
              <w:t>redacted content</w:t>
            </w:r>
            <w:r w:rsidR="004906A5">
              <w:rPr>
                <w:szCs w:val="20"/>
                <w:vertAlign w:val="superscript"/>
              </w:rPr>
              <w:t>4</w:t>
            </w:r>
          </w:p>
        </w:tc>
        <w:tc>
          <w:tcPr>
            <w:tcW w:w="617" w:type="pct"/>
            <w:vAlign w:val="center"/>
          </w:tcPr>
          <w:p w14:paraId="584411FC" w14:textId="1F9E22B2" w:rsidR="00E87441" w:rsidRPr="004906A5" w:rsidRDefault="008142C5" w:rsidP="001C47F4">
            <w:pPr>
              <w:pStyle w:val="COMTabletext"/>
              <w:jc w:val="center"/>
              <w:rPr>
                <w:vertAlign w:val="superscript"/>
              </w:rPr>
            </w:pPr>
            <w:r w:rsidRPr="008142C5">
              <w:rPr>
                <w:sz w:val="2"/>
                <w:szCs w:val="20"/>
                <w:highlight w:val="black"/>
              </w:rPr>
              <w:t>redacted content</w:t>
            </w:r>
            <w:r w:rsidR="004906A5">
              <w:rPr>
                <w:szCs w:val="20"/>
                <w:vertAlign w:val="superscript"/>
              </w:rPr>
              <w:t>4</w:t>
            </w:r>
          </w:p>
        </w:tc>
        <w:tc>
          <w:tcPr>
            <w:tcW w:w="676" w:type="pct"/>
            <w:vAlign w:val="center"/>
          </w:tcPr>
          <w:p w14:paraId="4672CE5B" w14:textId="42C2D327" w:rsidR="00E87441" w:rsidRPr="00914A1B" w:rsidRDefault="008142C5" w:rsidP="001C47F4">
            <w:pPr>
              <w:pStyle w:val="COMTabletext"/>
              <w:jc w:val="center"/>
              <w:rPr>
                <w:vertAlign w:val="superscript"/>
              </w:rPr>
            </w:pPr>
            <w:r w:rsidRPr="008142C5">
              <w:rPr>
                <w:sz w:val="2"/>
                <w:szCs w:val="20"/>
                <w:highlight w:val="black"/>
              </w:rPr>
              <w:t>redacted content</w:t>
            </w:r>
            <w:r w:rsidR="00914A1B">
              <w:rPr>
                <w:szCs w:val="20"/>
                <w:vertAlign w:val="superscript"/>
              </w:rPr>
              <w:t>5</w:t>
            </w:r>
          </w:p>
        </w:tc>
        <w:tc>
          <w:tcPr>
            <w:tcW w:w="637" w:type="pct"/>
            <w:vAlign w:val="center"/>
          </w:tcPr>
          <w:p w14:paraId="3D6362C8" w14:textId="654A502A" w:rsidR="00E87441" w:rsidRPr="00914A1B" w:rsidRDefault="008142C5" w:rsidP="001C47F4">
            <w:pPr>
              <w:pStyle w:val="COMTabletext"/>
              <w:jc w:val="center"/>
              <w:rPr>
                <w:vertAlign w:val="superscript"/>
              </w:rPr>
            </w:pPr>
            <w:r w:rsidRPr="008142C5">
              <w:rPr>
                <w:sz w:val="2"/>
                <w:szCs w:val="20"/>
                <w:highlight w:val="black"/>
              </w:rPr>
              <w:t>redacted content</w:t>
            </w:r>
            <w:r w:rsidR="00914A1B">
              <w:rPr>
                <w:szCs w:val="20"/>
                <w:vertAlign w:val="superscript"/>
              </w:rPr>
              <w:t>5</w:t>
            </w:r>
          </w:p>
        </w:tc>
        <w:tc>
          <w:tcPr>
            <w:tcW w:w="620" w:type="pct"/>
            <w:vAlign w:val="center"/>
          </w:tcPr>
          <w:p w14:paraId="28D177D0" w14:textId="5EA95DB5" w:rsidR="00E87441" w:rsidRPr="00914A1B" w:rsidRDefault="008142C5" w:rsidP="001C47F4">
            <w:pPr>
              <w:pStyle w:val="COMTabletext"/>
              <w:jc w:val="center"/>
              <w:rPr>
                <w:vertAlign w:val="superscript"/>
              </w:rPr>
            </w:pPr>
            <w:r w:rsidRPr="008142C5">
              <w:rPr>
                <w:sz w:val="2"/>
                <w:szCs w:val="20"/>
                <w:highlight w:val="black"/>
              </w:rPr>
              <w:t>redacted content</w:t>
            </w:r>
            <w:r w:rsidR="00914A1B">
              <w:rPr>
                <w:szCs w:val="20"/>
                <w:vertAlign w:val="superscript"/>
              </w:rPr>
              <w:t>5</w:t>
            </w:r>
          </w:p>
        </w:tc>
      </w:tr>
      <w:tr w:rsidR="002E42C4" w:rsidRPr="000160C3" w14:paraId="1FCEB3F7" w14:textId="77777777" w:rsidTr="00491A61">
        <w:tc>
          <w:tcPr>
            <w:tcW w:w="1257" w:type="pct"/>
          </w:tcPr>
          <w:p w14:paraId="334B9802" w14:textId="19F89AC6" w:rsidR="00521E37" w:rsidRPr="000160C3" w:rsidRDefault="00521E37" w:rsidP="001C47F4">
            <w:pPr>
              <w:pStyle w:val="COMTabletext"/>
            </w:pPr>
            <w:r w:rsidRPr="000160C3">
              <w:t>Elranatamab scripts</w:t>
            </w:r>
          </w:p>
        </w:tc>
        <w:tc>
          <w:tcPr>
            <w:tcW w:w="597" w:type="pct"/>
            <w:vAlign w:val="center"/>
          </w:tcPr>
          <w:p w14:paraId="76136289" w14:textId="29363C64" w:rsidR="00521E37" w:rsidRPr="00835FC0" w:rsidRDefault="00EC1990" w:rsidP="001C47F4">
            <w:pPr>
              <w:pStyle w:val="COMTabletext"/>
              <w:jc w:val="center"/>
              <w:rPr>
                <w:vertAlign w:val="superscript"/>
              </w:rPr>
            </w:pPr>
            <w:r>
              <w:rPr>
                <w:szCs w:val="20"/>
              </w:rPr>
              <w:noBreakHyphen/>
            </w:r>
            <w:r w:rsidR="008142C5" w:rsidRPr="008142C5">
              <w:rPr>
                <w:sz w:val="2"/>
                <w:szCs w:val="20"/>
                <w:highlight w:val="black"/>
              </w:rPr>
              <w:t>redacted content</w:t>
            </w:r>
            <w:r w:rsidR="00835FC0">
              <w:rPr>
                <w:szCs w:val="20"/>
                <w:vertAlign w:val="superscript"/>
              </w:rPr>
              <w:t>3</w:t>
            </w:r>
          </w:p>
        </w:tc>
        <w:tc>
          <w:tcPr>
            <w:tcW w:w="597" w:type="pct"/>
            <w:vAlign w:val="center"/>
          </w:tcPr>
          <w:p w14:paraId="60B80B7E" w14:textId="3BCA4BDA" w:rsidR="00521E37" w:rsidRPr="004906A5" w:rsidRDefault="00EC1990" w:rsidP="001C47F4">
            <w:pPr>
              <w:pStyle w:val="COMTabletext"/>
              <w:jc w:val="center"/>
              <w:rPr>
                <w:vertAlign w:val="superscript"/>
              </w:rPr>
            </w:pPr>
            <w:r>
              <w:rPr>
                <w:szCs w:val="20"/>
              </w:rPr>
              <w:noBreakHyphen/>
            </w:r>
            <w:r w:rsidR="008142C5" w:rsidRPr="008142C5">
              <w:rPr>
                <w:sz w:val="2"/>
                <w:szCs w:val="20"/>
                <w:highlight w:val="black"/>
              </w:rPr>
              <w:t>redacted content</w:t>
            </w:r>
            <w:r w:rsidR="004906A5">
              <w:rPr>
                <w:szCs w:val="20"/>
                <w:vertAlign w:val="superscript"/>
              </w:rPr>
              <w:t>4</w:t>
            </w:r>
          </w:p>
        </w:tc>
        <w:tc>
          <w:tcPr>
            <w:tcW w:w="617" w:type="pct"/>
            <w:vAlign w:val="center"/>
          </w:tcPr>
          <w:p w14:paraId="0F9DC601" w14:textId="7A953571" w:rsidR="00521E37" w:rsidRPr="004906A5" w:rsidRDefault="00EC1990" w:rsidP="001C47F4">
            <w:pPr>
              <w:pStyle w:val="COMTabletext"/>
              <w:jc w:val="center"/>
              <w:rPr>
                <w:vertAlign w:val="superscript"/>
              </w:rPr>
            </w:pPr>
            <w:r>
              <w:rPr>
                <w:szCs w:val="20"/>
              </w:rPr>
              <w:noBreakHyphen/>
            </w:r>
            <w:r w:rsidR="008142C5" w:rsidRPr="008142C5">
              <w:rPr>
                <w:sz w:val="2"/>
                <w:szCs w:val="20"/>
                <w:highlight w:val="black"/>
              </w:rPr>
              <w:t>redacted content</w:t>
            </w:r>
            <w:r w:rsidR="004906A5">
              <w:rPr>
                <w:szCs w:val="20"/>
                <w:vertAlign w:val="superscript"/>
              </w:rPr>
              <w:t>4</w:t>
            </w:r>
          </w:p>
        </w:tc>
        <w:tc>
          <w:tcPr>
            <w:tcW w:w="676" w:type="pct"/>
            <w:vAlign w:val="center"/>
          </w:tcPr>
          <w:p w14:paraId="32C1D70D" w14:textId="56E09492" w:rsidR="00521E37" w:rsidRPr="004906A5" w:rsidRDefault="00EC1990" w:rsidP="001C47F4">
            <w:pPr>
              <w:pStyle w:val="COMTabletext"/>
              <w:jc w:val="center"/>
              <w:rPr>
                <w:vertAlign w:val="superscript"/>
              </w:rPr>
            </w:pPr>
            <w:r>
              <w:rPr>
                <w:szCs w:val="20"/>
              </w:rPr>
              <w:noBreakHyphen/>
            </w:r>
            <w:r w:rsidR="008142C5" w:rsidRPr="008142C5">
              <w:rPr>
                <w:sz w:val="2"/>
                <w:szCs w:val="20"/>
                <w:highlight w:val="black"/>
              </w:rPr>
              <w:t>redacted content</w:t>
            </w:r>
            <w:r w:rsidR="004906A5">
              <w:rPr>
                <w:szCs w:val="20"/>
                <w:vertAlign w:val="superscript"/>
              </w:rPr>
              <w:t>4</w:t>
            </w:r>
          </w:p>
        </w:tc>
        <w:tc>
          <w:tcPr>
            <w:tcW w:w="637" w:type="pct"/>
            <w:vAlign w:val="center"/>
          </w:tcPr>
          <w:p w14:paraId="5163DA86" w14:textId="0CC6FD83" w:rsidR="00521E37" w:rsidRPr="00914A1B" w:rsidRDefault="00EC1990" w:rsidP="001C47F4">
            <w:pPr>
              <w:pStyle w:val="COMTabletext"/>
              <w:jc w:val="center"/>
              <w:rPr>
                <w:vertAlign w:val="superscript"/>
              </w:rPr>
            </w:pPr>
            <w:r>
              <w:rPr>
                <w:szCs w:val="20"/>
              </w:rPr>
              <w:noBreakHyphen/>
            </w:r>
            <w:r w:rsidR="008142C5" w:rsidRPr="008142C5">
              <w:rPr>
                <w:sz w:val="2"/>
                <w:szCs w:val="20"/>
                <w:highlight w:val="black"/>
              </w:rPr>
              <w:t>redacted content</w:t>
            </w:r>
            <w:r w:rsidR="00914A1B">
              <w:rPr>
                <w:szCs w:val="20"/>
                <w:vertAlign w:val="superscript"/>
              </w:rPr>
              <w:t>5</w:t>
            </w:r>
          </w:p>
        </w:tc>
        <w:tc>
          <w:tcPr>
            <w:tcW w:w="620" w:type="pct"/>
            <w:vAlign w:val="center"/>
          </w:tcPr>
          <w:p w14:paraId="7EC3277C" w14:textId="74B46364" w:rsidR="00521E37" w:rsidRPr="00914A1B" w:rsidRDefault="00EC1990" w:rsidP="001C47F4">
            <w:pPr>
              <w:pStyle w:val="COMTabletext"/>
              <w:jc w:val="center"/>
              <w:rPr>
                <w:vertAlign w:val="superscript"/>
              </w:rPr>
            </w:pPr>
            <w:r>
              <w:rPr>
                <w:szCs w:val="20"/>
              </w:rPr>
              <w:noBreakHyphen/>
            </w:r>
            <w:r w:rsidR="008142C5" w:rsidRPr="008142C5">
              <w:rPr>
                <w:sz w:val="2"/>
                <w:szCs w:val="20"/>
                <w:highlight w:val="black"/>
              </w:rPr>
              <w:t>redacted content</w:t>
            </w:r>
            <w:r w:rsidR="00914A1B">
              <w:rPr>
                <w:szCs w:val="20"/>
                <w:vertAlign w:val="superscript"/>
              </w:rPr>
              <w:t>5</w:t>
            </w:r>
          </w:p>
        </w:tc>
      </w:tr>
      <w:tr w:rsidR="00386E4A" w:rsidRPr="000160C3" w14:paraId="7DBFC8EC" w14:textId="77777777" w:rsidTr="00491A61">
        <w:tc>
          <w:tcPr>
            <w:tcW w:w="5000" w:type="pct"/>
            <w:gridSpan w:val="7"/>
            <w:vAlign w:val="center"/>
          </w:tcPr>
          <w:p w14:paraId="57DABE35" w14:textId="386F5FD9" w:rsidR="00386E4A" w:rsidRPr="000160C3" w:rsidRDefault="00386E4A" w:rsidP="001C47F4">
            <w:pPr>
              <w:pStyle w:val="COMTabletext"/>
              <w:rPr>
                <w:b/>
                <w:bCs w:val="0"/>
              </w:rPr>
            </w:pPr>
            <w:r w:rsidRPr="000160C3">
              <w:rPr>
                <w:b/>
                <w:bCs w:val="0"/>
              </w:rPr>
              <w:t xml:space="preserve">Estimated financial implications of </w:t>
            </w:r>
            <w:r w:rsidR="00BD135C" w:rsidRPr="000160C3">
              <w:rPr>
                <w:b/>
                <w:bCs w:val="0"/>
              </w:rPr>
              <w:t>teclistamab</w:t>
            </w:r>
          </w:p>
        </w:tc>
      </w:tr>
      <w:tr w:rsidR="002E42C4" w:rsidRPr="000160C3" w14:paraId="146A8909" w14:textId="77777777" w:rsidTr="00491A61">
        <w:tc>
          <w:tcPr>
            <w:tcW w:w="1257" w:type="pct"/>
            <w:vAlign w:val="center"/>
          </w:tcPr>
          <w:p w14:paraId="418C057D" w14:textId="77777777" w:rsidR="00E87441" w:rsidRPr="000160C3" w:rsidRDefault="00E87441" w:rsidP="001C47F4">
            <w:pPr>
              <w:pStyle w:val="COMTabletext"/>
            </w:pPr>
            <w:r w:rsidRPr="000160C3">
              <w:t>Cost to PBS/RPBS less copayments</w:t>
            </w:r>
          </w:p>
        </w:tc>
        <w:tc>
          <w:tcPr>
            <w:tcW w:w="597" w:type="pct"/>
            <w:vAlign w:val="center"/>
          </w:tcPr>
          <w:p w14:paraId="33BB5AB6" w14:textId="478C18CE" w:rsidR="00E87441" w:rsidRPr="007974E5" w:rsidRDefault="00E87441" w:rsidP="001C47F4">
            <w:pPr>
              <w:pStyle w:val="COMTabletext"/>
              <w:jc w:val="center"/>
              <w:rPr>
                <w:vertAlign w:val="superscript"/>
              </w:rPr>
            </w:pPr>
            <w:r w:rsidRPr="000160C3">
              <w:rPr>
                <w:szCs w:val="20"/>
              </w:rPr>
              <w:t>$</w:t>
            </w:r>
            <w:r w:rsidR="008142C5" w:rsidRPr="008142C5">
              <w:rPr>
                <w:sz w:val="2"/>
                <w:szCs w:val="20"/>
                <w:highlight w:val="black"/>
              </w:rPr>
              <w:t>redacted content</w:t>
            </w:r>
            <w:r w:rsidR="007974E5">
              <w:rPr>
                <w:szCs w:val="20"/>
                <w:vertAlign w:val="superscript"/>
              </w:rPr>
              <w:t>5</w:t>
            </w:r>
          </w:p>
        </w:tc>
        <w:tc>
          <w:tcPr>
            <w:tcW w:w="597" w:type="pct"/>
            <w:vAlign w:val="center"/>
          </w:tcPr>
          <w:p w14:paraId="3593CAD7" w14:textId="7B098344" w:rsidR="00E87441" w:rsidRPr="006E7113" w:rsidRDefault="00E87441" w:rsidP="001C47F4">
            <w:pPr>
              <w:pStyle w:val="COMTabletext"/>
              <w:jc w:val="center"/>
              <w:rPr>
                <w:vertAlign w:val="superscript"/>
              </w:rPr>
            </w:pPr>
            <w:r w:rsidRPr="000160C3">
              <w:rPr>
                <w:szCs w:val="20"/>
              </w:rPr>
              <w:t>$</w:t>
            </w:r>
            <w:r w:rsidR="008142C5" w:rsidRPr="008142C5">
              <w:rPr>
                <w:sz w:val="2"/>
                <w:szCs w:val="20"/>
                <w:highlight w:val="black"/>
              </w:rPr>
              <w:t>redacted content</w:t>
            </w:r>
            <w:r w:rsidR="006E7113">
              <w:rPr>
                <w:szCs w:val="20"/>
                <w:vertAlign w:val="superscript"/>
              </w:rPr>
              <w:t>6</w:t>
            </w:r>
          </w:p>
        </w:tc>
        <w:tc>
          <w:tcPr>
            <w:tcW w:w="617" w:type="pct"/>
            <w:vAlign w:val="center"/>
          </w:tcPr>
          <w:p w14:paraId="01D961F7" w14:textId="3EDCD89F" w:rsidR="00E87441" w:rsidRPr="00C16271" w:rsidRDefault="00E87441" w:rsidP="001C47F4">
            <w:pPr>
              <w:pStyle w:val="COMTabletext"/>
              <w:jc w:val="center"/>
              <w:rPr>
                <w:vertAlign w:val="superscript"/>
              </w:rPr>
            </w:pPr>
            <w:r w:rsidRPr="000160C3">
              <w:rPr>
                <w:szCs w:val="20"/>
              </w:rPr>
              <w:t>$</w:t>
            </w:r>
            <w:r w:rsidR="008142C5" w:rsidRPr="008142C5">
              <w:rPr>
                <w:sz w:val="2"/>
                <w:szCs w:val="20"/>
                <w:highlight w:val="black"/>
              </w:rPr>
              <w:t>redacted content</w:t>
            </w:r>
            <w:r w:rsidR="00C16271">
              <w:rPr>
                <w:szCs w:val="20"/>
                <w:vertAlign w:val="superscript"/>
              </w:rPr>
              <w:t>7</w:t>
            </w:r>
          </w:p>
        </w:tc>
        <w:tc>
          <w:tcPr>
            <w:tcW w:w="676" w:type="pct"/>
            <w:vAlign w:val="center"/>
          </w:tcPr>
          <w:p w14:paraId="0B8FFBA1" w14:textId="75FA0E06" w:rsidR="00E87441" w:rsidRPr="00C16271" w:rsidRDefault="00E87441" w:rsidP="001C47F4">
            <w:pPr>
              <w:pStyle w:val="COMTabletext"/>
              <w:jc w:val="center"/>
              <w:rPr>
                <w:vertAlign w:val="superscript"/>
              </w:rPr>
            </w:pPr>
            <w:r w:rsidRPr="000160C3">
              <w:rPr>
                <w:szCs w:val="20"/>
              </w:rPr>
              <w:t>$</w:t>
            </w:r>
            <w:r w:rsidR="008142C5" w:rsidRPr="008142C5">
              <w:rPr>
                <w:sz w:val="2"/>
                <w:szCs w:val="20"/>
                <w:highlight w:val="black"/>
              </w:rPr>
              <w:t>redacted content</w:t>
            </w:r>
            <w:r w:rsidR="00C16271">
              <w:rPr>
                <w:szCs w:val="20"/>
                <w:vertAlign w:val="superscript"/>
              </w:rPr>
              <w:t>7</w:t>
            </w:r>
          </w:p>
        </w:tc>
        <w:tc>
          <w:tcPr>
            <w:tcW w:w="637" w:type="pct"/>
            <w:vAlign w:val="center"/>
          </w:tcPr>
          <w:p w14:paraId="2DB4FA20" w14:textId="2BB292E9" w:rsidR="00E87441" w:rsidRPr="00C16271" w:rsidRDefault="00E87441" w:rsidP="001C47F4">
            <w:pPr>
              <w:pStyle w:val="COMTabletext"/>
              <w:jc w:val="center"/>
              <w:rPr>
                <w:vertAlign w:val="superscript"/>
              </w:rPr>
            </w:pPr>
            <w:r w:rsidRPr="000160C3">
              <w:rPr>
                <w:szCs w:val="20"/>
              </w:rPr>
              <w:t>$</w:t>
            </w:r>
            <w:r w:rsidR="008142C5" w:rsidRPr="008142C5">
              <w:rPr>
                <w:sz w:val="2"/>
                <w:szCs w:val="20"/>
                <w:highlight w:val="black"/>
              </w:rPr>
              <w:t>redacted content</w:t>
            </w:r>
            <w:r w:rsidR="00C16271">
              <w:rPr>
                <w:szCs w:val="20"/>
                <w:vertAlign w:val="superscript"/>
              </w:rPr>
              <w:t>7</w:t>
            </w:r>
          </w:p>
        </w:tc>
        <w:tc>
          <w:tcPr>
            <w:tcW w:w="620" w:type="pct"/>
            <w:vAlign w:val="center"/>
          </w:tcPr>
          <w:p w14:paraId="12EC75A9" w14:textId="213D8E83" w:rsidR="00E87441" w:rsidRPr="00C16271" w:rsidRDefault="00E87441" w:rsidP="001C47F4">
            <w:pPr>
              <w:pStyle w:val="COMTabletext"/>
              <w:jc w:val="center"/>
              <w:rPr>
                <w:vertAlign w:val="superscript"/>
              </w:rPr>
            </w:pPr>
            <w:r w:rsidRPr="000160C3">
              <w:rPr>
                <w:szCs w:val="20"/>
              </w:rPr>
              <w:t>$</w:t>
            </w:r>
            <w:r w:rsidR="008142C5" w:rsidRPr="008142C5">
              <w:rPr>
                <w:sz w:val="2"/>
                <w:szCs w:val="20"/>
                <w:highlight w:val="black"/>
              </w:rPr>
              <w:t>redacted content</w:t>
            </w:r>
            <w:r w:rsidR="00C16271">
              <w:rPr>
                <w:szCs w:val="20"/>
                <w:vertAlign w:val="superscript"/>
              </w:rPr>
              <w:t>7</w:t>
            </w:r>
          </w:p>
        </w:tc>
      </w:tr>
      <w:tr w:rsidR="00386E4A" w:rsidRPr="000160C3" w14:paraId="6B6D4744" w14:textId="77777777" w:rsidTr="00491A61">
        <w:tc>
          <w:tcPr>
            <w:tcW w:w="5000" w:type="pct"/>
            <w:gridSpan w:val="7"/>
            <w:vAlign w:val="center"/>
          </w:tcPr>
          <w:p w14:paraId="5617D5AE" w14:textId="05980EA1" w:rsidR="00386E4A" w:rsidRPr="000160C3" w:rsidRDefault="00386E4A" w:rsidP="001C47F4">
            <w:pPr>
              <w:pStyle w:val="COMTabletext"/>
              <w:rPr>
                <w:b/>
                <w:bCs w:val="0"/>
              </w:rPr>
            </w:pPr>
            <w:r w:rsidRPr="000160C3">
              <w:rPr>
                <w:b/>
                <w:bCs w:val="0"/>
              </w:rPr>
              <w:t>Estimated financial implications for</w:t>
            </w:r>
            <w:r w:rsidR="00BD135C" w:rsidRPr="000160C3">
              <w:rPr>
                <w:b/>
                <w:bCs w:val="0"/>
              </w:rPr>
              <w:t xml:space="preserve"> elranatamab</w:t>
            </w:r>
          </w:p>
        </w:tc>
      </w:tr>
      <w:tr w:rsidR="002E42C4" w:rsidRPr="000160C3" w14:paraId="35D96C5D" w14:textId="77777777" w:rsidTr="00491A61">
        <w:tc>
          <w:tcPr>
            <w:tcW w:w="1257" w:type="pct"/>
            <w:vAlign w:val="center"/>
          </w:tcPr>
          <w:p w14:paraId="5A53F622" w14:textId="77777777" w:rsidR="00E87441" w:rsidRPr="000160C3" w:rsidRDefault="00E87441" w:rsidP="001C47F4">
            <w:pPr>
              <w:pStyle w:val="COMTabletext"/>
            </w:pPr>
            <w:r w:rsidRPr="000160C3">
              <w:t>Cost offset to PBS/RPBS less copayments</w:t>
            </w:r>
          </w:p>
        </w:tc>
        <w:tc>
          <w:tcPr>
            <w:tcW w:w="597" w:type="pct"/>
            <w:vAlign w:val="center"/>
          </w:tcPr>
          <w:p w14:paraId="62166EE9" w14:textId="6F63D936" w:rsidR="00E87441" w:rsidRPr="002E42C4" w:rsidRDefault="00EC1990" w:rsidP="008142C5">
            <w:pPr>
              <w:pStyle w:val="COMTabletext"/>
              <w:jc w:val="center"/>
              <w:rPr>
                <w:vertAlign w:val="superscript"/>
              </w:rPr>
            </w:pPr>
            <w:r>
              <w:rPr>
                <w:szCs w:val="20"/>
              </w:rPr>
              <w:noBreakHyphen/>
            </w:r>
            <w:r w:rsidR="00E87441" w:rsidRPr="000160C3">
              <w:rPr>
                <w:szCs w:val="20"/>
              </w:rPr>
              <w:t>$</w:t>
            </w:r>
            <w:r w:rsidR="008142C5" w:rsidRPr="008142C5">
              <w:rPr>
                <w:sz w:val="2"/>
                <w:szCs w:val="20"/>
                <w:highlight w:val="black"/>
              </w:rPr>
              <w:t>redacted content</w:t>
            </w:r>
            <w:r w:rsidR="002E42C4">
              <w:rPr>
                <w:szCs w:val="20"/>
                <w:vertAlign w:val="superscript"/>
              </w:rPr>
              <w:t>8</w:t>
            </w:r>
          </w:p>
        </w:tc>
        <w:tc>
          <w:tcPr>
            <w:tcW w:w="597" w:type="pct"/>
            <w:vAlign w:val="center"/>
          </w:tcPr>
          <w:p w14:paraId="11A9C474" w14:textId="5D648115" w:rsidR="00E87441" w:rsidRPr="002E42C4" w:rsidRDefault="00EC1990" w:rsidP="008142C5">
            <w:pPr>
              <w:pStyle w:val="COMTabletext"/>
              <w:jc w:val="center"/>
              <w:rPr>
                <w:vertAlign w:val="superscript"/>
              </w:rPr>
            </w:pPr>
            <w:r>
              <w:rPr>
                <w:szCs w:val="20"/>
              </w:rPr>
              <w:noBreakHyphen/>
            </w:r>
            <w:r w:rsidR="00E87441" w:rsidRPr="000160C3">
              <w:rPr>
                <w:szCs w:val="20"/>
              </w:rPr>
              <w:t>$</w:t>
            </w:r>
            <w:r w:rsidR="008142C5" w:rsidRPr="008142C5">
              <w:rPr>
                <w:sz w:val="2"/>
                <w:szCs w:val="20"/>
                <w:highlight w:val="black"/>
              </w:rPr>
              <w:t>redacted conten</w:t>
            </w:r>
            <w:r w:rsidR="002E42C4">
              <w:rPr>
                <w:szCs w:val="20"/>
                <w:vertAlign w:val="superscript"/>
              </w:rPr>
              <w:t>8</w:t>
            </w:r>
          </w:p>
        </w:tc>
        <w:tc>
          <w:tcPr>
            <w:tcW w:w="617" w:type="pct"/>
            <w:vAlign w:val="center"/>
          </w:tcPr>
          <w:p w14:paraId="38E24785" w14:textId="4745B39E" w:rsidR="00E87441" w:rsidRPr="008142C5" w:rsidRDefault="00EC1990" w:rsidP="008142C5">
            <w:pPr>
              <w:pStyle w:val="COMTabletext"/>
              <w:jc w:val="center"/>
              <w:rPr>
                <w:szCs w:val="20"/>
              </w:rPr>
            </w:pPr>
            <w:r>
              <w:rPr>
                <w:szCs w:val="20"/>
              </w:rPr>
              <w:noBreakHyphen/>
            </w:r>
            <w:r w:rsidR="00E87441" w:rsidRPr="000160C3">
              <w:rPr>
                <w:szCs w:val="20"/>
              </w:rPr>
              <w:t>$</w:t>
            </w:r>
            <w:r w:rsidR="008142C5" w:rsidRPr="008142C5">
              <w:rPr>
                <w:sz w:val="2"/>
                <w:szCs w:val="20"/>
                <w:highlight w:val="black"/>
              </w:rPr>
              <w:t>redacted content</w:t>
            </w:r>
            <w:r w:rsidR="002E42C4">
              <w:rPr>
                <w:szCs w:val="20"/>
                <w:vertAlign w:val="superscript"/>
              </w:rPr>
              <w:t>8</w:t>
            </w:r>
          </w:p>
        </w:tc>
        <w:tc>
          <w:tcPr>
            <w:tcW w:w="676" w:type="pct"/>
            <w:vAlign w:val="center"/>
          </w:tcPr>
          <w:p w14:paraId="5BDE87B1" w14:textId="49965C3F" w:rsidR="00E87441" w:rsidRPr="008142C5" w:rsidRDefault="00EC1990" w:rsidP="008142C5">
            <w:pPr>
              <w:pStyle w:val="COMTabletext"/>
              <w:ind w:right="-122"/>
              <w:jc w:val="center"/>
              <w:rPr>
                <w:szCs w:val="20"/>
              </w:rPr>
            </w:pPr>
            <w:r>
              <w:rPr>
                <w:szCs w:val="20"/>
              </w:rPr>
              <w:noBreakHyphen/>
            </w:r>
            <w:r w:rsidR="00E87441" w:rsidRPr="000160C3">
              <w:rPr>
                <w:szCs w:val="20"/>
              </w:rPr>
              <w:t>$</w:t>
            </w:r>
            <w:r w:rsidR="008142C5" w:rsidRPr="008142C5">
              <w:rPr>
                <w:sz w:val="2"/>
                <w:szCs w:val="20"/>
                <w:highlight w:val="black"/>
              </w:rPr>
              <w:t>redacted content</w:t>
            </w:r>
            <w:r w:rsidR="002E42C4">
              <w:rPr>
                <w:szCs w:val="20"/>
                <w:vertAlign w:val="superscript"/>
              </w:rPr>
              <w:t>8</w:t>
            </w:r>
          </w:p>
        </w:tc>
        <w:tc>
          <w:tcPr>
            <w:tcW w:w="637" w:type="pct"/>
            <w:vAlign w:val="center"/>
          </w:tcPr>
          <w:p w14:paraId="03086AFE" w14:textId="326337F8" w:rsidR="00E87441" w:rsidRPr="002E42C4" w:rsidRDefault="00EC1990" w:rsidP="008142C5">
            <w:pPr>
              <w:pStyle w:val="COMTabletext"/>
              <w:ind w:right="-142"/>
              <w:jc w:val="center"/>
              <w:rPr>
                <w:vertAlign w:val="superscript"/>
              </w:rPr>
            </w:pPr>
            <w:r>
              <w:rPr>
                <w:szCs w:val="20"/>
              </w:rPr>
              <w:noBreakHyphen/>
            </w:r>
            <w:r w:rsidR="00E87441" w:rsidRPr="000160C3">
              <w:rPr>
                <w:szCs w:val="20"/>
              </w:rPr>
              <w:t>$</w:t>
            </w:r>
            <w:r w:rsidR="008142C5" w:rsidRPr="008142C5">
              <w:rPr>
                <w:sz w:val="2"/>
                <w:szCs w:val="20"/>
                <w:highlight w:val="black"/>
              </w:rPr>
              <w:t>redacted content</w:t>
            </w:r>
            <w:r w:rsidR="002E42C4">
              <w:rPr>
                <w:szCs w:val="20"/>
                <w:vertAlign w:val="superscript"/>
              </w:rPr>
              <w:t>8</w:t>
            </w:r>
          </w:p>
        </w:tc>
        <w:tc>
          <w:tcPr>
            <w:tcW w:w="620" w:type="pct"/>
            <w:vAlign w:val="center"/>
          </w:tcPr>
          <w:p w14:paraId="74FD5601" w14:textId="4123CA70" w:rsidR="00E87441" w:rsidRPr="002E42C4" w:rsidRDefault="00EC1990" w:rsidP="008142C5">
            <w:pPr>
              <w:pStyle w:val="COMTabletext"/>
              <w:ind w:right="-31"/>
              <w:jc w:val="center"/>
              <w:rPr>
                <w:vertAlign w:val="superscript"/>
              </w:rPr>
            </w:pPr>
            <w:r>
              <w:rPr>
                <w:szCs w:val="20"/>
              </w:rPr>
              <w:noBreakHyphen/>
            </w:r>
            <w:r w:rsidR="00E87441" w:rsidRPr="000160C3">
              <w:rPr>
                <w:szCs w:val="20"/>
              </w:rPr>
              <w:t>$</w:t>
            </w:r>
            <w:r w:rsidR="008142C5" w:rsidRPr="008142C5">
              <w:rPr>
                <w:sz w:val="2"/>
                <w:szCs w:val="20"/>
                <w:highlight w:val="black"/>
              </w:rPr>
              <w:t>redacted content</w:t>
            </w:r>
            <w:r w:rsidR="002E42C4">
              <w:rPr>
                <w:szCs w:val="20"/>
                <w:vertAlign w:val="superscript"/>
              </w:rPr>
              <w:t>8</w:t>
            </w:r>
          </w:p>
        </w:tc>
      </w:tr>
      <w:tr w:rsidR="00386E4A" w:rsidRPr="000160C3" w14:paraId="4A000CA6" w14:textId="77777777" w:rsidTr="00491A61">
        <w:tc>
          <w:tcPr>
            <w:tcW w:w="5000" w:type="pct"/>
            <w:gridSpan w:val="7"/>
            <w:vAlign w:val="center"/>
          </w:tcPr>
          <w:p w14:paraId="711EE9E6" w14:textId="77777777" w:rsidR="00386E4A" w:rsidRPr="000160C3" w:rsidRDefault="00386E4A" w:rsidP="001C47F4">
            <w:pPr>
              <w:pStyle w:val="COMTabletext"/>
              <w:rPr>
                <w:b/>
                <w:bCs w:val="0"/>
                <w:szCs w:val="20"/>
              </w:rPr>
            </w:pPr>
            <w:r w:rsidRPr="000160C3">
              <w:rPr>
                <w:b/>
                <w:bCs w:val="0"/>
                <w:szCs w:val="20"/>
              </w:rPr>
              <w:t xml:space="preserve">Net financial implications </w:t>
            </w:r>
          </w:p>
        </w:tc>
      </w:tr>
      <w:tr w:rsidR="002E42C4" w:rsidRPr="000160C3" w14:paraId="17CD8BE7" w14:textId="77777777" w:rsidTr="00491A61">
        <w:tc>
          <w:tcPr>
            <w:tcW w:w="1257" w:type="pct"/>
            <w:vAlign w:val="center"/>
          </w:tcPr>
          <w:p w14:paraId="7EF20BF3" w14:textId="77777777" w:rsidR="004D54B0" w:rsidRPr="000160C3" w:rsidRDefault="004D54B0" w:rsidP="001C47F4">
            <w:pPr>
              <w:pStyle w:val="COMTabletext"/>
              <w:rPr>
                <w:b/>
                <w:bCs w:val="0"/>
                <w:szCs w:val="20"/>
              </w:rPr>
            </w:pPr>
            <w:r w:rsidRPr="000160C3">
              <w:rPr>
                <w:b/>
                <w:bCs w:val="0"/>
                <w:szCs w:val="20"/>
              </w:rPr>
              <w:t xml:space="preserve">Net cost to PBS/RPBS </w:t>
            </w:r>
          </w:p>
        </w:tc>
        <w:tc>
          <w:tcPr>
            <w:tcW w:w="597" w:type="pct"/>
            <w:vAlign w:val="center"/>
          </w:tcPr>
          <w:p w14:paraId="26C16CB4" w14:textId="1FDF3B3B" w:rsidR="004D54B0" w:rsidRPr="00660995" w:rsidRDefault="004D54B0" w:rsidP="001C47F4">
            <w:pPr>
              <w:pStyle w:val="COMTabletext"/>
              <w:jc w:val="center"/>
              <w:rPr>
                <w:b/>
                <w:bCs w:val="0"/>
                <w:szCs w:val="20"/>
                <w:vertAlign w:val="superscript"/>
              </w:rPr>
            </w:pPr>
            <w:r w:rsidRPr="000160C3">
              <w:rPr>
                <w:b/>
                <w:bCs w:val="0"/>
                <w:szCs w:val="20"/>
              </w:rPr>
              <w:t>$</w:t>
            </w:r>
            <w:r w:rsidR="008142C5" w:rsidRPr="008142C5">
              <w:rPr>
                <w:b/>
                <w:bCs w:val="0"/>
                <w:sz w:val="2"/>
                <w:szCs w:val="20"/>
                <w:highlight w:val="black"/>
              </w:rPr>
              <w:t>redacted content</w:t>
            </w:r>
            <w:r w:rsidR="00660995">
              <w:rPr>
                <w:b/>
                <w:bCs w:val="0"/>
                <w:szCs w:val="20"/>
                <w:vertAlign w:val="superscript"/>
              </w:rPr>
              <w:t>9</w:t>
            </w:r>
          </w:p>
        </w:tc>
        <w:tc>
          <w:tcPr>
            <w:tcW w:w="597" w:type="pct"/>
            <w:vAlign w:val="center"/>
          </w:tcPr>
          <w:p w14:paraId="6573FFCB" w14:textId="7E6190AB" w:rsidR="004D54B0" w:rsidRPr="000160C3" w:rsidRDefault="004D54B0" w:rsidP="001C47F4">
            <w:pPr>
              <w:pStyle w:val="COMTabletext"/>
              <w:jc w:val="center"/>
              <w:rPr>
                <w:b/>
                <w:bCs w:val="0"/>
                <w:szCs w:val="20"/>
              </w:rPr>
            </w:pPr>
            <w:r w:rsidRPr="000160C3">
              <w:rPr>
                <w:b/>
                <w:bCs w:val="0"/>
                <w:szCs w:val="20"/>
              </w:rPr>
              <w:t>$</w:t>
            </w:r>
            <w:r w:rsidR="008142C5" w:rsidRPr="008142C5">
              <w:rPr>
                <w:b/>
                <w:bCs w:val="0"/>
                <w:sz w:val="2"/>
                <w:szCs w:val="20"/>
                <w:highlight w:val="black"/>
              </w:rPr>
              <w:t>redacted content</w:t>
            </w:r>
            <w:r w:rsidR="00660995" w:rsidRPr="00660995">
              <w:rPr>
                <w:b/>
                <w:bCs w:val="0"/>
                <w:szCs w:val="20"/>
                <w:vertAlign w:val="superscript"/>
              </w:rPr>
              <w:t>9</w:t>
            </w:r>
          </w:p>
        </w:tc>
        <w:tc>
          <w:tcPr>
            <w:tcW w:w="617" w:type="pct"/>
            <w:vAlign w:val="center"/>
          </w:tcPr>
          <w:p w14:paraId="2E28F6BF" w14:textId="62A3B650" w:rsidR="004D54B0" w:rsidRPr="00834A30" w:rsidRDefault="004D54B0" w:rsidP="001C47F4">
            <w:pPr>
              <w:pStyle w:val="COMTabletext"/>
              <w:jc w:val="center"/>
              <w:rPr>
                <w:b/>
                <w:bCs w:val="0"/>
                <w:szCs w:val="20"/>
                <w:vertAlign w:val="superscript"/>
              </w:rPr>
            </w:pPr>
            <w:r w:rsidRPr="000160C3">
              <w:rPr>
                <w:b/>
                <w:bCs w:val="0"/>
                <w:szCs w:val="20"/>
              </w:rPr>
              <w:t>$</w:t>
            </w:r>
            <w:r w:rsidR="008142C5" w:rsidRPr="008142C5">
              <w:rPr>
                <w:b/>
                <w:bCs w:val="0"/>
                <w:sz w:val="2"/>
                <w:szCs w:val="20"/>
                <w:highlight w:val="black"/>
              </w:rPr>
              <w:t>redacted content</w:t>
            </w:r>
            <w:r w:rsidR="00834A30">
              <w:rPr>
                <w:b/>
                <w:bCs w:val="0"/>
                <w:szCs w:val="20"/>
                <w:vertAlign w:val="superscript"/>
              </w:rPr>
              <w:t>10</w:t>
            </w:r>
          </w:p>
        </w:tc>
        <w:tc>
          <w:tcPr>
            <w:tcW w:w="676" w:type="pct"/>
            <w:vAlign w:val="center"/>
          </w:tcPr>
          <w:p w14:paraId="748EDBB8" w14:textId="3FFA6FE5" w:rsidR="004D54B0" w:rsidRPr="00834A30" w:rsidRDefault="004D54B0" w:rsidP="001C47F4">
            <w:pPr>
              <w:pStyle w:val="COMTabletext"/>
              <w:jc w:val="center"/>
              <w:rPr>
                <w:b/>
                <w:bCs w:val="0"/>
                <w:szCs w:val="20"/>
                <w:vertAlign w:val="superscript"/>
              </w:rPr>
            </w:pPr>
            <w:r w:rsidRPr="000160C3">
              <w:rPr>
                <w:b/>
                <w:bCs w:val="0"/>
                <w:szCs w:val="20"/>
              </w:rPr>
              <w:t>$</w:t>
            </w:r>
            <w:r w:rsidR="008142C5" w:rsidRPr="008142C5">
              <w:rPr>
                <w:b/>
                <w:bCs w:val="0"/>
                <w:sz w:val="2"/>
                <w:szCs w:val="20"/>
                <w:highlight w:val="black"/>
              </w:rPr>
              <w:t>redacted content</w:t>
            </w:r>
            <w:r w:rsidR="00834A30">
              <w:rPr>
                <w:b/>
                <w:bCs w:val="0"/>
                <w:szCs w:val="20"/>
                <w:vertAlign w:val="superscript"/>
              </w:rPr>
              <w:t>10</w:t>
            </w:r>
          </w:p>
        </w:tc>
        <w:tc>
          <w:tcPr>
            <w:tcW w:w="637" w:type="pct"/>
            <w:vAlign w:val="center"/>
          </w:tcPr>
          <w:p w14:paraId="279015FC" w14:textId="6E1AF413" w:rsidR="004D54B0" w:rsidRPr="00834A30" w:rsidRDefault="004D54B0" w:rsidP="001C47F4">
            <w:pPr>
              <w:pStyle w:val="COMTabletext"/>
              <w:jc w:val="center"/>
              <w:rPr>
                <w:b/>
                <w:bCs w:val="0"/>
                <w:szCs w:val="20"/>
                <w:vertAlign w:val="superscript"/>
              </w:rPr>
            </w:pPr>
            <w:r w:rsidRPr="000160C3">
              <w:rPr>
                <w:b/>
                <w:bCs w:val="0"/>
                <w:szCs w:val="20"/>
              </w:rPr>
              <w:t>$</w:t>
            </w:r>
            <w:r w:rsidR="008142C5" w:rsidRPr="008142C5">
              <w:rPr>
                <w:b/>
                <w:bCs w:val="0"/>
                <w:sz w:val="2"/>
                <w:szCs w:val="20"/>
                <w:highlight w:val="black"/>
              </w:rPr>
              <w:t>redacted content</w:t>
            </w:r>
            <w:r w:rsidR="00834A30">
              <w:rPr>
                <w:b/>
                <w:bCs w:val="0"/>
                <w:szCs w:val="20"/>
                <w:vertAlign w:val="superscript"/>
              </w:rPr>
              <w:t>10</w:t>
            </w:r>
          </w:p>
        </w:tc>
        <w:tc>
          <w:tcPr>
            <w:tcW w:w="620" w:type="pct"/>
            <w:vAlign w:val="center"/>
          </w:tcPr>
          <w:p w14:paraId="5DA82CDA" w14:textId="2B4B751D" w:rsidR="004D54B0" w:rsidRPr="00834A30" w:rsidRDefault="004D54B0" w:rsidP="001C47F4">
            <w:pPr>
              <w:pStyle w:val="COMTabletext"/>
              <w:jc w:val="center"/>
              <w:rPr>
                <w:b/>
                <w:bCs w:val="0"/>
                <w:szCs w:val="20"/>
                <w:vertAlign w:val="superscript"/>
              </w:rPr>
            </w:pPr>
            <w:r w:rsidRPr="000160C3">
              <w:rPr>
                <w:b/>
                <w:bCs w:val="0"/>
                <w:szCs w:val="20"/>
              </w:rPr>
              <w:t>$</w:t>
            </w:r>
            <w:r w:rsidR="008142C5" w:rsidRPr="008142C5">
              <w:rPr>
                <w:b/>
                <w:bCs w:val="0"/>
                <w:sz w:val="2"/>
                <w:szCs w:val="20"/>
                <w:highlight w:val="black"/>
              </w:rPr>
              <w:t>redacted content</w:t>
            </w:r>
            <w:r w:rsidR="00834A30">
              <w:rPr>
                <w:b/>
                <w:bCs w:val="0"/>
                <w:szCs w:val="20"/>
                <w:vertAlign w:val="superscript"/>
              </w:rPr>
              <w:t>11</w:t>
            </w:r>
          </w:p>
        </w:tc>
      </w:tr>
      <w:tr w:rsidR="002E42C4" w:rsidRPr="000160C3" w14:paraId="792E15A8" w14:textId="77777777" w:rsidTr="00491A61">
        <w:tc>
          <w:tcPr>
            <w:tcW w:w="1257" w:type="pct"/>
            <w:vAlign w:val="center"/>
          </w:tcPr>
          <w:p w14:paraId="437CD530" w14:textId="77777777" w:rsidR="004D54B0" w:rsidRPr="000160C3" w:rsidRDefault="004D54B0" w:rsidP="001C47F4">
            <w:pPr>
              <w:pStyle w:val="COMTabletext"/>
              <w:rPr>
                <w:szCs w:val="20"/>
              </w:rPr>
            </w:pPr>
            <w:r w:rsidRPr="000160C3">
              <w:rPr>
                <w:szCs w:val="20"/>
              </w:rPr>
              <w:t>Net cost to MBS</w:t>
            </w:r>
          </w:p>
        </w:tc>
        <w:tc>
          <w:tcPr>
            <w:tcW w:w="597" w:type="pct"/>
            <w:vAlign w:val="center"/>
          </w:tcPr>
          <w:p w14:paraId="270B7C17" w14:textId="7B7D6605" w:rsidR="004D54B0" w:rsidRPr="00660995" w:rsidRDefault="004D54B0" w:rsidP="001C47F4">
            <w:pPr>
              <w:pStyle w:val="COMTabletext"/>
              <w:jc w:val="center"/>
              <w:rPr>
                <w:szCs w:val="20"/>
                <w:vertAlign w:val="superscript"/>
              </w:rPr>
            </w:pPr>
            <w:r w:rsidRPr="000160C3">
              <w:rPr>
                <w:szCs w:val="20"/>
              </w:rPr>
              <w:t>$</w:t>
            </w:r>
            <w:r w:rsidR="008142C5" w:rsidRPr="008142C5">
              <w:rPr>
                <w:sz w:val="2"/>
                <w:szCs w:val="20"/>
                <w:highlight w:val="black"/>
              </w:rPr>
              <w:t>redacted content</w:t>
            </w:r>
            <w:r w:rsidR="00660995">
              <w:rPr>
                <w:szCs w:val="20"/>
                <w:vertAlign w:val="superscript"/>
              </w:rPr>
              <w:t>9</w:t>
            </w:r>
          </w:p>
        </w:tc>
        <w:tc>
          <w:tcPr>
            <w:tcW w:w="597" w:type="pct"/>
            <w:vAlign w:val="center"/>
          </w:tcPr>
          <w:p w14:paraId="7EA4362C" w14:textId="1B865C0E" w:rsidR="004D54B0" w:rsidRPr="00660995" w:rsidRDefault="004D54B0" w:rsidP="001C47F4">
            <w:pPr>
              <w:pStyle w:val="COMTabletext"/>
              <w:jc w:val="center"/>
              <w:rPr>
                <w:szCs w:val="20"/>
                <w:vertAlign w:val="superscript"/>
              </w:rPr>
            </w:pPr>
            <w:r w:rsidRPr="000160C3">
              <w:rPr>
                <w:szCs w:val="20"/>
              </w:rPr>
              <w:t>$</w:t>
            </w:r>
            <w:r w:rsidR="008142C5" w:rsidRPr="008142C5">
              <w:rPr>
                <w:sz w:val="2"/>
                <w:szCs w:val="20"/>
                <w:highlight w:val="black"/>
              </w:rPr>
              <w:t>redacted content</w:t>
            </w:r>
            <w:r w:rsidR="00660995">
              <w:rPr>
                <w:szCs w:val="20"/>
                <w:vertAlign w:val="superscript"/>
              </w:rPr>
              <w:t>9</w:t>
            </w:r>
          </w:p>
        </w:tc>
        <w:tc>
          <w:tcPr>
            <w:tcW w:w="617" w:type="pct"/>
            <w:vAlign w:val="center"/>
          </w:tcPr>
          <w:p w14:paraId="7CBF428C" w14:textId="14995976" w:rsidR="004D54B0" w:rsidRPr="00660995" w:rsidRDefault="004D54B0" w:rsidP="001C47F4">
            <w:pPr>
              <w:pStyle w:val="COMTabletext"/>
              <w:jc w:val="center"/>
              <w:rPr>
                <w:szCs w:val="20"/>
                <w:vertAlign w:val="superscript"/>
              </w:rPr>
            </w:pPr>
            <w:r w:rsidRPr="000160C3">
              <w:rPr>
                <w:szCs w:val="20"/>
              </w:rPr>
              <w:t>$</w:t>
            </w:r>
            <w:r w:rsidR="008142C5" w:rsidRPr="008142C5">
              <w:rPr>
                <w:sz w:val="2"/>
                <w:szCs w:val="20"/>
                <w:highlight w:val="black"/>
              </w:rPr>
              <w:t>redacted content</w:t>
            </w:r>
            <w:r w:rsidR="00660995">
              <w:rPr>
                <w:szCs w:val="20"/>
                <w:vertAlign w:val="superscript"/>
              </w:rPr>
              <w:t>9</w:t>
            </w:r>
          </w:p>
        </w:tc>
        <w:tc>
          <w:tcPr>
            <w:tcW w:w="676" w:type="pct"/>
            <w:vAlign w:val="center"/>
          </w:tcPr>
          <w:p w14:paraId="5068EBC5" w14:textId="431BCD82" w:rsidR="004D54B0" w:rsidRPr="00660995" w:rsidRDefault="004D54B0" w:rsidP="001C47F4">
            <w:pPr>
              <w:pStyle w:val="COMTabletext"/>
              <w:jc w:val="center"/>
              <w:rPr>
                <w:szCs w:val="20"/>
                <w:vertAlign w:val="superscript"/>
              </w:rPr>
            </w:pPr>
            <w:r w:rsidRPr="000160C3">
              <w:rPr>
                <w:szCs w:val="20"/>
              </w:rPr>
              <w:t>$</w:t>
            </w:r>
            <w:r w:rsidR="008142C5" w:rsidRPr="008142C5">
              <w:rPr>
                <w:sz w:val="2"/>
                <w:szCs w:val="20"/>
                <w:highlight w:val="black"/>
              </w:rPr>
              <w:t>redacted content</w:t>
            </w:r>
            <w:r w:rsidR="00660995">
              <w:rPr>
                <w:szCs w:val="20"/>
                <w:vertAlign w:val="superscript"/>
              </w:rPr>
              <w:t>9</w:t>
            </w:r>
          </w:p>
        </w:tc>
        <w:tc>
          <w:tcPr>
            <w:tcW w:w="637" w:type="pct"/>
            <w:vAlign w:val="center"/>
          </w:tcPr>
          <w:p w14:paraId="6429C898" w14:textId="6F03380A" w:rsidR="004D54B0" w:rsidRPr="00660995" w:rsidRDefault="004D54B0" w:rsidP="001C47F4">
            <w:pPr>
              <w:pStyle w:val="COMTabletext"/>
              <w:jc w:val="center"/>
              <w:rPr>
                <w:szCs w:val="20"/>
                <w:vertAlign w:val="superscript"/>
              </w:rPr>
            </w:pPr>
            <w:r w:rsidRPr="000160C3">
              <w:rPr>
                <w:szCs w:val="20"/>
              </w:rPr>
              <w:t>$</w:t>
            </w:r>
            <w:r w:rsidR="008142C5" w:rsidRPr="008142C5">
              <w:rPr>
                <w:sz w:val="2"/>
                <w:szCs w:val="20"/>
                <w:highlight w:val="black"/>
              </w:rPr>
              <w:t>redacted content</w:t>
            </w:r>
            <w:r w:rsidR="00660995">
              <w:rPr>
                <w:szCs w:val="20"/>
                <w:vertAlign w:val="superscript"/>
              </w:rPr>
              <w:t>9</w:t>
            </w:r>
          </w:p>
        </w:tc>
        <w:tc>
          <w:tcPr>
            <w:tcW w:w="620" w:type="pct"/>
            <w:vAlign w:val="center"/>
          </w:tcPr>
          <w:p w14:paraId="32015BDE" w14:textId="678BE586" w:rsidR="004D54B0" w:rsidRPr="00660995" w:rsidRDefault="004D54B0" w:rsidP="001C47F4">
            <w:pPr>
              <w:pStyle w:val="COMTabletext"/>
              <w:jc w:val="center"/>
              <w:rPr>
                <w:szCs w:val="20"/>
                <w:vertAlign w:val="superscript"/>
              </w:rPr>
            </w:pPr>
            <w:r w:rsidRPr="000160C3">
              <w:rPr>
                <w:szCs w:val="20"/>
              </w:rPr>
              <w:t>$</w:t>
            </w:r>
            <w:r w:rsidR="008142C5" w:rsidRPr="008142C5">
              <w:rPr>
                <w:sz w:val="2"/>
                <w:szCs w:val="20"/>
                <w:highlight w:val="black"/>
              </w:rPr>
              <w:t>redacted content</w:t>
            </w:r>
            <w:r w:rsidR="00660995">
              <w:rPr>
                <w:szCs w:val="20"/>
                <w:vertAlign w:val="superscript"/>
              </w:rPr>
              <w:t>9</w:t>
            </w:r>
          </w:p>
        </w:tc>
      </w:tr>
      <w:tr w:rsidR="002E42C4" w:rsidRPr="000160C3" w14:paraId="198D7E9B" w14:textId="77777777" w:rsidTr="00491A61">
        <w:tc>
          <w:tcPr>
            <w:tcW w:w="1257" w:type="pct"/>
            <w:vAlign w:val="center"/>
          </w:tcPr>
          <w:p w14:paraId="7801CF34" w14:textId="77777777" w:rsidR="00E02F55" w:rsidRPr="000160C3" w:rsidRDefault="00E02F55" w:rsidP="001C47F4">
            <w:pPr>
              <w:pStyle w:val="COMTabletext"/>
              <w:rPr>
                <w:szCs w:val="20"/>
              </w:rPr>
            </w:pPr>
            <w:r w:rsidRPr="000160C3">
              <w:rPr>
                <w:szCs w:val="20"/>
              </w:rPr>
              <w:t>Net cost to the PBS/RPBS/MBS</w:t>
            </w:r>
          </w:p>
        </w:tc>
        <w:tc>
          <w:tcPr>
            <w:tcW w:w="597" w:type="pct"/>
            <w:vAlign w:val="bottom"/>
          </w:tcPr>
          <w:p w14:paraId="787703C9" w14:textId="4E7A67A1" w:rsidR="00E02F55" w:rsidRPr="00660995" w:rsidRDefault="00E02F55" w:rsidP="001C47F4">
            <w:pPr>
              <w:pStyle w:val="COMTabletext"/>
              <w:jc w:val="center"/>
              <w:rPr>
                <w:szCs w:val="20"/>
                <w:vertAlign w:val="superscript"/>
              </w:rPr>
            </w:pPr>
            <w:r w:rsidRPr="000160C3">
              <w:rPr>
                <w:szCs w:val="20"/>
              </w:rPr>
              <w:t>$</w:t>
            </w:r>
            <w:r w:rsidR="008142C5" w:rsidRPr="008142C5">
              <w:rPr>
                <w:sz w:val="2"/>
                <w:szCs w:val="20"/>
                <w:highlight w:val="black"/>
              </w:rPr>
              <w:t>redacted content</w:t>
            </w:r>
            <w:r w:rsidR="00660995">
              <w:rPr>
                <w:szCs w:val="20"/>
                <w:vertAlign w:val="superscript"/>
              </w:rPr>
              <w:t>9</w:t>
            </w:r>
          </w:p>
        </w:tc>
        <w:tc>
          <w:tcPr>
            <w:tcW w:w="597" w:type="pct"/>
            <w:vAlign w:val="bottom"/>
          </w:tcPr>
          <w:p w14:paraId="08D926A4" w14:textId="47F86E23" w:rsidR="00E02F55" w:rsidRPr="00660995" w:rsidRDefault="00E02F55" w:rsidP="001C47F4">
            <w:pPr>
              <w:pStyle w:val="COMTabletext"/>
              <w:jc w:val="center"/>
              <w:rPr>
                <w:szCs w:val="20"/>
                <w:vertAlign w:val="superscript"/>
              </w:rPr>
            </w:pPr>
            <w:r w:rsidRPr="000160C3">
              <w:rPr>
                <w:szCs w:val="20"/>
              </w:rPr>
              <w:t>$</w:t>
            </w:r>
            <w:r w:rsidR="008142C5" w:rsidRPr="008142C5">
              <w:rPr>
                <w:sz w:val="2"/>
                <w:szCs w:val="20"/>
                <w:highlight w:val="black"/>
              </w:rPr>
              <w:t>redacted content</w:t>
            </w:r>
            <w:r w:rsidR="00660995">
              <w:rPr>
                <w:szCs w:val="20"/>
                <w:vertAlign w:val="superscript"/>
              </w:rPr>
              <w:t>9</w:t>
            </w:r>
          </w:p>
        </w:tc>
        <w:tc>
          <w:tcPr>
            <w:tcW w:w="617" w:type="pct"/>
            <w:vAlign w:val="bottom"/>
          </w:tcPr>
          <w:p w14:paraId="0DAC155B" w14:textId="1FC81565" w:rsidR="00E02F55" w:rsidRPr="00834A30" w:rsidRDefault="00E02F55" w:rsidP="001C47F4">
            <w:pPr>
              <w:pStyle w:val="COMTabletext"/>
              <w:jc w:val="center"/>
              <w:rPr>
                <w:szCs w:val="20"/>
                <w:vertAlign w:val="superscript"/>
              </w:rPr>
            </w:pPr>
            <w:r w:rsidRPr="000160C3">
              <w:rPr>
                <w:szCs w:val="20"/>
              </w:rPr>
              <w:t>$</w:t>
            </w:r>
            <w:r w:rsidR="008142C5" w:rsidRPr="008142C5">
              <w:rPr>
                <w:sz w:val="2"/>
                <w:szCs w:val="20"/>
                <w:highlight w:val="black"/>
              </w:rPr>
              <w:t>redacted content</w:t>
            </w:r>
            <w:r w:rsidR="00834A30">
              <w:rPr>
                <w:szCs w:val="20"/>
                <w:vertAlign w:val="superscript"/>
              </w:rPr>
              <w:t>10</w:t>
            </w:r>
          </w:p>
        </w:tc>
        <w:tc>
          <w:tcPr>
            <w:tcW w:w="676" w:type="pct"/>
            <w:vAlign w:val="bottom"/>
          </w:tcPr>
          <w:p w14:paraId="1DBC0B3E" w14:textId="6F731CED" w:rsidR="00E02F55" w:rsidRPr="00834A30" w:rsidRDefault="00E02F55" w:rsidP="001C47F4">
            <w:pPr>
              <w:pStyle w:val="COMTabletext"/>
              <w:jc w:val="center"/>
              <w:rPr>
                <w:szCs w:val="20"/>
                <w:vertAlign w:val="superscript"/>
              </w:rPr>
            </w:pPr>
            <w:r w:rsidRPr="000160C3">
              <w:rPr>
                <w:szCs w:val="20"/>
              </w:rPr>
              <w:t>$</w:t>
            </w:r>
            <w:r w:rsidR="008142C5" w:rsidRPr="008142C5">
              <w:rPr>
                <w:sz w:val="2"/>
                <w:szCs w:val="20"/>
                <w:highlight w:val="black"/>
              </w:rPr>
              <w:t>redacted content</w:t>
            </w:r>
            <w:r w:rsidR="00834A30">
              <w:rPr>
                <w:szCs w:val="20"/>
                <w:vertAlign w:val="superscript"/>
              </w:rPr>
              <w:t>10</w:t>
            </w:r>
          </w:p>
        </w:tc>
        <w:tc>
          <w:tcPr>
            <w:tcW w:w="637" w:type="pct"/>
            <w:vAlign w:val="bottom"/>
          </w:tcPr>
          <w:p w14:paraId="5208126E" w14:textId="0C2FFBD5" w:rsidR="00E02F55" w:rsidRPr="00834A30" w:rsidRDefault="00E02F55" w:rsidP="001C47F4">
            <w:pPr>
              <w:pStyle w:val="COMTabletext"/>
              <w:jc w:val="center"/>
              <w:rPr>
                <w:szCs w:val="20"/>
                <w:vertAlign w:val="superscript"/>
              </w:rPr>
            </w:pPr>
            <w:r w:rsidRPr="000160C3">
              <w:rPr>
                <w:szCs w:val="20"/>
              </w:rPr>
              <w:t>$</w:t>
            </w:r>
            <w:r w:rsidR="008142C5" w:rsidRPr="008142C5">
              <w:rPr>
                <w:sz w:val="2"/>
                <w:szCs w:val="20"/>
                <w:highlight w:val="black"/>
              </w:rPr>
              <w:t>redacted content</w:t>
            </w:r>
            <w:r w:rsidR="00834A30">
              <w:rPr>
                <w:szCs w:val="20"/>
                <w:vertAlign w:val="superscript"/>
              </w:rPr>
              <w:t>10</w:t>
            </w:r>
          </w:p>
        </w:tc>
        <w:tc>
          <w:tcPr>
            <w:tcW w:w="620" w:type="pct"/>
            <w:vAlign w:val="bottom"/>
          </w:tcPr>
          <w:p w14:paraId="1AB7D5B0" w14:textId="5D92B390" w:rsidR="00E02F55" w:rsidRPr="00834A30" w:rsidRDefault="00E02F55" w:rsidP="001C47F4">
            <w:pPr>
              <w:pStyle w:val="COMTabletext"/>
              <w:jc w:val="center"/>
              <w:rPr>
                <w:szCs w:val="20"/>
                <w:vertAlign w:val="superscript"/>
              </w:rPr>
            </w:pPr>
            <w:r w:rsidRPr="000160C3">
              <w:rPr>
                <w:szCs w:val="20"/>
              </w:rPr>
              <w:t>$</w:t>
            </w:r>
            <w:r w:rsidR="008142C5" w:rsidRPr="008142C5">
              <w:rPr>
                <w:sz w:val="2"/>
                <w:szCs w:val="20"/>
                <w:highlight w:val="black"/>
              </w:rPr>
              <w:t>redacted content</w:t>
            </w:r>
            <w:r w:rsidR="00834A30">
              <w:rPr>
                <w:szCs w:val="20"/>
                <w:vertAlign w:val="superscript"/>
              </w:rPr>
              <w:t>11</w:t>
            </w:r>
          </w:p>
        </w:tc>
      </w:tr>
    </w:tbl>
    <w:p w14:paraId="32812C97" w14:textId="0D6AE305" w:rsidR="00E960E8" w:rsidRPr="000160C3" w:rsidRDefault="00E960E8" w:rsidP="001C47F4">
      <w:pPr>
        <w:pStyle w:val="FooterTableFigure"/>
        <w:rPr>
          <w:szCs w:val="18"/>
          <w:lang w:eastAsia="en-US"/>
        </w:rPr>
      </w:pPr>
      <w:r w:rsidRPr="000160C3">
        <w:rPr>
          <w:szCs w:val="18"/>
          <w:lang w:eastAsia="en-US"/>
        </w:rPr>
        <w:t>Table 4.10 p260 of the submission, Section 4 Workbook, Sheet 5. Impact</w:t>
      </w:r>
      <w:r w:rsidR="00EC1990">
        <w:rPr>
          <w:szCs w:val="18"/>
          <w:lang w:eastAsia="en-US"/>
        </w:rPr>
        <w:noBreakHyphen/>
      </w:r>
      <w:r w:rsidRPr="000160C3">
        <w:rPr>
          <w:szCs w:val="18"/>
          <w:lang w:eastAsia="en-US"/>
        </w:rPr>
        <w:t>net</w:t>
      </w:r>
    </w:p>
    <w:p w14:paraId="14E7A48F" w14:textId="24DD0FA9" w:rsidR="00386E4A" w:rsidRDefault="00E960E8" w:rsidP="001C47F4">
      <w:pPr>
        <w:pStyle w:val="FooterTableFigure"/>
        <w:rPr>
          <w:szCs w:val="18"/>
          <w:lang w:eastAsia="en-US"/>
        </w:rPr>
      </w:pPr>
      <w:r w:rsidRPr="000160C3">
        <w:rPr>
          <w:szCs w:val="18"/>
        </w:rPr>
        <w:t xml:space="preserve">Abbreviations: </w:t>
      </w:r>
      <w:r w:rsidRPr="000160C3">
        <w:rPr>
          <w:szCs w:val="18"/>
          <w:lang w:eastAsia="en-US"/>
        </w:rPr>
        <w:t>PBS = Pharmaceutical Benefits Scheme; RPBS = Repatriation Schedule of Pharmaceutical Benefits</w:t>
      </w:r>
    </w:p>
    <w:p w14:paraId="4C68FA7B" w14:textId="77777777" w:rsidR="00CC39CE" w:rsidRPr="00CC39CE" w:rsidRDefault="00CC39CE" w:rsidP="008142C5">
      <w:pPr>
        <w:pStyle w:val="FooterTableFigure"/>
        <w:rPr>
          <w:bCs/>
          <w:i/>
          <w:iCs/>
          <w:szCs w:val="18"/>
          <w:lang w:eastAsia="en-US"/>
        </w:rPr>
      </w:pPr>
      <w:r w:rsidRPr="00CC39CE">
        <w:rPr>
          <w:bCs/>
          <w:i/>
          <w:iCs/>
          <w:szCs w:val="18"/>
          <w:lang w:eastAsia="en-US"/>
        </w:rPr>
        <w:t xml:space="preserve">The redacted values correspond to the following ranges: </w:t>
      </w:r>
    </w:p>
    <w:p w14:paraId="725E3006" w14:textId="3CD01F95" w:rsidR="00CC39CE" w:rsidRPr="00CC39CE" w:rsidRDefault="00CC39CE" w:rsidP="00CC39CE">
      <w:pPr>
        <w:pStyle w:val="FooterTableFigure"/>
        <w:rPr>
          <w:i/>
          <w:szCs w:val="18"/>
          <w:lang w:eastAsia="en-US"/>
        </w:rPr>
      </w:pPr>
      <w:r w:rsidRPr="00CC39CE">
        <w:rPr>
          <w:i/>
          <w:szCs w:val="18"/>
          <w:vertAlign w:val="superscript"/>
          <w:lang w:eastAsia="en-US"/>
        </w:rPr>
        <w:t>1</w:t>
      </w:r>
      <w:r w:rsidRPr="00CC39CE">
        <w:rPr>
          <w:i/>
          <w:szCs w:val="18"/>
          <w:lang w:eastAsia="en-US"/>
        </w:rPr>
        <w:t xml:space="preserve"> </w:t>
      </w:r>
      <w:r w:rsidR="00DD1CEE" w:rsidRPr="00DD1CEE">
        <w:rPr>
          <w:i/>
          <w:szCs w:val="18"/>
          <w:lang w:eastAsia="en-US"/>
        </w:rPr>
        <w:t>&lt; 500</w:t>
      </w:r>
    </w:p>
    <w:p w14:paraId="2265533D" w14:textId="6C8191E4" w:rsidR="00CC39CE" w:rsidRPr="00CC39CE" w:rsidRDefault="00CC39CE" w:rsidP="00CC39CE">
      <w:pPr>
        <w:pStyle w:val="FooterTableFigure"/>
        <w:rPr>
          <w:i/>
          <w:szCs w:val="18"/>
          <w:lang w:eastAsia="en-US"/>
        </w:rPr>
      </w:pPr>
      <w:r w:rsidRPr="00CC39CE">
        <w:rPr>
          <w:i/>
          <w:szCs w:val="18"/>
          <w:vertAlign w:val="superscript"/>
          <w:lang w:eastAsia="en-US"/>
        </w:rPr>
        <w:t>2</w:t>
      </w:r>
      <w:r w:rsidRPr="00CC39CE">
        <w:rPr>
          <w:i/>
          <w:szCs w:val="18"/>
          <w:lang w:eastAsia="en-US"/>
        </w:rPr>
        <w:t xml:space="preserve"> </w:t>
      </w:r>
      <w:r w:rsidR="00DB53EC" w:rsidRPr="00DB53EC">
        <w:rPr>
          <w:i/>
          <w:szCs w:val="18"/>
          <w:lang w:eastAsia="en-US"/>
        </w:rPr>
        <w:t>500 to &lt; 5,000</w:t>
      </w:r>
    </w:p>
    <w:p w14:paraId="243704C8" w14:textId="1D1DE97B" w:rsidR="00CC39CE" w:rsidRPr="00CC39CE" w:rsidRDefault="00CC39CE" w:rsidP="00CC39CE">
      <w:pPr>
        <w:pStyle w:val="FooterTableFigure"/>
        <w:rPr>
          <w:i/>
          <w:szCs w:val="18"/>
          <w:lang w:eastAsia="en-US"/>
        </w:rPr>
      </w:pPr>
      <w:r w:rsidRPr="00CC39CE">
        <w:rPr>
          <w:i/>
          <w:szCs w:val="18"/>
          <w:vertAlign w:val="superscript"/>
          <w:lang w:eastAsia="en-US"/>
        </w:rPr>
        <w:t>3</w:t>
      </w:r>
      <w:r w:rsidRPr="00CC39CE">
        <w:rPr>
          <w:i/>
          <w:szCs w:val="18"/>
          <w:lang w:eastAsia="en-US"/>
        </w:rPr>
        <w:t xml:space="preserve"> </w:t>
      </w:r>
      <w:r w:rsidR="00835FC0" w:rsidRPr="00835FC0">
        <w:rPr>
          <w:i/>
          <w:szCs w:val="18"/>
          <w:lang w:eastAsia="en-US"/>
        </w:rPr>
        <w:t>5,000 to &lt; 10,000</w:t>
      </w:r>
    </w:p>
    <w:p w14:paraId="6DBF3A48" w14:textId="7ECE86FF" w:rsidR="00CC39CE" w:rsidRPr="00CC39CE" w:rsidRDefault="00CC39CE" w:rsidP="00CC39CE">
      <w:pPr>
        <w:pStyle w:val="FooterTableFigure"/>
        <w:rPr>
          <w:i/>
          <w:szCs w:val="18"/>
          <w:lang w:eastAsia="en-US"/>
        </w:rPr>
      </w:pPr>
      <w:r w:rsidRPr="00CC39CE">
        <w:rPr>
          <w:i/>
          <w:szCs w:val="18"/>
          <w:vertAlign w:val="superscript"/>
          <w:lang w:eastAsia="en-US"/>
        </w:rPr>
        <w:t>4</w:t>
      </w:r>
      <w:r w:rsidRPr="00CC39CE">
        <w:rPr>
          <w:i/>
          <w:szCs w:val="18"/>
          <w:lang w:eastAsia="en-US"/>
        </w:rPr>
        <w:t xml:space="preserve"> </w:t>
      </w:r>
      <w:r w:rsidR="004906A5" w:rsidRPr="004906A5">
        <w:rPr>
          <w:i/>
          <w:szCs w:val="18"/>
          <w:lang w:eastAsia="en-US"/>
        </w:rPr>
        <w:t>10,000 to &lt; 20,000</w:t>
      </w:r>
    </w:p>
    <w:p w14:paraId="5C2BBCE3" w14:textId="21262D23" w:rsidR="00CC39CE" w:rsidRPr="00CC39CE" w:rsidRDefault="00CC39CE" w:rsidP="00CC39CE">
      <w:pPr>
        <w:pStyle w:val="FooterTableFigure"/>
        <w:rPr>
          <w:i/>
          <w:szCs w:val="18"/>
          <w:lang w:eastAsia="en-US"/>
        </w:rPr>
      </w:pPr>
      <w:r w:rsidRPr="00CC39CE">
        <w:rPr>
          <w:i/>
          <w:szCs w:val="18"/>
          <w:vertAlign w:val="superscript"/>
          <w:lang w:eastAsia="en-US"/>
        </w:rPr>
        <w:t>5</w:t>
      </w:r>
      <w:r w:rsidRPr="00CC39CE">
        <w:rPr>
          <w:i/>
          <w:szCs w:val="18"/>
          <w:lang w:eastAsia="en-US"/>
        </w:rPr>
        <w:t xml:space="preserve"> </w:t>
      </w:r>
      <w:r w:rsidR="007974E5" w:rsidRPr="007974E5">
        <w:rPr>
          <w:i/>
          <w:szCs w:val="18"/>
          <w:lang w:eastAsia="en-US"/>
        </w:rPr>
        <w:t>$40 million to &lt; $50 million</w:t>
      </w:r>
    </w:p>
    <w:p w14:paraId="14FA3D7D" w14:textId="06875B74" w:rsidR="00CC39CE" w:rsidRDefault="00CC39CE" w:rsidP="00CC39CE">
      <w:pPr>
        <w:pStyle w:val="FooterTableFigure"/>
        <w:rPr>
          <w:i/>
          <w:szCs w:val="18"/>
          <w:lang w:eastAsia="en-US"/>
        </w:rPr>
      </w:pPr>
      <w:r w:rsidRPr="00CC39CE">
        <w:rPr>
          <w:i/>
          <w:szCs w:val="18"/>
          <w:vertAlign w:val="superscript"/>
          <w:lang w:eastAsia="en-US"/>
        </w:rPr>
        <w:t>6</w:t>
      </w:r>
      <w:r w:rsidRPr="00CC39CE">
        <w:rPr>
          <w:i/>
          <w:szCs w:val="18"/>
          <w:lang w:eastAsia="en-US"/>
        </w:rPr>
        <w:t xml:space="preserve"> </w:t>
      </w:r>
      <w:r w:rsidR="006E7113" w:rsidRPr="006E7113">
        <w:rPr>
          <w:i/>
          <w:szCs w:val="18"/>
          <w:lang w:eastAsia="en-US"/>
        </w:rPr>
        <w:t>$80 million to &lt; $90 million</w:t>
      </w:r>
    </w:p>
    <w:p w14:paraId="2CE7DC75" w14:textId="66A57045" w:rsidR="00896F8A" w:rsidRPr="00C16271" w:rsidRDefault="00896F8A" w:rsidP="00CC39CE">
      <w:pPr>
        <w:pStyle w:val="FooterTableFigure"/>
        <w:rPr>
          <w:bCs/>
          <w:i/>
          <w:szCs w:val="18"/>
          <w:lang w:eastAsia="en-US"/>
        </w:rPr>
      </w:pPr>
      <w:r>
        <w:rPr>
          <w:i/>
          <w:szCs w:val="18"/>
          <w:vertAlign w:val="superscript"/>
          <w:lang w:eastAsia="en-US"/>
        </w:rPr>
        <w:t>7</w:t>
      </w:r>
      <w:r w:rsidR="00C16271">
        <w:rPr>
          <w:i/>
          <w:szCs w:val="18"/>
          <w:vertAlign w:val="superscript"/>
          <w:lang w:eastAsia="en-US"/>
        </w:rPr>
        <w:t xml:space="preserve"> </w:t>
      </w:r>
      <w:r w:rsidR="00C16271" w:rsidRPr="00C16271">
        <w:rPr>
          <w:bCs/>
          <w:i/>
          <w:szCs w:val="18"/>
          <w:lang w:eastAsia="en-US"/>
        </w:rPr>
        <w:t>$100 million to &lt; $200 million</w:t>
      </w:r>
    </w:p>
    <w:p w14:paraId="02D539E9" w14:textId="54F1BB89" w:rsidR="00896F8A" w:rsidRPr="00A31840" w:rsidRDefault="00896F8A" w:rsidP="00CC39CE">
      <w:pPr>
        <w:pStyle w:val="FooterTableFigure"/>
        <w:rPr>
          <w:i/>
          <w:szCs w:val="18"/>
          <w:lang w:eastAsia="en-US"/>
        </w:rPr>
      </w:pPr>
      <w:r>
        <w:rPr>
          <w:i/>
          <w:szCs w:val="18"/>
          <w:vertAlign w:val="superscript"/>
          <w:lang w:eastAsia="en-US"/>
        </w:rPr>
        <w:t>8</w:t>
      </w:r>
      <w:r w:rsidR="00A31840">
        <w:rPr>
          <w:i/>
          <w:szCs w:val="18"/>
          <w:vertAlign w:val="superscript"/>
          <w:lang w:eastAsia="en-US"/>
        </w:rPr>
        <w:t xml:space="preserve"> </w:t>
      </w:r>
      <w:r w:rsidR="00A31840" w:rsidRPr="00A31840">
        <w:rPr>
          <w:i/>
          <w:szCs w:val="18"/>
          <w:lang w:eastAsia="en-US"/>
        </w:rPr>
        <w:t>net cost saving</w:t>
      </w:r>
    </w:p>
    <w:p w14:paraId="1B80F0E5" w14:textId="7AD999B0" w:rsidR="000B0DC6" w:rsidRPr="00660995" w:rsidRDefault="000B0DC6" w:rsidP="00CC39CE">
      <w:pPr>
        <w:pStyle w:val="FooterTableFigure"/>
        <w:rPr>
          <w:i/>
          <w:szCs w:val="18"/>
          <w:lang w:eastAsia="en-US"/>
        </w:rPr>
      </w:pPr>
      <w:r>
        <w:rPr>
          <w:i/>
          <w:szCs w:val="18"/>
          <w:vertAlign w:val="superscript"/>
          <w:lang w:eastAsia="en-US"/>
        </w:rPr>
        <w:t>9</w:t>
      </w:r>
      <w:r w:rsidR="00660995">
        <w:rPr>
          <w:i/>
          <w:szCs w:val="18"/>
          <w:vertAlign w:val="superscript"/>
          <w:lang w:eastAsia="en-US"/>
        </w:rPr>
        <w:t xml:space="preserve"> </w:t>
      </w:r>
      <w:r w:rsidR="00660995" w:rsidRPr="00660995">
        <w:rPr>
          <w:i/>
          <w:szCs w:val="18"/>
          <w:lang w:eastAsia="en-US"/>
        </w:rPr>
        <w:t>$0 to &lt; $10 million</w:t>
      </w:r>
    </w:p>
    <w:p w14:paraId="16595E1B" w14:textId="423F7A1A" w:rsidR="00660995" w:rsidRPr="00834A30" w:rsidRDefault="00660995" w:rsidP="00CC39CE">
      <w:pPr>
        <w:pStyle w:val="FooterTableFigure"/>
        <w:rPr>
          <w:i/>
          <w:szCs w:val="18"/>
          <w:lang w:eastAsia="en-US"/>
        </w:rPr>
      </w:pPr>
      <w:r>
        <w:rPr>
          <w:i/>
          <w:szCs w:val="18"/>
          <w:vertAlign w:val="superscript"/>
          <w:lang w:eastAsia="en-US"/>
        </w:rPr>
        <w:t xml:space="preserve">10 </w:t>
      </w:r>
      <w:r w:rsidR="00834A30" w:rsidRPr="00834A30">
        <w:rPr>
          <w:i/>
          <w:szCs w:val="18"/>
          <w:lang w:eastAsia="en-US"/>
        </w:rPr>
        <w:t>$10 million to &lt; $20 million</w:t>
      </w:r>
    </w:p>
    <w:p w14:paraId="4853179C" w14:textId="4716869F" w:rsidR="00660995" w:rsidRPr="00CC39CE" w:rsidRDefault="00660995" w:rsidP="00CC39CE">
      <w:pPr>
        <w:pStyle w:val="FooterTableFigure"/>
        <w:rPr>
          <w:i/>
          <w:szCs w:val="18"/>
          <w:lang w:eastAsia="en-US"/>
        </w:rPr>
      </w:pPr>
      <w:r>
        <w:rPr>
          <w:i/>
          <w:szCs w:val="18"/>
          <w:vertAlign w:val="superscript"/>
          <w:lang w:eastAsia="en-US"/>
        </w:rPr>
        <w:t>11</w:t>
      </w:r>
      <w:r w:rsidR="00FE718D">
        <w:rPr>
          <w:i/>
          <w:szCs w:val="18"/>
          <w:vertAlign w:val="superscript"/>
          <w:lang w:eastAsia="en-US"/>
        </w:rPr>
        <w:t xml:space="preserve"> </w:t>
      </w:r>
      <w:r w:rsidR="00FE718D" w:rsidRPr="00FE718D">
        <w:rPr>
          <w:i/>
          <w:szCs w:val="18"/>
          <w:lang w:eastAsia="en-US"/>
        </w:rPr>
        <w:t>$20 million to &lt; $30 million</w:t>
      </w:r>
    </w:p>
    <w:p w14:paraId="151DE8FF" w14:textId="77777777" w:rsidR="00CC39CE" w:rsidRPr="000160C3" w:rsidRDefault="00CC39CE" w:rsidP="001C47F4">
      <w:pPr>
        <w:pStyle w:val="FooterTableFigure"/>
        <w:rPr>
          <w:sz w:val="20"/>
        </w:rPr>
      </w:pPr>
    </w:p>
    <w:p w14:paraId="14E2DB7B" w14:textId="67C21D19" w:rsidR="001A139F" w:rsidRPr="00BC07A4" w:rsidRDefault="001A139F" w:rsidP="001C47F4">
      <w:pPr>
        <w:pStyle w:val="3-BodyText"/>
        <w:rPr>
          <w:color w:val="0066FF"/>
        </w:rPr>
      </w:pPr>
      <w:r w:rsidRPr="00BC07A4">
        <w:t xml:space="preserve">The estimated net cost to the PBS/RPBS was </w:t>
      </w:r>
      <w:r w:rsidR="00FE718D" w:rsidRPr="00FE718D">
        <w:t>$0 to &lt; $10 million</w:t>
      </w:r>
      <w:r w:rsidRPr="00BC07A4">
        <w:t xml:space="preserve"> in Year 1, increasing to </w:t>
      </w:r>
      <w:r w:rsidR="00FE718D" w:rsidRPr="00FE718D">
        <w:t>$20 million to &lt; $30 million</w:t>
      </w:r>
      <w:r w:rsidR="00FE718D" w:rsidRPr="00FE718D" w:rsidDel="00FE718D">
        <w:t xml:space="preserve"> </w:t>
      </w:r>
      <w:r w:rsidRPr="00BC07A4">
        <w:t xml:space="preserve">in Year 6, and totalling </w:t>
      </w:r>
      <w:r w:rsidR="00465E27" w:rsidRPr="00465E27">
        <w:t>$80 million to &lt; $90 million</w:t>
      </w:r>
      <w:r w:rsidRPr="00BC07A4">
        <w:t> over the first 6 years of listing (</w:t>
      </w:r>
      <w:r w:rsidRPr="00BC07A4">
        <w:fldChar w:fldCharType="begin"/>
      </w:r>
      <w:r w:rsidRPr="00BC07A4">
        <w:instrText xml:space="preserve"> REF _Ref104805295 \h </w:instrText>
      </w:r>
      <w:r w:rsidR="00BC07A4" w:rsidRPr="00BC07A4">
        <w:instrText xml:space="preserve"> \* MERGEFORMAT </w:instrText>
      </w:r>
      <w:r w:rsidRPr="00BC07A4">
        <w:fldChar w:fldCharType="separate"/>
      </w:r>
      <w:r w:rsidR="001C47F4" w:rsidRPr="000160C3">
        <w:t xml:space="preserve">Table </w:t>
      </w:r>
      <w:r w:rsidR="001C47F4">
        <w:t>19</w:t>
      </w:r>
      <w:r w:rsidRPr="00BC07A4">
        <w:fldChar w:fldCharType="end"/>
      </w:r>
      <w:r w:rsidRPr="00BC07A4">
        <w:t xml:space="preserve">). </w:t>
      </w:r>
    </w:p>
    <w:p w14:paraId="6667125D" w14:textId="7CE89A4F" w:rsidR="00BE5EBC" w:rsidRPr="00BC07A4" w:rsidRDefault="00BE5EBC" w:rsidP="001C47F4">
      <w:pPr>
        <w:pStyle w:val="3-BodyText"/>
        <w:rPr>
          <w:color w:val="0066FF"/>
        </w:rPr>
      </w:pPr>
      <w:r w:rsidRPr="00BC07A4">
        <w:t xml:space="preserve">The estimated financial implications associated with listing teclistamab on the PBS </w:t>
      </w:r>
      <w:r w:rsidR="00A70F2A">
        <w:t xml:space="preserve">provided in the submission </w:t>
      </w:r>
      <w:r w:rsidRPr="00BC07A4">
        <w:t>were considered uncertain due to the following reasons:</w:t>
      </w:r>
    </w:p>
    <w:p w14:paraId="1B38714C" w14:textId="42B8A2A2" w:rsidR="00BE5EBC" w:rsidRPr="00BC07A4" w:rsidRDefault="00BE5EBC" w:rsidP="001C47F4">
      <w:pPr>
        <w:pStyle w:val="3-BodyText"/>
        <w:numPr>
          <w:ilvl w:val="0"/>
          <w:numId w:val="8"/>
        </w:numPr>
        <w:ind w:left="1004" w:hanging="284"/>
      </w:pPr>
      <w:r w:rsidRPr="00BC07A4">
        <w:t>The number of TCE patients initiating 4L therapy may be overestimated, based on the linear extrapolation of the PBS 100% data</w:t>
      </w:r>
      <w:r w:rsidR="001066AF" w:rsidRPr="00BC07A4">
        <w:t>set</w:t>
      </w:r>
      <w:r w:rsidRPr="00BC07A4">
        <w:t xml:space="preserve"> </w:t>
      </w:r>
      <w:r w:rsidR="00DC5F7F">
        <w:t xml:space="preserve">to estimate the number of TCE patients </w:t>
      </w:r>
      <w:r w:rsidRPr="00BC07A4">
        <w:t xml:space="preserve">and </w:t>
      </w:r>
      <w:r w:rsidR="00E075C0" w:rsidRPr="00BC07A4">
        <w:t xml:space="preserve">the use of the </w:t>
      </w:r>
      <w:r w:rsidRPr="00BC07A4">
        <w:t>MRDR dataset</w:t>
      </w:r>
      <w:r w:rsidR="00DC5F7F">
        <w:t xml:space="preserve"> to estimate the proportion of patients that would initiate 4L therapy</w:t>
      </w:r>
      <w:r w:rsidRPr="00BC07A4">
        <w:t xml:space="preserve">. </w:t>
      </w:r>
    </w:p>
    <w:p w14:paraId="5F5F3F95" w14:textId="3F255EAF" w:rsidR="00BE5EBC" w:rsidRPr="00BC07A4" w:rsidRDefault="00BE5EBC" w:rsidP="001C47F4">
      <w:pPr>
        <w:pStyle w:val="3-BodyText"/>
        <w:numPr>
          <w:ilvl w:val="0"/>
          <w:numId w:val="8"/>
        </w:numPr>
        <w:ind w:left="1004" w:hanging="284"/>
      </w:pPr>
      <w:r w:rsidRPr="00BC07A4">
        <w:t xml:space="preserve">Uptake rates associated with teclistamab were considered uncertain and may be high in the context of </w:t>
      </w:r>
      <w:r w:rsidR="00345BC9" w:rsidRPr="00BC07A4">
        <w:t xml:space="preserve">a </w:t>
      </w:r>
      <w:r w:rsidRPr="00BC07A4">
        <w:t>fourth or later RRMM treatment and</w:t>
      </w:r>
      <w:r w:rsidRPr="00BC07A4">
        <w:rPr>
          <w:rFonts w:cstheme="minorHAnsi"/>
        </w:rPr>
        <w:t xml:space="preserve"> the potential availability of elranatamab and CAR</w:t>
      </w:r>
      <w:r w:rsidR="00EC1990">
        <w:rPr>
          <w:rFonts w:cstheme="minorHAnsi"/>
        </w:rPr>
        <w:noBreakHyphen/>
      </w:r>
      <w:r w:rsidRPr="00BC07A4">
        <w:rPr>
          <w:rFonts w:cstheme="minorHAnsi"/>
        </w:rPr>
        <w:t>T therapy for 4L+ TCE RRMM.</w:t>
      </w:r>
      <w:r w:rsidR="002E24F0" w:rsidRPr="00BC07A4">
        <w:rPr>
          <w:rFonts w:cstheme="minorHAnsi"/>
        </w:rPr>
        <w:t xml:space="preserve"> </w:t>
      </w:r>
    </w:p>
    <w:p w14:paraId="5018DCAD" w14:textId="10F493A9" w:rsidR="00125C86" w:rsidRPr="00BC07A4" w:rsidRDefault="00BE5EBC" w:rsidP="001C47F4">
      <w:pPr>
        <w:pStyle w:val="3-BodyText"/>
        <w:numPr>
          <w:ilvl w:val="0"/>
          <w:numId w:val="8"/>
        </w:numPr>
        <w:ind w:left="1004" w:hanging="284"/>
        <w:rPr>
          <w:rFonts w:cstheme="minorHAnsi"/>
        </w:rPr>
      </w:pPr>
      <w:r w:rsidRPr="00BC07A4">
        <w:t xml:space="preserve">The utilisation estimates for teclistamab </w:t>
      </w:r>
      <w:r w:rsidR="00CA60F3" w:rsidRPr="00BC07A4">
        <w:t>relied</w:t>
      </w:r>
      <w:r w:rsidRPr="00BC07A4">
        <w:t xml:space="preserve"> on assumptions regarding the proportion of patients and time </w:t>
      </w:r>
      <w:r w:rsidR="0028158A" w:rsidRPr="00BC07A4">
        <w:t>of switching</w:t>
      </w:r>
      <w:r w:rsidRPr="00BC07A4">
        <w:t xml:space="preserve"> to Q2W dosing </w:t>
      </w:r>
      <w:r w:rsidR="0028158A" w:rsidRPr="00BC07A4">
        <w:t xml:space="preserve">which were </w:t>
      </w:r>
      <w:r w:rsidRPr="00BC07A4">
        <w:t xml:space="preserve">informed by feedback from clinicians and </w:t>
      </w:r>
      <w:proofErr w:type="spellStart"/>
      <w:r w:rsidRPr="00BC07A4">
        <w:t>Chunara</w:t>
      </w:r>
      <w:proofErr w:type="spellEnd"/>
      <w:r w:rsidRPr="00BC07A4">
        <w:t xml:space="preserve"> et al. 2025. </w:t>
      </w:r>
      <w:r w:rsidR="00CB2E33" w:rsidRPr="00BC07A4">
        <w:t>However, t</w:t>
      </w:r>
      <w:r w:rsidRPr="00BC07A4">
        <w:t>h</w:t>
      </w:r>
      <w:r w:rsidR="0028158A" w:rsidRPr="00BC07A4">
        <w:t>ese were</w:t>
      </w:r>
      <w:r w:rsidRPr="00BC07A4">
        <w:t xml:space="preserve"> not consistent with the recommendations in TGA PI </w:t>
      </w:r>
      <w:r w:rsidR="00590008" w:rsidRPr="00BC07A4">
        <w:t>or the</w:t>
      </w:r>
      <w:r w:rsidR="00DF2E32" w:rsidRPr="00BC07A4">
        <w:t xml:space="preserve"> </w:t>
      </w:r>
      <w:r w:rsidRPr="00BC07A4">
        <w:t>MajesTEC</w:t>
      </w:r>
      <w:r w:rsidR="00EC1990">
        <w:noBreakHyphen/>
      </w:r>
      <w:r w:rsidRPr="00BC07A4">
        <w:t xml:space="preserve">1 </w:t>
      </w:r>
      <w:r w:rsidR="00590008" w:rsidRPr="00BC07A4">
        <w:t>study</w:t>
      </w:r>
      <w:r w:rsidRPr="00BC07A4">
        <w:t xml:space="preserve">. </w:t>
      </w:r>
    </w:p>
    <w:p w14:paraId="6E7E7008" w14:textId="77777777" w:rsidR="00BE5EBC" w:rsidRPr="000160C3" w:rsidRDefault="00BE5EBC" w:rsidP="001C47F4">
      <w:pPr>
        <w:pStyle w:val="4-SubsectionHeading"/>
      </w:pPr>
      <w:bookmarkStart w:id="69" w:name="_Toc22897648"/>
      <w:bookmarkStart w:id="70" w:name="_Toc219718656"/>
      <w:r w:rsidRPr="000160C3">
        <w:t>Quality Use of Medicines</w:t>
      </w:r>
      <w:bookmarkEnd w:id="69"/>
      <w:bookmarkEnd w:id="70"/>
    </w:p>
    <w:p w14:paraId="039CE715" w14:textId="77777777" w:rsidR="00BE5EBC" w:rsidRPr="00BC07A4" w:rsidRDefault="00BE5EBC" w:rsidP="001C47F4">
      <w:pPr>
        <w:pStyle w:val="3-BodyText"/>
        <w:rPr>
          <w:color w:val="0066FF"/>
        </w:rPr>
      </w:pPr>
      <w:r w:rsidRPr="00BC07A4">
        <w:t>The submission proposed activities to support the quality use of medicines including:</w:t>
      </w:r>
    </w:p>
    <w:p w14:paraId="3559D3FE" w14:textId="4381C8B7" w:rsidR="00BE5EBC" w:rsidRPr="00BC07A4" w:rsidRDefault="00BE5EBC" w:rsidP="001C47F4">
      <w:pPr>
        <w:pStyle w:val="3-BodyText"/>
        <w:numPr>
          <w:ilvl w:val="0"/>
          <w:numId w:val="8"/>
        </w:numPr>
        <w:ind w:left="1004" w:hanging="284"/>
      </w:pPr>
      <w:r w:rsidRPr="00BC07A4">
        <w:lastRenderedPageBreak/>
        <w:t>Holding hospital</w:t>
      </w:r>
      <w:r w:rsidR="00EC1990">
        <w:noBreakHyphen/>
      </w:r>
      <w:r w:rsidRPr="00BC07A4">
        <w:t>based training for clinics administering teclistamab. This includes tailored education for haematologists, pharmacists, and nursing teams to ensure safe and effective administration, particularly during the step</w:t>
      </w:r>
      <w:r w:rsidR="00EC1990">
        <w:noBreakHyphen/>
      </w:r>
      <w:r w:rsidRPr="00BC07A4">
        <w:t xml:space="preserve">up dosing phase. </w:t>
      </w:r>
    </w:p>
    <w:p w14:paraId="52267610" w14:textId="5E4C9F21" w:rsidR="00BE5EBC" w:rsidRPr="00BC07A4" w:rsidRDefault="00BE5EBC" w:rsidP="001C47F4">
      <w:pPr>
        <w:pStyle w:val="3-BodyText"/>
        <w:numPr>
          <w:ilvl w:val="0"/>
          <w:numId w:val="8"/>
        </w:numPr>
        <w:ind w:left="1004" w:hanging="284"/>
      </w:pPr>
      <w:r w:rsidRPr="00BC07A4">
        <w:t xml:space="preserve">Educational materials for </w:t>
      </w:r>
      <w:r w:rsidR="00137FCE" w:rsidRPr="00BC07A4">
        <w:t>health care professionals (</w:t>
      </w:r>
      <w:r w:rsidRPr="00BC07A4">
        <w:t>HCPs</w:t>
      </w:r>
      <w:r w:rsidR="00137FCE" w:rsidRPr="00BC07A4">
        <w:t>)</w:t>
      </w:r>
      <w:r w:rsidRPr="00BC07A4">
        <w:t xml:space="preserve"> to support the safe administration of teclistamab and the management of adverse events. </w:t>
      </w:r>
    </w:p>
    <w:p w14:paraId="288C25E5" w14:textId="7DFCE254" w:rsidR="00BE5EBC" w:rsidRPr="00BC07A4" w:rsidRDefault="00BE5EBC" w:rsidP="001C47F4">
      <w:pPr>
        <w:pStyle w:val="3-BodyText"/>
        <w:numPr>
          <w:ilvl w:val="0"/>
          <w:numId w:val="8"/>
        </w:numPr>
        <w:ind w:left="1004" w:hanging="284"/>
      </w:pPr>
      <w:r w:rsidRPr="00BC07A4">
        <w:t>Patient and carer support: In line with the teclistamab Risk Management Plan (RMP), patient wallet cards will be distributed to support emergency identification and management of CRS. Additionally, patient and carer educational materials are provided to promote awareness of potential side effects and encourage early reporting and intervention. These resources are currently in use under the self</w:t>
      </w:r>
      <w:r w:rsidR="00EC1990">
        <w:noBreakHyphen/>
      </w:r>
      <w:r w:rsidRPr="00BC07A4">
        <w:t xml:space="preserve">pay program’. </w:t>
      </w:r>
    </w:p>
    <w:p w14:paraId="2396931E" w14:textId="187B36E8" w:rsidR="00BE5EBC" w:rsidRPr="00BC07A4" w:rsidRDefault="00BE5EBC" w:rsidP="001C47F4">
      <w:pPr>
        <w:pStyle w:val="3-BodyText"/>
        <w:numPr>
          <w:ilvl w:val="0"/>
          <w:numId w:val="8"/>
        </w:numPr>
        <w:ind w:left="1004" w:hanging="284"/>
      </w:pPr>
      <w:r w:rsidRPr="00BC07A4">
        <w:t>The Sponsor is planning to partner with Myeloma Australia to co</w:t>
      </w:r>
      <w:r w:rsidR="00EC1990">
        <w:noBreakHyphen/>
      </w:r>
      <w:r w:rsidRPr="00BC07A4">
        <w:t>develop a teclistamab factsheet and deliver training to the Myeloma Australia nurse team. This initiative will help ensure consistent, high</w:t>
      </w:r>
      <w:r w:rsidR="00EC1990">
        <w:noBreakHyphen/>
      </w:r>
      <w:r w:rsidRPr="00BC07A4">
        <w:t>quality information is available to patients and support staff across the country.</w:t>
      </w:r>
    </w:p>
    <w:p w14:paraId="62969FF7" w14:textId="77777777" w:rsidR="00BE5EBC" w:rsidRPr="00BC07A4" w:rsidRDefault="00BE5EBC" w:rsidP="001C47F4">
      <w:pPr>
        <w:pStyle w:val="3-BodyText"/>
        <w:numPr>
          <w:ilvl w:val="0"/>
          <w:numId w:val="8"/>
        </w:numPr>
        <w:ind w:left="1004" w:hanging="284"/>
      </w:pPr>
      <w:r w:rsidRPr="00BC07A4">
        <w:t>Planned medical education events and video content to further support best practice in teclistamab administration and adverse event management. These materials will be designed to reinforce key safety messages and practical guidance for clinical teams.</w:t>
      </w:r>
    </w:p>
    <w:p w14:paraId="76ED3559" w14:textId="024892A9" w:rsidR="007E7664" w:rsidRPr="002D255E" w:rsidRDefault="0012502C" w:rsidP="001C47F4">
      <w:pPr>
        <w:pStyle w:val="3-BodyText"/>
        <w:rPr>
          <w:color w:val="0066FF"/>
        </w:rPr>
      </w:pPr>
      <w:r w:rsidRPr="00BC07A4">
        <w:t xml:space="preserve">The </w:t>
      </w:r>
      <w:r w:rsidR="00BE5EBC" w:rsidRPr="00BC07A4">
        <w:t xml:space="preserve">DUSC previously considered that </w:t>
      </w:r>
      <w:r w:rsidR="00A57105" w:rsidRPr="00BC07A4">
        <w:t>CRS</w:t>
      </w:r>
      <w:r w:rsidR="00BE5EBC" w:rsidRPr="00BC07A4">
        <w:t xml:space="preserve"> and </w:t>
      </w:r>
      <w:r w:rsidR="00BB724D" w:rsidRPr="00BC07A4">
        <w:t>Immune Effector Cell</w:t>
      </w:r>
      <w:r w:rsidR="00EC1990">
        <w:noBreakHyphen/>
      </w:r>
      <w:r w:rsidR="00BB724D" w:rsidRPr="00BC07A4">
        <w:t xml:space="preserve">Associated Neurotoxicity </w:t>
      </w:r>
      <w:r w:rsidR="003B4AC0" w:rsidRPr="00BC07A4">
        <w:t xml:space="preserve">Syndrome </w:t>
      </w:r>
      <w:r w:rsidR="00BB724D" w:rsidRPr="00BC07A4">
        <w:t>(</w:t>
      </w:r>
      <w:r w:rsidR="00BE5EBC" w:rsidRPr="00BC07A4">
        <w:t>ICANS</w:t>
      </w:r>
      <w:r w:rsidR="00BB724D" w:rsidRPr="00BC07A4">
        <w:t>)</w:t>
      </w:r>
      <w:r w:rsidR="00BE5EBC" w:rsidRPr="00BC07A4">
        <w:t xml:space="preserve"> are novel complications that are not well understood outside specialist centres, and that education of both patients and health care practitioners would be needed (para</w:t>
      </w:r>
      <w:r w:rsidR="00B25B96" w:rsidRPr="00BC07A4">
        <w:t>graph</w:t>
      </w:r>
      <w:r w:rsidR="00BE5EBC" w:rsidRPr="00BC07A4">
        <w:t xml:space="preserve"> 6.73, elranatamab, PSD, July 2024 PBAC meeting). </w:t>
      </w:r>
      <w:r w:rsidR="000C0A33" w:rsidRPr="00BC07A4">
        <w:t>The ESC noted experience in managing CRS and ICANS has increased</w:t>
      </w:r>
      <w:r w:rsidR="00A84C7B" w:rsidRPr="00BC07A4">
        <w:t xml:space="preserve">. </w:t>
      </w:r>
    </w:p>
    <w:p w14:paraId="1BD20645" w14:textId="77777777" w:rsidR="001B513D" w:rsidRPr="000160C3" w:rsidRDefault="001B513D" w:rsidP="001C47F4">
      <w:pPr>
        <w:pStyle w:val="4-SubsectionHeading"/>
      </w:pPr>
      <w:bookmarkStart w:id="71" w:name="_Toc22897649"/>
      <w:bookmarkStart w:id="72" w:name="_Toc218511351"/>
      <w:r w:rsidRPr="000160C3">
        <w:t>Financial Management – Risk Sharing Arrangements</w:t>
      </w:r>
      <w:bookmarkEnd w:id="71"/>
      <w:bookmarkEnd w:id="72"/>
    </w:p>
    <w:p w14:paraId="4F99A705" w14:textId="77777777" w:rsidR="00C916F8" w:rsidRDefault="001B513D" w:rsidP="001C47F4">
      <w:pPr>
        <w:pStyle w:val="3-BodyText"/>
      </w:pPr>
      <w:r w:rsidRPr="00BC07A4">
        <w:t xml:space="preserve">The ESC noted that </w:t>
      </w:r>
      <w:r w:rsidR="00DB7281" w:rsidRPr="00BC07A4">
        <w:t>when recommend</w:t>
      </w:r>
      <w:r w:rsidR="00155517" w:rsidRPr="00BC07A4">
        <w:t>ing elranatamab</w:t>
      </w:r>
      <w:r w:rsidR="00DB7281" w:rsidRPr="00BC07A4">
        <w:t xml:space="preserve"> in March 2025, the PBAC considered that</w:t>
      </w:r>
      <w:r w:rsidR="00277C53" w:rsidRPr="00BC07A4">
        <w:t>,</w:t>
      </w:r>
      <w:r w:rsidR="00DB7281" w:rsidRPr="00BC07A4">
        <w:t xml:space="preserve"> due to </w:t>
      </w:r>
      <w:r w:rsidR="00155517" w:rsidRPr="00BC07A4">
        <w:t>uncertainties with the financial estimates</w:t>
      </w:r>
      <w:r w:rsidR="00277C53" w:rsidRPr="00BC07A4">
        <w:t>,</w:t>
      </w:r>
      <w:r w:rsidR="00155517" w:rsidRPr="00BC07A4">
        <w:t xml:space="preserve"> a risk sharing arrangement </w:t>
      </w:r>
      <w:r w:rsidR="00EA1852" w:rsidRPr="00BC07A4">
        <w:t xml:space="preserve">(RSA) </w:t>
      </w:r>
      <w:r w:rsidR="00155517" w:rsidRPr="00BC07A4">
        <w:t xml:space="preserve">would be required. The ESC considered that if recommended, teclistamab should join the </w:t>
      </w:r>
      <w:r w:rsidR="00EA1852" w:rsidRPr="00BC07A4">
        <w:t>RSA for elranatamab.</w:t>
      </w:r>
      <w:r w:rsidR="00BF12A8" w:rsidRPr="00BC07A4">
        <w:t xml:space="preserve"> </w:t>
      </w:r>
    </w:p>
    <w:p w14:paraId="657EA90E" w14:textId="667D28A5" w:rsidR="00204AE0" w:rsidRPr="00DC4645" w:rsidRDefault="00C916F8" w:rsidP="001C47F4">
      <w:pPr>
        <w:pStyle w:val="3-BodyText"/>
        <w:numPr>
          <w:ilvl w:val="0"/>
          <w:numId w:val="0"/>
        </w:numPr>
        <w:ind w:left="720"/>
        <w:rPr>
          <w:i/>
          <w:iCs/>
        </w:rPr>
      </w:pPr>
      <w:r w:rsidRPr="00C916F8">
        <w:rPr>
          <w:i/>
          <w:iCs/>
        </w:rPr>
        <w:t>For more detail on PBAC’s view, see section 7 PBAC outcome.</w:t>
      </w:r>
      <w:bookmarkEnd w:id="49"/>
    </w:p>
    <w:p w14:paraId="1367B755" w14:textId="77777777" w:rsidR="00DC4645" w:rsidRPr="0090150D" w:rsidRDefault="00DC4645" w:rsidP="001C47F4">
      <w:pPr>
        <w:pStyle w:val="2-SectionHeading"/>
        <w:numPr>
          <w:ilvl w:val="0"/>
          <w:numId w:val="1"/>
        </w:numPr>
      </w:pPr>
      <w:bookmarkStart w:id="73" w:name="_Hlk76381249"/>
      <w:bookmarkStart w:id="74" w:name="_Hlk76377955"/>
      <w:r w:rsidRPr="0090150D">
        <w:t>PBAC Outcome</w:t>
      </w:r>
    </w:p>
    <w:p w14:paraId="3753C571" w14:textId="65644A23" w:rsidR="00B5458F" w:rsidRDefault="00B5458F" w:rsidP="001C47F4">
      <w:pPr>
        <w:numPr>
          <w:ilvl w:val="1"/>
          <w:numId w:val="1"/>
        </w:numPr>
        <w:spacing w:after="120"/>
        <w:rPr>
          <w:rFonts w:cs="Arial"/>
          <w:snapToGrid w:val="0"/>
          <w:lang w:val="en-GB"/>
        </w:rPr>
      </w:pPr>
      <w:r>
        <w:rPr>
          <w:rFonts w:cs="Arial"/>
          <w:snapToGrid w:val="0"/>
          <w:lang w:val="en-GB"/>
        </w:rPr>
        <w:t xml:space="preserve">The PBAC recommended teclistamab for the treatment of patients with relapsed or refractory multiple myeloma (RRMM) </w:t>
      </w:r>
      <w:r w:rsidR="00ED46F3">
        <w:rPr>
          <w:rFonts w:cs="Arial"/>
          <w:snapToGrid w:val="0"/>
          <w:lang w:val="en-GB"/>
        </w:rPr>
        <w:t>who have received at least 3 prior lines of therapy, including a proteasome inhibitor (PI), an immunomodulatory agent (</w:t>
      </w:r>
      <w:proofErr w:type="spellStart"/>
      <w:r w:rsidR="00ED46F3">
        <w:rPr>
          <w:rFonts w:cs="Arial"/>
          <w:snapToGrid w:val="0"/>
          <w:lang w:val="en-GB"/>
        </w:rPr>
        <w:t>IMiD</w:t>
      </w:r>
      <w:proofErr w:type="spellEnd"/>
      <w:r w:rsidR="002879E8">
        <w:rPr>
          <w:rFonts w:cs="Arial"/>
          <w:snapToGrid w:val="0"/>
          <w:lang w:val="en-GB"/>
        </w:rPr>
        <w:t>)</w:t>
      </w:r>
      <w:r w:rsidR="00ED46F3">
        <w:rPr>
          <w:rFonts w:cs="Arial"/>
          <w:snapToGrid w:val="0"/>
          <w:lang w:val="en-GB"/>
        </w:rPr>
        <w:t xml:space="preserve"> and an anti</w:t>
      </w:r>
      <w:r w:rsidR="00EC1990">
        <w:rPr>
          <w:rFonts w:cs="Arial"/>
          <w:snapToGrid w:val="0"/>
          <w:lang w:val="en-GB"/>
        </w:rPr>
        <w:noBreakHyphen/>
      </w:r>
      <w:r w:rsidR="00ED46F3">
        <w:rPr>
          <w:rFonts w:cs="Arial"/>
          <w:snapToGrid w:val="0"/>
          <w:lang w:val="en-GB"/>
        </w:rPr>
        <w:t>CD38 monoclonal antibody</w:t>
      </w:r>
      <w:r w:rsidR="004B3CCF">
        <w:rPr>
          <w:rFonts w:cs="Arial"/>
          <w:snapToGrid w:val="0"/>
          <w:lang w:val="en-GB"/>
        </w:rPr>
        <w:t>, on the basis that it should be available onl</w:t>
      </w:r>
      <w:r w:rsidR="00D844FB">
        <w:rPr>
          <w:rFonts w:cs="Arial"/>
          <w:snapToGrid w:val="0"/>
          <w:lang w:val="en-GB"/>
        </w:rPr>
        <w:t>y</w:t>
      </w:r>
      <w:r w:rsidR="004B3CCF">
        <w:rPr>
          <w:rFonts w:cs="Arial"/>
          <w:snapToGrid w:val="0"/>
          <w:lang w:val="en-GB"/>
        </w:rPr>
        <w:t xml:space="preserve"> under special arrangements under the Section 100 </w:t>
      </w:r>
      <w:r w:rsidR="00D844FB">
        <w:rPr>
          <w:rFonts w:cs="Arial"/>
          <w:snapToGrid w:val="0"/>
          <w:lang w:val="en-GB"/>
        </w:rPr>
        <w:t>(Efficient Funding of Chemotherapy – Related Benefits) and as a General Schedule listing.</w:t>
      </w:r>
      <w:r w:rsidR="00BB23CA">
        <w:rPr>
          <w:rFonts w:cs="Arial"/>
          <w:snapToGrid w:val="0"/>
          <w:lang w:val="en-GB"/>
        </w:rPr>
        <w:t xml:space="preserve"> The PBAC considered that teclistamab was non</w:t>
      </w:r>
      <w:r w:rsidR="00EC1990">
        <w:rPr>
          <w:rFonts w:cs="Arial"/>
          <w:snapToGrid w:val="0"/>
          <w:lang w:val="en-GB"/>
        </w:rPr>
        <w:noBreakHyphen/>
      </w:r>
      <w:r w:rsidR="00BB23CA">
        <w:rPr>
          <w:rFonts w:cs="Arial"/>
          <w:snapToGrid w:val="0"/>
          <w:lang w:val="en-GB"/>
        </w:rPr>
        <w:t xml:space="preserve">inferior in terms of efficacy and safety </w:t>
      </w:r>
      <w:r w:rsidR="00097E8E">
        <w:rPr>
          <w:rFonts w:cs="Arial"/>
          <w:snapToGrid w:val="0"/>
          <w:lang w:val="en-GB"/>
        </w:rPr>
        <w:t xml:space="preserve">compared to </w:t>
      </w:r>
      <w:r w:rsidR="00637FD0">
        <w:rPr>
          <w:rFonts w:cs="Arial"/>
          <w:snapToGrid w:val="0"/>
          <w:lang w:val="en-GB"/>
        </w:rPr>
        <w:t xml:space="preserve">the nominated comparator, </w:t>
      </w:r>
      <w:r w:rsidR="00097E8E">
        <w:rPr>
          <w:rFonts w:cs="Arial"/>
          <w:snapToGrid w:val="0"/>
          <w:lang w:val="en-GB"/>
        </w:rPr>
        <w:t xml:space="preserve">elranatamab. </w:t>
      </w:r>
      <w:r w:rsidR="00BB4F27">
        <w:rPr>
          <w:rFonts w:cs="Arial"/>
          <w:snapToGrid w:val="0"/>
          <w:lang w:val="en-GB"/>
        </w:rPr>
        <w:t>The PBAC considered th</w:t>
      </w:r>
      <w:r w:rsidR="00A7603B">
        <w:rPr>
          <w:rFonts w:cs="Arial"/>
          <w:snapToGrid w:val="0"/>
          <w:lang w:val="en-GB"/>
        </w:rPr>
        <w:t>at</w:t>
      </w:r>
      <w:r w:rsidR="00BB4F27">
        <w:rPr>
          <w:rFonts w:cs="Arial"/>
          <w:snapToGrid w:val="0"/>
          <w:lang w:val="en-GB"/>
        </w:rPr>
        <w:t xml:space="preserve"> teclistamab would be acceptably cost effective if it were cost minimised to elranatamab. </w:t>
      </w:r>
      <w:r w:rsidR="00A55B15">
        <w:rPr>
          <w:rFonts w:cs="Arial"/>
          <w:snapToGrid w:val="0"/>
          <w:lang w:val="en-GB"/>
        </w:rPr>
        <w:t xml:space="preserve">The PBAC considered </w:t>
      </w:r>
      <w:r w:rsidR="00637FD0">
        <w:rPr>
          <w:rFonts w:cs="Arial"/>
          <w:snapToGrid w:val="0"/>
          <w:lang w:val="en-GB"/>
        </w:rPr>
        <w:t xml:space="preserve">the impact of listing teclistamab on the PBS </w:t>
      </w:r>
      <w:r w:rsidR="00626E7E">
        <w:rPr>
          <w:rFonts w:cs="Arial"/>
          <w:snapToGrid w:val="0"/>
          <w:lang w:val="en-GB"/>
        </w:rPr>
        <w:t>sh</w:t>
      </w:r>
      <w:r w:rsidR="00637FD0">
        <w:rPr>
          <w:rFonts w:cs="Arial"/>
          <w:snapToGrid w:val="0"/>
          <w:lang w:val="en-GB"/>
        </w:rPr>
        <w:t xml:space="preserve">ould be </w:t>
      </w:r>
      <w:r w:rsidR="00626E7E">
        <w:rPr>
          <w:rFonts w:cs="Arial"/>
          <w:snapToGrid w:val="0"/>
          <w:lang w:val="en-GB"/>
        </w:rPr>
        <w:t xml:space="preserve">approximately </w:t>
      </w:r>
      <w:r w:rsidR="00637FD0">
        <w:rPr>
          <w:rFonts w:cs="Arial"/>
          <w:snapToGrid w:val="0"/>
          <w:lang w:val="en-GB"/>
        </w:rPr>
        <w:t>cost neutral</w:t>
      </w:r>
      <w:r w:rsidR="005249C9">
        <w:rPr>
          <w:rFonts w:cs="Arial"/>
          <w:snapToGrid w:val="0"/>
          <w:lang w:val="en-GB"/>
        </w:rPr>
        <w:t xml:space="preserve"> and </w:t>
      </w:r>
      <w:r w:rsidR="00637FD0">
        <w:rPr>
          <w:rFonts w:cs="Arial"/>
          <w:snapToGrid w:val="0"/>
          <w:lang w:val="en-GB"/>
        </w:rPr>
        <w:t xml:space="preserve">advised that teclistamab should join the </w:t>
      </w:r>
      <w:r w:rsidR="00E76810">
        <w:rPr>
          <w:rFonts w:cs="Arial"/>
          <w:snapToGrid w:val="0"/>
          <w:lang w:val="en-GB"/>
        </w:rPr>
        <w:t>risk sharing arrangement (RSA) for elranatamab with no increase in the expenditure caps.</w:t>
      </w:r>
    </w:p>
    <w:p w14:paraId="6D9A7BEC" w14:textId="754AAAAC" w:rsidR="00E76810" w:rsidRDefault="00E76810" w:rsidP="001C47F4">
      <w:pPr>
        <w:numPr>
          <w:ilvl w:val="1"/>
          <w:numId w:val="1"/>
        </w:numPr>
        <w:spacing w:after="120"/>
        <w:rPr>
          <w:rFonts w:cs="Arial"/>
          <w:snapToGrid w:val="0"/>
          <w:lang w:val="en-GB"/>
        </w:rPr>
      </w:pPr>
      <w:r>
        <w:rPr>
          <w:rFonts w:cs="Arial"/>
          <w:snapToGrid w:val="0"/>
          <w:lang w:val="en-GB"/>
        </w:rPr>
        <w:lastRenderedPageBreak/>
        <w:t>The PBAC acknowledged the input received from individuals, health care professionals and organ</w:t>
      </w:r>
      <w:r w:rsidR="001630F8">
        <w:rPr>
          <w:rFonts w:cs="Arial"/>
          <w:snapToGrid w:val="0"/>
          <w:lang w:val="en-GB"/>
        </w:rPr>
        <w:t>isations supporting the submission. The PBAC noted that the input highlighted the continued need for new and effective therapies for patients with RRMM</w:t>
      </w:r>
      <w:r w:rsidR="00170B71">
        <w:rPr>
          <w:rFonts w:cs="Arial"/>
          <w:snapToGrid w:val="0"/>
          <w:lang w:val="en-GB"/>
        </w:rPr>
        <w:t>. The PBAC noted the positive responses to treatment for patients who have accessed teclistamab via clinical trials and the substantial improvements that treatment offered to th</w:t>
      </w:r>
      <w:r w:rsidR="00E16356">
        <w:rPr>
          <w:rFonts w:cs="Arial"/>
          <w:snapToGrid w:val="0"/>
          <w:lang w:val="en-GB"/>
        </w:rPr>
        <w:t>eir quality of life</w:t>
      </w:r>
      <w:r w:rsidR="00170B71">
        <w:rPr>
          <w:rFonts w:cs="Arial"/>
          <w:snapToGrid w:val="0"/>
          <w:lang w:val="en-GB"/>
        </w:rPr>
        <w:t>.</w:t>
      </w:r>
    </w:p>
    <w:p w14:paraId="3FD2E538" w14:textId="75D3E31A" w:rsidR="00E16356" w:rsidRDefault="00E16356" w:rsidP="001C47F4">
      <w:pPr>
        <w:numPr>
          <w:ilvl w:val="1"/>
          <w:numId w:val="1"/>
        </w:numPr>
        <w:spacing w:after="120"/>
        <w:rPr>
          <w:rFonts w:cs="Arial"/>
          <w:snapToGrid w:val="0"/>
          <w:lang w:val="en-GB"/>
        </w:rPr>
      </w:pPr>
      <w:r>
        <w:rPr>
          <w:rFonts w:cs="Arial"/>
          <w:snapToGrid w:val="0"/>
          <w:lang w:val="en-GB"/>
        </w:rPr>
        <w:t>The PBAC considered that the positioning of teclistamab, as a fourth</w:t>
      </w:r>
      <w:r w:rsidR="00EC1990">
        <w:rPr>
          <w:rFonts w:cs="Arial"/>
          <w:snapToGrid w:val="0"/>
          <w:lang w:val="en-GB"/>
        </w:rPr>
        <w:noBreakHyphen/>
      </w:r>
      <w:r>
        <w:rPr>
          <w:rFonts w:cs="Arial"/>
          <w:snapToGrid w:val="0"/>
          <w:lang w:val="en-GB"/>
        </w:rPr>
        <w:t>line therapy for use in patients who have progressed on</w:t>
      </w:r>
      <w:r w:rsidR="000853EB">
        <w:rPr>
          <w:rFonts w:cs="Arial"/>
          <w:snapToGrid w:val="0"/>
          <w:lang w:val="en-GB"/>
        </w:rPr>
        <w:t xml:space="preserve">, or </w:t>
      </w:r>
      <w:r w:rsidR="00784F51">
        <w:rPr>
          <w:rFonts w:cs="Arial"/>
          <w:snapToGrid w:val="0"/>
          <w:lang w:val="en-GB"/>
        </w:rPr>
        <w:t xml:space="preserve">are </w:t>
      </w:r>
      <w:r w:rsidR="000853EB">
        <w:rPr>
          <w:rFonts w:cs="Arial"/>
          <w:snapToGrid w:val="0"/>
          <w:lang w:val="en-GB"/>
        </w:rPr>
        <w:t>refractory to</w:t>
      </w:r>
      <w:r>
        <w:rPr>
          <w:rFonts w:cs="Arial"/>
          <w:snapToGrid w:val="0"/>
          <w:lang w:val="en-GB"/>
        </w:rPr>
        <w:t xml:space="preserve"> at least </w:t>
      </w:r>
      <w:r w:rsidR="007D44F7">
        <w:rPr>
          <w:rFonts w:cs="Arial"/>
          <w:snapToGrid w:val="0"/>
          <w:lang w:val="en-GB"/>
        </w:rPr>
        <w:t xml:space="preserve">3 prior lines of therapy including a PI, and </w:t>
      </w:r>
      <w:proofErr w:type="spellStart"/>
      <w:r w:rsidR="007D44F7">
        <w:rPr>
          <w:rFonts w:cs="Arial"/>
          <w:snapToGrid w:val="0"/>
          <w:lang w:val="en-GB"/>
        </w:rPr>
        <w:t>IMid</w:t>
      </w:r>
      <w:proofErr w:type="spellEnd"/>
      <w:r w:rsidR="007D44F7">
        <w:rPr>
          <w:rFonts w:cs="Arial"/>
          <w:snapToGrid w:val="0"/>
          <w:lang w:val="en-GB"/>
        </w:rPr>
        <w:t xml:space="preserve"> and an anti</w:t>
      </w:r>
      <w:r w:rsidR="00EC1990">
        <w:rPr>
          <w:rFonts w:cs="Arial"/>
          <w:snapToGrid w:val="0"/>
          <w:lang w:val="en-GB"/>
        </w:rPr>
        <w:noBreakHyphen/>
      </w:r>
      <w:r w:rsidR="007D44F7">
        <w:rPr>
          <w:rFonts w:cs="Arial"/>
          <w:snapToGrid w:val="0"/>
          <w:lang w:val="en-GB"/>
        </w:rPr>
        <w:t>CD38 monoclonal antibody</w:t>
      </w:r>
      <w:r w:rsidR="009A4810">
        <w:rPr>
          <w:rFonts w:cs="Arial"/>
          <w:snapToGrid w:val="0"/>
          <w:lang w:val="en-GB"/>
        </w:rPr>
        <w:t xml:space="preserve"> was appropriate.</w:t>
      </w:r>
    </w:p>
    <w:p w14:paraId="66D87FBB" w14:textId="3F9DF3B6" w:rsidR="009A4810" w:rsidRDefault="009A4810" w:rsidP="001C47F4">
      <w:pPr>
        <w:numPr>
          <w:ilvl w:val="1"/>
          <w:numId w:val="1"/>
        </w:numPr>
        <w:spacing w:after="120"/>
        <w:rPr>
          <w:rFonts w:cs="Arial"/>
          <w:snapToGrid w:val="0"/>
          <w:lang w:val="en-GB"/>
        </w:rPr>
      </w:pPr>
      <w:r>
        <w:rPr>
          <w:rFonts w:cs="Arial"/>
          <w:snapToGrid w:val="0"/>
          <w:lang w:val="en-GB"/>
        </w:rPr>
        <w:t xml:space="preserve">The PBAC considered that the nominated comparator, elranatamab, was appropriate, noting that it was recommended for </w:t>
      </w:r>
      <w:r w:rsidR="00C836F0">
        <w:rPr>
          <w:rFonts w:cs="Arial"/>
          <w:snapToGrid w:val="0"/>
          <w:lang w:val="en-GB"/>
        </w:rPr>
        <w:t>use in the same clinical setting in March 2025.</w:t>
      </w:r>
    </w:p>
    <w:p w14:paraId="2253A04D" w14:textId="3D9D87B2" w:rsidR="00C836F0" w:rsidRDefault="00302E7E" w:rsidP="001C47F4">
      <w:pPr>
        <w:numPr>
          <w:ilvl w:val="1"/>
          <w:numId w:val="1"/>
        </w:numPr>
        <w:spacing w:after="120"/>
        <w:rPr>
          <w:rFonts w:cs="Arial"/>
          <w:snapToGrid w:val="0"/>
          <w:lang w:val="en-GB"/>
        </w:rPr>
      </w:pPr>
      <w:r>
        <w:rPr>
          <w:rFonts w:cs="Arial"/>
          <w:snapToGrid w:val="0"/>
          <w:lang w:val="en-GB"/>
        </w:rPr>
        <w:t>The PBAC considered that the proposed restriction</w:t>
      </w:r>
      <w:r w:rsidR="00F24025">
        <w:rPr>
          <w:rFonts w:cs="Arial"/>
          <w:snapToGrid w:val="0"/>
          <w:lang w:val="en-GB"/>
        </w:rPr>
        <w:t>s</w:t>
      </w:r>
      <w:r>
        <w:rPr>
          <w:rFonts w:cs="Arial"/>
          <w:snapToGrid w:val="0"/>
          <w:lang w:val="en-GB"/>
        </w:rPr>
        <w:t xml:space="preserve"> </w:t>
      </w:r>
      <w:r w:rsidR="00F24025">
        <w:rPr>
          <w:rFonts w:cs="Arial"/>
          <w:snapToGrid w:val="0"/>
          <w:lang w:val="en-GB"/>
        </w:rPr>
        <w:t>were</w:t>
      </w:r>
      <w:r w:rsidR="000C7D72">
        <w:rPr>
          <w:rFonts w:cs="Arial"/>
          <w:snapToGrid w:val="0"/>
          <w:lang w:val="en-GB"/>
        </w:rPr>
        <w:t xml:space="preserve"> reasonable, noting that the amendments made by the Secretariat </w:t>
      </w:r>
      <w:r w:rsidR="00F24025">
        <w:rPr>
          <w:rFonts w:cs="Arial"/>
          <w:snapToGrid w:val="0"/>
          <w:lang w:val="en-GB"/>
        </w:rPr>
        <w:t xml:space="preserve">to align the restrictions with the elranatamab restrictions </w:t>
      </w:r>
      <w:r w:rsidR="000C7D72">
        <w:rPr>
          <w:rFonts w:cs="Arial"/>
          <w:snapToGrid w:val="0"/>
          <w:lang w:val="en-GB"/>
        </w:rPr>
        <w:t>were appropriate</w:t>
      </w:r>
      <w:r w:rsidR="00B85B91">
        <w:rPr>
          <w:rFonts w:cs="Arial"/>
          <w:snapToGrid w:val="0"/>
          <w:lang w:val="en-GB"/>
        </w:rPr>
        <w:t xml:space="preserve">. The PBAC agreed that </w:t>
      </w:r>
      <w:r w:rsidR="004F2A2B">
        <w:rPr>
          <w:rFonts w:cs="Arial"/>
          <w:snapToGrid w:val="0"/>
          <w:lang w:val="en-GB"/>
        </w:rPr>
        <w:t xml:space="preserve">a </w:t>
      </w:r>
      <w:r w:rsidR="00B85B91">
        <w:rPr>
          <w:rFonts w:cs="Arial"/>
          <w:snapToGrid w:val="0"/>
          <w:lang w:val="en-GB"/>
        </w:rPr>
        <w:t>grandfather restriction</w:t>
      </w:r>
      <w:r w:rsidR="004F2A2B">
        <w:rPr>
          <w:rFonts w:cs="Arial"/>
          <w:snapToGrid w:val="0"/>
          <w:lang w:val="en-GB"/>
        </w:rPr>
        <w:t xml:space="preserve"> was not required</w:t>
      </w:r>
      <w:r w:rsidR="000C7D72">
        <w:rPr>
          <w:rFonts w:cs="Arial"/>
          <w:snapToGrid w:val="0"/>
          <w:lang w:val="en-GB"/>
        </w:rPr>
        <w:t>.</w:t>
      </w:r>
      <w:r w:rsidR="004D4831">
        <w:rPr>
          <w:rFonts w:cs="Arial"/>
          <w:snapToGrid w:val="0"/>
          <w:lang w:val="en-GB"/>
        </w:rPr>
        <w:t xml:space="preserve"> The PBAC stated that </w:t>
      </w:r>
      <w:r w:rsidR="00471C3C">
        <w:rPr>
          <w:rFonts w:cs="Arial"/>
          <w:snapToGrid w:val="0"/>
          <w:lang w:val="en-GB"/>
        </w:rPr>
        <w:t xml:space="preserve">the restrictions should allow for switching between </w:t>
      </w:r>
      <w:r w:rsidR="00B0712F">
        <w:rPr>
          <w:rFonts w:cs="Arial"/>
          <w:snapToGrid w:val="0"/>
          <w:lang w:val="en-GB"/>
        </w:rPr>
        <w:t xml:space="preserve">elranatamab and teclistamab </w:t>
      </w:r>
      <w:r w:rsidR="003E5026">
        <w:rPr>
          <w:rFonts w:cs="Arial"/>
          <w:snapToGrid w:val="0"/>
          <w:lang w:val="en-GB"/>
        </w:rPr>
        <w:t xml:space="preserve">in the absence of disease progression e.g. in cases of intolerance. The PBAC advised that </w:t>
      </w:r>
      <w:r w:rsidR="005A6D03">
        <w:rPr>
          <w:rFonts w:cs="Arial"/>
          <w:snapToGrid w:val="0"/>
          <w:lang w:val="en-GB"/>
        </w:rPr>
        <w:t>this would require flow</w:t>
      </w:r>
      <w:r w:rsidR="00EC1990">
        <w:rPr>
          <w:rFonts w:cs="Arial"/>
          <w:snapToGrid w:val="0"/>
          <w:lang w:val="en-GB"/>
        </w:rPr>
        <w:noBreakHyphen/>
      </w:r>
      <w:r w:rsidR="005A6D03">
        <w:rPr>
          <w:rFonts w:cs="Arial"/>
          <w:snapToGrid w:val="0"/>
          <w:lang w:val="en-GB"/>
        </w:rPr>
        <w:t>on changes to the elranatamab restrictions.</w:t>
      </w:r>
    </w:p>
    <w:p w14:paraId="1C8EB649" w14:textId="10583FF1" w:rsidR="00B42DBC" w:rsidRDefault="003C143C" w:rsidP="001C47F4">
      <w:pPr>
        <w:numPr>
          <w:ilvl w:val="1"/>
          <w:numId w:val="1"/>
        </w:numPr>
        <w:spacing w:after="120"/>
        <w:rPr>
          <w:rFonts w:cs="Arial"/>
          <w:snapToGrid w:val="0"/>
          <w:lang w:val="en-GB"/>
        </w:rPr>
      </w:pPr>
      <w:r>
        <w:rPr>
          <w:rFonts w:cs="Arial"/>
          <w:snapToGrid w:val="0"/>
          <w:lang w:val="en-GB"/>
        </w:rPr>
        <w:t xml:space="preserve">The PBAC noted that the </w:t>
      </w:r>
      <w:r w:rsidR="00837B01">
        <w:rPr>
          <w:rFonts w:cs="Arial"/>
          <w:snapToGrid w:val="0"/>
          <w:lang w:val="en-GB"/>
        </w:rPr>
        <w:t xml:space="preserve">submission was based on an unanchored, matched adjusted </w:t>
      </w:r>
      <w:r w:rsidR="000D47C0">
        <w:rPr>
          <w:rFonts w:cs="Arial"/>
          <w:snapToGrid w:val="0"/>
          <w:lang w:val="en-GB"/>
        </w:rPr>
        <w:t>indirect comparison (MAIC) be</w:t>
      </w:r>
      <w:r w:rsidR="00121360">
        <w:rPr>
          <w:rFonts w:cs="Arial"/>
          <w:snapToGrid w:val="0"/>
          <w:lang w:val="en-GB"/>
        </w:rPr>
        <w:t xml:space="preserve">tween the results from the </w:t>
      </w:r>
      <w:r w:rsidR="003D1DDC">
        <w:rPr>
          <w:rFonts w:cs="Arial"/>
          <w:snapToGrid w:val="0"/>
          <w:lang w:val="en-GB"/>
        </w:rPr>
        <w:t>open</w:t>
      </w:r>
      <w:r w:rsidR="00EC1990">
        <w:rPr>
          <w:rFonts w:cs="Arial"/>
          <w:snapToGrid w:val="0"/>
          <w:lang w:val="en-GB"/>
        </w:rPr>
        <w:noBreakHyphen/>
      </w:r>
      <w:r w:rsidR="003D1DDC">
        <w:rPr>
          <w:rFonts w:cs="Arial"/>
          <w:snapToGrid w:val="0"/>
          <w:lang w:val="en-GB"/>
        </w:rPr>
        <w:t xml:space="preserve">label, single arm </w:t>
      </w:r>
      <w:r w:rsidR="00121360">
        <w:rPr>
          <w:rFonts w:cs="Arial"/>
          <w:snapToGrid w:val="0"/>
          <w:lang w:val="en-GB"/>
        </w:rPr>
        <w:t>MajesTEC</w:t>
      </w:r>
      <w:r w:rsidR="00EC1990">
        <w:rPr>
          <w:rFonts w:cs="Arial"/>
          <w:snapToGrid w:val="0"/>
          <w:lang w:val="en-GB"/>
        </w:rPr>
        <w:noBreakHyphen/>
      </w:r>
      <w:r w:rsidR="00121360">
        <w:rPr>
          <w:rFonts w:cs="Arial"/>
          <w:snapToGrid w:val="0"/>
          <w:lang w:val="en-GB"/>
        </w:rPr>
        <w:t>1</w:t>
      </w:r>
      <w:r w:rsidR="007D6A14">
        <w:rPr>
          <w:rFonts w:cs="Arial"/>
          <w:snapToGrid w:val="0"/>
          <w:lang w:val="en-GB"/>
        </w:rPr>
        <w:t xml:space="preserve"> (teclistamab)</w:t>
      </w:r>
      <w:r w:rsidR="00121360">
        <w:rPr>
          <w:rFonts w:cs="Arial"/>
          <w:snapToGrid w:val="0"/>
          <w:lang w:val="en-GB"/>
        </w:rPr>
        <w:t xml:space="preserve"> and MagnetisMM</w:t>
      </w:r>
      <w:r w:rsidR="00EC1990">
        <w:rPr>
          <w:rFonts w:cs="Arial"/>
          <w:snapToGrid w:val="0"/>
          <w:lang w:val="en-GB"/>
        </w:rPr>
        <w:noBreakHyphen/>
      </w:r>
      <w:r w:rsidR="00121360">
        <w:rPr>
          <w:rFonts w:cs="Arial"/>
          <w:snapToGrid w:val="0"/>
          <w:lang w:val="en-GB"/>
        </w:rPr>
        <w:t xml:space="preserve">3 </w:t>
      </w:r>
      <w:r w:rsidR="007D6A14">
        <w:rPr>
          <w:rFonts w:cs="Arial"/>
          <w:snapToGrid w:val="0"/>
          <w:lang w:val="en-GB"/>
        </w:rPr>
        <w:t xml:space="preserve">(elranatamab) </w:t>
      </w:r>
      <w:r w:rsidR="00121360">
        <w:rPr>
          <w:rFonts w:cs="Arial"/>
          <w:snapToGrid w:val="0"/>
          <w:lang w:val="en-GB"/>
        </w:rPr>
        <w:t xml:space="preserve">studies. </w:t>
      </w:r>
    </w:p>
    <w:p w14:paraId="1D2B9C35" w14:textId="4955B0F4" w:rsidR="001645F8" w:rsidRDefault="001645F8" w:rsidP="001C47F4">
      <w:pPr>
        <w:numPr>
          <w:ilvl w:val="1"/>
          <w:numId w:val="1"/>
        </w:numPr>
        <w:spacing w:after="120"/>
        <w:rPr>
          <w:rFonts w:cs="Arial"/>
          <w:snapToGrid w:val="0"/>
          <w:lang w:val="en-GB"/>
        </w:rPr>
      </w:pPr>
      <w:r>
        <w:rPr>
          <w:rFonts w:cs="Arial"/>
          <w:snapToGrid w:val="0"/>
          <w:lang w:val="en-GB"/>
        </w:rPr>
        <w:t>The PBAC noted that there were some uncertainties with the MAIC</w:t>
      </w:r>
      <w:r w:rsidR="009B75EA">
        <w:rPr>
          <w:rFonts w:cs="Arial"/>
          <w:snapToGrid w:val="0"/>
          <w:lang w:val="en-GB"/>
        </w:rPr>
        <w:t xml:space="preserve"> (see paragraph </w:t>
      </w:r>
      <w:r w:rsidR="009B75EA">
        <w:rPr>
          <w:rFonts w:cs="Arial"/>
          <w:snapToGrid w:val="0"/>
          <w:lang w:val="en-GB"/>
        </w:rPr>
        <w:fldChar w:fldCharType="begin"/>
      </w:r>
      <w:r w:rsidR="009B75EA">
        <w:rPr>
          <w:rFonts w:cs="Arial"/>
          <w:snapToGrid w:val="0"/>
          <w:lang w:val="en-GB"/>
        </w:rPr>
        <w:instrText xml:space="preserve"> REF _Ref224648271 \r \h </w:instrText>
      </w:r>
      <w:r w:rsidR="009B75EA">
        <w:rPr>
          <w:rFonts w:cs="Arial"/>
          <w:snapToGrid w:val="0"/>
          <w:lang w:val="en-GB"/>
        </w:rPr>
      </w:r>
      <w:r w:rsidR="009B75EA">
        <w:rPr>
          <w:rFonts w:cs="Arial"/>
          <w:snapToGrid w:val="0"/>
          <w:lang w:val="en-GB"/>
        </w:rPr>
        <w:fldChar w:fldCharType="separate"/>
      </w:r>
      <w:r w:rsidR="00D44478">
        <w:rPr>
          <w:rFonts w:cs="Arial"/>
          <w:snapToGrid w:val="0"/>
          <w:lang w:val="en-GB"/>
        </w:rPr>
        <w:t>6.40</w:t>
      </w:r>
      <w:r w:rsidR="009B75EA">
        <w:rPr>
          <w:rFonts w:cs="Arial"/>
          <w:snapToGrid w:val="0"/>
          <w:lang w:val="en-GB"/>
        </w:rPr>
        <w:fldChar w:fldCharType="end"/>
      </w:r>
      <w:r w:rsidR="009B75EA">
        <w:rPr>
          <w:rFonts w:cs="Arial"/>
          <w:snapToGrid w:val="0"/>
          <w:lang w:val="en-GB"/>
        </w:rPr>
        <w:t>)</w:t>
      </w:r>
      <w:r w:rsidR="008A24B9">
        <w:rPr>
          <w:rFonts w:cs="Arial"/>
          <w:snapToGrid w:val="0"/>
          <w:lang w:val="en-GB"/>
        </w:rPr>
        <w:t>. The PBAC noted that for all the analyses</w:t>
      </w:r>
      <w:r w:rsidR="00BE702C">
        <w:rPr>
          <w:rFonts w:cs="Arial"/>
          <w:snapToGrid w:val="0"/>
          <w:lang w:val="en-GB"/>
        </w:rPr>
        <w:t xml:space="preserve"> presented in the submission</w:t>
      </w:r>
      <w:r w:rsidR="00DB0C84">
        <w:rPr>
          <w:rFonts w:cs="Arial"/>
          <w:snapToGrid w:val="0"/>
          <w:lang w:val="en-GB"/>
        </w:rPr>
        <w:t xml:space="preserve">, there were no statistically significant differences between </w:t>
      </w:r>
      <w:proofErr w:type="spellStart"/>
      <w:r w:rsidR="00DB0C84">
        <w:rPr>
          <w:rFonts w:cs="Arial"/>
          <w:snapToGrid w:val="0"/>
          <w:lang w:val="en-GB"/>
        </w:rPr>
        <w:t>teclistamab</w:t>
      </w:r>
      <w:proofErr w:type="spellEnd"/>
      <w:r w:rsidR="00DB0C84">
        <w:rPr>
          <w:rFonts w:cs="Arial"/>
          <w:snapToGrid w:val="0"/>
          <w:lang w:val="en-GB"/>
        </w:rPr>
        <w:t xml:space="preserve"> and </w:t>
      </w:r>
      <w:proofErr w:type="spellStart"/>
      <w:r w:rsidR="00DB0C84">
        <w:rPr>
          <w:rFonts w:cs="Arial"/>
          <w:snapToGrid w:val="0"/>
          <w:lang w:val="en-GB"/>
        </w:rPr>
        <w:t>elranatamab</w:t>
      </w:r>
      <w:proofErr w:type="spellEnd"/>
      <w:r w:rsidR="00350C91">
        <w:rPr>
          <w:rFonts w:cs="Arial"/>
          <w:snapToGrid w:val="0"/>
          <w:lang w:val="en-GB"/>
        </w:rPr>
        <w:t xml:space="preserve"> (see </w:t>
      </w:r>
      <w:r w:rsidR="00062027">
        <w:rPr>
          <w:rFonts w:cs="Arial"/>
          <w:snapToGrid w:val="0"/>
          <w:lang w:val="en-GB"/>
        </w:rPr>
        <w:fldChar w:fldCharType="begin"/>
      </w:r>
      <w:r w:rsidR="00062027">
        <w:rPr>
          <w:rFonts w:cs="Arial"/>
          <w:snapToGrid w:val="0"/>
          <w:lang w:val="en-GB"/>
        </w:rPr>
        <w:instrText xml:space="preserve"> REF _Ref216037137 \h </w:instrText>
      </w:r>
      <w:r w:rsidR="00062027">
        <w:rPr>
          <w:rFonts w:cs="Arial"/>
          <w:snapToGrid w:val="0"/>
          <w:lang w:val="en-GB"/>
        </w:rPr>
      </w:r>
      <w:r w:rsidR="00062027">
        <w:rPr>
          <w:rFonts w:cs="Arial"/>
          <w:snapToGrid w:val="0"/>
          <w:lang w:val="en-GB"/>
        </w:rPr>
        <w:fldChar w:fldCharType="separate"/>
      </w:r>
      <w:r w:rsidR="001C47F4" w:rsidRPr="000160C3">
        <w:t xml:space="preserve">Table </w:t>
      </w:r>
      <w:r w:rsidR="001C47F4">
        <w:rPr>
          <w:noProof/>
        </w:rPr>
        <w:t>6</w:t>
      </w:r>
      <w:r w:rsidR="00062027">
        <w:rPr>
          <w:rFonts w:cs="Arial"/>
          <w:snapToGrid w:val="0"/>
          <w:lang w:val="en-GB"/>
        </w:rPr>
        <w:fldChar w:fldCharType="end"/>
      </w:r>
      <w:r w:rsidR="00062027">
        <w:rPr>
          <w:rFonts w:cs="Arial"/>
          <w:snapToGrid w:val="0"/>
          <w:lang w:val="en-GB"/>
        </w:rPr>
        <w:t>,</w:t>
      </w:r>
      <w:r w:rsidR="00EC1990">
        <w:rPr>
          <w:rFonts w:cs="Arial"/>
          <w:snapToGrid w:val="0"/>
          <w:lang w:val="en-GB"/>
        </w:rPr>
        <w:t xml:space="preserve"> </w:t>
      </w:r>
      <w:r w:rsidR="00062027">
        <w:rPr>
          <w:rFonts w:cs="Arial"/>
          <w:snapToGrid w:val="0"/>
          <w:lang w:val="en-GB"/>
        </w:rPr>
        <w:fldChar w:fldCharType="begin"/>
      </w:r>
      <w:r w:rsidR="00062027">
        <w:rPr>
          <w:rFonts w:cs="Arial"/>
          <w:snapToGrid w:val="0"/>
          <w:lang w:val="en-GB"/>
        </w:rPr>
        <w:instrText xml:space="preserve"> REF _Ref216038511 \h </w:instrText>
      </w:r>
      <w:r w:rsidR="00062027">
        <w:rPr>
          <w:rFonts w:cs="Arial"/>
          <w:snapToGrid w:val="0"/>
          <w:lang w:val="en-GB"/>
        </w:rPr>
      </w:r>
      <w:r w:rsidR="00062027">
        <w:rPr>
          <w:rFonts w:cs="Arial"/>
          <w:snapToGrid w:val="0"/>
          <w:lang w:val="en-GB"/>
        </w:rPr>
        <w:fldChar w:fldCharType="separate"/>
      </w:r>
      <w:r w:rsidR="001C47F4" w:rsidRPr="000160C3">
        <w:t xml:space="preserve">Table </w:t>
      </w:r>
      <w:r w:rsidR="001C47F4">
        <w:rPr>
          <w:noProof/>
        </w:rPr>
        <w:t>7</w:t>
      </w:r>
      <w:r w:rsidR="00062027">
        <w:rPr>
          <w:rFonts w:cs="Arial"/>
          <w:snapToGrid w:val="0"/>
          <w:lang w:val="en-GB"/>
        </w:rPr>
        <w:fldChar w:fldCharType="end"/>
      </w:r>
      <w:r w:rsidR="00062027">
        <w:rPr>
          <w:rFonts w:cs="Arial"/>
          <w:snapToGrid w:val="0"/>
          <w:lang w:val="en-GB"/>
        </w:rPr>
        <w:t xml:space="preserve"> and </w:t>
      </w:r>
      <w:r w:rsidR="00062027">
        <w:rPr>
          <w:rFonts w:cs="Arial"/>
          <w:snapToGrid w:val="0"/>
          <w:lang w:val="en-GB"/>
        </w:rPr>
        <w:fldChar w:fldCharType="begin"/>
      </w:r>
      <w:r w:rsidR="00062027">
        <w:rPr>
          <w:rFonts w:cs="Arial"/>
          <w:snapToGrid w:val="0"/>
          <w:lang w:val="en-GB"/>
        </w:rPr>
        <w:instrText xml:space="preserve"> REF _Ref216039347 \h </w:instrText>
      </w:r>
      <w:r w:rsidR="00062027">
        <w:rPr>
          <w:rFonts w:cs="Arial"/>
          <w:snapToGrid w:val="0"/>
          <w:lang w:val="en-GB"/>
        </w:rPr>
      </w:r>
      <w:r w:rsidR="00062027">
        <w:rPr>
          <w:rFonts w:cs="Arial"/>
          <w:snapToGrid w:val="0"/>
          <w:lang w:val="en-GB"/>
        </w:rPr>
        <w:fldChar w:fldCharType="separate"/>
      </w:r>
      <w:r w:rsidR="001C47F4" w:rsidRPr="000160C3">
        <w:t xml:space="preserve">Table </w:t>
      </w:r>
      <w:r w:rsidR="001C47F4">
        <w:rPr>
          <w:noProof/>
        </w:rPr>
        <w:t>8</w:t>
      </w:r>
      <w:r w:rsidR="00062027">
        <w:rPr>
          <w:rFonts w:cs="Arial"/>
          <w:snapToGrid w:val="0"/>
          <w:lang w:val="en-GB"/>
        </w:rPr>
        <w:fldChar w:fldCharType="end"/>
      </w:r>
      <w:r w:rsidR="00062027">
        <w:rPr>
          <w:rFonts w:cs="Arial"/>
          <w:snapToGrid w:val="0"/>
          <w:lang w:val="en-GB"/>
        </w:rPr>
        <w:t>)</w:t>
      </w:r>
      <w:r w:rsidR="00BE702C">
        <w:rPr>
          <w:rFonts w:cs="Arial"/>
          <w:snapToGrid w:val="0"/>
          <w:lang w:val="en-GB"/>
        </w:rPr>
        <w:t xml:space="preserve">. </w:t>
      </w:r>
      <w:r w:rsidR="009C4228">
        <w:rPr>
          <w:rFonts w:cs="Arial"/>
          <w:snapToGrid w:val="0"/>
          <w:lang w:val="en-GB"/>
        </w:rPr>
        <w:t xml:space="preserve">The PBAC noted that </w:t>
      </w:r>
      <w:r w:rsidR="00B40353">
        <w:rPr>
          <w:rFonts w:cs="Arial"/>
          <w:snapToGrid w:val="0"/>
          <w:lang w:val="en-GB"/>
        </w:rPr>
        <w:t xml:space="preserve">the adjusted analyses from </w:t>
      </w:r>
      <w:r w:rsidR="009C4228">
        <w:rPr>
          <w:rFonts w:cs="Arial"/>
          <w:snapToGrid w:val="0"/>
          <w:lang w:val="en-GB"/>
        </w:rPr>
        <w:t>a published indirect comparison</w:t>
      </w:r>
      <w:r w:rsidR="00CD430D">
        <w:rPr>
          <w:rFonts w:cs="Arial"/>
          <w:snapToGrid w:val="0"/>
          <w:lang w:val="en-GB"/>
        </w:rPr>
        <w:t xml:space="preserve">, Mol 2025, </w:t>
      </w:r>
      <w:r w:rsidR="00B40353">
        <w:rPr>
          <w:rFonts w:cs="Arial"/>
          <w:snapToGrid w:val="0"/>
          <w:lang w:val="en-GB"/>
        </w:rPr>
        <w:t xml:space="preserve">statistically significantly favoured </w:t>
      </w:r>
      <w:proofErr w:type="spellStart"/>
      <w:r w:rsidR="00B40353">
        <w:rPr>
          <w:rFonts w:cs="Arial"/>
          <w:snapToGrid w:val="0"/>
          <w:lang w:val="en-GB"/>
        </w:rPr>
        <w:t>elranatamab</w:t>
      </w:r>
      <w:proofErr w:type="spellEnd"/>
      <w:r w:rsidR="00ED48B4">
        <w:rPr>
          <w:rFonts w:cs="Arial"/>
          <w:snapToGrid w:val="0"/>
          <w:lang w:val="en-GB"/>
        </w:rPr>
        <w:t xml:space="preserve"> </w:t>
      </w:r>
      <w:r w:rsidR="00E47AD7">
        <w:rPr>
          <w:rFonts w:cs="Arial"/>
          <w:snapToGrid w:val="0"/>
          <w:lang w:val="en-GB"/>
        </w:rPr>
        <w:t>but noted that this analysis, which adjusted for additional prognostic factors</w:t>
      </w:r>
      <w:r w:rsidR="00062027">
        <w:rPr>
          <w:rFonts w:cs="Arial"/>
          <w:snapToGrid w:val="0"/>
          <w:lang w:val="en-GB"/>
        </w:rPr>
        <w:t>,</w:t>
      </w:r>
      <w:r w:rsidR="00E47AD7">
        <w:rPr>
          <w:rFonts w:cs="Arial"/>
          <w:snapToGrid w:val="0"/>
          <w:lang w:val="en-GB"/>
        </w:rPr>
        <w:t xml:space="preserve"> more than halved the </w:t>
      </w:r>
      <w:r w:rsidR="00F834B4">
        <w:rPr>
          <w:rFonts w:cs="Arial"/>
          <w:snapToGrid w:val="0"/>
          <w:lang w:val="en-GB"/>
        </w:rPr>
        <w:t>population</w:t>
      </w:r>
      <w:r w:rsidR="0076464A">
        <w:rPr>
          <w:rFonts w:cs="Arial"/>
          <w:snapToGrid w:val="0"/>
          <w:lang w:val="en-GB"/>
        </w:rPr>
        <w:t xml:space="preserve"> included</w:t>
      </w:r>
      <w:r w:rsidR="00EC1990">
        <w:rPr>
          <w:rFonts w:cs="Arial"/>
          <w:snapToGrid w:val="0"/>
          <w:lang w:val="en-GB"/>
        </w:rPr>
        <w:t xml:space="preserve"> </w:t>
      </w:r>
      <w:r w:rsidR="0076464A">
        <w:rPr>
          <w:rFonts w:cs="Arial"/>
          <w:snapToGrid w:val="0"/>
          <w:lang w:val="en-GB"/>
        </w:rPr>
        <w:t>in the analysis</w:t>
      </w:r>
      <w:r w:rsidR="00062027">
        <w:rPr>
          <w:rFonts w:cs="Arial"/>
          <w:snapToGrid w:val="0"/>
          <w:lang w:val="en-GB"/>
        </w:rPr>
        <w:t xml:space="preserve"> (see </w:t>
      </w:r>
      <w:r w:rsidR="00062027">
        <w:rPr>
          <w:rFonts w:cs="Arial"/>
          <w:snapToGrid w:val="0"/>
          <w:lang w:val="en-GB"/>
        </w:rPr>
        <w:fldChar w:fldCharType="begin"/>
      </w:r>
      <w:r w:rsidR="00062027">
        <w:rPr>
          <w:rFonts w:cs="Arial"/>
          <w:snapToGrid w:val="0"/>
          <w:lang w:val="en-GB"/>
        </w:rPr>
        <w:instrText xml:space="preserve"> REF _Ref216040928 \h </w:instrText>
      </w:r>
      <w:r w:rsidR="00062027">
        <w:rPr>
          <w:rFonts w:cs="Arial"/>
          <w:snapToGrid w:val="0"/>
          <w:lang w:val="en-GB"/>
        </w:rPr>
      </w:r>
      <w:r w:rsidR="00062027">
        <w:rPr>
          <w:rFonts w:cs="Arial"/>
          <w:snapToGrid w:val="0"/>
          <w:lang w:val="en-GB"/>
        </w:rPr>
        <w:fldChar w:fldCharType="separate"/>
      </w:r>
      <w:r w:rsidR="001C47F4" w:rsidRPr="000160C3">
        <w:t xml:space="preserve">Table </w:t>
      </w:r>
      <w:r w:rsidR="001C47F4">
        <w:rPr>
          <w:noProof/>
        </w:rPr>
        <w:t>9</w:t>
      </w:r>
      <w:r w:rsidR="00062027">
        <w:rPr>
          <w:rFonts w:cs="Arial"/>
          <w:snapToGrid w:val="0"/>
          <w:lang w:val="en-GB"/>
        </w:rPr>
        <w:fldChar w:fldCharType="end"/>
      </w:r>
      <w:r w:rsidR="00062027">
        <w:rPr>
          <w:rFonts w:cs="Arial"/>
          <w:snapToGrid w:val="0"/>
          <w:lang w:val="en-GB"/>
        </w:rPr>
        <w:t>)</w:t>
      </w:r>
      <w:r w:rsidR="00350C91">
        <w:rPr>
          <w:rFonts w:cs="Arial"/>
          <w:snapToGrid w:val="0"/>
          <w:lang w:val="en-GB"/>
        </w:rPr>
        <w:t>. The PBAC</w:t>
      </w:r>
      <w:r w:rsidR="00E70969">
        <w:rPr>
          <w:rFonts w:cs="Arial"/>
          <w:snapToGrid w:val="0"/>
          <w:lang w:val="en-GB"/>
        </w:rPr>
        <w:t xml:space="preserve"> </w:t>
      </w:r>
      <w:r w:rsidR="00350C91">
        <w:rPr>
          <w:rFonts w:cs="Arial"/>
          <w:snapToGrid w:val="0"/>
          <w:lang w:val="en-GB"/>
        </w:rPr>
        <w:t xml:space="preserve">considered that on balance, </w:t>
      </w:r>
      <w:r w:rsidR="00ED48B4">
        <w:rPr>
          <w:rFonts w:cs="Arial"/>
          <w:snapToGrid w:val="0"/>
          <w:lang w:val="en-GB"/>
        </w:rPr>
        <w:t>it was likely that teclistamab was non</w:t>
      </w:r>
      <w:r w:rsidR="00EC1990">
        <w:rPr>
          <w:rFonts w:cs="Arial"/>
          <w:snapToGrid w:val="0"/>
          <w:lang w:val="en-GB"/>
        </w:rPr>
        <w:noBreakHyphen/>
      </w:r>
      <w:r w:rsidR="00ED48B4">
        <w:rPr>
          <w:rFonts w:cs="Arial"/>
          <w:snapToGrid w:val="0"/>
          <w:lang w:val="en-GB"/>
        </w:rPr>
        <w:t xml:space="preserve">inferior in terms of effectiveness </w:t>
      </w:r>
      <w:r w:rsidR="00547263">
        <w:rPr>
          <w:rFonts w:cs="Arial"/>
          <w:snapToGrid w:val="0"/>
          <w:lang w:val="en-GB"/>
        </w:rPr>
        <w:t>compared to elranatamab.</w:t>
      </w:r>
    </w:p>
    <w:p w14:paraId="1BFE8361" w14:textId="03B8BA31" w:rsidR="00547263" w:rsidRDefault="0086046C" w:rsidP="001C47F4">
      <w:pPr>
        <w:numPr>
          <w:ilvl w:val="1"/>
          <w:numId w:val="1"/>
        </w:numPr>
        <w:spacing w:after="120"/>
        <w:rPr>
          <w:rFonts w:cs="Arial"/>
          <w:snapToGrid w:val="0"/>
          <w:lang w:val="en-GB"/>
        </w:rPr>
      </w:pPr>
      <w:r>
        <w:rPr>
          <w:rFonts w:cs="Arial"/>
          <w:snapToGrid w:val="0"/>
          <w:lang w:val="en-GB"/>
        </w:rPr>
        <w:t>T</w:t>
      </w:r>
      <w:r w:rsidR="00547263">
        <w:rPr>
          <w:rFonts w:cs="Arial"/>
          <w:snapToGrid w:val="0"/>
          <w:lang w:val="en-GB"/>
        </w:rPr>
        <w:t xml:space="preserve">he PBAC </w:t>
      </w:r>
      <w:r>
        <w:rPr>
          <w:rFonts w:cs="Arial"/>
          <w:snapToGrid w:val="0"/>
          <w:lang w:val="en-GB"/>
        </w:rPr>
        <w:t>noted that</w:t>
      </w:r>
      <w:r w:rsidR="00571F1D">
        <w:rPr>
          <w:rFonts w:cs="Arial"/>
          <w:snapToGrid w:val="0"/>
          <w:lang w:val="en-GB"/>
        </w:rPr>
        <w:t xml:space="preserve"> there were some differences in the adverse event profiles of teclistamab and elranatamab</w:t>
      </w:r>
      <w:r>
        <w:rPr>
          <w:rFonts w:cs="Arial"/>
          <w:snapToGrid w:val="0"/>
          <w:lang w:val="en-GB"/>
        </w:rPr>
        <w:t xml:space="preserve"> </w:t>
      </w:r>
      <w:r w:rsidR="00862196">
        <w:rPr>
          <w:rFonts w:cs="Arial"/>
          <w:snapToGrid w:val="0"/>
          <w:lang w:val="en-GB"/>
        </w:rPr>
        <w:t>but</w:t>
      </w:r>
      <w:r w:rsidR="00E70969">
        <w:rPr>
          <w:rFonts w:cs="Arial"/>
          <w:snapToGrid w:val="0"/>
          <w:lang w:val="en-GB"/>
        </w:rPr>
        <w:t>, noting the common mechanism of action,</w:t>
      </w:r>
      <w:r w:rsidR="00862196">
        <w:rPr>
          <w:rFonts w:cs="Arial"/>
          <w:snapToGrid w:val="0"/>
          <w:lang w:val="en-GB"/>
        </w:rPr>
        <w:t xml:space="preserve"> c</w:t>
      </w:r>
      <w:r w:rsidR="00F4692B">
        <w:rPr>
          <w:rFonts w:cs="Arial"/>
          <w:snapToGrid w:val="0"/>
          <w:lang w:val="en-GB"/>
        </w:rPr>
        <w:t>onsidered that teclistamab was non</w:t>
      </w:r>
      <w:r w:rsidR="00EC1990">
        <w:rPr>
          <w:rFonts w:cs="Arial"/>
          <w:snapToGrid w:val="0"/>
          <w:lang w:val="en-GB"/>
        </w:rPr>
        <w:noBreakHyphen/>
      </w:r>
      <w:r w:rsidR="00F4692B">
        <w:rPr>
          <w:rFonts w:cs="Arial"/>
          <w:snapToGrid w:val="0"/>
          <w:lang w:val="en-GB"/>
        </w:rPr>
        <w:t>inferior in terms of safety compared to elranatamab.</w:t>
      </w:r>
    </w:p>
    <w:p w14:paraId="5690C188" w14:textId="77AD01DF" w:rsidR="001F1F27" w:rsidRPr="00C72B3D" w:rsidRDefault="000616BE" w:rsidP="001C47F4">
      <w:pPr>
        <w:numPr>
          <w:ilvl w:val="1"/>
          <w:numId w:val="1"/>
        </w:numPr>
        <w:spacing w:after="120"/>
        <w:rPr>
          <w:rFonts w:cs="Arial"/>
          <w:snapToGrid w:val="0"/>
          <w:lang w:val="en-GB"/>
        </w:rPr>
      </w:pPr>
      <w:bookmarkStart w:id="75" w:name="_Ref225159206"/>
      <w:bookmarkStart w:id="76" w:name="_Ref224653462"/>
      <w:r w:rsidRPr="00C72B3D">
        <w:rPr>
          <w:rFonts w:cs="Arial"/>
          <w:snapToGrid w:val="0"/>
          <w:lang w:val="en-GB"/>
        </w:rPr>
        <w:t xml:space="preserve">The PBAC noted that the submission presented a CMA versus elranatamab. The PBAC </w:t>
      </w:r>
      <w:r w:rsidR="001F1F27" w:rsidRPr="00C72B3D">
        <w:rPr>
          <w:rFonts w:cs="Arial"/>
          <w:snapToGrid w:val="0"/>
          <w:lang w:val="en-GB"/>
        </w:rPr>
        <w:t>advised the following assumptions for the CMA would be reasonable</w:t>
      </w:r>
      <w:r w:rsidR="009A3868">
        <w:rPr>
          <w:rFonts w:cs="Arial"/>
          <w:snapToGrid w:val="0"/>
          <w:lang w:val="en-GB"/>
        </w:rPr>
        <w:t xml:space="preserve"> (as discussed in paragraph </w:t>
      </w:r>
      <w:r w:rsidR="009A3868" w:rsidRPr="00C72B3D">
        <w:rPr>
          <w:rFonts w:cs="Arial"/>
          <w:snapToGrid w:val="0"/>
          <w:lang w:val="en-GB"/>
        </w:rPr>
        <w:fldChar w:fldCharType="begin"/>
      </w:r>
      <w:r w:rsidR="009A3868" w:rsidRPr="00C72B3D">
        <w:rPr>
          <w:rFonts w:cs="Arial"/>
          <w:snapToGrid w:val="0"/>
          <w:lang w:val="en-GB"/>
        </w:rPr>
        <w:instrText xml:space="preserve"> REF _Ref225154909 \r \h </w:instrText>
      </w:r>
      <w:r w:rsidR="009A3868">
        <w:rPr>
          <w:lang w:val="en-GB"/>
        </w:rPr>
        <w:instrText xml:space="preserve"> \* MERGEFORMAT</w:instrText>
      </w:r>
      <w:r w:rsidR="009A3868" w:rsidRPr="00C72B3D">
        <w:rPr>
          <w:rFonts w:cs="Arial"/>
          <w:snapToGrid w:val="0"/>
          <w:lang w:val="en-GB"/>
        </w:rPr>
        <w:instrText xml:space="preserve"> </w:instrText>
      </w:r>
      <w:r w:rsidR="009A3868" w:rsidRPr="00C72B3D">
        <w:rPr>
          <w:rFonts w:cs="Arial"/>
          <w:snapToGrid w:val="0"/>
          <w:lang w:val="en-GB"/>
        </w:rPr>
      </w:r>
      <w:r w:rsidR="009A3868" w:rsidRPr="00C72B3D">
        <w:rPr>
          <w:rFonts w:cs="Arial"/>
          <w:snapToGrid w:val="0"/>
          <w:lang w:val="en-GB"/>
        </w:rPr>
        <w:fldChar w:fldCharType="separate"/>
      </w:r>
      <w:r w:rsidR="00D44478">
        <w:rPr>
          <w:rFonts w:cs="Arial"/>
          <w:snapToGrid w:val="0"/>
          <w:lang w:val="en-GB"/>
        </w:rPr>
        <w:t>6.65</w:t>
      </w:r>
      <w:r w:rsidR="009A3868" w:rsidRPr="00C72B3D">
        <w:rPr>
          <w:rFonts w:cs="Arial"/>
          <w:snapToGrid w:val="0"/>
          <w:lang w:val="en-GB"/>
        </w:rPr>
        <w:fldChar w:fldCharType="end"/>
      </w:r>
      <w:r w:rsidR="009A3868">
        <w:rPr>
          <w:rFonts w:cs="Arial"/>
          <w:snapToGrid w:val="0"/>
          <w:lang w:val="en-GB"/>
        </w:rPr>
        <w:t>)</w:t>
      </w:r>
      <w:r w:rsidR="001F1F27" w:rsidRPr="00C72B3D">
        <w:rPr>
          <w:rFonts w:cs="Arial"/>
          <w:snapToGrid w:val="0"/>
          <w:lang w:val="en-GB"/>
        </w:rPr>
        <w:t>:</w:t>
      </w:r>
      <w:bookmarkEnd w:id="75"/>
    </w:p>
    <w:p w14:paraId="7AC7BDB1" w14:textId="2F6CFA55" w:rsidR="001F1F27" w:rsidRPr="00C72B3D" w:rsidRDefault="00DF0D63" w:rsidP="001C47F4">
      <w:pPr>
        <w:pStyle w:val="ListParagraph"/>
        <w:numPr>
          <w:ilvl w:val="0"/>
          <w:numId w:val="14"/>
        </w:numPr>
        <w:ind w:left="1077" w:hanging="357"/>
        <w:jc w:val="both"/>
        <w:rPr>
          <w:lang w:val="en-GB"/>
        </w:rPr>
      </w:pPr>
      <w:r w:rsidRPr="00C72B3D">
        <w:rPr>
          <w:lang w:val="en-GB"/>
        </w:rPr>
        <w:t>all patients should switch to less frequent dosing at the earlies</w:t>
      </w:r>
      <w:r w:rsidR="002838E6" w:rsidRPr="00C72B3D">
        <w:rPr>
          <w:lang w:val="en-GB"/>
        </w:rPr>
        <w:t>t</w:t>
      </w:r>
      <w:r w:rsidRPr="00C72B3D">
        <w:rPr>
          <w:lang w:val="en-GB"/>
        </w:rPr>
        <w:t xml:space="preserve"> opportunity</w:t>
      </w:r>
      <w:r w:rsidR="009A3868">
        <w:rPr>
          <w:lang w:val="en-GB"/>
        </w:rPr>
        <w:t>;</w:t>
      </w:r>
      <w:r w:rsidR="00062086" w:rsidRPr="00C72B3D">
        <w:rPr>
          <w:lang w:val="en-GB"/>
        </w:rPr>
        <w:t xml:space="preserve"> </w:t>
      </w:r>
    </w:p>
    <w:p w14:paraId="7A0D0D92" w14:textId="05F282E8" w:rsidR="00C72B3D" w:rsidRPr="00C72B3D" w:rsidRDefault="00D74389" w:rsidP="001C47F4">
      <w:pPr>
        <w:pStyle w:val="ListParagraph"/>
        <w:numPr>
          <w:ilvl w:val="0"/>
          <w:numId w:val="14"/>
        </w:numPr>
        <w:ind w:left="1077" w:hanging="357"/>
        <w:jc w:val="both"/>
        <w:rPr>
          <w:lang w:val="en-GB"/>
        </w:rPr>
      </w:pPr>
      <w:r>
        <w:rPr>
          <w:lang w:val="en-GB"/>
        </w:rPr>
        <w:t xml:space="preserve">the </w:t>
      </w:r>
      <w:r w:rsidR="006E2891" w:rsidRPr="00C72B3D">
        <w:rPr>
          <w:lang w:val="en-GB"/>
        </w:rPr>
        <w:t>relative dose intensity applied to elranatamab should be applied to teclistamab</w:t>
      </w:r>
      <w:r w:rsidR="009A3868">
        <w:rPr>
          <w:lang w:val="en-GB"/>
        </w:rPr>
        <w:t>;</w:t>
      </w:r>
      <w:r w:rsidR="009A3868" w:rsidRPr="00C72B3D" w:rsidDel="009A3868">
        <w:rPr>
          <w:lang w:val="en-GB"/>
        </w:rPr>
        <w:t xml:space="preserve"> </w:t>
      </w:r>
    </w:p>
    <w:p w14:paraId="1C1727CB" w14:textId="5BFC6E73" w:rsidR="00C72B3D" w:rsidRPr="00C72B3D" w:rsidRDefault="0099673C" w:rsidP="001C47F4">
      <w:pPr>
        <w:pStyle w:val="ListParagraph"/>
        <w:numPr>
          <w:ilvl w:val="0"/>
          <w:numId w:val="14"/>
        </w:numPr>
        <w:ind w:left="1077" w:hanging="357"/>
        <w:jc w:val="both"/>
        <w:rPr>
          <w:lang w:val="en-GB"/>
        </w:rPr>
      </w:pPr>
      <w:r w:rsidRPr="00C72B3D">
        <w:rPr>
          <w:lang w:val="en-GB"/>
        </w:rPr>
        <w:t xml:space="preserve"> hospital administration costs should be removed</w:t>
      </w:r>
      <w:r w:rsidR="009A3868">
        <w:rPr>
          <w:lang w:val="en-GB"/>
        </w:rPr>
        <w:t>; and</w:t>
      </w:r>
      <w:r w:rsidR="00A82E01" w:rsidRPr="00C72B3D">
        <w:rPr>
          <w:lang w:val="en-GB"/>
        </w:rPr>
        <w:t xml:space="preserve"> </w:t>
      </w:r>
    </w:p>
    <w:p w14:paraId="6118F068" w14:textId="79AAF20B" w:rsidR="00C72B3D" w:rsidRPr="00C72B3D" w:rsidRDefault="001615E6" w:rsidP="001C47F4">
      <w:pPr>
        <w:pStyle w:val="ListParagraph"/>
        <w:numPr>
          <w:ilvl w:val="0"/>
          <w:numId w:val="14"/>
        </w:numPr>
        <w:ind w:left="1077" w:hanging="357"/>
        <w:jc w:val="both"/>
        <w:rPr>
          <w:lang w:val="en-GB"/>
        </w:rPr>
      </w:pPr>
      <w:r w:rsidRPr="00C72B3D">
        <w:rPr>
          <w:lang w:val="en-GB"/>
        </w:rPr>
        <w:lastRenderedPageBreak/>
        <w:t xml:space="preserve">the same duration of therapy </w:t>
      </w:r>
      <w:r w:rsidR="004D0D68" w:rsidRPr="00C72B3D">
        <w:rPr>
          <w:lang w:val="en-GB"/>
        </w:rPr>
        <w:t>for teclistamab and elranatamab</w:t>
      </w:r>
      <w:r w:rsidR="00D74389">
        <w:rPr>
          <w:lang w:val="en-GB"/>
        </w:rPr>
        <w:t xml:space="preserve"> should be applied</w:t>
      </w:r>
      <w:r w:rsidR="009A3868">
        <w:rPr>
          <w:lang w:val="en-GB"/>
        </w:rPr>
        <w:t>.</w:t>
      </w:r>
      <w:r w:rsidR="00EC1990">
        <w:rPr>
          <w:lang w:val="en-GB"/>
        </w:rPr>
        <w:t xml:space="preserve"> </w:t>
      </w:r>
    </w:p>
    <w:p w14:paraId="3C91C5CC" w14:textId="7FF88BF8" w:rsidR="00F4692B" w:rsidRPr="00C72B3D" w:rsidRDefault="004D0D68" w:rsidP="001C47F4">
      <w:pPr>
        <w:pStyle w:val="3-BodyText"/>
        <w:rPr>
          <w:snapToGrid w:val="0"/>
          <w:lang w:val="en-GB"/>
        </w:rPr>
      </w:pPr>
      <w:r w:rsidRPr="00C72B3D">
        <w:rPr>
          <w:snapToGrid w:val="0"/>
          <w:lang w:val="en-GB"/>
        </w:rPr>
        <w:t xml:space="preserve">Over 71 weeks, the PBAC considered that the </w:t>
      </w:r>
      <w:r w:rsidR="00F46B15" w:rsidRPr="00C72B3D">
        <w:rPr>
          <w:snapToGrid w:val="0"/>
          <w:lang w:val="en-GB"/>
        </w:rPr>
        <w:t>equi</w:t>
      </w:r>
      <w:r w:rsidR="00EC1990">
        <w:rPr>
          <w:snapToGrid w:val="0"/>
          <w:lang w:val="en-GB"/>
        </w:rPr>
        <w:noBreakHyphen/>
      </w:r>
      <w:r w:rsidR="00F46B15" w:rsidRPr="00C72B3D">
        <w:rPr>
          <w:snapToGrid w:val="0"/>
          <w:lang w:val="en-GB"/>
        </w:rPr>
        <w:t>effective doses were:</w:t>
      </w:r>
      <w:bookmarkEnd w:id="76"/>
    </w:p>
    <w:p w14:paraId="0FAF9569" w14:textId="7E638233" w:rsidR="00F46B15" w:rsidRPr="00C72B3D" w:rsidRDefault="00A82E01" w:rsidP="001C47F4">
      <w:pPr>
        <w:spacing w:after="120"/>
        <w:ind w:left="720" w:firstLine="720"/>
        <w:rPr>
          <w:rFonts w:cs="Arial"/>
          <w:snapToGrid w:val="0"/>
          <w:lang w:val="en-GB"/>
        </w:rPr>
      </w:pPr>
      <w:r w:rsidRPr="00C72B3D">
        <w:rPr>
          <w:rFonts w:cs="Arial"/>
          <w:snapToGrid w:val="0"/>
          <w:lang w:val="en-GB"/>
        </w:rPr>
        <w:t>5,380</w:t>
      </w:r>
      <w:r w:rsidR="00AC370E" w:rsidRPr="00C72B3D">
        <w:rPr>
          <w:rFonts w:cs="Arial"/>
          <w:snapToGrid w:val="0"/>
          <w:lang w:val="en-GB"/>
        </w:rPr>
        <w:t xml:space="preserve"> </w:t>
      </w:r>
      <w:r w:rsidR="00F46B15" w:rsidRPr="00C72B3D">
        <w:rPr>
          <w:rFonts w:cs="Arial"/>
          <w:snapToGrid w:val="0"/>
          <w:lang w:val="en-GB"/>
        </w:rPr>
        <w:t xml:space="preserve">mg of </w:t>
      </w:r>
      <w:proofErr w:type="spellStart"/>
      <w:r w:rsidR="00F46B15" w:rsidRPr="00C72B3D">
        <w:rPr>
          <w:rFonts w:cs="Arial"/>
          <w:snapToGrid w:val="0"/>
          <w:lang w:val="en-GB"/>
        </w:rPr>
        <w:t>teclistamab</w:t>
      </w:r>
      <w:proofErr w:type="spellEnd"/>
      <w:r w:rsidR="00F46B15" w:rsidRPr="00C72B3D">
        <w:rPr>
          <w:rFonts w:cs="Arial"/>
          <w:snapToGrid w:val="0"/>
          <w:lang w:val="en-GB"/>
        </w:rPr>
        <w:t xml:space="preserve"> </w:t>
      </w:r>
      <w:r w:rsidR="003E1EAD" w:rsidRPr="00C72B3D">
        <w:rPr>
          <w:rFonts w:cs="Arial"/>
          <w:snapToGrid w:val="0"/>
          <w:lang w:val="en-GB"/>
        </w:rPr>
        <w:t xml:space="preserve">= </w:t>
      </w:r>
      <w:r w:rsidRPr="00C72B3D">
        <w:rPr>
          <w:rFonts w:cs="Arial"/>
          <w:snapToGrid w:val="0"/>
          <w:lang w:val="en-GB"/>
        </w:rPr>
        <w:t>2,500</w:t>
      </w:r>
      <w:r w:rsidR="003E1EAD" w:rsidRPr="00C72B3D">
        <w:rPr>
          <w:rFonts w:cs="Arial"/>
          <w:snapToGrid w:val="0"/>
          <w:lang w:val="en-GB"/>
        </w:rPr>
        <w:t xml:space="preserve"> mg of </w:t>
      </w:r>
      <w:proofErr w:type="spellStart"/>
      <w:r w:rsidR="003E1EAD" w:rsidRPr="00C72B3D">
        <w:rPr>
          <w:rFonts w:cs="Arial"/>
          <w:snapToGrid w:val="0"/>
          <w:lang w:val="en-GB"/>
        </w:rPr>
        <w:t>elranatamab</w:t>
      </w:r>
      <w:proofErr w:type="spellEnd"/>
      <w:r w:rsidR="00932AB7" w:rsidRPr="00C72B3D">
        <w:rPr>
          <w:rFonts w:cs="Arial"/>
          <w:snapToGrid w:val="0"/>
          <w:lang w:val="en-GB"/>
        </w:rPr>
        <w:t xml:space="preserve"> (</w:t>
      </w:r>
      <w:r w:rsidR="00334938" w:rsidRPr="00C72B3D">
        <w:rPr>
          <w:rFonts w:cs="Arial"/>
          <w:snapToGrid w:val="0"/>
          <w:lang w:val="en-GB"/>
        </w:rPr>
        <w:t xml:space="preserve">see </w:t>
      </w:r>
      <w:r w:rsidR="00334938" w:rsidRPr="00C72B3D">
        <w:rPr>
          <w:rFonts w:cs="Arial"/>
          <w:snapToGrid w:val="0"/>
          <w:lang w:val="en-GB"/>
        </w:rPr>
        <w:fldChar w:fldCharType="begin"/>
      </w:r>
      <w:r w:rsidR="00334938" w:rsidRPr="00C72B3D">
        <w:rPr>
          <w:rFonts w:cs="Arial"/>
          <w:snapToGrid w:val="0"/>
          <w:lang w:val="en-GB"/>
        </w:rPr>
        <w:instrText xml:space="preserve"> REF _Ref224906973 \h </w:instrText>
      </w:r>
      <w:r w:rsidR="00C72B3D">
        <w:rPr>
          <w:rFonts w:cs="Arial"/>
          <w:snapToGrid w:val="0"/>
          <w:lang w:val="en-GB"/>
        </w:rPr>
        <w:instrText xml:space="preserve"> \* MERGEFORMAT </w:instrText>
      </w:r>
      <w:r w:rsidR="00334938" w:rsidRPr="00C72B3D">
        <w:rPr>
          <w:rFonts w:cs="Arial"/>
          <w:snapToGrid w:val="0"/>
          <w:lang w:val="en-GB"/>
        </w:rPr>
      </w:r>
      <w:r w:rsidR="00334938" w:rsidRPr="00C72B3D">
        <w:rPr>
          <w:rFonts w:cs="Arial"/>
          <w:snapToGrid w:val="0"/>
          <w:lang w:val="en-GB"/>
        </w:rPr>
        <w:fldChar w:fldCharType="separate"/>
      </w:r>
      <w:r w:rsidR="001C47F4" w:rsidRPr="00015D60">
        <w:t xml:space="preserve">Table </w:t>
      </w:r>
      <w:r w:rsidR="001C47F4">
        <w:rPr>
          <w:noProof/>
        </w:rPr>
        <w:t>17</w:t>
      </w:r>
      <w:r w:rsidR="00334938" w:rsidRPr="00C72B3D">
        <w:rPr>
          <w:rFonts w:cs="Arial"/>
          <w:snapToGrid w:val="0"/>
          <w:lang w:val="en-GB"/>
        </w:rPr>
        <w:fldChar w:fldCharType="end"/>
      </w:r>
      <w:r w:rsidR="00932AB7" w:rsidRPr="00C72B3D">
        <w:rPr>
          <w:rFonts w:cs="Arial"/>
          <w:snapToGrid w:val="0"/>
          <w:lang w:val="en-GB"/>
        </w:rPr>
        <w:t>)</w:t>
      </w:r>
    </w:p>
    <w:p w14:paraId="0C0B7785" w14:textId="4DBA3F7C" w:rsidR="00086D6D" w:rsidRDefault="00434ADC" w:rsidP="001C47F4">
      <w:pPr>
        <w:numPr>
          <w:ilvl w:val="1"/>
          <w:numId w:val="1"/>
        </w:numPr>
        <w:spacing w:after="120"/>
        <w:rPr>
          <w:rFonts w:cs="Arial"/>
          <w:snapToGrid w:val="0"/>
          <w:lang w:val="en-GB"/>
        </w:rPr>
      </w:pPr>
      <w:r>
        <w:rPr>
          <w:rFonts w:cs="Arial"/>
          <w:snapToGrid w:val="0"/>
          <w:lang w:val="en-GB"/>
        </w:rPr>
        <w:t>The PBAC considered the estimated number of patients</w:t>
      </w:r>
      <w:r w:rsidR="00B36280">
        <w:rPr>
          <w:rFonts w:cs="Arial"/>
          <w:snapToGrid w:val="0"/>
          <w:lang w:val="en-GB"/>
        </w:rPr>
        <w:t xml:space="preserve"> with TCE </w:t>
      </w:r>
      <w:r w:rsidR="0066012F">
        <w:rPr>
          <w:rFonts w:cs="Arial"/>
          <w:snapToGrid w:val="0"/>
          <w:lang w:val="en-GB"/>
        </w:rPr>
        <w:t>(based on linear extrapolation of PBS data) and the proportion initiating 4L treatment (based on the MRDR database) were overestimated.</w:t>
      </w:r>
      <w:r>
        <w:rPr>
          <w:rFonts w:cs="Arial"/>
          <w:snapToGrid w:val="0"/>
          <w:lang w:val="en-GB"/>
        </w:rPr>
        <w:t xml:space="preserve"> </w:t>
      </w:r>
      <w:r w:rsidR="00E647DD">
        <w:rPr>
          <w:rFonts w:cs="Arial"/>
          <w:snapToGrid w:val="0"/>
          <w:lang w:val="en-GB"/>
        </w:rPr>
        <w:t>However, o</w:t>
      </w:r>
      <w:r w:rsidR="00A00FF4">
        <w:rPr>
          <w:rFonts w:cs="Arial"/>
          <w:snapToGrid w:val="0"/>
          <w:lang w:val="en-GB"/>
        </w:rPr>
        <w:t xml:space="preserve">n balance, the PBAC considered </w:t>
      </w:r>
      <w:r w:rsidR="00366A0E">
        <w:rPr>
          <w:rFonts w:cs="Arial"/>
          <w:snapToGrid w:val="0"/>
          <w:lang w:val="en-GB"/>
        </w:rPr>
        <w:t xml:space="preserve">that </w:t>
      </w:r>
      <w:r w:rsidR="007702F4">
        <w:rPr>
          <w:rFonts w:cs="Arial"/>
          <w:snapToGrid w:val="0"/>
          <w:lang w:val="en-GB"/>
        </w:rPr>
        <w:t xml:space="preserve">if the utilisation </w:t>
      </w:r>
      <w:r w:rsidR="00AD602B">
        <w:rPr>
          <w:rFonts w:cs="Arial"/>
          <w:snapToGrid w:val="0"/>
          <w:lang w:val="en-GB"/>
        </w:rPr>
        <w:t xml:space="preserve">reflected the </w:t>
      </w:r>
      <w:r w:rsidR="00814F29">
        <w:rPr>
          <w:rFonts w:cs="Arial"/>
          <w:snapToGrid w:val="0"/>
          <w:lang w:val="en-GB"/>
        </w:rPr>
        <w:t xml:space="preserve">dosing </w:t>
      </w:r>
      <w:r w:rsidR="00DF6D55">
        <w:rPr>
          <w:rFonts w:cs="Arial"/>
          <w:snapToGrid w:val="0"/>
          <w:lang w:val="en-GB"/>
        </w:rPr>
        <w:t xml:space="preserve">applied in the </w:t>
      </w:r>
      <w:r w:rsidR="00366A0E">
        <w:rPr>
          <w:rFonts w:cs="Arial"/>
          <w:snapToGrid w:val="0"/>
          <w:lang w:val="en-GB"/>
        </w:rPr>
        <w:t>CMA</w:t>
      </w:r>
      <w:r w:rsidR="00234260">
        <w:rPr>
          <w:rFonts w:cs="Arial"/>
          <w:snapToGrid w:val="0"/>
          <w:lang w:val="en-GB"/>
        </w:rPr>
        <w:t xml:space="preserve"> </w:t>
      </w:r>
      <w:r w:rsidR="00DF6D55">
        <w:rPr>
          <w:rFonts w:cs="Arial"/>
          <w:snapToGrid w:val="0"/>
          <w:lang w:val="en-GB"/>
        </w:rPr>
        <w:t>(see</w:t>
      </w:r>
      <w:r w:rsidR="00814F29">
        <w:rPr>
          <w:rFonts w:cs="Arial"/>
          <w:snapToGrid w:val="0"/>
          <w:lang w:val="en-GB"/>
        </w:rPr>
        <w:t xml:space="preserve"> </w:t>
      </w:r>
      <w:r w:rsidR="00234260">
        <w:rPr>
          <w:rFonts w:cs="Arial"/>
          <w:snapToGrid w:val="0"/>
          <w:lang w:val="en-GB"/>
        </w:rPr>
        <w:t xml:space="preserve">paragraph </w:t>
      </w:r>
      <w:r w:rsidR="00234260">
        <w:rPr>
          <w:rFonts w:cs="Arial"/>
          <w:snapToGrid w:val="0"/>
          <w:lang w:val="en-GB"/>
        </w:rPr>
        <w:fldChar w:fldCharType="begin"/>
      </w:r>
      <w:r w:rsidR="00234260">
        <w:rPr>
          <w:rFonts w:cs="Arial"/>
          <w:snapToGrid w:val="0"/>
          <w:lang w:val="en-GB"/>
        </w:rPr>
        <w:instrText xml:space="preserve"> REF _Ref225159206 \r \h </w:instrText>
      </w:r>
      <w:r w:rsidR="00234260">
        <w:rPr>
          <w:rFonts w:cs="Arial"/>
          <w:snapToGrid w:val="0"/>
          <w:lang w:val="en-GB"/>
        </w:rPr>
      </w:r>
      <w:r w:rsidR="00234260">
        <w:rPr>
          <w:rFonts w:cs="Arial"/>
          <w:snapToGrid w:val="0"/>
          <w:lang w:val="en-GB"/>
        </w:rPr>
        <w:fldChar w:fldCharType="separate"/>
      </w:r>
      <w:r w:rsidR="00D44478">
        <w:rPr>
          <w:rFonts w:cs="Arial"/>
          <w:snapToGrid w:val="0"/>
          <w:lang w:val="en-GB"/>
        </w:rPr>
        <w:t>7.9</w:t>
      </w:r>
      <w:r w:rsidR="00234260">
        <w:rPr>
          <w:rFonts w:cs="Arial"/>
          <w:snapToGrid w:val="0"/>
          <w:lang w:val="en-GB"/>
        </w:rPr>
        <w:fldChar w:fldCharType="end"/>
      </w:r>
      <w:r w:rsidR="00DF6D55">
        <w:rPr>
          <w:rFonts w:cs="Arial"/>
          <w:snapToGrid w:val="0"/>
          <w:lang w:val="en-GB"/>
        </w:rPr>
        <w:t>)</w:t>
      </w:r>
      <w:r w:rsidR="00366A0E">
        <w:rPr>
          <w:rFonts w:cs="Arial"/>
          <w:snapToGrid w:val="0"/>
          <w:lang w:val="en-GB"/>
        </w:rPr>
        <w:t xml:space="preserve">, </w:t>
      </w:r>
      <w:r w:rsidR="00A00FF4">
        <w:rPr>
          <w:rFonts w:cs="Arial"/>
          <w:snapToGrid w:val="0"/>
          <w:lang w:val="en-GB"/>
        </w:rPr>
        <w:t xml:space="preserve">the </w:t>
      </w:r>
      <w:r w:rsidR="00166F40">
        <w:rPr>
          <w:rFonts w:cs="Arial"/>
          <w:snapToGrid w:val="0"/>
          <w:lang w:val="en-GB"/>
        </w:rPr>
        <w:t xml:space="preserve">addition of teclistamab to the PBS would be approximately cost neutral as the eligible population </w:t>
      </w:r>
      <w:r w:rsidR="005B5AC3">
        <w:rPr>
          <w:rFonts w:cs="Arial"/>
          <w:snapToGrid w:val="0"/>
          <w:lang w:val="en-GB"/>
        </w:rPr>
        <w:t>would already be accounted for by the elranatamab listing</w:t>
      </w:r>
      <w:r w:rsidR="00166F40">
        <w:rPr>
          <w:rFonts w:cs="Arial"/>
          <w:snapToGrid w:val="0"/>
          <w:lang w:val="en-GB"/>
        </w:rPr>
        <w:t>.</w:t>
      </w:r>
      <w:r w:rsidR="00EC1990">
        <w:rPr>
          <w:rFonts w:cs="Arial"/>
          <w:snapToGrid w:val="0"/>
          <w:lang w:val="en-GB"/>
        </w:rPr>
        <w:t xml:space="preserve"> </w:t>
      </w:r>
    </w:p>
    <w:p w14:paraId="645FFC29" w14:textId="307393DC" w:rsidR="00516067" w:rsidRDefault="00516067" w:rsidP="001C47F4">
      <w:pPr>
        <w:numPr>
          <w:ilvl w:val="1"/>
          <w:numId w:val="1"/>
        </w:numPr>
        <w:spacing w:after="120"/>
        <w:rPr>
          <w:rFonts w:cs="Arial"/>
          <w:snapToGrid w:val="0"/>
          <w:lang w:val="en-GB"/>
        </w:rPr>
      </w:pPr>
      <w:r>
        <w:rPr>
          <w:rFonts w:cs="Arial"/>
          <w:snapToGrid w:val="0"/>
          <w:lang w:val="en-GB"/>
        </w:rPr>
        <w:t xml:space="preserve">The PBAC advised that teclistamab should join the RSA for elranatamab with no increase to expenditure caps. </w:t>
      </w:r>
    </w:p>
    <w:p w14:paraId="54CC17A8" w14:textId="24D12870" w:rsidR="00F562ED" w:rsidRPr="00205A99" w:rsidRDefault="00F562ED" w:rsidP="001C47F4">
      <w:pPr>
        <w:pStyle w:val="3-BodyText"/>
        <w:rPr>
          <w:lang w:val="en-GB"/>
        </w:rPr>
      </w:pPr>
      <w:r w:rsidRPr="00205A99">
        <w:rPr>
          <w:snapToGrid w:val="0"/>
          <w:lang w:val="en-GB"/>
        </w:rPr>
        <w:t xml:space="preserve">The PBAC recommended that </w:t>
      </w:r>
      <w:r>
        <w:rPr>
          <w:snapToGrid w:val="0"/>
          <w:lang w:val="en-GB"/>
        </w:rPr>
        <w:t>teclistamab</w:t>
      </w:r>
      <w:r w:rsidRPr="00205A99">
        <w:rPr>
          <w:snapToGrid w:val="0"/>
          <w:lang w:val="en-GB"/>
        </w:rPr>
        <w:t xml:space="preserve"> should not be treated as interchangeable with any other drugs. </w:t>
      </w:r>
    </w:p>
    <w:p w14:paraId="34B46372" w14:textId="5790AF2F" w:rsidR="00F562ED" w:rsidRPr="00F958D1" w:rsidRDefault="00F562ED" w:rsidP="001C47F4">
      <w:pPr>
        <w:pStyle w:val="3-BodyText"/>
        <w:rPr>
          <w:snapToGrid w:val="0"/>
          <w:lang w:val="en-GB"/>
        </w:rPr>
      </w:pPr>
      <w:r w:rsidRPr="00205A99">
        <w:rPr>
          <w:snapToGrid w:val="0"/>
          <w:lang w:val="en-GB"/>
        </w:rPr>
        <w:t xml:space="preserve">The PBAC advised that </w:t>
      </w:r>
      <w:r>
        <w:rPr>
          <w:snapToGrid w:val="0"/>
          <w:lang w:val="en-GB"/>
        </w:rPr>
        <w:t>teclistamab</w:t>
      </w:r>
      <w:r w:rsidRPr="00F958D1">
        <w:rPr>
          <w:snapToGrid w:val="0"/>
          <w:lang w:val="en-GB"/>
        </w:rPr>
        <w:t xml:space="preserve"> is not suitable for prescribing by nurse practitioners. </w:t>
      </w:r>
    </w:p>
    <w:p w14:paraId="0757D6F9" w14:textId="21A32EF4" w:rsidR="00F562ED" w:rsidRDefault="00F562ED" w:rsidP="001C47F4">
      <w:pPr>
        <w:pStyle w:val="3-BodyText"/>
        <w:rPr>
          <w:snapToGrid w:val="0"/>
          <w:lang w:val="en-GB"/>
        </w:rPr>
      </w:pPr>
      <w:r w:rsidRPr="00F958D1">
        <w:rPr>
          <w:snapToGrid w:val="0"/>
          <w:lang w:val="en-GB"/>
        </w:rPr>
        <w:t xml:space="preserve">The PBAC advised that </w:t>
      </w:r>
      <w:r>
        <w:rPr>
          <w:snapToGrid w:val="0"/>
          <w:lang w:val="en-GB"/>
        </w:rPr>
        <w:t xml:space="preserve">teclistamab </w:t>
      </w:r>
      <w:r w:rsidRPr="00F958D1">
        <w:rPr>
          <w:snapToGrid w:val="0"/>
          <w:lang w:val="en-GB"/>
        </w:rPr>
        <w:t xml:space="preserve">should </w:t>
      </w:r>
      <w:r>
        <w:rPr>
          <w:snapToGrid w:val="0"/>
          <w:lang w:val="en-GB"/>
        </w:rPr>
        <w:t xml:space="preserve">not </w:t>
      </w:r>
      <w:r w:rsidRPr="00F958D1">
        <w:rPr>
          <w:snapToGrid w:val="0"/>
          <w:lang w:val="en-GB"/>
        </w:rPr>
        <w:t xml:space="preserve">be exempt from the Early Supply Rule. </w:t>
      </w:r>
    </w:p>
    <w:p w14:paraId="272CC112" w14:textId="1A2C92FC" w:rsidR="00DC4645" w:rsidRPr="00F562ED" w:rsidRDefault="00DC4645" w:rsidP="001C47F4">
      <w:pPr>
        <w:pStyle w:val="3-BodyText"/>
        <w:rPr>
          <w:snapToGrid w:val="0"/>
          <w:lang w:val="en-GB"/>
        </w:rPr>
      </w:pPr>
      <w:r w:rsidRPr="00F562ED">
        <w:rPr>
          <w:rFonts w:cstheme="minorHAnsi"/>
          <w:lang w:val="en-GB"/>
        </w:rPr>
        <w:t>The PBAC noted that its recommendation was on a cost</w:t>
      </w:r>
      <w:r w:rsidR="00EC1990">
        <w:rPr>
          <w:rFonts w:cstheme="minorHAnsi"/>
          <w:lang w:val="en-GB"/>
        </w:rPr>
        <w:noBreakHyphen/>
      </w:r>
      <w:r w:rsidRPr="00F562ED">
        <w:rPr>
          <w:rFonts w:cstheme="minorHAnsi"/>
          <w:lang w:val="en-GB"/>
        </w:rPr>
        <w:t xml:space="preserve">minimisation basis and advised that, because </w:t>
      </w:r>
      <w:r w:rsidR="00F562ED">
        <w:rPr>
          <w:rFonts w:cstheme="minorHAnsi"/>
          <w:lang w:val="en-GB"/>
        </w:rPr>
        <w:t>teclistamab</w:t>
      </w:r>
      <w:r w:rsidRPr="00F562ED">
        <w:rPr>
          <w:rFonts w:cstheme="minorHAnsi"/>
          <w:lang w:val="en-GB"/>
        </w:rPr>
        <w:t xml:space="preserve"> is not expected to provide a substantial</w:t>
      </w:r>
      <w:r w:rsidRPr="00F562ED">
        <w:rPr>
          <w:bCs/>
          <w:lang w:val="en-GB"/>
        </w:rPr>
        <w:t xml:space="preserve"> and clinically relevant improvement in efficacy, or reduction of toxicity, over </w:t>
      </w:r>
      <w:r w:rsidR="00F562ED">
        <w:rPr>
          <w:bCs/>
          <w:lang w:val="en-GB"/>
        </w:rPr>
        <w:t>elranatamab</w:t>
      </w:r>
      <w:r w:rsidRPr="00F562ED">
        <w:rPr>
          <w:bCs/>
          <w:lang w:val="en-GB"/>
        </w:rPr>
        <w:t xml:space="preserve">, or not expected to address a high and urgent unmet clinical need given the presence of an alternative therapy, the criteria prescribed by the </w:t>
      </w:r>
      <w:r w:rsidRPr="00F562ED">
        <w:rPr>
          <w:bCs/>
          <w:i/>
          <w:lang w:val="en-GB"/>
        </w:rPr>
        <w:t>National Health (Pharmaceuticals and Vaccines – Cost Recovery) Regulations 2022</w:t>
      </w:r>
      <w:r w:rsidRPr="00F562ED">
        <w:rPr>
          <w:bCs/>
          <w:lang w:val="en-GB"/>
        </w:rPr>
        <w:t xml:space="preserve"> for Pricing Pathway A were not met.</w:t>
      </w:r>
    </w:p>
    <w:p w14:paraId="2838F663" w14:textId="6E2D56E6" w:rsidR="00F562ED" w:rsidRPr="00F562ED" w:rsidRDefault="00F562ED" w:rsidP="001C47F4">
      <w:pPr>
        <w:pStyle w:val="3-BodyText"/>
        <w:rPr>
          <w:snapToGrid w:val="0"/>
          <w:lang w:val="en-GB"/>
        </w:rPr>
      </w:pPr>
      <w:r>
        <w:rPr>
          <w:rFonts w:cstheme="minorHAnsi"/>
          <w:lang w:val="en-GB"/>
        </w:rPr>
        <w:t>The PBAC noted that this submission is not eligible for an Independent Review as it received a positive recommendation.</w:t>
      </w:r>
    </w:p>
    <w:p w14:paraId="0CABBF97" w14:textId="77777777" w:rsidR="00DC4645" w:rsidRPr="00525B39" w:rsidRDefault="00DC4645" w:rsidP="001C47F4">
      <w:pPr>
        <w:spacing w:before="240"/>
        <w:rPr>
          <w:rFonts w:cs="Arial"/>
          <w:b/>
          <w:bCs/>
          <w:snapToGrid w:val="0"/>
          <w:lang w:val="en-GB"/>
        </w:rPr>
      </w:pPr>
      <w:r w:rsidRPr="00525B39">
        <w:rPr>
          <w:rFonts w:cs="Arial"/>
          <w:b/>
          <w:bCs/>
          <w:snapToGrid w:val="0"/>
          <w:lang w:val="en-GB"/>
        </w:rPr>
        <w:t>Outcome:</w:t>
      </w:r>
    </w:p>
    <w:p w14:paraId="6C9379C5" w14:textId="03F04ED0" w:rsidR="00DC4645" w:rsidRPr="002305A0" w:rsidRDefault="00DC4645" w:rsidP="001C47F4">
      <w:pPr>
        <w:rPr>
          <w:rFonts w:cs="Arial"/>
          <w:bCs/>
          <w:snapToGrid w:val="0"/>
          <w:lang w:val="en-GB"/>
        </w:rPr>
      </w:pPr>
      <w:r w:rsidRPr="00525B39">
        <w:rPr>
          <w:rFonts w:cs="Arial"/>
          <w:bCs/>
          <w:snapToGrid w:val="0"/>
          <w:lang w:val="en-GB"/>
        </w:rPr>
        <w:t xml:space="preserve">Recommended </w:t>
      </w:r>
    </w:p>
    <w:bookmarkEnd w:id="73"/>
    <w:p w14:paraId="794AD023" w14:textId="77777777" w:rsidR="00DC4645" w:rsidRPr="00A75AAC" w:rsidRDefault="00DC4645" w:rsidP="001C47F4">
      <w:pPr>
        <w:pStyle w:val="2-SectionHeading"/>
        <w:numPr>
          <w:ilvl w:val="0"/>
          <w:numId w:val="1"/>
        </w:numPr>
      </w:pPr>
      <w:r w:rsidRPr="00A75AAC">
        <w:t>Recommended listing</w:t>
      </w:r>
    </w:p>
    <w:p w14:paraId="4E041719" w14:textId="77777777" w:rsidR="00DC4645" w:rsidRPr="00A56B9E" w:rsidRDefault="00DC4645" w:rsidP="001C47F4">
      <w:pPr>
        <w:numPr>
          <w:ilvl w:val="1"/>
          <w:numId w:val="1"/>
        </w:numPr>
        <w:spacing w:after="120"/>
        <w:contextualSpacing/>
        <w:rPr>
          <w:rFonts w:cs="Arial"/>
          <w:bCs/>
          <w:snapToGrid w:val="0"/>
        </w:rPr>
      </w:pPr>
      <w:r w:rsidRPr="00A56B9E">
        <w:rPr>
          <w:rFonts w:cs="Arial"/>
          <w:bCs/>
          <w:snapToGrid w:val="0"/>
        </w:rPr>
        <w:t>Add new item:</w:t>
      </w:r>
    </w:p>
    <w:p w14:paraId="4E94F211" w14:textId="77777777" w:rsidR="00A56B9E" w:rsidRPr="003B7E82" w:rsidRDefault="00A56B9E" w:rsidP="001C47F4">
      <w:pPr>
        <w:pStyle w:val="Heading3"/>
        <w:rPr>
          <w:rFonts w:ascii="Calibri" w:hAnsi="Calibri" w:cs="Arial"/>
          <w:b/>
          <w:iCs/>
          <w:szCs w:val="26"/>
        </w:rPr>
      </w:pPr>
      <w:r w:rsidRPr="003B7E82">
        <w:rPr>
          <w:rFonts w:ascii="Calibri" w:hAnsi="Calibri" w:cs="Arial"/>
          <w:b/>
          <w:iCs/>
          <w:szCs w:val="26"/>
        </w:rPr>
        <w:t>Initial/induction doses:</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ed listing - Initial treatment"/>
      </w:tblPr>
      <w:tblGrid>
        <w:gridCol w:w="1267"/>
        <w:gridCol w:w="2416"/>
        <w:gridCol w:w="1066"/>
        <w:gridCol w:w="888"/>
        <w:gridCol w:w="1026"/>
        <w:gridCol w:w="894"/>
        <w:gridCol w:w="1653"/>
      </w:tblGrid>
      <w:tr w:rsidR="00A56B9E" w:rsidRPr="00091816" w14:paraId="4EE63523" w14:textId="77777777">
        <w:tc>
          <w:tcPr>
            <w:tcW w:w="3683" w:type="dxa"/>
            <w:gridSpan w:val="2"/>
            <w:tcBorders>
              <w:top w:val="single" w:sz="4" w:space="0" w:color="auto"/>
              <w:left w:val="single" w:sz="4" w:space="0" w:color="auto"/>
              <w:bottom w:val="single" w:sz="4" w:space="0" w:color="auto"/>
              <w:right w:val="single" w:sz="4" w:space="0" w:color="auto"/>
            </w:tcBorders>
            <w:vAlign w:val="center"/>
            <w:hideMark/>
          </w:tcPr>
          <w:p w14:paraId="43174C32" w14:textId="77777777" w:rsidR="00A56B9E" w:rsidRPr="00091816" w:rsidRDefault="00A56B9E" w:rsidP="001C47F4">
            <w:pPr>
              <w:rPr>
                <w:rFonts w:ascii="Arial Narrow" w:hAnsi="Arial Narrow" w:cs="Arial"/>
                <w:b/>
                <w:bCs/>
                <w:sz w:val="20"/>
                <w:szCs w:val="20"/>
                <w:lang w:eastAsia="en-AU"/>
              </w:rPr>
            </w:pPr>
            <w:r w:rsidRPr="00091816">
              <w:rPr>
                <w:rFonts w:ascii="Arial Narrow" w:hAnsi="Arial Narrow" w:cs="Arial"/>
                <w:b/>
                <w:bCs/>
                <w:sz w:val="20"/>
                <w:szCs w:val="20"/>
                <w:lang w:eastAsia="en-AU"/>
              </w:rPr>
              <w:t>MEDICINAL PRODUCT</w:t>
            </w:r>
          </w:p>
          <w:p w14:paraId="6FD2E1B8" w14:textId="77777777" w:rsidR="00A56B9E" w:rsidRPr="00091816" w:rsidRDefault="00A56B9E" w:rsidP="001C47F4">
            <w:pPr>
              <w:rPr>
                <w:rFonts w:ascii="Arial Narrow" w:hAnsi="Arial Narrow" w:cs="Arial"/>
                <w:b/>
                <w:sz w:val="20"/>
                <w:szCs w:val="20"/>
                <w:lang w:eastAsia="en-AU"/>
              </w:rPr>
            </w:pPr>
            <w:r w:rsidRPr="00091816">
              <w:rPr>
                <w:rFonts w:ascii="Arial Narrow" w:hAnsi="Arial Narrow" w:cs="Arial"/>
                <w:b/>
                <w:bCs/>
                <w:sz w:val="20"/>
                <w:szCs w:val="20"/>
                <w:lang w:eastAsia="en-AU"/>
              </w:rPr>
              <w:t>medicinal product pack</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82A3B98" w14:textId="77777777" w:rsidR="00A56B9E" w:rsidRPr="00091816" w:rsidRDefault="00A56B9E" w:rsidP="001C47F4">
            <w:pPr>
              <w:jc w:val="center"/>
              <w:rPr>
                <w:rFonts w:ascii="Arial Narrow" w:hAnsi="Arial Narrow" w:cs="Arial"/>
                <w:b/>
                <w:sz w:val="20"/>
                <w:szCs w:val="20"/>
                <w:lang w:eastAsia="en-AU"/>
              </w:rPr>
            </w:pPr>
            <w:r w:rsidRPr="00091816">
              <w:rPr>
                <w:rFonts w:ascii="Arial Narrow" w:hAnsi="Arial Narrow" w:cs="Arial"/>
                <w:b/>
                <w:sz w:val="20"/>
                <w:szCs w:val="20"/>
                <w:lang w:eastAsia="en-AU"/>
              </w:rPr>
              <w:t>PBS item code</w:t>
            </w:r>
          </w:p>
        </w:tc>
        <w:tc>
          <w:tcPr>
            <w:tcW w:w="888" w:type="dxa"/>
            <w:tcBorders>
              <w:top w:val="single" w:sz="4" w:space="0" w:color="auto"/>
              <w:left w:val="single" w:sz="4" w:space="0" w:color="auto"/>
              <w:bottom w:val="single" w:sz="4" w:space="0" w:color="auto"/>
              <w:right w:val="single" w:sz="4" w:space="0" w:color="auto"/>
            </w:tcBorders>
            <w:vAlign w:val="center"/>
            <w:hideMark/>
          </w:tcPr>
          <w:p w14:paraId="573CF17C" w14:textId="77777777" w:rsidR="00A56B9E" w:rsidRPr="00091816" w:rsidRDefault="00A56B9E" w:rsidP="001C47F4">
            <w:pPr>
              <w:jc w:val="center"/>
              <w:rPr>
                <w:rFonts w:ascii="Arial Narrow" w:hAnsi="Arial Narrow" w:cs="Arial"/>
                <w:b/>
                <w:sz w:val="20"/>
                <w:szCs w:val="20"/>
                <w:lang w:eastAsia="en-AU"/>
              </w:rPr>
            </w:pPr>
            <w:r w:rsidRPr="00091816">
              <w:rPr>
                <w:rFonts w:ascii="Arial Narrow" w:hAnsi="Arial Narrow" w:cs="Arial"/>
                <w:b/>
                <w:sz w:val="20"/>
                <w:szCs w:val="20"/>
                <w:lang w:eastAsia="en-AU"/>
              </w:rPr>
              <w:t>Max. qty packs</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80915E3" w14:textId="77777777" w:rsidR="00A56B9E" w:rsidRPr="00091816" w:rsidRDefault="00A56B9E" w:rsidP="001C47F4">
            <w:pPr>
              <w:jc w:val="center"/>
              <w:rPr>
                <w:rFonts w:ascii="Arial Narrow" w:hAnsi="Arial Narrow" w:cs="Arial"/>
                <w:b/>
                <w:sz w:val="20"/>
                <w:szCs w:val="20"/>
                <w:lang w:eastAsia="en-AU"/>
              </w:rPr>
            </w:pPr>
            <w:r w:rsidRPr="00091816">
              <w:rPr>
                <w:rFonts w:ascii="Arial Narrow" w:hAnsi="Arial Narrow" w:cs="Arial"/>
                <w:b/>
                <w:sz w:val="20"/>
                <w:szCs w:val="20"/>
                <w:lang w:eastAsia="en-AU"/>
              </w:rPr>
              <w:t>Max. qty units</w:t>
            </w:r>
          </w:p>
        </w:tc>
        <w:tc>
          <w:tcPr>
            <w:tcW w:w="894" w:type="dxa"/>
            <w:tcBorders>
              <w:top w:val="single" w:sz="4" w:space="0" w:color="auto"/>
              <w:left w:val="single" w:sz="4" w:space="0" w:color="auto"/>
              <w:bottom w:val="single" w:sz="4" w:space="0" w:color="auto"/>
              <w:right w:val="single" w:sz="4" w:space="0" w:color="auto"/>
            </w:tcBorders>
            <w:vAlign w:val="center"/>
            <w:hideMark/>
          </w:tcPr>
          <w:p w14:paraId="6F997842" w14:textId="77777777" w:rsidR="00A56B9E" w:rsidRPr="00091816" w:rsidRDefault="00A56B9E" w:rsidP="001C47F4">
            <w:pPr>
              <w:jc w:val="center"/>
              <w:rPr>
                <w:rFonts w:ascii="Arial Narrow" w:hAnsi="Arial Narrow" w:cs="Arial"/>
                <w:b/>
                <w:sz w:val="20"/>
                <w:szCs w:val="20"/>
                <w:lang w:eastAsia="en-AU"/>
              </w:rPr>
            </w:pPr>
            <w:r w:rsidRPr="00091816">
              <w:rPr>
                <w:rFonts w:ascii="Arial Narrow" w:hAnsi="Arial Narrow" w:cs="Arial"/>
                <w:b/>
                <w:sz w:val="20"/>
                <w:szCs w:val="20"/>
                <w:lang w:eastAsia="en-AU"/>
              </w:rPr>
              <w:t>№.of</w:t>
            </w:r>
          </w:p>
          <w:p w14:paraId="6DA77129" w14:textId="77777777" w:rsidR="00A56B9E" w:rsidRPr="00091816" w:rsidRDefault="00A56B9E" w:rsidP="001C47F4">
            <w:pPr>
              <w:jc w:val="center"/>
              <w:rPr>
                <w:rFonts w:ascii="Arial Narrow" w:hAnsi="Arial Narrow" w:cs="Arial"/>
                <w:b/>
                <w:sz w:val="20"/>
                <w:szCs w:val="20"/>
                <w:lang w:eastAsia="en-AU"/>
              </w:rPr>
            </w:pPr>
            <w:r w:rsidRPr="00091816">
              <w:rPr>
                <w:rFonts w:ascii="Arial Narrow" w:hAnsi="Arial Narrow" w:cs="Arial"/>
                <w:b/>
                <w:sz w:val="20"/>
                <w:szCs w:val="20"/>
                <w:lang w:eastAsia="en-AU"/>
              </w:rPr>
              <w:t>Rpts</w:t>
            </w:r>
          </w:p>
        </w:tc>
        <w:tc>
          <w:tcPr>
            <w:tcW w:w="1653" w:type="dxa"/>
            <w:tcBorders>
              <w:top w:val="single" w:sz="4" w:space="0" w:color="auto"/>
              <w:left w:val="single" w:sz="4" w:space="0" w:color="auto"/>
              <w:bottom w:val="single" w:sz="4" w:space="0" w:color="auto"/>
              <w:right w:val="single" w:sz="4" w:space="0" w:color="auto"/>
            </w:tcBorders>
            <w:vAlign w:val="center"/>
            <w:hideMark/>
          </w:tcPr>
          <w:p w14:paraId="4BAD3565" w14:textId="77777777" w:rsidR="00A56B9E" w:rsidRPr="00091816" w:rsidRDefault="00A56B9E" w:rsidP="001C47F4">
            <w:pPr>
              <w:rPr>
                <w:rFonts w:ascii="Arial Narrow" w:hAnsi="Arial Narrow" w:cs="Arial"/>
                <w:b/>
                <w:sz w:val="20"/>
                <w:szCs w:val="20"/>
                <w:lang w:eastAsia="en-AU"/>
              </w:rPr>
            </w:pPr>
            <w:r w:rsidRPr="00091816">
              <w:rPr>
                <w:rFonts w:ascii="Arial Narrow" w:hAnsi="Arial Narrow" w:cs="Arial"/>
                <w:b/>
                <w:sz w:val="20"/>
                <w:szCs w:val="20"/>
                <w:lang w:eastAsia="en-AU"/>
              </w:rPr>
              <w:t>Available brands</w:t>
            </w:r>
          </w:p>
        </w:tc>
      </w:tr>
      <w:tr w:rsidR="00A56B9E" w:rsidRPr="00091816" w14:paraId="15B1F0E7" w14:textId="77777777">
        <w:tc>
          <w:tcPr>
            <w:tcW w:w="9210" w:type="dxa"/>
            <w:gridSpan w:val="7"/>
            <w:tcBorders>
              <w:top w:val="single" w:sz="4" w:space="0" w:color="auto"/>
              <w:left w:val="single" w:sz="4" w:space="0" w:color="auto"/>
              <w:bottom w:val="single" w:sz="4" w:space="0" w:color="auto"/>
              <w:right w:val="single" w:sz="4" w:space="0" w:color="auto"/>
            </w:tcBorders>
            <w:vAlign w:val="center"/>
            <w:hideMark/>
          </w:tcPr>
          <w:p w14:paraId="70916A8F" w14:textId="77777777" w:rsidR="00A56B9E" w:rsidRPr="00091816" w:rsidRDefault="00A56B9E" w:rsidP="001C47F4">
            <w:pPr>
              <w:rPr>
                <w:rFonts w:ascii="Arial Narrow" w:hAnsi="Arial Narrow" w:cs="Arial"/>
                <w:sz w:val="20"/>
                <w:szCs w:val="20"/>
                <w:lang w:eastAsia="en-AU"/>
              </w:rPr>
            </w:pPr>
            <w:r w:rsidRPr="00091816">
              <w:rPr>
                <w:rFonts w:ascii="Arial Narrow" w:hAnsi="Arial Narrow" w:cs="Arial"/>
                <w:bCs/>
                <w:sz w:val="20"/>
                <w:szCs w:val="20"/>
                <w:lang w:eastAsia="en-AU"/>
              </w:rPr>
              <w:t>TECLISTAMAB</w:t>
            </w:r>
          </w:p>
        </w:tc>
      </w:tr>
      <w:tr w:rsidR="00A56B9E" w:rsidRPr="00091816" w14:paraId="4A287AEF" w14:textId="77777777">
        <w:tc>
          <w:tcPr>
            <w:tcW w:w="3683" w:type="dxa"/>
            <w:gridSpan w:val="2"/>
            <w:tcBorders>
              <w:top w:val="single" w:sz="4" w:space="0" w:color="auto"/>
              <w:left w:val="single" w:sz="4" w:space="0" w:color="auto"/>
              <w:bottom w:val="single" w:sz="4" w:space="0" w:color="auto"/>
              <w:right w:val="single" w:sz="4" w:space="0" w:color="auto"/>
            </w:tcBorders>
            <w:vAlign w:val="center"/>
          </w:tcPr>
          <w:p w14:paraId="6673989F" w14:textId="2B089C3F" w:rsidR="00A56B9E" w:rsidRPr="00091816" w:rsidRDefault="00A56B9E" w:rsidP="001C47F4">
            <w:pPr>
              <w:rPr>
                <w:rFonts w:ascii="Arial Narrow" w:hAnsi="Arial Narrow" w:cs="Arial"/>
                <w:sz w:val="20"/>
                <w:szCs w:val="20"/>
                <w:lang w:eastAsia="en-AU"/>
              </w:rPr>
            </w:pPr>
            <w:r w:rsidRPr="00091816">
              <w:rPr>
                <w:rFonts w:ascii="Arial Narrow" w:hAnsi="Arial Narrow" w:cs="Arial"/>
                <w:sz w:val="20"/>
                <w:szCs w:val="20"/>
                <w:lang w:eastAsia="en-AU"/>
              </w:rPr>
              <w:t>Teclistamab 30 mg/3 mL injection, vial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BB2E945" w14:textId="77777777" w:rsidR="00A56B9E" w:rsidRPr="00091816" w:rsidRDefault="00A56B9E" w:rsidP="001C47F4">
            <w:pPr>
              <w:jc w:val="center"/>
              <w:rPr>
                <w:rFonts w:ascii="Arial Narrow" w:hAnsi="Arial Narrow" w:cs="Arial"/>
                <w:sz w:val="20"/>
                <w:szCs w:val="20"/>
                <w:lang w:eastAsia="en-AU"/>
              </w:rPr>
            </w:pPr>
            <w:r w:rsidRPr="00091816">
              <w:rPr>
                <w:rFonts w:ascii="Arial Narrow" w:hAnsi="Arial Narrow" w:cs="Arial"/>
                <w:sz w:val="20"/>
                <w:szCs w:val="20"/>
                <w:lang w:eastAsia="en-AU"/>
              </w:rPr>
              <w:t>NEW (CT)</w:t>
            </w:r>
          </w:p>
        </w:tc>
        <w:tc>
          <w:tcPr>
            <w:tcW w:w="888" w:type="dxa"/>
            <w:tcBorders>
              <w:top w:val="single" w:sz="4" w:space="0" w:color="auto"/>
              <w:left w:val="single" w:sz="4" w:space="0" w:color="auto"/>
              <w:bottom w:val="single" w:sz="4" w:space="0" w:color="auto"/>
              <w:right w:val="single" w:sz="4" w:space="0" w:color="auto"/>
            </w:tcBorders>
            <w:vAlign w:val="center"/>
            <w:hideMark/>
          </w:tcPr>
          <w:p w14:paraId="19ABF048" w14:textId="6E964B25" w:rsidR="00A56B9E" w:rsidRPr="00A15950" w:rsidRDefault="00A56B9E" w:rsidP="001C47F4">
            <w:pPr>
              <w:jc w:val="center"/>
              <w:rPr>
                <w:rFonts w:ascii="Arial Narrow" w:hAnsi="Arial Narrow" w:cs="Arial"/>
                <w:sz w:val="20"/>
                <w:szCs w:val="20"/>
                <w:lang w:eastAsia="en-AU"/>
              </w:rPr>
            </w:pPr>
            <w:r w:rsidRPr="00A15950">
              <w:rPr>
                <w:rFonts w:ascii="Arial Narrow" w:hAnsi="Arial Narrow" w:cs="Arial"/>
                <w:sz w:val="20"/>
                <w:szCs w:val="20"/>
                <w:lang w:eastAsia="en-AU"/>
              </w:rPr>
              <w:t>1</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42DC981" w14:textId="1951F44F" w:rsidR="00A56B9E" w:rsidRPr="00A15950" w:rsidRDefault="00A56B9E" w:rsidP="001C47F4">
            <w:pPr>
              <w:jc w:val="center"/>
              <w:rPr>
                <w:rFonts w:ascii="Arial Narrow" w:hAnsi="Arial Narrow" w:cs="Arial"/>
                <w:sz w:val="20"/>
                <w:szCs w:val="20"/>
                <w:lang w:eastAsia="en-AU"/>
              </w:rPr>
            </w:pPr>
            <w:r w:rsidRPr="00A15950">
              <w:rPr>
                <w:rFonts w:ascii="Arial Narrow" w:hAnsi="Arial Narrow" w:cs="Arial"/>
                <w:sz w:val="20"/>
                <w:szCs w:val="20"/>
                <w:lang w:eastAsia="en-AU"/>
              </w:rPr>
              <w:t>1</w:t>
            </w:r>
          </w:p>
        </w:tc>
        <w:tc>
          <w:tcPr>
            <w:tcW w:w="894" w:type="dxa"/>
            <w:tcBorders>
              <w:top w:val="single" w:sz="4" w:space="0" w:color="auto"/>
              <w:left w:val="single" w:sz="4" w:space="0" w:color="auto"/>
              <w:bottom w:val="single" w:sz="4" w:space="0" w:color="auto"/>
              <w:right w:val="single" w:sz="4" w:space="0" w:color="auto"/>
            </w:tcBorders>
            <w:vAlign w:val="center"/>
            <w:hideMark/>
          </w:tcPr>
          <w:p w14:paraId="1B98416B" w14:textId="77777777" w:rsidR="00A56B9E" w:rsidRPr="00091816" w:rsidRDefault="00A56B9E" w:rsidP="001C47F4">
            <w:pPr>
              <w:jc w:val="center"/>
              <w:rPr>
                <w:rFonts w:ascii="Arial Narrow" w:hAnsi="Arial Narrow" w:cs="Arial"/>
                <w:sz w:val="20"/>
                <w:szCs w:val="20"/>
                <w:lang w:eastAsia="en-AU"/>
              </w:rPr>
            </w:pPr>
            <w:r w:rsidRPr="00091816">
              <w:rPr>
                <w:rFonts w:ascii="Arial Narrow" w:hAnsi="Arial Narrow" w:cs="Arial"/>
                <w:sz w:val="20"/>
                <w:szCs w:val="20"/>
                <w:lang w:eastAsia="en-AU"/>
              </w:rPr>
              <w:t>1</w:t>
            </w:r>
          </w:p>
        </w:tc>
        <w:tc>
          <w:tcPr>
            <w:tcW w:w="1653" w:type="dxa"/>
            <w:tcBorders>
              <w:top w:val="single" w:sz="4" w:space="0" w:color="auto"/>
              <w:left w:val="single" w:sz="4" w:space="0" w:color="auto"/>
              <w:bottom w:val="single" w:sz="4" w:space="0" w:color="auto"/>
              <w:right w:val="single" w:sz="4" w:space="0" w:color="auto"/>
            </w:tcBorders>
            <w:vAlign w:val="center"/>
          </w:tcPr>
          <w:p w14:paraId="3B125A8C" w14:textId="77777777" w:rsidR="00A56B9E" w:rsidRPr="00091816" w:rsidRDefault="00A56B9E" w:rsidP="001C47F4">
            <w:pPr>
              <w:rPr>
                <w:rFonts w:ascii="Arial Narrow" w:hAnsi="Arial Narrow" w:cs="Arial"/>
                <w:sz w:val="20"/>
                <w:szCs w:val="20"/>
                <w:lang w:eastAsia="en-AU"/>
              </w:rPr>
            </w:pPr>
            <w:r w:rsidRPr="00091816">
              <w:rPr>
                <w:rFonts w:ascii="Arial Narrow" w:hAnsi="Arial Narrow" w:cs="Arial"/>
                <w:sz w:val="20"/>
                <w:szCs w:val="20"/>
                <w:lang w:eastAsia="en-AU"/>
              </w:rPr>
              <w:t>Tecvayli</w:t>
            </w:r>
          </w:p>
        </w:tc>
      </w:tr>
      <w:tr w:rsidR="00A56B9E" w:rsidRPr="00091816" w14:paraId="6CB76A29" w14:textId="77777777">
        <w:tc>
          <w:tcPr>
            <w:tcW w:w="3683" w:type="dxa"/>
            <w:gridSpan w:val="2"/>
            <w:tcBorders>
              <w:top w:val="single" w:sz="4" w:space="0" w:color="auto"/>
              <w:left w:val="single" w:sz="4" w:space="0" w:color="auto"/>
              <w:bottom w:val="single" w:sz="4" w:space="0" w:color="auto"/>
              <w:right w:val="single" w:sz="4" w:space="0" w:color="auto"/>
            </w:tcBorders>
            <w:vAlign w:val="center"/>
          </w:tcPr>
          <w:p w14:paraId="0E010702" w14:textId="1993E252" w:rsidR="00A56B9E" w:rsidRPr="00091816" w:rsidRDefault="00A56B9E" w:rsidP="001C47F4">
            <w:pPr>
              <w:rPr>
                <w:rFonts w:ascii="Arial Narrow" w:hAnsi="Arial Narrow" w:cs="Arial"/>
                <w:sz w:val="20"/>
                <w:szCs w:val="20"/>
                <w:lang w:eastAsia="en-AU"/>
              </w:rPr>
            </w:pPr>
            <w:r w:rsidRPr="00091816">
              <w:rPr>
                <w:rFonts w:ascii="Arial Narrow" w:hAnsi="Arial Narrow" w:cs="Arial"/>
                <w:sz w:val="20"/>
                <w:szCs w:val="20"/>
                <w:lang w:eastAsia="en-AU"/>
              </w:rPr>
              <w:t>Teclistamab 30 mg/3 mL injection, vial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8768595" w14:textId="77777777" w:rsidR="00A56B9E" w:rsidRPr="00091816" w:rsidRDefault="00A56B9E" w:rsidP="001C47F4">
            <w:pPr>
              <w:jc w:val="center"/>
              <w:rPr>
                <w:rFonts w:ascii="Arial Narrow" w:hAnsi="Arial Narrow" w:cs="Arial"/>
                <w:sz w:val="20"/>
                <w:szCs w:val="20"/>
                <w:lang w:eastAsia="en-AU"/>
              </w:rPr>
            </w:pPr>
            <w:r w:rsidRPr="00091816">
              <w:rPr>
                <w:rFonts w:ascii="Arial Narrow" w:hAnsi="Arial Narrow" w:cs="Arial"/>
                <w:sz w:val="20"/>
                <w:szCs w:val="20"/>
                <w:lang w:eastAsia="en-AU"/>
              </w:rPr>
              <w:t>NEW (GE)</w:t>
            </w:r>
          </w:p>
        </w:tc>
        <w:tc>
          <w:tcPr>
            <w:tcW w:w="888" w:type="dxa"/>
            <w:tcBorders>
              <w:top w:val="single" w:sz="4" w:space="0" w:color="auto"/>
              <w:left w:val="single" w:sz="4" w:space="0" w:color="auto"/>
              <w:bottom w:val="single" w:sz="4" w:space="0" w:color="auto"/>
              <w:right w:val="single" w:sz="4" w:space="0" w:color="auto"/>
            </w:tcBorders>
            <w:vAlign w:val="center"/>
            <w:hideMark/>
          </w:tcPr>
          <w:p w14:paraId="55EF8543" w14:textId="2687D36C" w:rsidR="00A56B9E" w:rsidRPr="00A15950" w:rsidRDefault="00A56B9E" w:rsidP="001C47F4">
            <w:pPr>
              <w:jc w:val="center"/>
              <w:rPr>
                <w:rFonts w:ascii="Arial Narrow" w:hAnsi="Arial Narrow" w:cs="Arial"/>
                <w:sz w:val="20"/>
                <w:szCs w:val="20"/>
                <w:lang w:eastAsia="en-AU"/>
              </w:rPr>
            </w:pPr>
            <w:r w:rsidRPr="00A15950">
              <w:rPr>
                <w:rFonts w:ascii="Arial Narrow" w:hAnsi="Arial Narrow" w:cs="Arial"/>
                <w:sz w:val="20"/>
                <w:szCs w:val="20"/>
                <w:lang w:eastAsia="en-AU"/>
              </w:rPr>
              <w:t>1</w:t>
            </w:r>
          </w:p>
        </w:tc>
        <w:tc>
          <w:tcPr>
            <w:tcW w:w="1026" w:type="dxa"/>
            <w:tcBorders>
              <w:top w:val="single" w:sz="4" w:space="0" w:color="auto"/>
              <w:left w:val="single" w:sz="4" w:space="0" w:color="auto"/>
              <w:bottom w:val="single" w:sz="4" w:space="0" w:color="auto"/>
              <w:right w:val="single" w:sz="4" w:space="0" w:color="auto"/>
            </w:tcBorders>
            <w:vAlign w:val="center"/>
            <w:hideMark/>
          </w:tcPr>
          <w:p w14:paraId="60D836E7" w14:textId="0CAB3699" w:rsidR="00A56B9E" w:rsidRPr="00A15950" w:rsidRDefault="00A56B9E" w:rsidP="001C47F4">
            <w:pPr>
              <w:jc w:val="center"/>
              <w:rPr>
                <w:rFonts w:ascii="Arial Narrow" w:hAnsi="Arial Narrow" w:cs="Arial"/>
                <w:sz w:val="20"/>
                <w:szCs w:val="20"/>
                <w:lang w:eastAsia="en-AU"/>
              </w:rPr>
            </w:pPr>
            <w:r w:rsidRPr="00A15950">
              <w:rPr>
                <w:rFonts w:ascii="Arial Narrow" w:hAnsi="Arial Narrow" w:cs="Arial"/>
                <w:sz w:val="20"/>
                <w:szCs w:val="20"/>
                <w:lang w:eastAsia="en-AU"/>
              </w:rPr>
              <w:t>1</w:t>
            </w:r>
          </w:p>
        </w:tc>
        <w:tc>
          <w:tcPr>
            <w:tcW w:w="894" w:type="dxa"/>
            <w:tcBorders>
              <w:top w:val="single" w:sz="4" w:space="0" w:color="auto"/>
              <w:left w:val="single" w:sz="4" w:space="0" w:color="auto"/>
              <w:bottom w:val="single" w:sz="4" w:space="0" w:color="auto"/>
              <w:right w:val="single" w:sz="4" w:space="0" w:color="auto"/>
            </w:tcBorders>
            <w:vAlign w:val="center"/>
            <w:hideMark/>
          </w:tcPr>
          <w:p w14:paraId="61BF1468" w14:textId="77777777" w:rsidR="00A56B9E" w:rsidRPr="00091816" w:rsidRDefault="00A56B9E" w:rsidP="001C47F4">
            <w:pPr>
              <w:jc w:val="center"/>
              <w:rPr>
                <w:rFonts w:ascii="Arial Narrow" w:hAnsi="Arial Narrow" w:cs="Arial"/>
                <w:sz w:val="20"/>
                <w:szCs w:val="20"/>
                <w:lang w:eastAsia="en-AU"/>
              </w:rPr>
            </w:pPr>
            <w:r w:rsidRPr="00091816">
              <w:rPr>
                <w:rFonts w:ascii="Arial Narrow" w:hAnsi="Arial Narrow" w:cs="Arial"/>
                <w:sz w:val="20"/>
                <w:szCs w:val="20"/>
                <w:lang w:eastAsia="en-AU"/>
              </w:rPr>
              <w:t>1</w:t>
            </w:r>
          </w:p>
        </w:tc>
        <w:tc>
          <w:tcPr>
            <w:tcW w:w="1653" w:type="dxa"/>
            <w:tcBorders>
              <w:top w:val="single" w:sz="4" w:space="0" w:color="auto"/>
              <w:left w:val="single" w:sz="4" w:space="0" w:color="auto"/>
              <w:bottom w:val="single" w:sz="4" w:space="0" w:color="auto"/>
              <w:right w:val="single" w:sz="4" w:space="0" w:color="auto"/>
            </w:tcBorders>
            <w:vAlign w:val="center"/>
          </w:tcPr>
          <w:p w14:paraId="7A7EC779" w14:textId="77777777" w:rsidR="00A56B9E" w:rsidRPr="00091816" w:rsidRDefault="00A56B9E" w:rsidP="001C47F4">
            <w:pPr>
              <w:rPr>
                <w:rFonts w:ascii="Arial Narrow" w:hAnsi="Arial Narrow" w:cs="Arial"/>
                <w:sz w:val="20"/>
                <w:szCs w:val="20"/>
                <w:lang w:eastAsia="en-AU"/>
              </w:rPr>
            </w:pPr>
            <w:r w:rsidRPr="00091816">
              <w:rPr>
                <w:rFonts w:ascii="Arial Narrow" w:hAnsi="Arial Narrow" w:cs="Arial"/>
                <w:sz w:val="20"/>
                <w:szCs w:val="20"/>
                <w:lang w:eastAsia="en-AU"/>
              </w:rPr>
              <w:t>Tecvayli</w:t>
            </w:r>
          </w:p>
        </w:tc>
      </w:tr>
      <w:tr w:rsidR="00A56B9E" w:rsidRPr="00091816" w14:paraId="2109DB63" w14:textId="77777777">
        <w:tc>
          <w:tcPr>
            <w:tcW w:w="9210"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37094D0" w14:textId="77777777" w:rsidR="00A56B9E" w:rsidRPr="00091816" w:rsidRDefault="00A56B9E" w:rsidP="001C47F4">
            <w:pPr>
              <w:rPr>
                <w:rFonts w:ascii="Arial Narrow" w:hAnsi="Arial Narrow" w:cs="Arial"/>
                <w:bCs/>
                <w:color w:val="C4BC96" w:themeColor="background2" w:themeShade="BF"/>
                <w:sz w:val="20"/>
                <w:szCs w:val="20"/>
                <w:lang w:eastAsia="en-AU"/>
              </w:rPr>
            </w:pPr>
          </w:p>
        </w:tc>
      </w:tr>
      <w:tr w:rsidR="00A56B9E" w:rsidRPr="00091816" w14:paraId="48841559" w14:textId="77777777" w:rsidTr="00091816">
        <w:trPr>
          <w:trHeight w:val="477"/>
        </w:trPr>
        <w:tc>
          <w:tcPr>
            <w:tcW w:w="1267"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232270E" w14:textId="77777777" w:rsidR="00A56B9E" w:rsidRPr="00091816" w:rsidRDefault="00A56B9E" w:rsidP="001C47F4">
            <w:pPr>
              <w:jc w:val="center"/>
              <w:rPr>
                <w:rFonts w:ascii="Arial Narrow" w:hAnsi="Arial Narrow" w:cs="Arial"/>
                <w:b/>
                <w:sz w:val="20"/>
                <w:szCs w:val="20"/>
                <w:lang w:eastAsia="en-AU"/>
              </w:rPr>
            </w:pPr>
            <w:r w:rsidRPr="00091816">
              <w:rPr>
                <w:rFonts w:ascii="Arial Narrow" w:hAnsi="Arial Narrow" w:cs="Arial"/>
                <w:b/>
                <w:sz w:val="20"/>
                <w:szCs w:val="20"/>
              </w:rPr>
              <w:t xml:space="preserve">Concept ID </w:t>
            </w:r>
            <w:r w:rsidRPr="00091816">
              <w:rPr>
                <w:rFonts w:ascii="Arial Narrow" w:hAnsi="Arial Narrow" w:cs="Arial"/>
                <w:sz w:val="20"/>
                <w:szCs w:val="20"/>
              </w:rPr>
              <w:t>(for internal Dept. use)</w:t>
            </w: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10FF81" w14:textId="77777777" w:rsidR="00A56B9E" w:rsidRPr="00091816" w:rsidRDefault="00A56B9E" w:rsidP="001C47F4">
            <w:pPr>
              <w:rPr>
                <w:rFonts w:ascii="Arial Narrow" w:hAnsi="Arial Narrow" w:cs="Arial"/>
                <w:bCs/>
                <w:sz w:val="20"/>
                <w:szCs w:val="20"/>
                <w:lang w:eastAsia="en-AU"/>
              </w:rPr>
            </w:pPr>
            <w:r w:rsidRPr="00091816">
              <w:rPr>
                <w:rFonts w:ascii="Arial Narrow" w:hAnsi="Arial Narrow" w:cs="Arial"/>
                <w:bCs/>
                <w:sz w:val="20"/>
                <w:szCs w:val="20"/>
                <w:lang w:eastAsia="en-AU"/>
              </w:rPr>
              <w:t xml:space="preserve">Category / Program: </w:t>
            </w:r>
          </w:p>
          <w:p w14:paraId="0C26D347" w14:textId="77777777" w:rsidR="00A56B9E" w:rsidRPr="00091816" w:rsidRDefault="00A56B9E" w:rsidP="001C47F4">
            <w:pPr>
              <w:jc w:val="left"/>
              <w:rPr>
                <w:rFonts w:ascii="Arial Narrow" w:hAnsi="Arial Narrow" w:cs="Arial"/>
                <w:bCs/>
                <w:sz w:val="20"/>
                <w:szCs w:val="20"/>
                <w:lang w:eastAsia="en-AU"/>
              </w:rPr>
            </w:pPr>
            <w:r w:rsidRPr="00091816">
              <w:rPr>
                <w:rFonts w:ascii="Arial Narrow" w:eastAsia="Calibri" w:hAnsi="Arial Narrow" w:cs="Arial"/>
                <w:bCs/>
                <w:sz w:val="20"/>
                <w:szCs w:val="20"/>
                <w:lang w:eastAsia="en-AU"/>
              </w:rPr>
              <w:fldChar w:fldCharType="begin" w:fldLock="1">
                <w:ffData>
                  <w:name w:val="Check1"/>
                  <w:enabled/>
                  <w:calcOnExit w:val="0"/>
                  <w:checkBox>
                    <w:sizeAuto/>
                    <w:default w:val="1"/>
                  </w:checkBox>
                </w:ffData>
              </w:fldChar>
            </w:r>
            <w:r w:rsidRPr="00091816">
              <w:rPr>
                <w:rFonts w:ascii="Arial Narrow" w:eastAsia="Calibri" w:hAnsi="Arial Narrow" w:cs="Arial"/>
                <w:bCs/>
                <w:sz w:val="20"/>
                <w:szCs w:val="20"/>
                <w:lang w:eastAsia="en-AU"/>
              </w:rPr>
              <w:instrText xml:space="preserve"> FORMCHECKBOX </w:instrText>
            </w:r>
            <w:r w:rsidRPr="00091816">
              <w:rPr>
                <w:rFonts w:ascii="Arial Narrow" w:eastAsia="Calibri" w:hAnsi="Arial Narrow" w:cs="Arial"/>
                <w:bCs/>
                <w:sz w:val="20"/>
                <w:szCs w:val="20"/>
                <w:lang w:eastAsia="en-AU"/>
              </w:rPr>
            </w:r>
            <w:r w:rsidRPr="00091816">
              <w:rPr>
                <w:rFonts w:ascii="Arial Narrow" w:eastAsia="Calibri" w:hAnsi="Arial Narrow" w:cs="Arial"/>
                <w:bCs/>
                <w:sz w:val="20"/>
                <w:szCs w:val="20"/>
                <w:lang w:eastAsia="en-AU"/>
              </w:rPr>
              <w:fldChar w:fldCharType="separate"/>
            </w:r>
            <w:r w:rsidRPr="00091816">
              <w:rPr>
                <w:rFonts w:ascii="Arial Narrow" w:eastAsia="Calibri" w:hAnsi="Arial Narrow" w:cs="Arial"/>
                <w:bCs/>
                <w:sz w:val="20"/>
                <w:szCs w:val="20"/>
                <w:lang w:eastAsia="en-AU"/>
              </w:rPr>
              <w:fldChar w:fldCharType="end"/>
            </w:r>
            <w:r w:rsidRPr="00091816">
              <w:rPr>
                <w:rFonts w:ascii="Arial Narrow" w:eastAsia="Calibri" w:hAnsi="Arial Narrow" w:cs="Arial"/>
                <w:bCs/>
                <w:sz w:val="20"/>
                <w:szCs w:val="20"/>
                <w:lang w:eastAsia="en-AU"/>
              </w:rPr>
              <w:t xml:space="preserve"> GENERAL </w:t>
            </w:r>
            <w:r w:rsidRPr="00091816">
              <w:rPr>
                <w:rFonts w:ascii="Arial Narrow" w:hAnsi="Arial Narrow" w:cs="Arial"/>
                <w:bCs/>
                <w:sz w:val="20"/>
                <w:szCs w:val="20"/>
                <w:lang w:eastAsia="en-AU"/>
              </w:rPr>
              <w:t>–</w:t>
            </w:r>
            <w:r w:rsidRPr="00091816">
              <w:rPr>
                <w:rFonts w:ascii="Arial Narrow" w:eastAsia="Calibri" w:hAnsi="Arial Narrow" w:cs="Arial"/>
                <w:bCs/>
                <w:sz w:val="20"/>
                <w:szCs w:val="20"/>
                <w:lang w:eastAsia="en-AU"/>
              </w:rPr>
              <w:t xml:space="preserve"> General Schedule (Code GE) </w:t>
            </w:r>
            <w:r w:rsidRPr="00091816">
              <w:rPr>
                <w:rFonts w:ascii="Arial Narrow" w:eastAsia="Calibri" w:hAnsi="Arial Narrow" w:cs="Arial"/>
                <w:bCs/>
                <w:sz w:val="20"/>
                <w:szCs w:val="20"/>
                <w:lang w:eastAsia="en-AU"/>
              </w:rPr>
              <w:br/>
            </w:r>
            <w:r w:rsidRPr="00091816">
              <w:rPr>
                <w:rFonts w:ascii="Arial Narrow" w:eastAsia="Calibri" w:hAnsi="Arial Narrow" w:cs="Arial"/>
                <w:bCs/>
                <w:sz w:val="20"/>
                <w:szCs w:val="20"/>
                <w:lang w:eastAsia="en-AU"/>
              </w:rPr>
              <w:fldChar w:fldCharType="begin" w:fldLock="1">
                <w:ffData>
                  <w:name w:val=""/>
                  <w:enabled/>
                  <w:calcOnExit w:val="0"/>
                  <w:checkBox>
                    <w:sizeAuto/>
                    <w:default w:val="1"/>
                  </w:checkBox>
                </w:ffData>
              </w:fldChar>
            </w:r>
            <w:r w:rsidRPr="00091816">
              <w:rPr>
                <w:rFonts w:ascii="Arial Narrow" w:eastAsia="Calibri" w:hAnsi="Arial Narrow" w:cs="Arial"/>
                <w:bCs/>
                <w:sz w:val="20"/>
                <w:szCs w:val="20"/>
                <w:lang w:eastAsia="en-AU"/>
              </w:rPr>
              <w:instrText xml:space="preserve"> FORMCHECKBOX </w:instrText>
            </w:r>
            <w:r w:rsidRPr="00091816">
              <w:rPr>
                <w:rFonts w:ascii="Arial Narrow" w:eastAsia="Calibri" w:hAnsi="Arial Narrow" w:cs="Arial"/>
                <w:bCs/>
                <w:sz w:val="20"/>
                <w:szCs w:val="20"/>
                <w:lang w:eastAsia="en-AU"/>
              </w:rPr>
            </w:r>
            <w:r w:rsidRPr="00091816">
              <w:rPr>
                <w:rFonts w:ascii="Arial Narrow" w:eastAsia="Calibri" w:hAnsi="Arial Narrow" w:cs="Arial"/>
                <w:bCs/>
                <w:sz w:val="20"/>
                <w:szCs w:val="20"/>
                <w:lang w:eastAsia="en-AU"/>
              </w:rPr>
              <w:fldChar w:fldCharType="separate"/>
            </w:r>
            <w:r w:rsidRPr="00091816">
              <w:rPr>
                <w:rFonts w:ascii="Arial Narrow" w:eastAsia="Calibri" w:hAnsi="Arial Narrow" w:cs="Arial"/>
                <w:bCs/>
                <w:sz w:val="20"/>
                <w:szCs w:val="20"/>
                <w:lang w:eastAsia="en-AU"/>
              </w:rPr>
              <w:fldChar w:fldCharType="end"/>
            </w:r>
            <w:r w:rsidRPr="00091816">
              <w:rPr>
                <w:rFonts w:ascii="Arial Narrow" w:eastAsia="Calibri" w:hAnsi="Arial Narrow" w:cs="Arial"/>
                <w:bCs/>
                <w:sz w:val="20"/>
                <w:szCs w:val="20"/>
                <w:lang w:eastAsia="en-AU"/>
              </w:rPr>
              <w:t xml:space="preserve"> Section </w:t>
            </w:r>
            <w:r w:rsidRPr="00091816">
              <w:rPr>
                <w:rFonts w:ascii="Arial Narrow" w:hAnsi="Arial Narrow" w:cs="Arial"/>
                <w:bCs/>
                <w:sz w:val="20"/>
                <w:szCs w:val="20"/>
                <w:lang w:eastAsia="en-AU"/>
              </w:rPr>
              <w:t xml:space="preserve">100 – Efficient Funding of Chemotherapy – Related Benefits (Code CT) </w:t>
            </w:r>
          </w:p>
        </w:tc>
      </w:tr>
      <w:tr w:rsidR="00A56B9E" w:rsidRPr="00091816" w14:paraId="26169967" w14:textId="77777777">
        <w:tc>
          <w:tcPr>
            <w:tcW w:w="1267" w:type="dxa"/>
            <w:vMerge/>
            <w:tcBorders>
              <w:top w:val="single" w:sz="4" w:space="0" w:color="auto"/>
              <w:left w:val="single" w:sz="4" w:space="0" w:color="auto"/>
              <w:bottom w:val="single" w:sz="4" w:space="0" w:color="auto"/>
              <w:right w:val="single" w:sz="4" w:space="0" w:color="auto"/>
            </w:tcBorders>
            <w:vAlign w:val="center"/>
            <w:hideMark/>
          </w:tcPr>
          <w:p w14:paraId="0E33C6E9" w14:textId="77777777" w:rsidR="00A56B9E" w:rsidRPr="00091816" w:rsidRDefault="00A56B9E" w:rsidP="001C47F4">
            <w:pPr>
              <w:rPr>
                <w:rFonts w:ascii="Arial Narrow" w:hAnsi="Arial Narrow" w:cs="Arial"/>
                <w:b/>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362885F" w14:textId="77777777" w:rsidR="00A56B9E" w:rsidRPr="00091816" w:rsidRDefault="00A56B9E" w:rsidP="001C47F4">
            <w:pPr>
              <w:rPr>
                <w:rFonts w:ascii="Arial Narrow" w:hAnsi="Arial Narrow" w:cs="Arial"/>
                <w:bCs/>
                <w:sz w:val="20"/>
                <w:szCs w:val="20"/>
                <w:lang w:eastAsia="en-AU"/>
              </w:rPr>
            </w:pPr>
            <w:r w:rsidRPr="00091816">
              <w:rPr>
                <w:rFonts w:ascii="Arial Narrow" w:hAnsi="Arial Narrow" w:cs="Arial"/>
                <w:bCs/>
                <w:sz w:val="20"/>
                <w:szCs w:val="20"/>
                <w:lang w:eastAsia="en-AU"/>
              </w:rPr>
              <w:t xml:space="preserve">Prescriber type: </w:t>
            </w:r>
            <w:r w:rsidRPr="00091816">
              <w:rPr>
                <w:rFonts w:ascii="Arial Narrow" w:hAnsi="Arial Narrow" w:cs="Arial"/>
                <w:bCs/>
                <w:sz w:val="20"/>
                <w:szCs w:val="20"/>
                <w:lang w:eastAsia="en-AU"/>
              </w:rPr>
              <w:fldChar w:fldCharType="begin" w:fldLock="1">
                <w:ffData>
                  <w:name w:val=""/>
                  <w:enabled/>
                  <w:calcOnExit w:val="0"/>
                  <w:checkBox>
                    <w:sizeAuto/>
                    <w:default w:val="1"/>
                  </w:checkBox>
                </w:ffData>
              </w:fldChar>
            </w:r>
            <w:r w:rsidRPr="00091816">
              <w:rPr>
                <w:rFonts w:ascii="Arial Narrow" w:hAnsi="Arial Narrow" w:cs="Arial"/>
                <w:bCs/>
                <w:sz w:val="20"/>
                <w:szCs w:val="20"/>
                <w:lang w:eastAsia="en-AU"/>
              </w:rPr>
              <w:instrText xml:space="preserve"> FORMCHECKBOX </w:instrText>
            </w:r>
            <w:r w:rsidRPr="00091816">
              <w:rPr>
                <w:rFonts w:ascii="Arial Narrow" w:hAnsi="Arial Narrow" w:cs="Arial"/>
                <w:bCs/>
                <w:sz w:val="20"/>
                <w:szCs w:val="20"/>
                <w:lang w:eastAsia="en-AU"/>
              </w:rPr>
            </w:r>
            <w:r w:rsidRPr="00091816">
              <w:rPr>
                <w:rFonts w:ascii="Arial Narrow" w:hAnsi="Arial Narrow" w:cs="Arial"/>
                <w:bCs/>
                <w:sz w:val="20"/>
                <w:szCs w:val="20"/>
                <w:lang w:eastAsia="en-AU"/>
              </w:rPr>
              <w:fldChar w:fldCharType="separate"/>
            </w:r>
            <w:r w:rsidRPr="00091816">
              <w:rPr>
                <w:rFonts w:ascii="Arial Narrow" w:hAnsi="Arial Narrow" w:cs="Arial"/>
                <w:bCs/>
                <w:sz w:val="20"/>
                <w:szCs w:val="20"/>
                <w:lang w:eastAsia="en-AU"/>
              </w:rPr>
              <w:fldChar w:fldCharType="end"/>
            </w:r>
            <w:r w:rsidRPr="00091816">
              <w:rPr>
                <w:rFonts w:ascii="Arial Narrow" w:hAnsi="Arial Narrow" w:cs="Arial"/>
                <w:bCs/>
                <w:sz w:val="20"/>
                <w:szCs w:val="20"/>
                <w:lang w:eastAsia="en-AU"/>
              </w:rPr>
              <w:t xml:space="preserve">Medical Practitioners </w:t>
            </w:r>
          </w:p>
        </w:tc>
      </w:tr>
      <w:tr w:rsidR="00A56B9E" w:rsidRPr="00091816" w14:paraId="2A1F1C8F" w14:textId="77777777">
        <w:tc>
          <w:tcPr>
            <w:tcW w:w="1267" w:type="dxa"/>
            <w:vMerge/>
            <w:tcBorders>
              <w:top w:val="single" w:sz="4" w:space="0" w:color="auto"/>
              <w:left w:val="single" w:sz="4" w:space="0" w:color="auto"/>
              <w:bottom w:val="single" w:sz="4" w:space="0" w:color="auto"/>
              <w:right w:val="single" w:sz="4" w:space="0" w:color="auto"/>
            </w:tcBorders>
            <w:vAlign w:val="center"/>
            <w:hideMark/>
          </w:tcPr>
          <w:p w14:paraId="4C07C5AE" w14:textId="77777777" w:rsidR="00A56B9E" w:rsidRPr="00091816" w:rsidRDefault="00A56B9E" w:rsidP="001C47F4">
            <w:pPr>
              <w:rPr>
                <w:rFonts w:ascii="Arial Narrow" w:hAnsi="Arial Narrow" w:cs="Arial"/>
                <w:b/>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1378611" w14:textId="77777777" w:rsidR="00A56B9E" w:rsidRPr="00091816" w:rsidRDefault="00A56B9E" w:rsidP="001C47F4">
            <w:pPr>
              <w:rPr>
                <w:rFonts w:ascii="Arial Narrow" w:eastAsia="Calibri" w:hAnsi="Arial Narrow" w:cs="Arial"/>
                <w:bCs/>
                <w:sz w:val="20"/>
                <w:szCs w:val="20"/>
                <w:lang w:eastAsia="en-AU"/>
              </w:rPr>
            </w:pPr>
            <w:r w:rsidRPr="00091816">
              <w:rPr>
                <w:rFonts w:ascii="Arial Narrow" w:hAnsi="Arial Narrow" w:cs="Arial"/>
                <w:bCs/>
                <w:sz w:val="20"/>
                <w:szCs w:val="20"/>
                <w:lang w:eastAsia="en-AU"/>
              </w:rPr>
              <w:t xml:space="preserve">Restriction type: </w:t>
            </w:r>
            <w:r w:rsidRPr="00091816">
              <w:rPr>
                <w:rFonts w:ascii="Arial Narrow" w:hAnsi="Arial Narrow" w:cs="Arial"/>
                <w:bCs/>
                <w:sz w:val="20"/>
                <w:szCs w:val="20"/>
                <w:lang w:eastAsia="en-AU"/>
              </w:rPr>
              <w:fldChar w:fldCharType="begin" w:fldLock="1">
                <w:ffData>
                  <w:name w:val=""/>
                  <w:enabled/>
                  <w:calcOnExit w:val="0"/>
                  <w:checkBox>
                    <w:sizeAuto/>
                    <w:default w:val="1"/>
                  </w:checkBox>
                </w:ffData>
              </w:fldChar>
            </w:r>
            <w:r w:rsidRPr="00091816">
              <w:rPr>
                <w:rFonts w:ascii="Arial Narrow" w:hAnsi="Arial Narrow" w:cs="Arial"/>
                <w:bCs/>
                <w:sz w:val="20"/>
                <w:szCs w:val="20"/>
                <w:lang w:eastAsia="en-AU"/>
              </w:rPr>
              <w:instrText xml:space="preserve"> FORMCHECKBOX </w:instrText>
            </w:r>
            <w:r w:rsidRPr="00091816">
              <w:rPr>
                <w:rFonts w:ascii="Arial Narrow" w:hAnsi="Arial Narrow" w:cs="Arial"/>
                <w:bCs/>
                <w:sz w:val="20"/>
                <w:szCs w:val="20"/>
                <w:lang w:eastAsia="en-AU"/>
              </w:rPr>
            </w:r>
            <w:r w:rsidRPr="00091816">
              <w:rPr>
                <w:rFonts w:ascii="Arial Narrow" w:hAnsi="Arial Narrow" w:cs="Arial"/>
                <w:bCs/>
                <w:sz w:val="20"/>
                <w:szCs w:val="20"/>
                <w:lang w:eastAsia="en-AU"/>
              </w:rPr>
              <w:fldChar w:fldCharType="separate"/>
            </w:r>
            <w:r w:rsidRPr="00091816">
              <w:rPr>
                <w:rFonts w:ascii="Arial Narrow" w:hAnsi="Arial Narrow" w:cs="Arial"/>
                <w:bCs/>
                <w:sz w:val="20"/>
                <w:szCs w:val="20"/>
                <w:lang w:eastAsia="en-AU"/>
              </w:rPr>
              <w:fldChar w:fldCharType="end"/>
            </w:r>
            <w:r w:rsidRPr="00091816">
              <w:rPr>
                <w:rFonts w:ascii="Arial Narrow" w:hAnsi="Arial Narrow" w:cs="Arial"/>
                <w:bCs/>
                <w:sz w:val="20"/>
                <w:szCs w:val="20"/>
                <w:lang w:eastAsia="en-AU"/>
              </w:rPr>
              <w:t>Authority Required (Telephone/Online)</w:t>
            </w:r>
          </w:p>
        </w:tc>
      </w:tr>
      <w:tr w:rsidR="00A56B9E" w:rsidRPr="00091816" w14:paraId="17B376CC" w14:textId="77777777">
        <w:tc>
          <w:tcPr>
            <w:tcW w:w="1267" w:type="dxa"/>
            <w:vMerge/>
            <w:tcBorders>
              <w:top w:val="single" w:sz="4" w:space="0" w:color="auto"/>
              <w:left w:val="single" w:sz="4" w:space="0" w:color="auto"/>
              <w:bottom w:val="single" w:sz="4" w:space="0" w:color="auto"/>
              <w:right w:val="single" w:sz="4" w:space="0" w:color="auto"/>
            </w:tcBorders>
            <w:vAlign w:val="center"/>
            <w:hideMark/>
          </w:tcPr>
          <w:p w14:paraId="06976063" w14:textId="77777777" w:rsidR="00A56B9E" w:rsidRPr="00091816" w:rsidRDefault="00A56B9E" w:rsidP="001C47F4">
            <w:pPr>
              <w:rPr>
                <w:rFonts w:ascii="Arial Narrow" w:hAnsi="Arial Narrow" w:cs="Arial"/>
                <w:b/>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8595F8C" w14:textId="13BAE571" w:rsidR="00A56B9E" w:rsidRPr="00091816" w:rsidRDefault="00A56B9E" w:rsidP="001C47F4">
            <w:pPr>
              <w:rPr>
                <w:rFonts w:ascii="Arial Narrow" w:hAnsi="Arial Narrow" w:cs="Arial"/>
                <w:bCs/>
                <w:sz w:val="20"/>
                <w:szCs w:val="20"/>
                <w:lang w:eastAsia="en-AU"/>
              </w:rPr>
            </w:pPr>
            <w:r w:rsidRPr="00091816">
              <w:rPr>
                <w:rFonts w:ascii="Arial Narrow" w:hAnsi="Arial Narrow" w:cs="Arial"/>
                <w:bCs/>
                <w:sz w:val="20"/>
                <w:szCs w:val="20"/>
                <w:lang w:eastAsia="en-AU"/>
              </w:rPr>
              <w:t xml:space="preserve">Authority type: </w:t>
            </w:r>
            <w:r w:rsidRPr="00091816">
              <w:rPr>
                <w:rFonts w:ascii="Arial Narrow" w:eastAsia="Calibri" w:hAnsi="Arial Narrow" w:cs="Arial"/>
                <w:bCs/>
                <w:sz w:val="20"/>
                <w:szCs w:val="20"/>
                <w:lang w:eastAsia="en-AU"/>
              </w:rPr>
              <w:fldChar w:fldCharType="begin" w:fldLock="1">
                <w:ffData>
                  <w:name w:val=""/>
                  <w:enabled/>
                  <w:calcOnExit w:val="0"/>
                  <w:checkBox>
                    <w:sizeAuto/>
                    <w:default w:val="1"/>
                  </w:checkBox>
                </w:ffData>
              </w:fldChar>
            </w:r>
            <w:r w:rsidRPr="00091816">
              <w:rPr>
                <w:rFonts w:ascii="Arial Narrow" w:eastAsia="Calibri" w:hAnsi="Arial Narrow" w:cs="Arial"/>
                <w:bCs/>
                <w:sz w:val="20"/>
                <w:szCs w:val="20"/>
                <w:lang w:eastAsia="en-AU"/>
              </w:rPr>
              <w:instrText xml:space="preserve"> FORMCHECKBOX </w:instrText>
            </w:r>
            <w:r w:rsidRPr="00091816">
              <w:rPr>
                <w:rFonts w:ascii="Arial Narrow" w:eastAsia="Calibri" w:hAnsi="Arial Narrow" w:cs="Arial"/>
                <w:bCs/>
                <w:sz w:val="20"/>
                <w:szCs w:val="20"/>
                <w:lang w:eastAsia="en-AU"/>
              </w:rPr>
            </w:r>
            <w:r w:rsidRPr="00091816">
              <w:rPr>
                <w:rFonts w:ascii="Arial Narrow" w:eastAsia="Calibri" w:hAnsi="Arial Narrow" w:cs="Arial"/>
                <w:bCs/>
                <w:sz w:val="20"/>
                <w:szCs w:val="20"/>
                <w:lang w:eastAsia="en-AU"/>
              </w:rPr>
              <w:fldChar w:fldCharType="separate"/>
            </w:r>
            <w:r w:rsidRPr="00091816">
              <w:rPr>
                <w:rFonts w:ascii="Arial Narrow" w:eastAsia="Calibri" w:hAnsi="Arial Narrow" w:cs="Arial"/>
                <w:bCs/>
                <w:sz w:val="20"/>
                <w:szCs w:val="20"/>
                <w:lang w:eastAsia="en-AU"/>
              </w:rPr>
              <w:fldChar w:fldCharType="end"/>
            </w:r>
            <w:r w:rsidRPr="00091816">
              <w:rPr>
                <w:rFonts w:ascii="Arial Narrow" w:eastAsia="Calibri" w:hAnsi="Arial Narrow" w:cs="Arial"/>
                <w:bCs/>
                <w:sz w:val="20"/>
                <w:szCs w:val="20"/>
                <w:lang w:eastAsia="en-AU"/>
              </w:rPr>
              <w:t xml:space="preserve"> Non</w:t>
            </w:r>
            <w:r w:rsidR="00EC1990">
              <w:rPr>
                <w:rFonts w:ascii="Arial Narrow" w:eastAsia="Calibri" w:hAnsi="Arial Narrow" w:cs="Arial"/>
                <w:bCs/>
                <w:sz w:val="20"/>
                <w:szCs w:val="20"/>
                <w:lang w:eastAsia="en-AU"/>
              </w:rPr>
              <w:noBreakHyphen/>
            </w:r>
            <w:r w:rsidRPr="00091816">
              <w:rPr>
                <w:rFonts w:ascii="Arial Narrow" w:eastAsia="Calibri" w:hAnsi="Arial Narrow" w:cs="Arial"/>
                <w:bCs/>
                <w:sz w:val="20"/>
                <w:szCs w:val="20"/>
                <w:lang w:eastAsia="en-AU"/>
              </w:rPr>
              <w:t>complex Authority Required (non</w:t>
            </w:r>
            <w:r w:rsidR="00EC1990">
              <w:rPr>
                <w:rFonts w:ascii="Arial Narrow" w:eastAsia="Calibri" w:hAnsi="Arial Narrow" w:cs="Arial"/>
                <w:bCs/>
                <w:sz w:val="20"/>
                <w:szCs w:val="20"/>
                <w:lang w:eastAsia="en-AU"/>
              </w:rPr>
              <w:noBreakHyphen/>
            </w:r>
            <w:r w:rsidRPr="00091816">
              <w:rPr>
                <w:rFonts w:ascii="Arial Narrow" w:eastAsia="Calibri" w:hAnsi="Arial Narrow" w:cs="Arial"/>
                <w:bCs/>
                <w:sz w:val="20"/>
                <w:szCs w:val="20"/>
                <w:lang w:eastAsia="en-AU"/>
              </w:rPr>
              <w:t>CAR)</w:t>
            </w:r>
          </w:p>
        </w:tc>
      </w:tr>
      <w:tr w:rsidR="00A56B9E" w:rsidRPr="00091816" w14:paraId="0B1BF7C9" w14:textId="77777777">
        <w:tc>
          <w:tcPr>
            <w:tcW w:w="9210"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E12A2D" w14:textId="01FB0354" w:rsidR="00A56B9E" w:rsidRPr="00091816" w:rsidRDefault="00A56B9E" w:rsidP="001C47F4">
            <w:pPr>
              <w:rPr>
                <w:rFonts w:ascii="Arial Narrow" w:hAnsi="Arial Narrow" w:cs="Arial"/>
                <w:b/>
                <w:sz w:val="20"/>
                <w:szCs w:val="20"/>
                <w:lang w:eastAsia="en-AU"/>
              </w:rPr>
            </w:pPr>
          </w:p>
        </w:tc>
      </w:tr>
      <w:tr w:rsidR="00A56B9E" w:rsidRPr="00091816" w14:paraId="7C7DBEA1" w14:textId="77777777">
        <w:tc>
          <w:tcPr>
            <w:tcW w:w="1267"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AFDA206" w14:textId="77777777" w:rsidR="00A56B9E" w:rsidRPr="00091816" w:rsidRDefault="00A56B9E"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F3DAF5F" w14:textId="77777777" w:rsidR="00A56B9E" w:rsidRPr="00091816" w:rsidRDefault="00A56B9E" w:rsidP="001C47F4">
            <w:pPr>
              <w:rPr>
                <w:rFonts w:ascii="Arial Narrow" w:hAnsi="Arial Narrow" w:cs="Arial"/>
                <w:bCs/>
                <w:sz w:val="20"/>
                <w:szCs w:val="20"/>
                <w:lang w:eastAsia="en-AU"/>
              </w:rPr>
            </w:pPr>
            <w:r w:rsidRPr="00091816">
              <w:rPr>
                <w:rFonts w:ascii="Arial Narrow" w:hAnsi="Arial Narrow" w:cs="Arial"/>
                <w:b/>
                <w:bCs/>
                <w:sz w:val="20"/>
                <w:szCs w:val="20"/>
                <w:lang w:eastAsia="en-AU"/>
              </w:rPr>
              <w:t xml:space="preserve">Episodicity: </w:t>
            </w:r>
            <w:r w:rsidRPr="00091816">
              <w:rPr>
                <w:rFonts w:ascii="Arial Narrow" w:hAnsi="Arial Narrow" w:cs="Arial"/>
                <w:sz w:val="20"/>
                <w:szCs w:val="20"/>
                <w:lang w:eastAsia="en-AU"/>
              </w:rPr>
              <w:t>[Blank]</w:t>
            </w:r>
          </w:p>
        </w:tc>
      </w:tr>
      <w:tr w:rsidR="00A56B9E" w:rsidRPr="00091816" w14:paraId="55101DC7" w14:textId="77777777">
        <w:tc>
          <w:tcPr>
            <w:tcW w:w="1267" w:type="dxa"/>
            <w:vMerge/>
            <w:tcBorders>
              <w:top w:val="single" w:sz="4" w:space="0" w:color="auto"/>
              <w:left w:val="single" w:sz="4" w:space="0" w:color="auto"/>
              <w:bottom w:val="single" w:sz="4" w:space="0" w:color="auto"/>
              <w:right w:val="single" w:sz="4" w:space="0" w:color="auto"/>
            </w:tcBorders>
            <w:vAlign w:val="center"/>
            <w:hideMark/>
          </w:tcPr>
          <w:p w14:paraId="7F070EB6" w14:textId="77777777" w:rsidR="00A56B9E" w:rsidRPr="00091816" w:rsidRDefault="00A56B9E" w:rsidP="001C47F4">
            <w:pP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CCC4F6E" w14:textId="77777777" w:rsidR="00A56B9E" w:rsidRPr="00091816" w:rsidRDefault="00A56B9E" w:rsidP="001C47F4">
            <w:pPr>
              <w:rPr>
                <w:rFonts w:ascii="Arial Narrow" w:hAnsi="Arial Narrow" w:cs="Arial"/>
                <w:b/>
                <w:bCs/>
                <w:sz w:val="20"/>
                <w:szCs w:val="20"/>
                <w:lang w:eastAsia="en-AU"/>
              </w:rPr>
            </w:pPr>
            <w:r w:rsidRPr="00091816">
              <w:rPr>
                <w:rFonts w:ascii="Arial Narrow" w:hAnsi="Arial Narrow" w:cs="Arial"/>
                <w:b/>
                <w:sz w:val="20"/>
                <w:szCs w:val="20"/>
                <w:lang w:eastAsia="en-AU"/>
              </w:rPr>
              <w:t>Severity:</w:t>
            </w:r>
            <w:r w:rsidRPr="00091816">
              <w:rPr>
                <w:rFonts w:ascii="Arial Narrow" w:hAnsi="Arial Narrow" w:cs="Arial"/>
                <w:sz w:val="20"/>
                <w:szCs w:val="20"/>
                <w:lang w:eastAsia="en-AU"/>
              </w:rPr>
              <w:t xml:space="preserve"> Relapsed or refractory</w:t>
            </w:r>
          </w:p>
        </w:tc>
      </w:tr>
      <w:tr w:rsidR="00A56B9E" w:rsidRPr="00091816" w14:paraId="7ECC4860" w14:textId="77777777">
        <w:tc>
          <w:tcPr>
            <w:tcW w:w="1267" w:type="dxa"/>
            <w:vMerge/>
            <w:tcBorders>
              <w:top w:val="single" w:sz="4" w:space="0" w:color="auto"/>
              <w:left w:val="single" w:sz="4" w:space="0" w:color="auto"/>
              <w:bottom w:val="single" w:sz="4" w:space="0" w:color="auto"/>
              <w:right w:val="single" w:sz="4" w:space="0" w:color="auto"/>
            </w:tcBorders>
            <w:vAlign w:val="center"/>
            <w:hideMark/>
          </w:tcPr>
          <w:p w14:paraId="66534DEE" w14:textId="77777777" w:rsidR="00A56B9E" w:rsidRPr="00091816" w:rsidRDefault="00A56B9E" w:rsidP="001C47F4">
            <w:pP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4E1A038" w14:textId="77777777" w:rsidR="00A56B9E" w:rsidRPr="00091816" w:rsidRDefault="00A56B9E" w:rsidP="001C47F4">
            <w:pPr>
              <w:rPr>
                <w:rFonts w:ascii="Arial Narrow" w:hAnsi="Arial Narrow" w:cs="Arial"/>
                <w:b/>
                <w:bCs/>
                <w:sz w:val="20"/>
                <w:szCs w:val="20"/>
                <w:lang w:eastAsia="en-AU"/>
              </w:rPr>
            </w:pPr>
            <w:r w:rsidRPr="00091816">
              <w:rPr>
                <w:rFonts w:ascii="Arial Narrow" w:hAnsi="Arial Narrow" w:cs="Arial"/>
                <w:b/>
                <w:sz w:val="20"/>
                <w:szCs w:val="20"/>
                <w:lang w:eastAsia="en-AU"/>
              </w:rPr>
              <w:t>Condition:</w:t>
            </w:r>
            <w:r w:rsidRPr="00091816">
              <w:rPr>
                <w:rFonts w:ascii="Arial Narrow" w:hAnsi="Arial Narrow" w:cs="Arial"/>
                <w:sz w:val="20"/>
                <w:szCs w:val="20"/>
                <w:lang w:eastAsia="en-AU"/>
              </w:rPr>
              <w:t xml:space="preserve"> Multiple myeloma</w:t>
            </w:r>
          </w:p>
        </w:tc>
      </w:tr>
      <w:tr w:rsidR="0059382F" w:rsidRPr="00091816" w14:paraId="0EC07F76"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E018860" w14:textId="18240D95" w:rsidR="0059382F" w:rsidRPr="00091816" w:rsidRDefault="0059382F" w:rsidP="001C47F4">
            <w:pPr>
              <w:jc w:val="center"/>
              <w:rPr>
                <w:rFonts w:ascii="Arial Narrow" w:hAnsi="Arial Narrow" w:cs="Arial"/>
                <w:b/>
                <w:bCs/>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BD9D4AC" w14:textId="77777777" w:rsidR="0059382F" w:rsidRPr="00091816" w:rsidRDefault="0059382F" w:rsidP="001C47F4">
            <w:pPr>
              <w:rPr>
                <w:rFonts w:ascii="Arial Narrow" w:hAnsi="Arial Narrow" w:cs="Arial"/>
                <w:sz w:val="20"/>
                <w:szCs w:val="20"/>
                <w:lang w:eastAsia="en-AU"/>
              </w:rPr>
            </w:pPr>
            <w:r w:rsidRPr="00091816">
              <w:rPr>
                <w:rFonts w:ascii="Arial Narrow" w:hAnsi="Arial Narrow" w:cs="Arial"/>
                <w:b/>
                <w:sz w:val="20"/>
                <w:szCs w:val="20"/>
                <w:lang w:eastAsia="en-AU"/>
              </w:rPr>
              <w:t>Indication:</w:t>
            </w:r>
            <w:r w:rsidRPr="00091816">
              <w:rPr>
                <w:rFonts w:ascii="Arial Narrow" w:hAnsi="Arial Narrow" w:cs="Arial"/>
                <w:sz w:val="20"/>
                <w:szCs w:val="20"/>
                <w:lang w:eastAsia="en-AU"/>
              </w:rPr>
              <w:t xml:space="preserve"> Relapsed or refractory multiple myeloma</w:t>
            </w:r>
          </w:p>
        </w:tc>
      </w:tr>
      <w:tr w:rsidR="0059382F" w:rsidRPr="00091816" w14:paraId="1E102576"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9E69575" w14:textId="77777777" w:rsidR="0059382F" w:rsidRPr="00091816" w:rsidRDefault="0059382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E0056D5" w14:textId="2D66C33C" w:rsidR="0059382F" w:rsidRPr="00091816" w:rsidRDefault="0059382F" w:rsidP="001C47F4">
            <w:pPr>
              <w:rPr>
                <w:rFonts w:ascii="Arial Narrow" w:hAnsi="Arial Narrow" w:cs="Arial"/>
                <w:b/>
                <w:sz w:val="20"/>
                <w:szCs w:val="20"/>
                <w:lang w:eastAsia="en-AU"/>
              </w:rPr>
            </w:pPr>
            <w:r w:rsidRPr="00091816">
              <w:rPr>
                <w:rFonts w:ascii="Arial Narrow" w:hAnsi="Arial Narrow" w:cs="Arial"/>
                <w:b/>
                <w:bCs/>
                <w:sz w:val="20"/>
                <w:szCs w:val="20"/>
                <w:lang w:eastAsia="en-AU"/>
              </w:rPr>
              <w:t>Treatment</w:t>
            </w:r>
            <w:r w:rsidRPr="00091816">
              <w:rPr>
                <w:rFonts w:ascii="Arial Narrow" w:hAnsi="Arial Narrow" w:cs="Arial"/>
                <w:b/>
                <w:bCs/>
                <w:spacing w:val="-3"/>
                <w:sz w:val="20"/>
                <w:szCs w:val="20"/>
                <w:lang w:eastAsia="en-AU"/>
              </w:rPr>
              <w:t xml:space="preserve"> </w:t>
            </w:r>
            <w:r w:rsidRPr="00091816">
              <w:rPr>
                <w:rFonts w:ascii="Arial Narrow" w:hAnsi="Arial Narrow" w:cs="Arial"/>
                <w:b/>
                <w:bCs/>
                <w:sz w:val="20"/>
                <w:szCs w:val="20"/>
                <w:lang w:eastAsia="en-AU"/>
              </w:rPr>
              <w:t>Phase:</w:t>
            </w:r>
            <w:r w:rsidRPr="00091816">
              <w:rPr>
                <w:rFonts w:ascii="Arial Narrow" w:hAnsi="Arial Narrow" w:cs="Arial"/>
                <w:sz w:val="20"/>
                <w:szCs w:val="20"/>
                <w:lang w:eastAsia="en-AU"/>
              </w:rPr>
              <w:t xml:space="preserve"> Induction treatment (step</w:t>
            </w:r>
            <w:r w:rsidR="00EC1990">
              <w:rPr>
                <w:rFonts w:ascii="Arial Narrow" w:hAnsi="Arial Narrow" w:cs="Arial"/>
                <w:sz w:val="20"/>
                <w:szCs w:val="20"/>
                <w:lang w:eastAsia="en-AU"/>
              </w:rPr>
              <w:noBreakHyphen/>
            </w:r>
            <w:r w:rsidRPr="00091816">
              <w:rPr>
                <w:rFonts w:ascii="Arial Narrow" w:hAnsi="Arial Narrow" w:cs="Arial"/>
                <w:sz w:val="20"/>
                <w:szCs w:val="20"/>
                <w:lang w:eastAsia="en-AU"/>
              </w:rPr>
              <w:t xml:space="preserve">up dosing) </w:t>
            </w:r>
          </w:p>
        </w:tc>
      </w:tr>
      <w:tr w:rsidR="0059382F" w:rsidRPr="00091816" w14:paraId="19643883"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C79F1E9" w14:textId="4B9E575D" w:rsidR="0059382F" w:rsidRPr="00091816" w:rsidRDefault="0059382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D4273E1" w14:textId="77777777" w:rsidR="0059382F" w:rsidRPr="00091816" w:rsidRDefault="0059382F" w:rsidP="001C47F4">
            <w:pPr>
              <w:rPr>
                <w:rFonts w:ascii="Arial Narrow" w:hAnsi="Arial Narrow" w:cs="Arial"/>
                <w:b/>
                <w:sz w:val="20"/>
                <w:szCs w:val="20"/>
                <w:lang w:eastAsia="en-AU"/>
              </w:rPr>
            </w:pPr>
            <w:r w:rsidRPr="00091816">
              <w:rPr>
                <w:rFonts w:ascii="Arial Narrow" w:hAnsi="Arial Narrow" w:cs="Arial"/>
                <w:b/>
                <w:bCs/>
                <w:sz w:val="20"/>
                <w:szCs w:val="20"/>
                <w:lang w:eastAsia="en-AU"/>
              </w:rPr>
              <w:t>Clinical</w:t>
            </w:r>
            <w:r w:rsidRPr="00091816">
              <w:rPr>
                <w:rFonts w:ascii="Arial Narrow" w:hAnsi="Arial Narrow" w:cs="Arial"/>
                <w:b/>
                <w:bCs/>
                <w:spacing w:val="-4"/>
                <w:sz w:val="20"/>
                <w:szCs w:val="20"/>
                <w:lang w:eastAsia="en-AU"/>
              </w:rPr>
              <w:t xml:space="preserve"> </w:t>
            </w:r>
            <w:r w:rsidRPr="00091816">
              <w:rPr>
                <w:rFonts w:ascii="Arial Narrow" w:hAnsi="Arial Narrow" w:cs="Arial"/>
                <w:b/>
                <w:bCs/>
                <w:spacing w:val="-2"/>
                <w:sz w:val="20"/>
                <w:szCs w:val="20"/>
                <w:lang w:eastAsia="en-AU"/>
              </w:rPr>
              <w:t>criteria:</w:t>
            </w:r>
          </w:p>
        </w:tc>
      </w:tr>
      <w:tr w:rsidR="0059382F" w:rsidRPr="00091816" w14:paraId="28BC7FB5"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4D8AECA" w14:textId="3A1FEBD0" w:rsidR="0059382F" w:rsidRPr="00091816" w:rsidRDefault="0059382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7B653DF" w14:textId="77777777" w:rsidR="0059382F" w:rsidRPr="00091816" w:rsidRDefault="0059382F" w:rsidP="001C47F4">
            <w:pPr>
              <w:rPr>
                <w:rFonts w:ascii="Arial Narrow" w:hAnsi="Arial Narrow" w:cs="Arial"/>
                <w:b/>
                <w:sz w:val="20"/>
                <w:szCs w:val="20"/>
                <w:lang w:eastAsia="en-AU"/>
              </w:rPr>
            </w:pPr>
            <w:r w:rsidRPr="00091816">
              <w:rPr>
                <w:rFonts w:ascii="Arial Narrow" w:hAnsi="Arial Narrow" w:cs="Arial"/>
                <w:spacing w:val="-2"/>
                <w:sz w:val="20"/>
                <w:szCs w:val="20"/>
                <w:lang w:eastAsia="en-AU"/>
              </w:rPr>
              <w:t>The condition must be confirmed by a histological diagnosis</w:t>
            </w:r>
          </w:p>
        </w:tc>
      </w:tr>
      <w:tr w:rsidR="0059382F" w:rsidRPr="00091816" w14:paraId="5CCAAC97"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27C1998" w14:textId="77777777" w:rsidR="0059382F" w:rsidRPr="00091816" w:rsidRDefault="0059382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DEECA10" w14:textId="77777777" w:rsidR="0059382F" w:rsidRPr="00091816" w:rsidRDefault="0059382F" w:rsidP="001C47F4">
            <w:pPr>
              <w:rPr>
                <w:rFonts w:ascii="Arial Narrow" w:hAnsi="Arial Narrow" w:cs="Arial"/>
                <w:b/>
                <w:sz w:val="20"/>
                <w:szCs w:val="20"/>
                <w:lang w:eastAsia="en-AU"/>
              </w:rPr>
            </w:pPr>
            <w:r w:rsidRPr="00091816">
              <w:rPr>
                <w:rFonts w:ascii="Arial Narrow" w:hAnsi="Arial Narrow" w:cs="Arial"/>
                <w:b/>
                <w:bCs/>
                <w:spacing w:val="-5"/>
                <w:sz w:val="20"/>
                <w:szCs w:val="20"/>
                <w:lang w:eastAsia="en-AU"/>
              </w:rPr>
              <w:t>AND</w:t>
            </w:r>
          </w:p>
        </w:tc>
      </w:tr>
      <w:tr w:rsidR="0059382F" w:rsidRPr="00091816" w14:paraId="66979977"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64C0275" w14:textId="7B9DE296" w:rsidR="0059382F" w:rsidRPr="00091816" w:rsidRDefault="0059382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D072809" w14:textId="77777777" w:rsidR="0059382F" w:rsidRPr="00091816" w:rsidRDefault="0059382F" w:rsidP="001C47F4">
            <w:pPr>
              <w:rPr>
                <w:rFonts w:ascii="Arial Narrow" w:hAnsi="Arial Narrow" w:cs="Arial"/>
                <w:b/>
                <w:bCs/>
                <w:spacing w:val="-5"/>
                <w:sz w:val="20"/>
                <w:szCs w:val="20"/>
                <w:lang w:eastAsia="en-AU"/>
              </w:rPr>
            </w:pPr>
            <w:r w:rsidRPr="00091816">
              <w:rPr>
                <w:rFonts w:ascii="Arial Narrow" w:hAnsi="Arial Narrow" w:cs="Arial"/>
                <w:b/>
                <w:bCs/>
                <w:sz w:val="20"/>
                <w:szCs w:val="20"/>
                <w:lang w:eastAsia="en-AU"/>
              </w:rPr>
              <w:t>Clinical</w:t>
            </w:r>
            <w:r w:rsidRPr="00091816">
              <w:rPr>
                <w:rFonts w:ascii="Arial Narrow" w:hAnsi="Arial Narrow" w:cs="Arial"/>
                <w:b/>
                <w:bCs/>
                <w:spacing w:val="-4"/>
                <w:sz w:val="20"/>
                <w:szCs w:val="20"/>
                <w:lang w:eastAsia="en-AU"/>
              </w:rPr>
              <w:t xml:space="preserve"> </w:t>
            </w:r>
            <w:r w:rsidRPr="00091816">
              <w:rPr>
                <w:rFonts w:ascii="Arial Narrow" w:hAnsi="Arial Narrow" w:cs="Arial"/>
                <w:b/>
                <w:bCs/>
                <w:spacing w:val="-2"/>
                <w:sz w:val="20"/>
                <w:szCs w:val="20"/>
                <w:lang w:eastAsia="en-AU"/>
              </w:rPr>
              <w:t>criteria:</w:t>
            </w:r>
          </w:p>
        </w:tc>
      </w:tr>
      <w:tr w:rsidR="0059382F" w:rsidRPr="00091816" w14:paraId="208D181B"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E74CE9" w14:textId="730A89FA" w:rsidR="0059382F" w:rsidRPr="00091816" w:rsidRDefault="0059382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47E68F4" w14:textId="2FF23CE8" w:rsidR="0059382F" w:rsidRPr="00091816" w:rsidRDefault="0059382F" w:rsidP="001C47F4">
            <w:pPr>
              <w:rPr>
                <w:rFonts w:ascii="Arial Narrow" w:hAnsi="Arial Narrow" w:cs="Arial"/>
                <w:spacing w:val="-2"/>
                <w:sz w:val="20"/>
                <w:szCs w:val="20"/>
                <w:lang w:eastAsia="en-AU"/>
              </w:rPr>
            </w:pPr>
            <w:r w:rsidRPr="00091816">
              <w:rPr>
                <w:rFonts w:ascii="Arial Narrow" w:hAnsi="Arial Narrow" w:cs="Arial"/>
                <w:spacing w:val="-2"/>
                <w:sz w:val="20"/>
                <w:szCs w:val="20"/>
                <w:lang w:eastAsia="en-AU"/>
              </w:rPr>
              <w:t>Patient must have had progressive disease after receiving at least 3 prior lines of therapy, including each of the following therapies: (i) a proteasome inhibitor, (ii) an immunomodulatory agent, and (iii) an anti</w:t>
            </w:r>
            <w:r w:rsidR="00EC1990">
              <w:rPr>
                <w:rFonts w:ascii="Arial Narrow" w:hAnsi="Arial Narrow" w:cs="Arial"/>
                <w:spacing w:val="-2"/>
                <w:sz w:val="20"/>
                <w:szCs w:val="20"/>
                <w:lang w:eastAsia="en-AU"/>
              </w:rPr>
              <w:noBreakHyphen/>
            </w:r>
            <w:r w:rsidRPr="00091816">
              <w:rPr>
                <w:rFonts w:ascii="Arial Narrow" w:hAnsi="Arial Narrow" w:cs="Arial"/>
                <w:spacing w:val="-2"/>
                <w:sz w:val="20"/>
                <w:szCs w:val="20"/>
                <w:lang w:eastAsia="en-AU"/>
              </w:rPr>
              <w:t>CD38 monoclonal antibody; or</w:t>
            </w:r>
          </w:p>
        </w:tc>
      </w:tr>
      <w:tr w:rsidR="0059382F" w:rsidRPr="00091816" w14:paraId="1ED208A2"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FE297E0" w14:textId="765C34D4" w:rsidR="0059382F" w:rsidRPr="00091816" w:rsidRDefault="0059382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2E964F0" w14:textId="4A499036" w:rsidR="0059382F" w:rsidRPr="00091816" w:rsidRDefault="0059382F" w:rsidP="001C47F4">
            <w:pPr>
              <w:rPr>
                <w:rFonts w:ascii="Arial Narrow" w:hAnsi="Arial Narrow" w:cs="Arial"/>
                <w:b/>
                <w:sz w:val="20"/>
                <w:szCs w:val="20"/>
                <w:lang w:eastAsia="en-AU"/>
              </w:rPr>
            </w:pPr>
            <w:r w:rsidRPr="00091816">
              <w:rPr>
                <w:rFonts w:ascii="Arial Narrow" w:hAnsi="Arial Narrow" w:cs="Arial"/>
                <w:spacing w:val="-2"/>
                <w:sz w:val="20"/>
                <w:szCs w:val="20"/>
                <w:lang w:eastAsia="en-AU"/>
              </w:rPr>
              <w:t>Patient must have been refractory to, at least 3 prior lines of therapy, including each of the following therapies: (i) a proteasome inhibitor, (ii) an immunomodulatory agent, (iii) an anti</w:t>
            </w:r>
            <w:r w:rsidR="00EC1990">
              <w:rPr>
                <w:rFonts w:ascii="Arial Narrow" w:hAnsi="Arial Narrow" w:cs="Arial"/>
                <w:spacing w:val="-2"/>
                <w:sz w:val="20"/>
                <w:szCs w:val="20"/>
                <w:lang w:eastAsia="en-AU"/>
              </w:rPr>
              <w:noBreakHyphen/>
            </w:r>
            <w:r w:rsidRPr="00091816">
              <w:rPr>
                <w:rFonts w:ascii="Arial Narrow" w:hAnsi="Arial Narrow" w:cs="Arial"/>
                <w:spacing w:val="-2"/>
                <w:sz w:val="20"/>
                <w:szCs w:val="20"/>
                <w:lang w:eastAsia="en-AU"/>
              </w:rPr>
              <w:t>CD38 monoclonal antibody</w:t>
            </w:r>
          </w:p>
        </w:tc>
      </w:tr>
      <w:tr w:rsidR="00A56B9E" w:rsidRPr="00091816" w14:paraId="13FFB00B"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A1E03A" w14:textId="77777777" w:rsidR="00A56B9E" w:rsidRPr="00091816" w:rsidRDefault="00A56B9E" w:rsidP="001C47F4">
            <w:pPr>
              <w:jc w:val="center"/>
              <w:rPr>
                <w:rFonts w:ascii="Arial Narrow" w:hAnsi="Arial Narrow" w:cs="Arial"/>
                <w:strike/>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F2405CF" w14:textId="77777777" w:rsidR="00A56B9E" w:rsidRPr="00091816" w:rsidRDefault="00A56B9E" w:rsidP="001C47F4">
            <w:pPr>
              <w:rPr>
                <w:rFonts w:ascii="Arial Narrow" w:hAnsi="Arial Narrow" w:cs="Arial"/>
                <w:strike/>
                <w:spacing w:val="-2"/>
                <w:sz w:val="20"/>
                <w:szCs w:val="20"/>
                <w:lang w:eastAsia="en-AU"/>
              </w:rPr>
            </w:pPr>
            <w:r w:rsidRPr="00091816">
              <w:rPr>
                <w:rFonts w:ascii="Arial Narrow" w:hAnsi="Arial Narrow" w:cs="Arial"/>
                <w:b/>
                <w:bCs/>
                <w:spacing w:val="-2"/>
                <w:sz w:val="20"/>
                <w:szCs w:val="20"/>
                <w:lang w:eastAsia="en-AU"/>
              </w:rPr>
              <w:t>AND</w:t>
            </w:r>
          </w:p>
        </w:tc>
      </w:tr>
      <w:tr w:rsidR="00A56B9E" w:rsidRPr="00091816" w14:paraId="0BF17BCD"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311414E" w14:textId="77777777" w:rsidR="00A56B9E" w:rsidRPr="00091816" w:rsidRDefault="00A56B9E" w:rsidP="001C47F4">
            <w:pPr>
              <w:jc w:val="center"/>
              <w:rPr>
                <w:rFonts w:ascii="Arial Narrow" w:hAnsi="Arial Narrow" w:cs="Arial"/>
                <w:strike/>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80326B9" w14:textId="77777777" w:rsidR="00A56B9E" w:rsidRPr="00091816" w:rsidRDefault="00A56B9E" w:rsidP="001C47F4">
            <w:pPr>
              <w:rPr>
                <w:rFonts w:ascii="Arial Narrow" w:hAnsi="Arial Narrow" w:cs="Arial"/>
                <w:strike/>
                <w:spacing w:val="-2"/>
                <w:sz w:val="20"/>
                <w:szCs w:val="20"/>
                <w:lang w:eastAsia="en-AU"/>
              </w:rPr>
            </w:pPr>
            <w:r w:rsidRPr="00091816">
              <w:rPr>
                <w:rFonts w:ascii="Arial Narrow" w:hAnsi="Arial Narrow" w:cs="Arial"/>
                <w:b/>
                <w:bCs/>
                <w:sz w:val="20"/>
                <w:szCs w:val="20"/>
                <w:lang w:eastAsia="en-AU"/>
              </w:rPr>
              <w:t>Clinical</w:t>
            </w:r>
            <w:r w:rsidRPr="00091816">
              <w:rPr>
                <w:rFonts w:ascii="Arial Narrow" w:hAnsi="Arial Narrow" w:cs="Arial"/>
                <w:b/>
                <w:bCs/>
                <w:spacing w:val="-4"/>
                <w:sz w:val="20"/>
                <w:szCs w:val="20"/>
                <w:lang w:eastAsia="en-AU"/>
              </w:rPr>
              <w:t xml:space="preserve"> </w:t>
            </w:r>
            <w:r w:rsidRPr="00091816">
              <w:rPr>
                <w:rFonts w:ascii="Arial Narrow" w:hAnsi="Arial Narrow" w:cs="Arial"/>
                <w:b/>
                <w:bCs/>
                <w:spacing w:val="-2"/>
                <w:sz w:val="20"/>
                <w:szCs w:val="20"/>
                <w:lang w:eastAsia="en-AU"/>
              </w:rPr>
              <w:t>criteria:</w:t>
            </w:r>
          </w:p>
        </w:tc>
      </w:tr>
      <w:tr w:rsidR="000E748D" w:rsidRPr="00091816" w14:paraId="4C055939"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A270CDD" w14:textId="4A639057" w:rsidR="000E748D" w:rsidRPr="00091816" w:rsidRDefault="000E748D"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7254643" w14:textId="77777777" w:rsidR="000E748D" w:rsidRPr="00091816" w:rsidRDefault="000E748D" w:rsidP="001C47F4">
            <w:pPr>
              <w:rPr>
                <w:rFonts w:ascii="Arial Narrow" w:hAnsi="Arial Narrow" w:cs="Arial"/>
                <w:strike/>
                <w:spacing w:val="-2"/>
                <w:sz w:val="20"/>
                <w:szCs w:val="20"/>
                <w:lang w:eastAsia="en-AU"/>
              </w:rPr>
            </w:pPr>
            <w:r w:rsidRPr="00091816">
              <w:rPr>
                <w:rFonts w:ascii="Arial Narrow" w:hAnsi="Arial Narrow" w:cs="Arial"/>
                <w:spacing w:val="-2"/>
                <w:sz w:val="20"/>
                <w:szCs w:val="20"/>
                <w:lang w:eastAsia="en-AU"/>
              </w:rPr>
              <w:t>Patient must have a WHO performance status of 2 or less</w:t>
            </w:r>
          </w:p>
        </w:tc>
      </w:tr>
      <w:tr w:rsidR="000E748D" w:rsidRPr="00091816" w14:paraId="146B3990" w14:textId="77777777" w:rsidTr="000E748D">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43CB43B" w14:textId="6C15D4AE" w:rsidR="000E748D" w:rsidRPr="00091816" w:rsidRDefault="000E748D" w:rsidP="001C47F4">
            <w:pPr>
              <w:jc w:val="center"/>
              <w:rPr>
                <w:rFonts w:ascii="Arial Narrow" w:hAnsi="Arial Narrow" w:cs="Arial"/>
                <w:strike/>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7DAEAB7" w14:textId="77777777" w:rsidR="000E748D" w:rsidRPr="00091816" w:rsidRDefault="000E748D"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91816">
              <w:rPr>
                <w:rFonts w:ascii="Arial Narrow" w:eastAsia="MS Mincho" w:hAnsi="Arial Narrow" w:cs="Arial Narrow"/>
                <w:b/>
                <w:bCs/>
                <w:spacing w:val="-2"/>
                <w:sz w:val="20"/>
                <w:szCs w:val="20"/>
                <w:lang w:eastAsia="en-AU"/>
              </w:rPr>
              <w:t>AND</w:t>
            </w:r>
          </w:p>
        </w:tc>
      </w:tr>
      <w:tr w:rsidR="00E6584F" w:rsidRPr="00091816" w14:paraId="76A1FD41" w14:textId="77777777" w:rsidTr="00E6584F">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08BFCEF" w14:textId="6DABD4A0" w:rsidR="00E6584F" w:rsidRPr="00C609F1" w:rsidRDefault="00E6584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57362CC" w14:textId="0F7A65F7" w:rsidR="00E6584F" w:rsidRPr="00D12EB8" w:rsidRDefault="00E6584F"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D12EB8">
              <w:rPr>
                <w:rFonts w:ascii="Arial Narrow" w:eastAsia="MS Mincho" w:hAnsi="Arial Narrow" w:cs="Arial Narrow"/>
                <w:b/>
                <w:bCs/>
                <w:spacing w:val="-2"/>
                <w:sz w:val="20"/>
                <w:szCs w:val="20"/>
                <w:lang w:eastAsia="en-AU"/>
              </w:rPr>
              <w:t>Clinical criteria:</w:t>
            </w:r>
          </w:p>
        </w:tc>
      </w:tr>
      <w:tr w:rsidR="00E6584F" w:rsidRPr="00091816" w14:paraId="08B79992" w14:textId="77777777" w:rsidTr="00E6584F">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F7D9BF4" w14:textId="7408F987" w:rsidR="00E6584F" w:rsidRPr="00C609F1" w:rsidRDefault="00E6584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0D4A480" w14:textId="2274E173" w:rsidR="00E6584F" w:rsidRPr="00D12EB8" w:rsidRDefault="00E6584F"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D12EB8">
              <w:rPr>
                <w:rFonts w:ascii="Arial Narrow" w:eastAsia="MS Mincho" w:hAnsi="Arial Narrow" w:cs="Arial Narrow"/>
                <w:spacing w:val="-2"/>
                <w:sz w:val="20"/>
                <w:szCs w:val="20"/>
                <w:lang w:eastAsia="en-AU"/>
              </w:rPr>
              <w:t>Patient must not have previously received treatment with another B</w:t>
            </w:r>
            <w:r w:rsidR="00EC1990" w:rsidRPr="00D12EB8">
              <w:rPr>
                <w:rFonts w:ascii="Arial Narrow" w:eastAsia="MS Mincho" w:hAnsi="Arial Narrow" w:cs="Arial Narrow"/>
                <w:spacing w:val="-2"/>
                <w:sz w:val="20"/>
                <w:szCs w:val="20"/>
                <w:lang w:eastAsia="en-AU"/>
              </w:rPr>
              <w:noBreakHyphen/>
            </w:r>
            <w:r w:rsidRPr="00D12EB8">
              <w:rPr>
                <w:rFonts w:ascii="Arial Narrow" w:eastAsia="MS Mincho" w:hAnsi="Arial Narrow" w:cs="Arial Narrow"/>
                <w:spacing w:val="-2"/>
                <w:sz w:val="20"/>
                <w:szCs w:val="20"/>
                <w:lang w:eastAsia="en-AU"/>
              </w:rPr>
              <w:t>cell maturation antigen (BCMA) directed therapy for this condition; or</w:t>
            </w:r>
          </w:p>
        </w:tc>
      </w:tr>
      <w:tr w:rsidR="00E6584F" w:rsidRPr="00091816" w14:paraId="3E2EABE6" w14:textId="77777777" w:rsidTr="00E6584F">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B2322CD" w14:textId="42B8BE47" w:rsidR="00E6584F" w:rsidRPr="00091816" w:rsidRDefault="00E6584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DFAEBA4" w14:textId="10A33C58" w:rsidR="00E6584F" w:rsidRPr="00D12EB8" w:rsidDel="000E748D" w:rsidRDefault="00E6584F"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D12EB8">
              <w:rPr>
                <w:rFonts w:ascii="Arial Narrow" w:eastAsia="MS Mincho" w:hAnsi="Arial Narrow" w:cs="Arial Narrow"/>
                <w:spacing w:val="-2"/>
                <w:sz w:val="20"/>
                <w:szCs w:val="20"/>
                <w:lang w:eastAsia="en-AU"/>
              </w:rPr>
              <w:t>Patient must have received elranatamab for this PBS indication and are switching treatment due to intolerance</w:t>
            </w:r>
          </w:p>
        </w:tc>
      </w:tr>
      <w:tr w:rsidR="00A56B9E" w:rsidRPr="00091816" w14:paraId="6994A9CB"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68B2C11" w14:textId="77777777" w:rsidR="00A56B9E" w:rsidRPr="00091816" w:rsidRDefault="00A56B9E" w:rsidP="001C47F4">
            <w:pPr>
              <w:jc w:val="center"/>
              <w:rPr>
                <w:rFonts w:ascii="Arial Narrow" w:hAnsi="Arial Narrow" w:cs="Arial"/>
                <w:strike/>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4263A3B" w14:textId="478A54EE"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91816" w:rsidDel="004E36CA">
              <w:rPr>
                <w:rFonts w:ascii="Arial Narrow" w:eastAsia="MS Mincho" w:hAnsi="Arial Narrow" w:cs="Arial Narrow"/>
                <w:b/>
                <w:bCs/>
                <w:spacing w:val="-2"/>
                <w:sz w:val="20"/>
                <w:szCs w:val="20"/>
                <w:lang w:eastAsia="en-AU"/>
              </w:rPr>
              <w:t>AND</w:t>
            </w:r>
          </w:p>
        </w:tc>
      </w:tr>
      <w:tr w:rsidR="00440B44" w:rsidRPr="00091816" w14:paraId="77FB3706" w14:textId="77777777" w:rsidTr="00440B44">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742D213" w14:textId="4468916B" w:rsidR="00440B44" w:rsidRPr="00091816" w:rsidRDefault="00440B44" w:rsidP="001C47F4">
            <w:pPr>
              <w:jc w:val="center"/>
              <w:rPr>
                <w:rFonts w:ascii="Arial Narrow" w:hAnsi="Arial Narrow" w:cs="Arial"/>
                <w:strike/>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981EA03" w14:textId="77777777" w:rsidR="00440B44" w:rsidRPr="00091816" w:rsidRDefault="00440B44"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91816">
              <w:rPr>
                <w:rFonts w:ascii="Arial Narrow" w:eastAsia="MS Mincho" w:hAnsi="Arial Narrow" w:cs="Arial Narrow"/>
                <w:b/>
                <w:bCs/>
                <w:spacing w:val="-2"/>
                <w:sz w:val="20"/>
                <w:szCs w:val="20"/>
                <w:lang w:eastAsia="en-AU"/>
              </w:rPr>
              <w:t>Clinical criteria:</w:t>
            </w:r>
          </w:p>
        </w:tc>
      </w:tr>
      <w:tr w:rsidR="00440B44" w:rsidRPr="00091816" w14:paraId="1DD4A584" w14:textId="77777777" w:rsidTr="00440B44">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B7ADB62" w14:textId="7A9F97B9" w:rsidR="00440B44" w:rsidRPr="00091816" w:rsidRDefault="00440B44"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33F48B2" w14:textId="3B563EE8" w:rsidR="00440B44" w:rsidRPr="00091816" w:rsidRDefault="00440B44"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The treatment must be the sole PBS</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subsidised systemic anti</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cancer therapy for this condition</w:t>
            </w:r>
          </w:p>
        </w:tc>
      </w:tr>
      <w:tr w:rsidR="00183FBB" w:rsidRPr="00091816" w14:paraId="1A67CFBE" w14:textId="77777777" w:rsidTr="00183FBB">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1DE6C0F" w14:textId="4F53AB03" w:rsidR="00183FBB" w:rsidRPr="00091816" w:rsidRDefault="00183FBB"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CE42A47" w14:textId="77777777" w:rsidR="00183FBB" w:rsidRPr="00091816" w:rsidRDefault="00183FBB"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91816">
              <w:rPr>
                <w:rFonts w:ascii="Arial Narrow" w:eastAsia="MS Mincho" w:hAnsi="Arial Narrow" w:cs="Arial Narrow"/>
                <w:b/>
                <w:bCs/>
                <w:spacing w:val="-2"/>
                <w:sz w:val="20"/>
                <w:szCs w:val="20"/>
                <w:lang w:eastAsia="en-AU"/>
              </w:rPr>
              <w:t>Prescribing instruction:</w:t>
            </w:r>
          </w:p>
          <w:p w14:paraId="6836D3CA" w14:textId="12E6B893" w:rsidR="00183FBB" w:rsidRPr="00091816" w:rsidRDefault="00183FBB" w:rsidP="001C47F4">
            <w:pPr>
              <w:kinsoku w:val="0"/>
              <w:overflowPunct w:val="0"/>
              <w:autoSpaceDE w:val="0"/>
              <w:autoSpaceDN w:val="0"/>
              <w:adjustRightInd w:val="0"/>
              <w:spacing w:line="201" w:lineRule="exact"/>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According to the TGA</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approved Product Information, patients should be instructed to remain within proximity of a healthcare facility for 48 hours after all doses within the induction treatment phase.</w:t>
            </w:r>
          </w:p>
        </w:tc>
      </w:tr>
      <w:tr w:rsidR="00183FBB" w:rsidRPr="00091816" w14:paraId="7538EA18"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B9959F5" w14:textId="57D48268" w:rsidR="00183FBB" w:rsidRPr="00091816" w:rsidRDefault="00183FBB"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51CCCBD" w14:textId="77777777" w:rsidR="00183FBB" w:rsidRPr="00091816" w:rsidRDefault="00183FBB"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91816">
              <w:rPr>
                <w:rFonts w:ascii="Arial Narrow" w:eastAsia="MS Mincho" w:hAnsi="Arial Narrow" w:cs="Arial Narrow"/>
                <w:b/>
                <w:bCs/>
                <w:spacing w:val="-2"/>
                <w:sz w:val="20"/>
                <w:szCs w:val="20"/>
                <w:lang w:eastAsia="en-AU"/>
              </w:rPr>
              <w:t>Prescribing instruction:</w:t>
            </w:r>
          </w:p>
          <w:p w14:paraId="1CE76C78" w14:textId="11DFA500" w:rsidR="00183FBB" w:rsidRPr="00091816" w:rsidRDefault="00183FBB"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91816">
              <w:rPr>
                <w:rFonts w:ascii="Arial Narrow" w:eastAsia="MS Mincho" w:hAnsi="Arial Narrow" w:cs="Arial Narrow"/>
                <w:spacing w:val="-2"/>
                <w:sz w:val="20"/>
                <w:szCs w:val="20"/>
                <w:lang w:eastAsia="en-AU"/>
              </w:rPr>
              <w:t>Patients who require restarting therapy due to dose delays may access step</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up dosing through this induction treatment restriction.</w:t>
            </w:r>
          </w:p>
        </w:tc>
      </w:tr>
      <w:tr w:rsidR="00183FBB" w:rsidRPr="00091816" w14:paraId="6DBBF07C"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37984E5" w14:textId="155088C1" w:rsidR="00183FBB" w:rsidRPr="00091816" w:rsidRDefault="00183FBB" w:rsidP="001C47F4">
            <w:pPr>
              <w:jc w:val="center"/>
              <w:rPr>
                <w:rFonts w:ascii="Arial Narrow" w:hAnsi="Arial Narrow" w:cs="Arial"/>
                <w:strike/>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7EC0782" w14:textId="77777777" w:rsidR="00183FBB" w:rsidRPr="00091816" w:rsidRDefault="00183FBB"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91816">
              <w:rPr>
                <w:rFonts w:ascii="Arial Narrow" w:eastAsia="MS Mincho" w:hAnsi="Arial Narrow" w:cs="Arial Narrow"/>
                <w:b/>
                <w:bCs/>
                <w:spacing w:val="-2"/>
                <w:sz w:val="20"/>
                <w:szCs w:val="20"/>
                <w:lang w:eastAsia="en-AU"/>
              </w:rPr>
              <w:t>Prescribing instruction:</w:t>
            </w:r>
          </w:p>
          <w:p w14:paraId="04E8B031" w14:textId="1362A008" w:rsidR="00183FBB" w:rsidRPr="00091816" w:rsidRDefault="00183FBB"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91816">
              <w:rPr>
                <w:rFonts w:ascii="Arial Narrow" w:eastAsia="MS Mincho" w:hAnsi="Arial Narrow" w:cs="Arial Narrow"/>
                <w:spacing w:val="-2"/>
                <w:sz w:val="20"/>
                <w:szCs w:val="20"/>
                <w:lang w:eastAsia="en-AU"/>
              </w:rPr>
              <w:t>This drug is not PBS</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subsidised if it is administered to an in</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patient in a public hospital setting.</w:t>
            </w:r>
          </w:p>
        </w:tc>
      </w:tr>
      <w:tr w:rsidR="00183FBB" w:rsidRPr="00091816" w14:paraId="20C3C462"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05B716" w14:textId="4D9B10A8" w:rsidR="00183FBB" w:rsidRPr="00091816" w:rsidRDefault="00183FBB"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C4DB284" w14:textId="77777777" w:rsidR="00183FBB" w:rsidRPr="00091816" w:rsidRDefault="00183FBB" w:rsidP="001C47F4">
            <w:pPr>
              <w:kinsoku w:val="0"/>
              <w:overflowPunct w:val="0"/>
              <w:autoSpaceDE w:val="0"/>
              <w:autoSpaceDN w:val="0"/>
              <w:adjustRightInd w:val="0"/>
              <w:rPr>
                <w:rFonts w:ascii="Arial Narrow" w:eastAsia="MS Mincho" w:hAnsi="Arial Narrow" w:cs="Arial Narrow"/>
                <w:b/>
                <w:bCs/>
                <w:spacing w:val="-2"/>
                <w:sz w:val="20"/>
                <w:szCs w:val="20"/>
                <w:lang w:eastAsia="en-AU"/>
              </w:rPr>
            </w:pPr>
            <w:r w:rsidRPr="00091816">
              <w:rPr>
                <w:rFonts w:ascii="Arial Narrow" w:eastAsia="MS Mincho" w:hAnsi="Arial Narrow" w:cs="Arial Narrow"/>
                <w:b/>
                <w:bCs/>
                <w:spacing w:val="-2"/>
                <w:sz w:val="20"/>
                <w:szCs w:val="20"/>
                <w:lang w:eastAsia="en-AU"/>
              </w:rPr>
              <w:t xml:space="preserve">Prescriber Instructions: </w:t>
            </w:r>
          </w:p>
          <w:p w14:paraId="6BC63E87" w14:textId="77777777"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Progressive disease is defined as at least 1 of the following:</w:t>
            </w:r>
          </w:p>
          <w:p w14:paraId="2F59B34F" w14:textId="77777777"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(a) at least a 25% increase and an absolute increase of at least 5 g per L in serum M protein (monoclonal protein); or</w:t>
            </w:r>
          </w:p>
          <w:p w14:paraId="1F40B7B1" w14:textId="6AFACB52"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(b) at least a 25% increase in 24</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hour urinary light chain M protein excretion, and an absolute increase of at least 200 mg per 24 hours; or</w:t>
            </w:r>
          </w:p>
          <w:p w14:paraId="10D3BA8D" w14:textId="4AFAE79D"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(c) in oligo</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secretory and non</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secretory myeloma patients only, at least a 50% increase in the difference between involved free light chain and uninvolved free light chain; or</w:t>
            </w:r>
          </w:p>
          <w:p w14:paraId="25A85E02" w14:textId="77777777"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(d) at least a 25% relative increase and at least a 10% absolute increase in plasma cells in a bone marrow aspirate or on biopsy; or</w:t>
            </w:r>
          </w:p>
          <w:p w14:paraId="472B41B3" w14:textId="77777777"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(e) an increase in the size or number of lytic bone lesions (not including compression fractures); or</w:t>
            </w:r>
          </w:p>
          <w:p w14:paraId="61845B19" w14:textId="77777777"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(f) at least a 25% increase in the size of an existing or the development of a new soft tissue plasmacytoma (determined by clinical examination or diagnostic imaging); or</w:t>
            </w:r>
          </w:p>
          <w:p w14:paraId="2DA7BD94" w14:textId="77777777"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(g) development of hypercalcaemia (corrected serum calcium greater than 2.65 mmol per L not attributable to any other cause).</w:t>
            </w:r>
          </w:p>
          <w:p w14:paraId="17209509" w14:textId="77777777"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p>
          <w:p w14:paraId="58022B92" w14:textId="23806ED9"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Oligo</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secretory and non</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secretory patients are defined as having active disease with less than 10 g per L serum M protein.</w:t>
            </w:r>
          </w:p>
          <w:p w14:paraId="664E6DCF" w14:textId="77777777"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 xml:space="preserve">Details </w:t>
            </w:r>
            <w:proofErr w:type="gramStart"/>
            <w:r w:rsidRPr="00091816">
              <w:rPr>
                <w:rFonts w:ascii="Arial Narrow" w:eastAsia="MS Mincho" w:hAnsi="Arial Narrow" w:cs="Arial Narrow"/>
                <w:spacing w:val="-2"/>
                <w:sz w:val="20"/>
                <w:szCs w:val="20"/>
                <w:lang w:eastAsia="en-AU"/>
              </w:rPr>
              <w:t>of:</w:t>
            </w:r>
            <w:proofErr w:type="gramEnd"/>
            <w:r w:rsidRPr="00091816">
              <w:rPr>
                <w:rFonts w:ascii="Arial Narrow" w:eastAsia="MS Mincho" w:hAnsi="Arial Narrow" w:cs="Arial Narrow"/>
                <w:spacing w:val="-2"/>
                <w:sz w:val="20"/>
                <w:szCs w:val="20"/>
                <w:lang w:eastAsia="en-AU"/>
              </w:rPr>
              <w:t xml:space="preserve">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w:t>
            </w:r>
          </w:p>
          <w:p w14:paraId="69D77C02" w14:textId="77777777"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p>
          <w:p w14:paraId="0ABD4274" w14:textId="77777777"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Confirmation of eligibility for treatment with current diagnostic reports of at least one of the following must be documented in the patient's medical records:</w:t>
            </w:r>
          </w:p>
          <w:p w14:paraId="19AB1AEF" w14:textId="77777777"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p>
          <w:p w14:paraId="5434FE8B" w14:textId="77777777"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(a) the level of serum monoclonal protein; or</w:t>
            </w:r>
          </w:p>
          <w:p w14:paraId="1015EB6C" w14:textId="7D952841"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lastRenderedPageBreak/>
              <w:t>(b) Bence</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 xml:space="preserve">Jones proteinuria </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 xml:space="preserve"> the results of 24</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hour urinary light chain M protein excretion; or</w:t>
            </w:r>
          </w:p>
          <w:p w14:paraId="33F5484E" w14:textId="77777777"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(c) the serum level of free kappa and lambda light chains; or</w:t>
            </w:r>
          </w:p>
          <w:p w14:paraId="63E3A968" w14:textId="77777777"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(d) bone marrow aspirate or trephine; or</w:t>
            </w:r>
          </w:p>
          <w:p w14:paraId="2FE6E927" w14:textId="77777777"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(e) if present, the size and location of lytic bone lesions (not including compression fractures); or</w:t>
            </w:r>
          </w:p>
          <w:p w14:paraId="488B4600" w14:textId="63D36CA7"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(f) if present, the size and location of all soft tissue plasmacytomas by clinical or radiographic examination i.e. MRI or CT</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scan; or</w:t>
            </w:r>
          </w:p>
          <w:p w14:paraId="220936C2" w14:textId="77777777"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(g) if present, the level of hypercalcaemia, corrected for albumin concentration.</w:t>
            </w:r>
          </w:p>
          <w:p w14:paraId="56867243" w14:textId="77777777"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p>
          <w:p w14:paraId="7EDA609C" w14:textId="2489B6F4"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As these parameters must be used to determine response, results for either (a) or (b) or (c) should be documented for all patients. Where the patient has oligo</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secretory or non</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secretory multiple myeloma, either (c) or (d) or if relevant (e), (f) or (g) must be documented in the patient's medical records. Where the prescriber plans to assess response in patients with oligo</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secretory or non</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secretory multiple myeloma with free light chain assays, evidence of the oligo</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secretory or non</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secretory nature of the multiple myeloma (current serum M protein less than 10 g per L) must be documented in the patient's medical records.</w:t>
            </w:r>
          </w:p>
          <w:p w14:paraId="1AB92C92" w14:textId="77777777" w:rsidR="00183FBB" w:rsidRPr="00091816" w:rsidRDefault="00183FBB" w:rsidP="001C47F4">
            <w:pPr>
              <w:kinsoku w:val="0"/>
              <w:overflowPunct w:val="0"/>
              <w:autoSpaceDE w:val="0"/>
              <w:autoSpaceDN w:val="0"/>
              <w:adjustRightInd w:val="0"/>
              <w:rPr>
                <w:rFonts w:ascii="Arial Narrow" w:eastAsia="MS Mincho" w:hAnsi="Arial Narrow" w:cs="Arial Narrow"/>
                <w:spacing w:val="-2"/>
                <w:sz w:val="20"/>
                <w:szCs w:val="20"/>
                <w:lang w:eastAsia="en-AU"/>
              </w:rPr>
            </w:pPr>
          </w:p>
          <w:p w14:paraId="4CEFA618" w14:textId="77777777" w:rsidR="00183FBB" w:rsidRPr="00091816" w:rsidRDefault="00183FBB" w:rsidP="001C47F4">
            <w:pPr>
              <w:rPr>
                <w:rFonts w:ascii="Arial Narrow" w:hAnsi="Arial Narrow" w:cs="Arial"/>
                <w:spacing w:val="-2"/>
                <w:sz w:val="20"/>
                <w:szCs w:val="20"/>
                <w:lang w:eastAsia="en-AU"/>
              </w:rPr>
            </w:pPr>
            <w:r w:rsidRPr="00091816">
              <w:rPr>
                <w:rFonts w:ascii="Arial Narrow" w:hAnsi="Arial Narrow" w:cs="Arial"/>
                <w:spacing w:val="-2"/>
                <w:sz w:val="20"/>
                <w:szCs w:val="20"/>
                <w:lang w:eastAsia="en-AU"/>
              </w:rPr>
              <w:t>Refractory disease is defined as less than or equal to a 25% response to therapy, or progression during or within 60 days after completion of therapy</w:t>
            </w:r>
          </w:p>
        </w:tc>
      </w:tr>
      <w:tr w:rsidR="007C1F14" w:rsidRPr="00091816" w14:paraId="7A80B0BB"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1519907" w14:textId="50DACDE1" w:rsidR="007C1F14" w:rsidRPr="00091816" w:rsidRDefault="007C1F14" w:rsidP="001C47F4">
            <w:pPr>
              <w:jc w:val="center"/>
              <w:rPr>
                <w:rFonts w:ascii="Arial Narrow" w:hAnsi="Arial Narrow" w:cs="Arial"/>
                <w:color w:val="00B0F0"/>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2686894" w14:textId="77777777" w:rsidR="007C1F14" w:rsidRPr="00091816" w:rsidRDefault="007C1F14" w:rsidP="001C47F4">
            <w:pPr>
              <w:kinsoku w:val="0"/>
              <w:overflowPunct w:val="0"/>
              <w:autoSpaceDE w:val="0"/>
              <w:autoSpaceDN w:val="0"/>
              <w:adjustRightInd w:val="0"/>
              <w:rPr>
                <w:rFonts w:ascii="Arial Narrow" w:eastAsia="MS Mincho" w:hAnsi="Arial Narrow" w:cs="Arial Narrow"/>
                <w:b/>
                <w:bCs/>
                <w:spacing w:val="-2"/>
                <w:sz w:val="20"/>
                <w:szCs w:val="20"/>
                <w:lang w:eastAsia="en-AU"/>
              </w:rPr>
            </w:pPr>
            <w:r w:rsidRPr="00091816">
              <w:rPr>
                <w:rFonts w:ascii="Arial Narrow" w:eastAsia="Calibri" w:hAnsi="Arial Narrow" w:cs="Arial"/>
                <w:b/>
                <w:sz w:val="20"/>
                <w:szCs w:val="20"/>
                <w:lang w:eastAsia="en-AU"/>
              </w:rPr>
              <w:t>Administrative advice:</w:t>
            </w:r>
            <w:r w:rsidRPr="00091816">
              <w:rPr>
                <w:rFonts w:ascii="Arial Narrow" w:eastAsia="Calibri" w:hAnsi="Arial Narrow" w:cs="Arial"/>
                <w:bCs/>
                <w:sz w:val="20"/>
                <w:szCs w:val="20"/>
                <w:lang w:eastAsia="en-AU"/>
              </w:rPr>
              <w:t xml:space="preserve"> No increase in the maximum number of repeats may be authorised</w:t>
            </w:r>
          </w:p>
        </w:tc>
      </w:tr>
      <w:tr w:rsidR="007C1F14" w:rsidRPr="00091816" w14:paraId="7247A641"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608F444" w14:textId="01FA674D" w:rsidR="007C1F14" w:rsidRPr="00091816" w:rsidRDefault="007C1F14"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08FA8B3" w14:textId="77777777" w:rsidR="007C1F14" w:rsidRPr="00091816" w:rsidRDefault="007C1F14" w:rsidP="001C47F4">
            <w:pPr>
              <w:kinsoku w:val="0"/>
              <w:overflowPunct w:val="0"/>
              <w:autoSpaceDE w:val="0"/>
              <w:autoSpaceDN w:val="0"/>
              <w:adjustRightInd w:val="0"/>
              <w:rPr>
                <w:rFonts w:ascii="Arial Narrow" w:eastAsia="MS Mincho" w:hAnsi="Arial Narrow" w:cs="Arial Narrow"/>
                <w:b/>
                <w:bCs/>
                <w:spacing w:val="-2"/>
                <w:sz w:val="20"/>
                <w:szCs w:val="20"/>
                <w:lang w:eastAsia="en-AU"/>
              </w:rPr>
            </w:pPr>
            <w:r w:rsidRPr="00091816">
              <w:rPr>
                <w:rFonts w:ascii="Arial Narrow" w:eastAsia="Calibri" w:hAnsi="Arial Narrow" w:cs="Arial"/>
                <w:b/>
                <w:sz w:val="20"/>
                <w:szCs w:val="20"/>
                <w:lang w:eastAsia="en-AU"/>
              </w:rPr>
              <w:t>Administrative advice:</w:t>
            </w:r>
            <w:r w:rsidRPr="00091816">
              <w:rPr>
                <w:rFonts w:ascii="Arial Narrow" w:eastAsia="Calibri" w:hAnsi="Arial Narrow" w:cs="Arial"/>
                <w:bCs/>
                <w:sz w:val="20"/>
                <w:szCs w:val="20"/>
                <w:lang w:eastAsia="en-AU"/>
              </w:rPr>
              <w:t xml:space="preserve"> Special pricing arrangements apply</w:t>
            </w:r>
          </w:p>
        </w:tc>
      </w:tr>
      <w:tr w:rsidR="007C1F14" w:rsidRPr="00091816" w14:paraId="0EBCFC45"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1C1F38A" w14:textId="3544D3A4" w:rsidR="007C1F14" w:rsidRPr="00091816" w:rsidRDefault="007C1F14" w:rsidP="001C47F4">
            <w:pPr>
              <w:jc w:val="center"/>
              <w:rPr>
                <w:rFonts w:ascii="Arial Narrow" w:hAnsi="Arial Narrow" w:cs="Arial"/>
                <w:color w:val="00B0F0"/>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8A8CC93" w14:textId="77777777" w:rsidR="007C1F14" w:rsidRPr="00091816" w:rsidRDefault="007C1F14" w:rsidP="001C47F4">
            <w:pPr>
              <w:kinsoku w:val="0"/>
              <w:overflowPunct w:val="0"/>
              <w:autoSpaceDE w:val="0"/>
              <w:autoSpaceDN w:val="0"/>
              <w:adjustRightInd w:val="0"/>
              <w:rPr>
                <w:rFonts w:ascii="Arial Narrow" w:eastAsia="MS Mincho" w:hAnsi="Arial Narrow" w:cs="Arial Narrow"/>
                <w:b/>
                <w:bCs/>
                <w:spacing w:val="-2"/>
                <w:sz w:val="20"/>
                <w:szCs w:val="20"/>
                <w:lang w:eastAsia="en-AU"/>
              </w:rPr>
            </w:pPr>
            <w:r w:rsidRPr="00091816">
              <w:rPr>
                <w:rFonts w:ascii="Arial Narrow" w:eastAsia="Calibri" w:hAnsi="Arial Narrow" w:cs="Arial"/>
                <w:b/>
                <w:sz w:val="20"/>
                <w:szCs w:val="20"/>
                <w:lang w:eastAsia="en-AU"/>
              </w:rPr>
              <w:t>Administrative Advice:</w:t>
            </w:r>
            <w:r w:rsidRPr="00091816">
              <w:rPr>
                <w:rFonts w:ascii="Arial Narrow" w:eastAsia="Calibri" w:hAnsi="Arial Narrow" w:cs="Arial"/>
                <w:bCs/>
                <w:sz w:val="20"/>
                <w:szCs w:val="20"/>
                <w:lang w:eastAsia="en-AU"/>
              </w:rPr>
              <w:t xml:space="preserve"> Applications for authorisation under this restriction may be made in real time using the Online PBS Authorities system (see www.servicesaustralia.gov.au/HPOS) or by telephone by contacting Services Australia on 1800 888 333.</w:t>
            </w:r>
          </w:p>
        </w:tc>
      </w:tr>
    </w:tbl>
    <w:p w14:paraId="7EECA2F4" w14:textId="77777777" w:rsidR="00091816" w:rsidRDefault="00091816" w:rsidP="001C47F4"/>
    <w:p w14:paraId="7CDCC7F9" w14:textId="702CBA1B" w:rsidR="00A56B9E" w:rsidRPr="003B7E82" w:rsidRDefault="00A56B9E" w:rsidP="001C47F4">
      <w:pPr>
        <w:pStyle w:val="Heading3"/>
        <w:rPr>
          <w:rFonts w:ascii="Calibri" w:hAnsi="Calibri" w:cs="Arial"/>
          <w:b/>
          <w:iCs/>
          <w:szCs w:val="26"/>
        </w:rPr>
      </w:pPr>
      <w:r w:rsidRPr="003B7E82">
        <w:rPr>
          <w:rFonts w:ascii="Calibri" w:hAnsi="Calibri" w:cs="Arial"/>
          <w:b/>
          <w:iCs/>
          <w:szCs w:val="26"/>
        </w:rPr>
        <w:t>Continuing treatment:</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ed listing - Continuing treatment"/>
      </w:tblPr>
      <w:tblGrid>
        <w:gridCol w:w="6"/>
        <w:gridCol w:w="1270"/>
        <w:gridCol w:w="2407"/>
        <w:gridCol w:w="1066"/>
        <w:gridCol w:w="888"/>
        <w:gridCol w:w="1080"/>
        <w:gridCol w:w="960"/>
        <w:gridCol w:w="1533"/>
      </w:tblGrid>
      <w:tr w:rsidR="00A56B9E" w:rsidRPr="00091816" w14:paraId="27AEACA4" w14:textId="77777777">
        <w:trPr>
          <w:gridBefore w:val="1"/>
          <w:wBefore w:w="6" w:type="dxa"/>
          <w:cantSplit/>
          <w:trHeight w:val="20"/>
        </w:trPr>
        <w:tc>
          <w:tcPr>
            <w:tcW w:w="3677" w:type="dxa"/>
            <w:gridSpan w:val="2"/>
            <w:tcBorders>
              <w:top w:val="single" w:sz="4" w:space="0" w:color="auto"/>
              <w:left w:val="single" w:sz="4" w:space="0" w:color="auto"/>
              <w:bottom w:val="single" w:sz="4" w:space="0" w:color="auto"/>
              <w:right w:val="single" w:sz="4" w:space="0" w:color="auto"/>
            </w:tcBorders>
            <w:vAlign w:val="center"/>
            <w:hideMark/>
          </w:tcPr>
          <w:p w14:paraId="3CF08B2E" w14:textId="77777777" w:rsidR="00A56B9E" w:rsidRPr="00091816" w:rsidRDefault="00A56B9E" w:rsidP="001C47F4">
            <w:pPr>
              <w:keepNext/>
              <w:keepLines/>
              <w:rPr>
                <w:rFonts w:ascii="Arial Narrow" w:hAnsi="Arial Narrow" w:cs="Arial"/>
                <w:b/>
                <w:bCs/>
                <w:color w:val="000000" w:themeColor="text1"/>
                <w:sz w:val="20"/>
                <w:szCs w:val="20"/>
                <w:lang w:eastAsia="en-AU"/>
              </w:rPr>
            </w:pPr>
            <w:r w:rsidRPr="00091816">
              <w:rPr>
                <w:rFonts w:ascii="Arial Narrow" w:hAnsi="Arial Narrow" w:cs="Arial"/>
                <w:b/>
                <w:bCs/>
                <w:color w:val="000000" w:themeColor="text1"/>
                <w:sz w:val="20"/>
                <w:szCs w:val="20"/>
                <w:lang w:eastAsia="en-AU"/>
              </w:rPr>
              <w:t>MEDICINAL PRODUCT</w:t>
            </w:r>
          </w:p>
          <w:p w14:paraId="73182785" w14:textId="77777777" w:rsidR="00A56B9E" w:rsidRPr="00091816" w:rsidRDefault="00A56B9E" w:rsidP="001C47F4">
            <w:pPr>
              <w:keepNext/>
              <w:keepLines/>
              <w:rPr>
                <w:rFonts w:ascii="Arial Narrow" w:hAnsi="Arial Narrow" w:cs="Arial"/>
                <w:b/>
                <w:color w:val="000000" w:themeColor="text1"/>
                <w:sz w:val="20"/>
                <w:szCs w:val="20"/>
                <w:lang w:eastAsia="en-AU"/>
              </w:rPr>
            </w:pPr>
            <w:r w:rsidRPr="00091816">
              <w:rPr>
                <w:rFonts w:ascii="Arial Narrow" w:hAnsi="Arial Narrow" w:cs="Arial"/>
                <w:b/>
                <w:bCs/>
                <w:color w:val="000000" w:themeColor="text1"/>
                <w:sz w:val="20"/>
                <w:szCs w:val="20"/>
                <w:lang w:eastAsia="en-AU"/>
              </w:rPr>
              <w:t>medicinal product pack</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0B101EC" w14:textId="77777777" w:rsidR="00A56B9E" w:rsidRPr="00091816" w:rsidRDefault="00A56B9E" w:rsidP="001C47F4">
            <w:pPr>
              <w:keepNext/>
              <w:keepLines/>
              <w:jc w:val="center"/>
              <w:rPr>
                <w:rFonts w:ascii="Arial Narrow" w:hAnsi="Arial Narrow" w:cs="Arial"/>
                <w:b/>
                <w:color w:val="000000" w:themeColor="text1"/>
                <w:sz w:val="20"/>
                <w:szCs w:val="20"/>
                <w:lang w:eastAsia="en-AU"/>
              </w:rPr>
            </w:pPr>
            <w:r w:rsidRPr="00091816">
              <w:rPr>
                <w:rFonts w:ascii="Arial Narrow" w:hAnsi="Arial Narrow" w:cs="Arial"/>
                <w:b/>
                <w:color w:val="000000" w:themeColor="text1"/>
                <w:sz w:val="20"/>
                <w:szCs w:val="20"/>
                <w:lang w:eastAsia="en-AU"/>
              </w:rPr>
              <w:t>PBS item code</w:t>
            </w:r>
          </w:p>
        </w:tc>
        <w:tc>
          <w:tcPr>
            <w:tcW w:w="888" w:type="dxa"/>
            <w:tcBorders>
              <w:top w:val="single" w:sz="4" w:space="0" w:color="auto"/>
              <w:left w:val="single" w:sz="4" w:space="0" w:color="auto"/>
              <w:bottom w:val="single" w:sz="4" w:space="0" w:color="auto"/>
              <w:right w:val="single" w:sz="4" w:space="0" w:color="auto"/>
            </w:tcBorders>
            <w:vAlign w:val="center"/>
            <w:hideMark/>
          </w:tcPr>
          <w:p w14:paraId="21A35DBA" w14:textId="77777777" w:rsidR="00A56B9E" w:rsidRPr="00091816" w:rsidRDefault="00A56B9E" w:rsidP="001C47F4">
            <w:pPr>
              <w:keepNext/>
              <w:keepLines/>
              <w:jc w:val="center"/>
              <w:rPr>
                <w:rFonts w:ascii="Arial Narrow" w:hAnsi="Arial Narrow" w:cs="Arial"/>
                <w:b/>
                <w:color w:val="000000" w:themeColor="text1"/>
                <w:sz w:val="20"/>
                <w:szCs w:val="20"/>
                <w:lang w:eastAsia="en-AU"/>
              </w:rPr>
            </w:pPr>
            <w:r w:rsidRPr="00091816">
              <w:rPr>
                <w:rFonts w:ascii="Arial Narrow" w:hAnsi="Arial Narrow" w:cs="Arial"/>
                <w:b/>
                <w:color w:val="000000" w:themeColor="text1"/>
                <w:sz w:val="20"/>
                <w:szCs w:val="20"/>
                <w:lang w:eastAsia="en-AU"/>
              </w:rPr>
              <w:t>Max. qty packs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34F7BBF" w14:textId="77777777" w:rsidR="00A56B9E" w:rsidRPr="00091816" w:rsidRDefault="00A56B9E" w:rsidP="001C47F4">
            <w:pPr>
              <w:keepNext/>
              <w:keepLines/>
              <w:jc w:val="center"/>
              <w:rPr>
                <w:rFonts w:ascii="Arial Narrow" w:hAnsi="Arial Narrow" w:cs="Arial"/>
                <w:b/>
                <w:color w:val="000000" w:themeColor="text1"/>
                <w:sz w:val="20"/>
                <w:szCs w:val="20"/>
                <w:lang w:eastAsia="en-AU"/>
              </w:rPr>
            </w:pPr>
            <w:r w:rsidRPr="00091816">
              <w:rPr>
                <w:rFonts w:ascii="Arial Narrow" w:hAnsi="Arial Narrow" w:cs="Arial"/>
                <w:b/>
                <w:color w:val="000000" w:themeColor="text1"/>
                <w:sz w:val="20"/>
                <w:szCs w:val="20"/>
                <w:lang w:eastAsia="en-AU"/>
              </w:rPr>
              <w:t>Max. qty units</w:t>
            </w:r>
          </w:p>
        </w:tc>
        <w:tc>
          <w:tcPr>
            <w:tcW w:w="960" w:type="dxa"/>
            <w:tcBorders>
              <w:top w:val="single" w:sz="4" w:space="0" w:color="auto"/>
              <w:left w:val="single" w:sz="4" w:space="0" w:color="auto"/>
              <w:bottom w:val="single" w:sz="4" w:space="0" w:color="auto"/>
              <w:right w:val="single" w:sz="4" w:space="0" w:color="auto"/>
            </w:tcBorders>
            <w:vAlign w:val="center"/>
            <w:hideMark/>
          </w:tcPr>
          <w:p w14:paraId="6B4AFED3" w14:textId="77777777" w:rsidR="00A56B9E" w:rsidRPr="00091816" w:rsidRDefault="00A56B9E" w:rsidP="001C47F4">
            <w:pPr>
              <w:keepNext/>
              <w:keepLines/>
              <w:jc w:val="center"/>
              <w:rPr>
                <w:rFonts w:ascii="Arial Narrow" w:hAnsi="Arial Narrow" w:cs="Arial"/>
                <w:b/>
                <w:color w:val="000000" w:themeColor="text1"/>
                <w:sz w:val="20"/>
                <w:szCs w:val="20"/>
                <w:lang w:eastAsia="en-AU"/>
              </w:rPr>
            </w:pPr>
            <w:r w:rsidRPr="00091816">
              <w:rPr>
                <w:rFonts w:ascii="Arial Narrow" w:hAnsi="Arial Narrow" w:cs="Arial"/>
                <w:b/>
                <w:color w:val="000000" w:themeColor="text1"/>
                <w:sz w:val="20"/>
                <w:szCs w:val="20"/>
                <w:lang w:eastAsia="en-AU"/>
              </w:rPr>
              <w:t>№.of</w:t>
            </w:r>
          </w:p>
          <w:p w14:paraId="371EE232" w14:textId="77777777" w:rsidR="00A56B9E" w:rsidRPr="00091816" w:rsidRDefault="00A56B9E" w:rsidP="001C47F4">
            <w:pPr>
              <w:keepNext/>
              <w:keepLines/>
              <w:jc w:val="center"/>
              <w:rPr>
                <w:rFonts w:ascii="Arial Narrow" w:hAnsi="Arial Narrow" w:cs="Arial"/>
                <w:b/>
                <w:color w:val="000000" w:themeColor="text1"/>
                <w:sz w:val="20"/>
                <w:szCs w:val="20"/>
                <w:lang w:eastAsia="en-AU"/>
              </w:rPr>
            </w:pPr>
            <w:r w:rsidRPr="00091816">
              <w:rPr>
                <w:rFonts w:ascii="Arial Narrow" w:hAnsi="Arial Narrow" w:cs="Arial"/>
                <w:b/>
                <w:color w:val="000000" w:themeColor="text1"/>
                <w:sz w:val="20"/>
                <w:szCs w:val="20"/>
                <w:lang w:eastAsia="en-AU"/>
              </w:rPr>
              <w:t>Rpts</w:t>
            </w:r>
          </w:p>
        </w:tc>
        <w:tc>
          <w:tcPr>
            <w:tcW w:w="1533" w:type="dxa"/>
            <w:tcBorders>
              <w:top w:val="single" w:sz="4" w:space="0" w:color="auto"/>
              <w:left w:val="single" w:sz="4" w:space="0" w:color="auto"/>
              <w:bottom w:val="single" w:sz="4" w:space="0" w:color="auto"/>
              <w:right w:val="single" w:sz="4" w:space="0" w:color="auto"/>
            </w:tcBorders>
            <w:vAlign w:val="center"/>
            <w:hideMark/>
          </w:tcPr>
          <w:p w14:paraId="36D86BDC" w14:textId="77777777" w:rsidR="00A56B9E" w:rsidRPr="00091816" w:rsidRDefault="00A56B9E" w:rsidP="001C47F4">
            <w:pPr>
              <w:keepNext/>
              <w:keepLines/>
              <w:rPr>
                <w:rFonts w:ascii="Arial Narrow" w:hAnsi="Arial Narrow" w:cs="Arial"/>
                <w:b/>
                <w:color w:val="000000" w:themeColor="text1"/>
                <w:sz w:val="20"/>
                <w:szCs w:val="20"/>
                <w:lang w:eastAsia="en-AU"/>
              </w:rPr>
            </w:pPr>
            <w:r w:rsidRPr="00091816">
              <w:rPr>
                <w:rFonts w:ascii="Arial Narrow" w:hAnsi="Arial Narrow" w:cs="Arial"/>
                <w:b/>
                <w:color w:val="000000" w:themeColor="text1"/>
                <w:sz w:val="20"/>
                <w:szCs w:val="20"/>
                <w:lang w:eastAsia="en-AU"/>
              </w:rPr>
              <w:t>Available brands</w:t>
            </w:r>
          </w:p>
        </w:tc>
      </w:tr>
      <w:tr w:rsidR="00A56B9E" w:rsidRPr="00091816" w14:paraId="75D98CFD" w14:textId="77777777">
        <w:trPr>
          <w:gridBefore w:val="1"/>
          <w:wBefore w:w="6" w:type="dxa"/>
          <w:cantSplit/>
          <w:trHeight w:val="20"/>
        </w:trPr>
        <w:tc>
          <w:tcPr>
            <w:tcW w:w="9204" w:type="dxa"/>
            <w:gridSpan w:val="7"/>
            <w:tcBorders>
              <w:top w:val="single" w:sz="4" w:space="0" w:color="auto"/>
              <w:left w:val="single" w:sz="4" w:space="0" w:color="auto"/>
              <w:bottom w:val="single" w:sz="4" w:space="0" w:color="auto"/>
              <w:right w:val="single" w:sz="4" w:space="0" w:color="auto"/>
            </w:tcBorders>
            <w:vAlign w:val="center"/>
            <w:hideMark/>
          </w:tcPr>
          <w:p w14:paraId="7321E19F" w14:textId="77777777" w:rsidR="00A56B9E" w:rsidRPr="00091816" w:rsidRDefault="00A56B9E" w:rsidP="001C47F4">
            <w:pPr>
              <w:keepNext/>
              <w:keepLines/>
              <w:rPr>
                <w:rFonts w:ascii="Arial Narrow" w:hAnsi="Arial Narrow" w:cs="Arial"/>
                <w:color w:val="000000" w:themeColor="text1"/>
                <w:sz w:val="20"/>
                <w:szCs w:val="20"/>
                <w:lang w:eastAsia="en-AU"/>
              </w:rPr>
            </w:pPr>
            <w:r w:rsidRPr="00091816">
              <w:rPr>
                <w:rFonts w:ascii="Arial Narrow" w:hAnsi="Arial Narrow" w:cs="Arial"/>
                <w:bCs/>
                <w:color w:val="000000" w:themeColor="text1"/>
                <w:sz w:val="20"/>
                <w:szCs w:val="20"/>
                <w:lang w:eastAsia="en-AU"/>
              </w:rPr>
              <w:t>ELRANATAMAB</w:t>
            </w:r>
          </w:p>
        </w:tc>
      </w:tr>
      <w:tr w:rsidR="00A56B9E" w:rsidRPr="00091816" w14:paraId="675640F5" w14:textId="77777777">
        <w:trPr>
          <w:gridBefore w:val="1"/>
          <w:wBefore w:w="6" w:type="dxa"/>
          <w:cantSplit/>
          <w:trHeight w:val="20"/>
        </w:trPr>
        <w:tc>
          <w:tcPr>
            <w:tcW w:w="3677" w:type="dxa"/>
            <w:gridSpan w:val="2"/>
            <w:tcBorders>
              <w:top w:val="single" w:sz="4" w:space="0" w:color="auto"/>
              <w:left w:val="single" w:sz="4" w:space="0" w:color="auto"/>
              <w:bottom w:val="single" w:sz="4" w:space="0" w:color="auto"/>
              <w:right w:val="single" w:sz="4" w:space="0" w:color="auto"/>
            </w:tcBorders>
            <w:vAlign w:val="center"/>
            <w:hideMark/>
          </w:tcPr>
          <w:p w14:paraId="3602CC68" w14:textId="70610086" w:rsidR="00A56B9E" w:rsidRPr="00091816" w:rsidRDefault="00A56B9E" w:rsidP="001C47F4">
            <w:pPr>
              <w:keepNext/>
              <w:keepLines/>
              <w:rPr>
                <w:rFonts w:ascii="Arial Narrow" w:hAnsi="Arial Narrow" w:cs="Arial"/>
                <w:sz w:val="20"/>
                <w:szCs w:val="20"/>
                <w:lang w:eastAsia="en-AU"/>
              </w:rPr>
            </w:pPr>
            <w:r w:rsidRPr="00091816">
              <w:rPr>
                <w:rFonts w:ascii="Arial Narrow" w:hAnsi="Arial Narrow" w:cs="Arial"/>
                <w:sz w:val="20"/>
                <w:szCs w:val="20"/>
                <w:lang w:eastAsia="en-AU"/>
              </w:rPr>
              <w:t>Teclistamab 153 mg/1.7 mL injection, vial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4688D6C" w14:textId="77777777" w:rsidR="00A56B9E" w:rsidRPr="00091816" w:rsidRDefault="00A56B9E" w:rsidP="001C47F4">
            <w:pPr>
              <w:keepNext/>
              <w:keepLines/>
              <w:jc w:val="center"/>
              <w:rPr>
                <w:rFonts w:ascii="Arial Narrow" w:hAnsi="Arial Narrow" w:cs="Arial"/>
                <w:sz w:val="20"/>
                <w:szCs w:val="20"/>
                <w:lang w:eastAsia="en-AU"/>
              </w:rPr>
            </w:pPr>
            <w:r w:rsidRPr="00091816">
              <w:rPr>
                <w:rFonts w:ascii="Arial Narrow" w:hAnsi="Arial Narrow" w:cs="Arial"/>
                <w:sz w:val="20"/>
                <w:szCs w:val="20"/>
                <w:lang w:eastAsia="en-AU"/>
              </w:rPr>
              <w:t>NEW (CT)</w:t>
            </w:r>
          </w:p>
        </w:tc>
        <w:tc>
          <w:tcPr>
            <w:tcW w:w="888" w:type="dxa"/>
            <w:tcBorders>
              <w:top w:val="single" w:sz="4" w:space="0" w:color="auto"/>
              <w:left w:val="single" w:sz="4" w:space="0" w:color="auto"/>
              <w:bottom w:val="single" w:sz="4" w:space="0" w:color="auto"/>
              <w:right w:val="single" w:sz="4" w:space="0" w:color="auto"/>
            </w:tcBorders>
            <w:vAlign w:val="center"/>
            <w:hideMark/>
          </w:tcPr>
          <w:p w14:paraId="5A062154" w14:textId="77777777" w:rsidR="00A56B9E" w:rsidRPr="00091816" w:rsidRDefault="00A56B9E" w:rsidP="001C47F4">
            <w:pPr>
              <w:keepNext/>
              <w:keepLines/>
              <w:jc w:val="center"/>
              <w:rPr>
                <w:rFonts w:ascii="Arial Narrow" w:hAnsi="Arial Narrow" w:cs="Arial"/>
                <w:color w:val="000000" w:themeColor="text1"/>
                <w:sz w:val="20"/>
                <w:szCs w:val="20"/>
                <w:lang w:eastAsia="en-AU"/>
              </w:rPr>
            </w:pPr>
            <w:r w:rsidRPr="00091816">
              <w:rPr>
                <w:rFonts w:ascii="Arial Narrow" w:hAnsi="Arial Narrow" w:cs="Arial"/>
                <w:color w:val="000000" w:themeColor="text1"/>
                <w:sz w:val="20"/>
                <w:szCs w:val="20"/>
                <w:lang w:eastAsia="en-AU"/>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8397D17" w14:textId="77777777" w:rsidR="00A56B9E" w:rsidRPr="00091816" w:rsidRDefault="00A56B9E" w:rsidP="001C47F4">
            <w:pPr>
              <w:keepNext/>
              <w:keepLines/>
              <w:jc w:val="center"/>
              <w:rPr>
                <w:rFonts w:ascii="Arial Narrow" w:hAnsi="Arial Narrow" w:cs="Arial"/>
                <w:color w:val="000000" w:themeColor="text1"/>
                <w:sz w:val="20"/>
                <w:szCs w:val="20"/>
                <w:lang w:eastAsia="en-AU"/>
              </w:rPr>
            </w:pPr>
            <w:r w:rsidRPr="00091816">
              <w:rPr>
                <w:rFonts w:ascii="Arial Narrow" w:hAnsi="Arial Narrow" w:cs="Arial"/>
                <w:color w:val="000000" w:themeColor="text1"/>
                <w:sz w:val="20"/>
                <w:szCs w:val="20"/>
                <w:lang w:eastAsia="en-AU"/>
              </w:rPr>
              <w:t>2</w:t>
            </w:r>
          </w:p>
        </w:tc>
        <w:tc>
          <w:tcPr>
            <w:tcW w:w="960" w:type="dxa"/>
            <w:tcBorders>
              <w:top w:val="single" w:sz="4" w:space="0" w:color="auto"/>
              <w:left w:val="single" w:sz="4" w:space="0" w:color="auto"/>
              <w:bottom w:val="single" w:sz="4" w:space="0" w:color="auto"/>
              <w:right w:val="single" w:sz="4" w:space="0" w:color="auto"/>
            </w:tcBorders>
            <w:vAlign w:val="center"/>
            <w:hideMark/>
          </w:tcPr>
          <w:p w14:paraId="1080B293" w14:textId="77777777" w:rsidR="00A56B9E" w:rsidRPr="00091816" w:rsidRDefault="00A56B9E" w:rsidP="001C47F4">
            <w:pPr>
              <w:keepNext/>
              <w:keepLines/>
              <w:jc w:val="center"/>
              <w:rPr>
                <w:rFonts w:ascii="Arial Narrow" w:hAnsi="Arial Narrow" w:cs="Arial"/>
                <w:color w:val="000000" w:themeColor="text1"/>
                <w:sz w:val="20"/>
                <w:szCs w:val="20"/>
                <w:lang w:eastAsia="en-AU"/>
              </w:rPr>
            </w:pPr>
            <w:r w:rsidRPr="00091816">
              <w:rPr>
                <w:rFonts w:ascii="Arial Narrow" w:hAnsi="Arial Narrow" w:cs="Arial"/>
                <w:color w:val="000000" w:themeColor="text1"/>
                <w:sz w:val="20"/>
                <w:szCs w:val="20"/>
                <w:lang w:eastAsia="en-AU"/>
              </w:rPr>
              <w:t>5</w:t>
            </w:r>
          </w:p>
        </w:tc>
        <w:tc>
          <w:tcPr>
            <w:tcW w:w="1533" w:type="dxa"/>
            <w:tcBorders>
              <w:top w:val="single" w:sz="4" w:space="0" w:color="auto"/>
              <w:left w:val="single" w:sz="4" w:space="0" w:color="auto"/>
              <w:bottom w:val="single" w:sz="4" w:space="0" w:color="auto"/>
              <w:right w:val="single" w:sz="4" w:space="0" w:color="auto"/>
            </w:tcBorders>
            <w:vAlign w:val="center"/>
            <w:hideMark/>
          </w:tcPr>
          <w:p w14:paraId="344F755D" w14:textId="77777777" w:rsidR="00A56B9E" w:rsidRPr="00091816" w:rsidRDefault="00A56B9E" w:rsidP="001C47F4">
            <w:pPr>
              <w:keepNext/>
              <w:keepLines/>
              <w:rPr>
                <w:rFonts w:ascii="Arial Narrow" w:hAnsi="Arial Narrow" w:cs="Arial"/>
                <w:color w:val="000000" w:themeColor="text1"/>
                <w:sz w:val="20"/>
                <w:szCs w:val="20"/>
                <w:lang w:eastAsia="en-AU"/>
              </w:rPr>
            </w:pPr>
            <w:r w:rsidRPr="00091816">
              <w:rPr>
                <w:rFonts w:ascii="Arial Narrow" w:hAnsi="Arial Narrow" w:cs="Arial"/>
                <w:color w:val="000000" w:themeColor="text1"/>
                <w:sz w:val="20"/>
                <w:szCs w:val="20"/>
                <w:lang w:eastAsia="en-AU"/>
              </w:rPr>
              <w:t>Tecvayli</w:t>
            </w:r>
          </w:p>
        </w:tc>
      </w:tr>
      <w:tr w:rsidR="00A56B9E" w:rsidRPr="00091816" w14:paraId="1225A075" w14:textId="77777777">
        <w:trPr>
          <w:gridBefore w:val="1"/>
          <w:wBefore w:w="6" w:type="dxa"/>
          <w:cantSplit/>
          <w:trHeight w:val="20"/>
        </w:trPr>
        <w:tc>
          <w:tcPr>
            <w:tcW w:w="3677" w:type="dxa"/>
            <w:gridSpan w:val="2"/>
            <w:tcBorders>
              <w:top w:val="single" w:sz="4" w:space="0" w:color="auto"/>
              <w:left w:val="single" w:sz="4" w:space="0" w:color="auto"/>
              <w:bottom w:val="single" w:sz="4" w:space="0" w:color="auto"/>
              <w:right w:val="single" w:sz="4" w:space="0" w:color="auto"/>
            </w:tcBorders>
            <w:vAlign w:val="center"/>
            <w:hideMark/>
          </w:tcPr>
          <w:p w14:paraId="7306DE7A" w14:textId="1C54BE8B" w:rsidR="00A56B9E" w:rsidRPr="00091816" w:rsidRDefault="00A56B9E" w:rsidP="001C47F4">
            <w:pPr>
              <w:keepNext/>
              <w:keepLines/>
              <w:rPr>
                <w:rFonts w:ascii="Arial Narrow" w:hAnsi="Arial Narrow" w:cs="Arial"/>
                <w:sz w:val="20"/>
                <w:szCs w:val="20"/>
                <w:lang w:eastAsia="en-AU"/>
              </w:rPr>
            </w:pPr>
            <w:r w:rsidRPr="00091816">
              <w:rPr>
                <w:rFonts w:ascii="Arial Narrow" w:hAnsi="Arial Narrow" w:cs="Arial"/>
                <w:sz w:val="20"/>
                <w:szCs w:val="20"/>
                <w:lang w:eastAsia="en-AU"/>
              </w:rPr>
              <w:t>Teclistamab 153 mg/1.7 mL injection, vial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991E89A" w14:textId="77777777" w:rsidR="00A56B9E" w:rsidRPr="00091816" w:rsidRDefault="00A56B9E" w:rsidP="001C47F4">
            <w:pPr>
              <w:keepNext/>
              <w:keepLines/>
              <w:jc w:val="center"/>
              <w:rPr>
                <w:rFonts w:ascii="Arial Narrow" w:hAnsi="Arial Narrow" w:cs="Arial"/>
                <w:sz w:val="20"/>
                <w:szCs w:val="20"/>
                <w:lang w:eastAsia="en-AU"/>
              </w:rPr>
            </w:pPr>
            <w:r w:rsidRPr="00091816">
              <w:rPr>
                <w:rFonts w:ascii="Arial Narrow" w:hAnsi="Arial Narrow" w:cs="Arial"/>
                <w:sz w:val="20"/>
                <w:szCs w:val="20"/>
                <w:lang w:eastAsia="en-AU"/>
              </w:rPr>
              <w:t>NEW (GE)</w:t>
            </w:r>
          </w:p>
        </w:tc>
        <w:tc>
          <w:tcPr>
            <w:tcW w:w="888" w:type="dxa"/>
            <w:tcBorders>
              <w:top w:val="single" w:sz="4" w:space="0" w:color="auto"/>
              <w:left w:val="single" w:sz="4" w:space="0" w:color="auto"/>
              <w:bottom w:val="single" w:sz="4" w:space="0" w:color="auto"/>
              <w:right w:val="single" w:sz="4" w:space="0" w:color="auto"/>
            </w:tcBorders>
            <w:vAlign w:val="center"/>
            <w:hideMark/>
          </w:tcPr>
          <w:p w14:paraId="1D954692" w14:textId="77777777" w:rsidR="00A56B9E" w:rsidRPr="00091816" w:rsidRDefault="00A56B9E" w:rsidP="001C47F4">
            <w:pPr>
              <w:keepNext/>
              <w:keepLines/>
              <w:jc w:val="center"/>
              <w:rPr>
                <w:rFonts w:ascii="Arial Narrow" w:hAnsi="Arial Narrow" w:cs="Arial"/>
                <w:color w:val="000000" w:themeColor="text1"/>
                <w:sz w:val="20"/>
                <w:szCs w:val="20"/>
                <w:lang w:eastAsia="en-AU"/>
              </w:rPr>
            </w:pPr>
            <w:r w:rsidRPr="00091816">
              <w:rPr>
                <w:rFonts w:ascii="Arial Narrow" w:hAnsi="Arial Narrow" w:cs="Arial"/>
                <w:color w:val="000000" w:themeColor="text1"/>
                <w:sz w:val="20"/>
                <w:szCs w:val="20"/>
                <w:lang w:eastAsia="en-AU"/>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C114BA" w14:textId="77777777" w:rsidR="00A56B9E" w:rsidRPr="00091816" w:rsidRDefault="00A56B9E" w:rsidP="001C47F4">
            <w:pPr>
              <w:keepNext/>
              <w:keepLines/>
              <w:jc w:val="center"/>
              <w:rPr>
                <w:rFonts w:ascii="Arial Narrow" w:hAnsi="Arial Narrow" w:cs="Arial"/>
                <w:color w:val="000000" w:themeColor="text1"/>
                <w:sz w:val="20"/>
                <w:szCs w:val="20"/>
                <w:lang w:eastAsia="en-AU"/>
              </w:rPr>
            </w:pPr>
            <w:r w:rsidRPr="00091816">
              <w:rPr>
                <w:rFonts w:ascii="Arial Narrow" w:hAnsi="Arial Narrow" w:cs="Arial"/>
                <w:color w:val="000000" w:themeColor="text1"/>
                <w:sz w:val="20"/>
                <w:szCs w:val="20"/>
                <w:lang w:eastAsia="en-AU"/>
              </w:rPr>
              <w:t>2</w:t>
            </w:r>
          </w:p>
        </w:tc>
        <w:tc>
          <w:tcPr>
            <w:tcW w:w="960" w:type="dxa"/>
            <w:tcBorders>
              <w:top w:val="single" w:sz="4" w:space="0" w:color="auto"/>
              <w:left w:val="single" w:sz="4" w:space="0" w:color="auto"/>
              <w:bottom w:val="single" w:sz="4" w:space="0" w:color="auto"/>
              <w:right w:val="single" w:sz="4" w:space="0" w:color="auto"/>
            </w:tcBorders>
            <w:vAlign w:val="center"/>
            <w:hideMark/>
          </w:tcPr>
          <w:p w14:paraId="4444D433" w14:textId="77777777" w:rsidR="00A56B9E" w:rsidRPr="00091816" w:rsidRDefault="00A56B9E" w:rsidP="001C47F4">
            <w:pPr>
              <w:keepNext/>
              <w:keepLines/>
              <w:jc w:val="center"/>
              <w:rPr>
                <w:rFonts w:ascii="Arial Narrow" w:hAnsi="Arial Narrow" w:cs="Arial"/>
                <w:color w:val="000000" w:themeColor="text1"/>
                <w:sz w:val="20"/>
                <w:szCs w:val="20"/>
                <w:lang w:eastAsia="en-AU"/>
              </w:rPr>
            </w:pPr>
            <w:r w:rsidRPr="00091816">
              <w:rPr>
                <w:rFonts w:ascii="Arial Narrow" w:hAnsi="Arial Narrow" w:cs="Arial"/>
                <w:color w:val="000000" w:themeColor="text1"/>
                <w:sz w:val="20"/>
                <w:szCs w:val="20"/>
                <w:lang w:eastAsia="en-AU"/>
              </w:rPr>
              <w:t>5</w:t>
            </w:r>
          </w:p>
        </w:tc>
        <w:tc>
          <w:tcPr>
            <w:tcW w:w="1533" w:type="dxa"/>
            <w:tcBorders>
              <w:top w:val="single" w:sz="4" w:space="0" w:color="auto"/>
              <w:left w:val="single" w:sz="4" w:space="0" w:color="auto"/>
              <w:bottom w:val="single" w:sz="4" w:space="0" w:color="auto"/>
              <w:right w:val="single" w:sz="4" w:space="0" w:color="auto"/>
            </w:tcBorders>
            <w:vAlign w:val="center"/>
            <w:hideMark/>
          </w:tcPr>
          <w:p w14:paraId="1F8D7DF3" w14:textId="77777777" w:rsidR="00A56B9E" w:rsidRPr="00091816" w:rsidRDefault="00A56B9E" w:rsidP="001C47F4">
            <w:pPr>
              <w:keepNext/>
              <w:keepLines/>
              <w:rPr>
                <w:rFonts w:ascii="Arial Narrow" w:hAnsi="Arial Narrow" w:cs="Arial"/>
                <w:color w:val="000000" w:themeColor="text1"/>
                <w:sz w:val="20"/>
                <w:szCs w:val="20"/>
                <w:lang w:eastAsia="en-AU"/>
              </w:rPr>
            </w:pPr>
            <w:r w:rsidRPr="00091816">
              <w:rPr>
                <w:rFonts w:ascii="Arial Narrow" w:hAnsi="Arial Narrow" w:cs="Arial"/>
                <w:color w:val="000000" w:themeColor="text1"/>
                <w:sz w:val="20"/>
                <w:szCs w:val="20"/>
                <w:lang w:eastAsia="en-AU"/>
              </w:rPr>
              <w:t>Tecvayli</w:t>
            </w:r>
          </w:p>
        </w:tc>
      </w:tr>
      <w:tr w:rsidR="00A56B9E" w:rsidRPr="00091816" w14:paraId="591EB7E8" w14:textId="77777777">
        <w:trPr>
          <w:cantSplit/>
          <w:trHeight w:val="20"/>
        </w:trPr>
        <w:tc>
          <w:tcPr>
            <w:tcW w:w="9210"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8895F6D" w14:textId="112FC798" w:rsidR="00A56B9E" w:rsidRPr="00091816" w:rsidRDefault="00A56B9E" w:rsidP="001C47F4">
            <w:pPr>
              <w:keepNext/>
              <w:keepLines/>
              <w:rPr>
                <w:rFonts w:ascii="Arial Narrow" w:hAnsi="Arial Narrow" w:cs="Arial"/>
                <w:b/>
                <w:color w:val="000000" w:themeColor="text1"/>
                <w:sz w:val="20"/>
                <w:szCs w:val="20"/>
                <w:lang w:eastAsia="en-AU"/>
              </w:rPr>
            </w:pPr>
          </w:p>
        </w:tc>
      </w:tr>
      <w:tr w:rsidR="00A56B9E" w:rsidRPr="00091816" w14:paraId="260C7613" w14:textId="77777777">
        <w:tc>
          <w:tcPr>
            <w:tcW w:w="1276"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A821AEC" w14:textId="77777777" w:rsidR="00A56B9E" w:rsidRPr="00091816" w:rsidRDefault="00A56B9E" w:rsidP="001C47F4">
            <w:pPr>
              <w:jc w:val="center"/>
              <w:rPr>
                <w:rFonts w:ascii="Arial Narrow" w:hAnsi="Arial Narrow" w:cs="Arial"/>
                <w:b/>
                <w:sz w:val="20"/>
                <w:szCs w:val="20"/>
                <w:lang w:eastAsia="en-AU"/>
              </w:rPr>
            </w:pPr>
            <w:r w:rsidRPr="00091816">
              <w:rPr>
                <w:rFonts w:ascii="Arial Narrow" w:hAnsi="Arial Narrow" w:cs="Arial"/>
                <w:b/>
                <w:sz w:val="20"/>
                <w:szCs w:val="20"/>
              </w:rPr>
              <w:t xml:space="preserve">Concept ID </w:t>
            </w:r>
            <w:r w:rsidRPr="00091816">
              <w:rPr>
                <w:rFonts w:ascii="Arial Narrow" w:hAnsi="Arial Narrow" w:cs="Arial"/>
                <w:sz w:val="20"/>
                <w:szCs w:val="20"/>
              </w:rPr>
              <w:t>(for internal Dept. use)</w:t>
            </w: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C4F88D5" w14:textId="77777777" w:rsidR="00A56B9E" w:rsidRPr="00091816" w:rsidRDefault="00A56B9E" w:rsidP="001C47F4">
            <w:pPr>
              <w:rPr>
                <w:rFonts w:ascii="Arial Narrow" w:hAnsi="Arial Narrow" w:cs="Arial"/>
                <w:bCs/>
                <w:sz w:val="20"/>
                <w:szCs w:val="20"/>
                <w:lang w:eastAsia="en-AU"/>
              </w:rPr>
            </w:pPr>
            <w:r w:rsidRPr="00091816">
              <w:rPr>
                <w:rFonts w:ascii="Arial Narrow" w:hAnsi="Arial Narrow" w:cs="Arial"/>
                <w:bCs/>
                <w:sz w:val="20"/>
                <w:szCs w:val="20"/>
                <w:lang w:eastAsia="en-AU"/>
              </w:rPr>
              <w:t xml:space="preserve">Category / Program: </w:t>
            </w:r>
          </w:p>
          <w:p w14:paraId="52411697" w14:textId="77777777" w:rsidR="00A56B9E" w:rsidRPr="00091816" w:rsidRDefault="00A56B9E" w:rsidP="001C47F4">
            <w:pPr>
              <w:jc w:val="left"/>
              <w:rPr>
                <w:rFonts w:ascii="Arial Narrow" w:hAnsi="Arial Narrow" w:cs="Arial"/>
                <w:bCs/>
                <w:sz w:val="20"/>
                <w:szCs w:val="20"/>
                <w:lang w:eastAsia="en-AU"/>
              </w:rPr>
            </w:pPr>
            <w:r w:rsidRPr="00091816">
              <w:rPr>
                <w:rFonts w:ascii="Arial Narrow" w:eastAsia="Calibri" w:hAnsi="Arial Narrow" w:cs="Arial"/>
                <w:bCs/>
                <w:sz w:val="20"/>
                <w:szCs w:val="20"/>
                <w:lang w:eastAsia="en-AU"/>
              </w:rPr>
              <w:fldChar w:fldCharType="begin" w:fldLock="1">
                <w:ffData>
                  <w:name w:val="Check1"/>
                  <w:enabled/>
                  <w:calcOnExit w:val="0"/>
                  <w:checkBox>
                    <w:sizeAuto/>
                    <w:default w:val="1"/>
                  </w:checkBox>
                </w:ffData>
              </w:fldChar>
            </w:r>
            <w:r w:rsidRPr="00091816">
              <w:rPr>
                <w:rFonts w:ascii="Arial Narrow" w:eastAsia="Calibri" w:hAnsi="Arial Narrow" w:cs="Arial"/>
                <w:bCs/>
                <w:sz w:val="20"/>
                <w:szCs w:val="20"/>
                <w:lang w:eastAsia="en-AU"/>
              </w:rPr>
              <w:instrText xml:space="preserve"> FORMCHECKBOX </w:instrText>
            </w:r>
            <w:r w:rsidRPr="00091816">
              <w:rPr>
                <w:rFonts w:ascii="Arial Narrow" w:eastAsia="Calibri" w:hAnsi="Arial Narrow" w:cs="Arial"/>
                <w:bCs/>
                <w:sz w:val="20"/>
                <w:szCs w:val="20"/>
                <w:lang w:eastAsia="en-AU"/>
              </w:rPr>
            </w:r>
            <w:r w:rsidRPr="00091816">
              <w:rPr>
                <w:rFonts w:ascii="Arial Narrow" w:eastAsia="Calibri" w:hAnsi="Arial Narrow" w:cs="Arial"/>
                <w:bCs/>
                <w:sz w:val="20"/>
                <w:szCs w:val="20"/>
                <w:lang w:eastAsia="en-AU"/>
              </w:rPr>
              <w:fldChar w:fldCharType="separate"/>
            </w:r>
            <w:r w:rsidRPr="00091816">
              <w:rPr>
                <w:rFonts w:ascii="Arial Narrow" w:eastAsia="Calibri" w:hAnsi="Arial Narrow" w:cs="Arial"/>
                <w:bCs/>
                <w:sz w:val="20"/>
                <w:szCs w:val="20"/>
                <w:lang w:eastAsia="en-AU"/>
              </w:rPr>
              <w:fldChar w:fldCharType="end"/>
            </w:r>
            <w:r w:rsidRPr="00091816">
              <w:rPr>
                <w:rFonts w:ascii="Arial Narrow" w:eastAsia="Calibri" w:hAnsi="Arial Narrow" w:cs="Arial"/>
                <w:bCs/>
                <w:sz w:val="20"/>
                <w:szCs w:val="20"/>
                <w:lang w:eastAsia="en-AU"/>
              </w:rPr>
              <w:t xml:space="preserve"> GENERAL </w:t>
            </w:r>
            <w:r w:rsidRPr="00091816">
              <w:rPr>
                <w:rFonts w:ascii="Arial Narrow" w:hAnsi="Arial Narrow" w:cs="Arial"/>
                <w:bCs/>
                <w:sz w:val="20"/>
                <w:szCs w:val="20"/>
                <w:lang w:eastAsia="en-AU"/>
              </w:rPr>
              <w:t>–</w:t>
            </w:r>
            <w:r w:rsidRPr="00091816">
              <w:rPr>
                <w:rFonts w:ascii="Arial Narrow" w:eastAsia="Calibri" w:hAnsi="Arial Narrow" w:cs="Arial"/>
                <w:bCs/>
                <w:sz w:val="20"/>
                <w:szCs w:val="20"/>
                <w:lang w:eastAsia="en-AU"/>
              </w:rPr>
              <w:t xml:space="preserve"> General Schedule (Code GE) </w:t>
            </w:r>
            <w:r w:rsidRPr="00091816">
              <w:rPr>
                <w:rFonts w:ascii="Arial Narrow" w:eastAsia="Calibri" w:hAnsi="Arial Narrow" w:cs="Arial"/>
                <w:bCs/>
                <w:sz w:val="20"/>
                <w:szCs w:val="20"/>
                <w:lang w:eastAsia="en-AU"/>
              </w:rPr>
              <w:br/>
            </w:r>
            <w:r w:rsidRPr="00091816">
              <w:rPr>
                <w:rFonts w:ascii="Arial Narrow" w:eastAsia="Calibri" w:hAnsi="Arial Narrow" w:cs="Arial"/>
                <w:bCs/>
                <w:sz w:val="20"/>
                <w:szCs w:val="20"/>
                <w:lang w:eastAsia="en-AU"/>
              </w:rPr>
              <w:fldChar w:fldCharType="begin" w:fldLock="1">
                <w:ffData>
                  <w:name w:val=""/>
                  <w:enabled/>
                  <w:calcOnExit w:val="0"/>
                  <w:checkBox>
                    <w:sizeAuto/>
                    <w:default w:val="1"/>
                  </w:checkBox>
                </w:ffData>
              </w:fldChar>
            </w:r>
            <w:r w:rsidRPr="00091816">
              <w:rPr>
                <w:rFonts w:ascii="Arial Narrow" w:eastAsia="Calibri" w:hAnsi="Arial Narrow" w:cs="Arial"/>
                <w:bCs/>
                <w:sz w:val="20"/>
                <w:szCs w:val="20"/>
                <w:lang w:eastAsia="en-AU"/>
              </w:rPr>
              <w:instrText xml:space="preserve"> FORMCHECKBOX </w:instrText>
            </w:r>
            <w:r w:rsidRPr="00091816">
              <w:rPr>
                <w:rFonts w:ascii="Arial Narrow" w:eastAsia="Calibri" w:hAnsi="Arial Narrow" w:cs="Arial"/>
                <w:bCs/>
                <w:sz w:val="20"/>
                <w:szCs w:val="20"/>
                <w:lang w:eastAsia="en-AU"/>
              </w:rPr>
            </w:r>
            <w:r w:rsidRPr="00091816">
              <w:rPr>
                <w:rFonts w:ascii="Arial Narrow" w:eastAsia="Calibri" w:hAnsi="Arial Narrow" w:cs="Arial"/>
                <w:bCs/>
                <w:sz w:val="20"/>
                <w:szCs w:val="20"/>
                <w:lang w:eastAsia="en-AU"/>
              </w:rPr>
              <w:fldChar w:fldCharType="separate"/>
            </w:r>
            <w:r w:rsidRPr="00091816">
              <w:rPr>
                <w:rFonts w:ascii="Arial Narrow" w:eastAsia="Calibri" w:hAnsi="Arial Narrow" w:cs="Arial"/>
                <w:bCs/>
                <w:sz w:val="20"/>
                <w:szCs w:val="20"/>
                <w:lang w:eastAsia="en-AU"/>
              </w:rPr>
              <w:fldChar w:fldCharType="end"/>
            </w:r>
            <w:r w:rsidRPr="00091816">
              <w:rPr>
                <w:rFonts w:ascii="Arial Narrow" w:eastAsia="Calibri" w:hAnsi="Arial Narrow" w:cs="Arial"/>
                <w:bCs/>
                <w:sz w:val="20"/>
                <w:szCs w:val="20"/>
                <w:lang w:eastAsia="en-AU"/>
              </w:rPr>
              <w:t xml:space="preserve"> Section </w:t>
            </w:r>
            <w:r w:rsidRPr="00091816">
              <w:rPr>
                <w:rFonts w:ascii="Arial Narrow" w:hAnsi="Arial Narrow" w:cs="Arial"/>
                <w:bCs/>
                <w:sz w:val="20"/>
                <w:szCs w:val="20"/>
                <w:lang w:eastAsia="en-AU"/>
              </w:rPr>
              <w:t xml:space="preserve">100 – Efficient Funding of Chemotherapy – Related Benefits (Code CT) </w:t>
            </w:r>
          </w:p>
        </w:tc>
      </w:tr>
      <w:tr w:rsidR="00A56B9E" w:rsidRPr="00091816" w14:paraId="31FDAFFB" w14:textId="77777777">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71A7ADD" w14:textId="77777777" w:rsidR="00A56B9E" w:rsidRPr="00091816" w:rsidRDefault="00A56B9E" w:rsidP="001C47F4">
            <w:pPr>
              <w:rPr>
                <w:rFonts w:ascii="Arial Narrow" w:hAnsi="Arial Narrow" w:cs="Arial"/>
                <w:b/>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E84075" w14:textId="77777777" w:rsidR="00A56B9E" w:rsidRPr="00091816" w:rsidRDefault="00A56B9E" w:rsidP="001C47F4">
            <w:pPr>
              <w:rPr>
                <w:rFonts w:ascii="Arial Narrow" w:hAnsi="Arial Narrow" w:cs="Arial"/>
                <w:bCs/>
                <w:sz w:val="20"/>
                <w:szCs w:val="20"/>
                <w:lang w:eastAsia="en-AU"/>
              </w:rPr>
            </w:pPr>
            <w:r w:rsidRPr="00091816">
              <w:rPr>
                <w:rFonts w:ascii="Arial Narrow" w:hAnsi="Arial Narrow" w:cs="Arial"/>
                <w:bCs/>
                <w:sz w:val="20"/>
                <w:szCs w:val="20"/>
                <w:lang w:eastAsia="en-AU"/>
              </w:rPr>
              <w:t xml:space="preserve">Prescriber type: </w:t>
            </w:r>
            <w:r w:rsidRPr="00091816">
              <w:rPr>
                <w:rFonts w:ascii="Arial Narrow" w:hAnsi="Arial Narrow" w:cs="Arial"/>
                <w:bCs/>
                <w:sz w:val="20"/>
                <w:szCs w:val="20"/>
                <w:lang w:eastAsia="en-AU"/>
              </w:rPr>
              <w:fldChar w:fldCharType="begin" w:fldLock="1">
                <w:ffData>
                  <w:name w:val=""/>
                  <w:enabled/>
                  <w:calcOnExit w:val="0"/>
                  <w:checkBox>
                    <w:sizeAuto/>
                    <w:default w:val="1"/>
                  </w:checkBox>
                </w:ffData>
              </w:fldChar>
            </w:r>
            <w:r w:rsidRPr="00091816">
              <w:rPr>
                <w:rFonts w:ascii="Arial Narrow" w:hAnsi="Arial Narrow" w:cs="Arial"/>
                <w:bCs/>
                <w:sz w:val="20"/>
                <w:szCs w:val="20"/>
                <w:lang w:eastAsia="en-AU"/>
              </w:rPr>
              <w:instrText xml:space="preserve"> FORMCHECKBOX </w:instrText>
            </w:r>
            <w:r w:rsidRPr="00091816">
              <w:rPr>
                <w:rFonts w:ascii="Arial Narrow" w:hAnsi="Arial Narrow" w:cs="Arial"/>
                <w:bCs/>
                <w:sz w:val="20"/>
                <w:szCs w:val="20"/>
                <w:lang w:eastAsia="en-AU"/>
              </w:rPr>
            </w:r>
            <w:r w:rsidRPr="00091816">
              <w:rPr>
                <w:rFonts w:ascii="Arial Narrow" w:hAnsi="Arial Narrow" w:cs="Arial"/>
                <w:bCs/>
                <w:sz w:val="20"/>
                <w:szCs w:val="20"/>
                <w:lang w:eastAsia="en-AU"/>
              </w:rPr>
              <w:fldChar w:fldCharType="separate"/>
            </w:r>
            <w:r w:rsidRPr="00091816">
              <w:rPr>
                <w:rFonts w:ascii="Arial Narrow" w:hAnsi="Arial Narrow" w:cs="Arial"/>
                <w:bCs/>
                <w:sz w:val="20"/>
                <w:szCs w:val="20"/>
                <w:lang w:eastAsia="en-AU"/>
              </w:rPr>
              <w:fldChar w:fldCharType="end"/>
            </w:r>
            <w:r w:rsidRPr="00091816">
              <w:rPr>
                <w:rFonts w:ascii="Arial Narrow" w:hAnsi="Arial Narrow" w:cs="Arial"/>
                <w:bCs/>
                <w:sz w:val="20"/>
                <w:szCs w:val="20"/>
                <w:lang w:eastAsia="en-AU"/>
              </w:rPr>
              <w:t xml:space="preserve">Medical Practitioners </w:t>
            </w:r>
          </w:p>
        </w:tc>
      </w:tr>
      <w:tr w:rsidR="00A56B9E" w:rsidRPr="00091816" w14:paraId="3DBF2C4C" w14:textId="77777777">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6C55041A" w14:textId="77777777" w:rsidR="00A56B9E" w:rsidRPr="00091816" w:rsidRDefault="00A56B9E" w:rsidP="001C47F4">
            <w:pPr>
              <w:rPr>
                <w:rFonts w:ascii="Arial Narrow" w:hAnsi="Arial Narrow" w:cs="Arial"/>
                <w:b/>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48B4412" w14:textId="77777777" w:rsidR="00A56B9E" w:rsidRPr="00091816" w:rsidRDefault="00A56B9E" w:rsidP="001C47F4">
            <w:pPr>
              <w:rPr>
                <w:rFonts w:ascii="Arial Narrow" w:eastAsia="Calibri" w:hAnsi="Arial Narrow" w:cs="Arial"/>
                <w:bCs/>
                <w:sz w:val="20"/>
                <w:szCs w:val="20"/>
                <w:lang w:eastAsia="en-AU"/>
              </w:rPr>
            </w:pPr>
            <w:r w:rsidRPr="00091816">
              <w:rPr>
                <w:rFonts w:ascii="Arial Narrow" w:hAnsi="Arial Narrow" w:cs="Arial"/>
                <w:bCs/>
                <w:sz w:val="20"/>
                <w:szCs w:val="20"/>
                <w:lang w:eastAsia="en-AU"/>
              </w:rPr>
              <w:t xml:space="preserve">Restriction type: </w:t>
            </w:r>
            <w:r w:rsidRPr="00091816">
              <w:rPr>
                <w:rFonts w:ascii="Arial Narrow" w:hAnsi="Arial Narrow" w:cs="Arial"/>
                <w:bCs/>
                <w:sz w:val="20"/>
                <w:szCs w:val="20"/>
                <w:lang w:eastAsia="en-AU"/>
              </w:rPr>
              <w:fldChar w:fldCharType="begin" w:fldLock="1">
                <w:ffData>
                  <w:name w:val=""/>
                  <w:enabled/>
                  <w:calcOnExit w:val="0"/>
                  <w:checkBox>
                    <w:sizeAuto/>
                    <w:default w:val="1"/>
                  </w:checkBox>
                </w:ffData>
              </w:fldChar>
            </w:r>
            <w:r w:rsidRPr="00091816">
              <w:rPr>
                <w:rFonts w:ascii="Arial Narrow" w:hAnsi="Arial Narrow" w:cs="Arial"/>
                <w:bCs/>
                <w:sz w:val="20"/>
                <w:szCs w:val="20"/>
                <w:lang w:eastAsia="en-AU"/>
              </w:rPr>
              <w:instrText xml:space="preserve"> FORMCHECKBOX </w:instrText>
            </w:r>
            <w:r w:rsidRPr="00091816">
              <w:rPr>
                <w:rFonts w:ascii="Arial Narrow" w:hAnsi="Arial Narrow" w:cs="Arial"/>
                <w:bCs/>
                <w:sz w:val="20"/>
                <w:szCs w:val="20"/>
                <w:lang w:eastAsia="en-AU"/>
              </w:rPr>
            </w:r>
            <w:r w:rsidRPr="00091816">
              <w:rPr>
                <w:rFonts w:ascii="Arial Narrow" w:hAnsi="Arial Narrow" w:cs="Arial"/>
                <w:bCs/>
                <w:sz w:val="20"/>
                <w:szCs w:val="20"/>
                <w:lang w:eastAsia="en-AU"/>
              </w:rPr>
              <w:fldChar w:fldCharType="separate"/>
            </w:r>
            <w:r w:rsidRPr="00091816">
              <w:rPr>
                <w:rFonts w:ascii="Arial Narrow" w:hAnsi="Arial Narrow" w:cs="Arial"/>
                <w:bCs/>
                <w:sz w:val="20"/>
                <w:szCs w:val="20"/>
                <w:lang w:eastAsia="en-AU"/>
              </w:rPr>
              <w:fldChar w:fldCharType="end"/>
            </w:r>
            <w:r w:rsidRPr="00091816">
              <w:rPr>
                <w:rFonts w:ascii="Arial Narrow" w:hAnsi="Arial Narrow" w:cs="Arial"/>
                <w:bCs/>
                <w:sz w:val="20"/>
                <w:szCs w:val="20"/>
                <w:lang w:eastAsia="en-AU"/>
              </w:rPr>
              <w:t>Authority Required (Telephone/Online) – Immediate Assessment</w:t>
            </w:r>
          </w:p>
        </w:tc>
      </w:tr>
      <w:tr w:rsidR="00A56B9E" w:rsidRPr="00091816" w14:paraId="1D444F28" w14:textId="77777777">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6A133D91" w14:textId="77777777" w:rsidR="00A56B9E" w:rsidRPr="00091816" w:rsidRDefault="00A56B9E" w:rsidP="001C47F4">
            <w:pPr>
              <w:rPr>
                <w:rFonts w:ascii="Arial Narrow" w:hAnsi="Arial Narrow" w:cs="Arial"/>
                <w:b/>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2DDB55" w14:textId="523324DC" w:rsidR="00A56B9E" w:rsidRPr="00091816" w:rsidRDefault="00A56B9E" w:rsidP="001C47F4">
            <w:pPr>
              <w:rPr>
                <w:rFonts w:ascii="Arial Narrow" w:hAnsi="Arial Narrow" w:cs="Arial"/>
                <w:bCs/>
                <w:sz w:val="20"/>
                <w:szCs w:val="20"/>
                <w:lang w:eastAsia="en-AU"/>
              </w:rPr>
            </w:pPr>
            <w:r w:rsidRPr="00091816">
              <w:rPr>
                <w:rFonts w:ascii="Arial Narrow" w:hAnsi="Arial Narrow" w:cs="Arial"/>
                <w:bCs/>
                <w:sz w:val="20"/>
                <w:szCs w:val="20"/>
                <w:lang w:eastAsia="en-AU"/>
              </w:rPr>
              <w:t xml:space="preserve">Authority type: </w:t>
            </w:r>
            <w:r w:rsidRPr="00091816">
              <w:rPr>
                <w:rFonts w:ascii="Arial Narrow" w:eastAsia="Calibri" w:hAnsi="Arial Narrow" w:cs="Arial"/>
                <w:bCs/>
                <w:sz w:val="20"/>
                <w:szCs w:val="20"/>
                <w:lang w:eastAsia="en-AU"/>
              </w:rPr>
              <w:fldChar w:fldCharType="begin" w:fldLock="1">
                <w:ffData>
                  <w:name w:val=""/>
                  <w:enabled/>
                  <w:calcOnExit w:val="0"/>
                  <w:checkBox>
                    <w:sizeAuto/>
                    <w:default w:val="1"/>
                  </w:checkBox>
                </w:ffData>
              </w:fldChar>
            </w:r>
            <w:r w:rsidRPr="00091816">
              <w:rPr>
                <w:rFonts w:ascii="Arial Narrow" w:eastAsia="Calibri" w:hAnsi="Arial Narrow" w:cs="Arial"/>
                <w:bCs/>
                <w:sz w:val="20"/>
                <w:szCs w:val="20"/>
                <w:lang w:eastAsia="en-AU"/>
              </w:rPr>
              <w:instrText xml:space="preserve"> FORMCHECKBOX </w:instrText>
            </w:r>
            <w:r w:rsidRPr="00091816">
              <w:rPr>
                <w:rFonts w:ascii="Arial Narrow" w:eastAsia="Calibri" w:hAnsi="Arial Narrow" w:cs="Arial"/>
                <w:bCs/>
                <w:sz w:val="20"/>
                <w:szCs w:val="20"/>
                <w:lang w:eastAsia="en-AU"/>
              </w:rPr>
            </w:r>
            <w:r w:rsidRPr="00091816">
              <w:rPr>
                <w:rFonts w:ascii="Arial Narrow" w:eastAsia="Calibri" w:hAnsi="Arial Narrow" w:cs="Arial"/>
                <w:bCs/>
                <w:sz w:val="20"/>
                <w:szCs w:val="20"/>
                <w:lang w:eastAsia="en-AU"/>
              </w:rPr>
              <w:fldChar w:fldCharType="separate"/>
            </w:r>
            <w:r w:rsidRPr="00091816">
              <w:rPr>
                <w:rFonts w:ascii="Arial Narrow" w:eastAsia="Calibri" w:hAnsi="Arial Narrow" w:cs="Arial"/>
                <w:bCs/>
                <w:sz w:val="20"/>
                <w:szCs w:val="20"/>
                <w:lang w:eastAsia="en-AU"/>
              </w:rPr>
              <w:fldChar w:fldCharType="end"/>
            </w:r>
            <w:r w:rsidRPr="00091816">
              <w:rPr>
                <w:rFonts w:ascii="Arial Narrow" w:eastAsia="Calibri" w:hAnsi="Arial Narrow" w:cs="Arial"/>
                <w:bCs/>
                <w:sz w:val="20"/>
                <w:szCs w:val="20"/>
                <w:lang w:eastAsia="en-AU"/>
              </w:rPr>
              <w:t xml:space="preserve"> Non</w:t>
            </w:r>
            <w:r w:rsidR="00EC1990">
              <w:rPr>
                <w:rFonts w:ascii="Arial Narrow" w:eastAsia="Calibri" w:hAnsi="Arial Narrow" w:cs="Arial"/>
                <w:bCs/>
                <w:sz w:val="20"/>
                <w:szCs w:val="20"/>
                <w:lang w:eastAsia="en-AU"/>
              </w:rPr>
              <w:noBreakHyphen/>
            </w:r>
            <w:r w:rsidRPr="00091816">
              <w:rPr>
                <w:rFonts w:ascii="Arial Narrow" w:eastAsia="Calibri" w:hAnsi="Arial Narrow" w:cs="Arial"/>
                <w:bCs/>
                <w:sz w:val="20"/>
                <w:szCs w:val="20"/>
                <w:lang w:eastAsia="en-AU"/>
              </w:rPr>
              <w:t>complex Authority Required (non</w:t>
            </w:r>
            <w:r w:rsidR="00EC1990">
              <w:rPr>
                <w:rFonts w:ascii="Arial Narrow" w:eastAsia="Calibri" w:hAnsi="Arial Narrow" w:cs="Arial"/>
                <w:bCs/>
                <w:sz w:val="20"/>
                <w:szCs w:val="20"/>
                <w:lang w:eastAsia="en-AU"/>
              </w:rPr>
              <w:noBreakHyphen/>
            </w:r>
            <w:r w:rsidRPr="00091816">
              <w:rPr>
                <w:rFonts w:ascii="Arial Narrow" w:eastAsia="Calibri" w:hAnsi="Arial Narrow" w:cs="Arial"/>
                <w:bCs/>
                <w:sz w:val="20"/>
                <w:szCs w:val="20"/>
                <w:lang w:eastAsia="en-AU"/>
              </w:rPr>
              <w:t>CAR)</w:t>
            </w:r>
          </w:p>
        </w:tc>
      </w:tr>
      <w:tr w:rsidR="00A56B9E" w:rsidRPr="00091816" w14:paraId="7C7AF852" w14:textId="77777777">
        <w:trPr>
          <w:cantSplit/>
          <w:trHeight w:val="20"/>
        </w:trPr>
        <w:tc>
          <w:tcPr>
            <w:tcW w:w="1276"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9D6DFF" w14:textId="77777777" w:rsidR="00A56B9E" w:rsidRPr="00091816" w:rsidRDefault="00A56B9E" w:rsidP="001C47F4">
            <w:pPr>
              <w:keepNext/>
              <w:keepLines/>
              <w:jc w:val="center"/>
              <w:rPr>
                <w:rFonts w:ascii="Arial Narrow" w:hAnsi="Arial Narrow" w:cs="Arial"/>
                <w:color w:val="000000" w:themeColor="text1"/>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291BFE2" w14:textId="77777777" w:rsidR="00A56B9E" w:rsidRPr="00091816" w:rsidRDefault="00A56B9E" w:rsidP="001C47F4">
            <w:pPr>
              <w:keepNext/>
              <w:keepLines/>
              <w:rPr>
                <w:rFonts w:ascii="Arial Narrow" w:hAnsi="Arial Narrow" w:cs="Arial"/>
                <w:bCs/>
                <w:color w:val="000000" w:themeColor="text1"/>
                <w:sz w:val="20"/>
                <w:szCs w:val="20"/>
                <w:lang w:eastAsia="en-AU"/>
              </w:rPr>
            </w:pPr>
            <w:r w:rsidRPr="00091816">
              <w:rPr>
                <w:rFonts w:ascii="Arial Narrow" w:hAnsi="Arial Narrow" w:cs="Arial"/>
                <w:b/>
                <w:bCs/>
                <w:color w:val="000000" w:themeColor="text1"/>
                <w:sz w:val="20"/>
                <w:szCs w:val="20"/>
                <w:lang w:eastAsia="en-AU"/>
              </w:rPr>
              <w:t xml:space="preserve">Episodicity: </w:t>
            </w:r>
            <w:r w:rsidRPr="00091816">
              <w:rPr>
                <w:rFonts w:ascii="Arial Narrow" w:hAnsi="Arial Narrow" w:cs="Arial"/>
                <w:color w:val="000000" w:themeColor="text1"/>
                <w:sz w:val="20"/>
                <w:szCs w:val="20"/>
                <w:lang w:eastAsia="en-AU"/>
              </w:rPr>
              <w:t>[Blank]</w:t>
            </w:r>
          </w:p>
        </w:tc>
      </w:tr>
      <w:tr w:rsidR="00A56B9E" w:rsidRPr="00091816" w14:paraId="7E8B4CA0" w14:textId="77777777">
        <w:trPr>
          <w:cantSplit/>
          <w:trHeight w:val="20"/>
        </w:trPr>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14955CF9" w14:textId="77777777" w:rsidR="00A56B9E" w:rsidRPr="00091816" w:rsidRDefault="00A56B9E" w:rsidP="001C47F4">
            <w:pPr>
              <w:rPr>
                <w:rFonts w:ascii="Arial Narrow" w:hAnsi="Arial Narrow" w:cs="Arial"/>
                <w:color w:val="000000" w:themeColor="text1"/>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11C879C" w14:textId="77777777" w:rsidR="00A56B9E" w:rsidRPr="00091816" w:rsidRDefault="00A56B9E" w:rsidP="001C47F4">
            <w:pPr>
              <w:rPr>
                <w:rFonts w:ascii="Arial Narrow" w:hAnsi="Arial Narrow" w:cs="Arial"/>
                <w:b/>
                <w:bCs/>
                <w:color w:val="000000" w:themeColor="text1"/>
                <w:sz w:val="20"/>
                <w:szCs w:val="20"/>
                <w:lang w:eastAsia="en-AU"/>
              </w:rPr>
            </w:pPr>
            <w:r w:rsidRPr="00091816">
              <w:rPr>
                <w:rFonts w:ascii="Arial Narrow" w:hAnsi="Arial Narrow" w:cs="Arial"/>
                <w:b/>
                <w:color w:val="000000" w:themeColor="text1"/>
                <w:sz w:val="20"/>
                <w:szCs w:val="20"/>
                <w:lang w:eastAsia="en-AU"/>
              </w:rPr>
              <w:t>Severity:</w:t>
            </w:r>
            <w:r w:rsidRPr="00091816">
              <w:rPr>
                <w:rFonts w:ascii="Arial Narrow" w:hAnsi="Arial Narrow" w:cs="Arial"/>
                <w:color w:val="000000" w:themeColor="text1"/>
                <w:sz w:val="20"/>
                <w:szCs w:val="20"/>
                <w:lang w:eastAsia="en-AU"/>
              </w:rPr>
              <w:t xml:space="preserve"> Relapsed or refractory</w:t>
            </w:r>
          </w:p>
        </w:tc>
      </w:tr>
      <w:tr w:rsidR="00A56B9E" w:rsidRPr="00091816" w14:paraId="4581924B" w14:textId="77777777">
        <w:trPr>
          <w:cantSplit/>
          <w:trHeight w:val="20"/>
        </w:trPr>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10797FA" w14:textId="77777777" w:rsidR="00A56B9E" w:rsidRPr="00091816" w:rsidRDefault="00A56B9E" w:rsidP="001C47F4">
            <w:pPr>
              <w:rPr>
                <w:rFonts w:ascii="Arial Narrow" w:hAnsi="Arial Narrow" w:cs="Arial"/>
                <w:color w:val="000000" w:themeColor="text1"/>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B5E236A" w14:textId="77777777" w:rsidR="00A56B9E" w:rsidRPr="00091816" w:rsidRDefault="00A56B9E" w:rsidP="001C47F4">
            <w:pPr>
              <w:rPr>
                <w:rFonts w:ascii="Arial Narrow" w:hAnsi="Arial Narrow" w:cs="Arial"/>
                <w:b/>
                <w:bCs/>
                <w:color w:val="000000" w:themeColor="text1"/>
                <w:sz w:val="20"/>
                <w:szCs w:val="20"/>
                <w:lang w:eastAsia="en-AU"/>
              </w:rPr>
            </w:pPr>
            <w:r w:rsidRPr="00091816">
              <w:rPr>
                <w:rFonts w:ascii="Arial Narrow" w:hAnsi="Arial Narrow" w:cs="Arial"/>
                <w:b/>
                <w:color w:val="000000" w:themeColor="text1"/>
                <w:sz w:val="20"/>
                <w:szCs w:val="20"/>
                <w:lang w:eastAsia="en-AU"/>
              </w:rPr>
              <w:t>Condition:</w:t>
            </w:r>
            <w:r w:rsidRPr="00091816">
              <w:rPr>
                <w:rFonts w:ascii="Arial Narrow" w:hAnsi="Arial Narrow" w:cs="Arial"/>
                <w:color w:val="000000" w:themeColor="text1"/>
                <w:sz w:val="20"/>
                <w:szCs w:val="20"/>
                <w:lang w:eastAsia="en-AU"/>
              </w:rPr>
              <w:t xml:space="preserve"> Multiple myeloma</w:t>
            </w:r>
          </w:p>
        </w:tc>
      </w:tr>
      <w:tr w:rsidR="00A56B9E" w:rsidRPr="00091816" w14:paraId="644A6814"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6D61998" w14:textId="1709F6BB" w:rsidR="00A56B9E" w:rsidRPr="00091816" w:rsidRDefault="00A56B9E" w:rsidP="001C47F4">
            <w:pPr>
              <w:jc w:val="center"/>
              <w:rPr>
                <w:rFonts w:ascii="Arial Narrow" w:hAnsi="Arial Narrow" w:cs="Arial"/>
                <w:color w:val="000000" w:themeColor="text1"/>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EA0A799" w14:textId="77777777" w:rsidR="00A56B9E" w:rsidRPr="00091816" w:rsidRDefault="00A56B9E" w:rsidP="001C47F4">
            <w:pPr>
              <w:rPr>
                <w:rFonts w:ascii="Arial Narrow" w:hAnsi="Arial Narrow" w:cs="Arial"/>
                <w:color w:val="000000" w:themeColor="text1"/>
                <w:sz w:val="20"/>
                <w:szCs w:val="20"/>
                <w:lang w:eastAsia="en-AU"/>
              </w:rPr>
            </w:pPr>
            <w:r w:rsidRPr="00091816">
              <w:rPr>
                <w:rFonts w:ascii="Arial Narrow" w:hAnsi="Arial Narrow" w:cs="Arial"/>
                <w:b/>
                <w:color w:val="000000" w:themeColor="text1"/>
                <w:sz w:val="20"/>
                <w:szCs w:val="20"/>
                <w:lang w:eastAsia="en-AU"/>
              </w:rPr>
              <w:t>Indication:</w:t>
            </w:r>
            <w:r w:rsidRPr="00091816">
              <w:rPr>
                <w:rFonts w:ascii="Arial Narrow" w:hAnsi="Arial Narrow" w:cs="Arial"/>
                <w:color w:val="000000" w:themeColor="text1"/>
                <w:sz w:val="20"/>
                <w:szCs w:val="20"/>
                <w:lang w:eastAsia="en-AU"/>
              </w:rPr>
              <w:t xml:space="preserve"> Relapsed or refractory multiple myeloma</w:t>
            </w:r>
          </w:p>
        </w:tc>
      </w:tr>
      <w:tr w:rsidR="00A56B9E" w:rsidRPr="00091816" w14:paraId="0CE69BBB"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587BCC2" w14:textId="77777777" w:rsidR="00A56B9E" w:rsidRPr="00091816" w:rsidRDefault="00A56B9E" w:rsidP="001C47F4">
            <w:pPr>
              <w:jc w:val="center"/>
              <w:rPr>
                <w:rFonts w:ascii="Arial Narrow" w:hAnsi="Arial Narrow" w:cs="Arial"/>
                <w:color w:val="000000" w:themeColor="text1"/>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3610AC3" w14:textId="77777777" w:rsidR="00A56B9E" w:rsidRPr="00091816" w:rsidRDefault="00A56B9E" w:rsidP="001C47F4">
            <w:pPr>
              <w:rPr>
                <w:rFonts w:ascii="Arial Narrow" w:hAnsi="Arial Narrow" w:cs="Arial"/>
                <w:b/>
                <w:color w:val="000000" w:themeColor="text1"/>
                <w:sz w:val="20"/>
                <w:szCs w:val="20"/>
                <w:lang w:eastAsia="en-AU"/>
              </w:rPr>
            </w:pPr>
            <w:r w:rsidRPr="00091816">
              <w:rPr>
                <w:rFonts w:ascii="Arial Narrow" w:hAnsi="Arial Narrow" w:cs="Arial"/>
                <w:b/>
                <w:bCs/>
                <w:color w:val="000000" w:themeColor="text1"/>
                <w:sz w:val="20"/>
                <w:szCs w:val="20"/>
                <w:lang w:eastAsia="en-AU"/>
              </w:rPr>
              <w:t>Treatment</w:t>
            </w:r>
            <w:r w:rsidRPr="00091816">
              <w:rPr>
                <w:rFonts w:ascii="Arial Narrow" w:hAnsi="Arial Narrow" w:cs="Arial"/>
                <w:b/>
                <w:bCs/>
                <w:color w:val="000000" w:themeColor="text1"/>
                <w:spacing w:val="-3"/>
                <w:sz w:val="20"/>
                <w:szCs w:val="20"/>
                <w:lang w:eastAsia="en-AU"/>
              </w:rPr>
              <w:t xml:space="preserve"> </w:t>
            </w:r>
            <w:r w:rsidRPr="00091816">
              <w:rPr>
                <w:rFonts w:ascii="Arial Narrow" w:hAnsi="Arial Narrow" w:cs="Arial"/>
                <w:b/>
                <w:bCs/>
                <w:color w:val="000000" w:themeColor="text1"/>
                <w:sz w:val="20"/>
                <w:szCs w:val="20"/>
                <w:lang w:eastAsia="en-AU"/>
              </w:rPr>
              <w:t>Phase:</w:t>
            </w:r>
            <w:r w:rsidRPr="00091816">
              <w:rPr>
                <w:rFonts w:ascii="Arial Narrow" w:hAnsi="Arial Narrow" w:cs="Arial"/>
                <w:b/>
                <w:bCs/>
                <w:color w:val="000000" w:themeColor="text1"/>
                <w:spacing w:val="-1"/>
                <w:sz w:val="20"/>
                <w:szCs w:val="20"/>
                <w:lang w:eastAsia="en-AU"/>
              </w:rPr>
              <w:t xml:space="preserve"> </w:t>
            </w:r>
            <w:r w:rsidRPr="00091816">
              <w:rPr>
                <w:rFonts w:ascii="Arial Narrow" w:hAnsi="Arial Narrow" w:cs="Arial"/>
                <w:color w:val="000000" w:themeColor="text1"/>
                <w:sz w:val="20"/>
                <w:szCs w:val="20"/>
                <w:lang w:eastAsia="en-AU"/>
              </w:rPr>
              <w:t xml:space="preserve">Continuing treatment </w:t>
            </w:r>
          </w:p>
        </w:tc>
      </w:tr>
      <w:tr w:rsidR="000644AC" w:rsidRPr="00091816" w14:paraId="3AB5B063"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049C928" w14:textId="01324B53" w:rsidR="000644AC" w:rsidRPr="00091816" w:rsidRDefault="000644AC" w:rsidP="001C47F4">
            <w:pPr>
              <w:jc w:val="center"/>
              <w:rPr>
                <w:rFonts w:ascii="Arial Narrow" w:hAnsi="Arial Narrow" w:cs="Arial"/>
                <w:color w:val="000000" w:themeColor="text1"/>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9B6F3D9" w14:textId="77777777" w:rsidR="000644AC" w:rsidRPr="00091816" w:rsidRDefault="000644AC" w:rsidP="001C47F4">
            <w:pPr>
              <w:rPr>
                <w:rFonts w:ascii="Arial Narrow" w:hAnsi="Arial Narrow" w:cs="Arial"/>
                <w:b/>
                <w:bCs/>
                <w:color w:val="000000" w:themeColor="text1"/>
                <w:spacing w:val="-5"/>
                <w:sz w:val="20"/>
                <w:szCs w:val="20"/>
                <w:lang w:eastAsia="en-AU"/>
              </w:rPr>
            </w:pPr>
            <w:r w:rsidRPr="00091816">
              <w:rPr>
                <w:rFonts w:ascii="Arial Narrow" w:hAnsi="Arial Narrow" w:cs="Arial"/>
                <w:b/>
                <w:bCs/>
                <w:color w:val="000000" w:themeColor="text1"/>
                <w:sz w:val="20"/>
                <w:szCs w:val="20"/>
                <w:lang w:eastAsia="en-AU"/>
              </w:rPr>
              <w:t>Clinical</w:t>
            </w:r>
            <w:r w:rsidRPr="00091816">
              <w:rPr>
                <w:rFonts w:ascii="Arial Narrow" w:hAnsi="Arial Narrow" w:cs="Arial"/>
                <w:b/>
                <w:bCs/>
                <w:color w:val="000000" w:themeColor="text1"/>
                <w:spacing w:val="-4"/>
                <w:sz w:val="20"/>
                <w:szCs w:val="20"/>
                <w:lang w:eastAsia="en-AU"/>
              </w:rPr>
              <w:t xml:space="preserve"> </w:t>
            </w:r>
            <w:r w:rsidRPr="00091816">
              <w:rPr>
                <w:rFonts w:ascii="Arial Narrow" w:hAnsi="Arial Narrow" w:cs="Arial"/>
                <w:b/>
                <w:bCs/>
                <w:color w:val="000000" w:themeColor="text1"/>
                <w:spacing w:val="-2"/>
                <w:sz w:val="20"/>
                <w:szCs w:val="20"/>
                <w:lang w:eastAsia="en-AU"/>
              </w:rPr>
              <w:t>criteria:</w:t>
            </w:r>
          </w:p>
        </w:tc>
      </w:tr>
      <w:tr w:rsidR="000644AC" w:rsidRPr="00091816" w14:paraId="598CA4F4"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3C96A9" w14:textId="01805705" w:rsidR="000644AC" w:rsidRPr="00091816" w:rsidRDefault="000644AC" w:rsidP="001C47F4">
            <w:pPr>
              <w:jc w:val="center"/>
              <w:rPr>
                <w:rFonts w:ascii="Arial Narrow" w:hAnsi="Arial Narrow" w:cs="Arial"/>
                <w:color w:val="000000" w:themeColor="text1"/>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A6CC34A" w14:textId="70BE0DEE" w:rsidR="000644AC" w:rsidRPr="00091816" w:rsidRDefault="000644AC" w:rsidP="001C47F4">
            <w:pPr>
              <w:rPr>
                <w:rFonts w:ascii="Arial Narrow" w:hAnsi="Arial Narrow" w:cs="Arial"/>
                <w:b/>
                <w:bCs/>
                <w:color w:val="000000" w:themeColor="text1"/>
                <w:sz w:val="20"/>
                <w:szCs w:val="20"/>
                <w:lang w:eastAsia="en-AU"/>
              </w:rPr>
            </w:pPr>
            <w:r w:rsidRPr="00091816">
              <w:rPr>
                <w:rFonts w:ascii="Arial Narrow" w:eastAsia="MS Mincho" w:hAnsi="Arial Narrow" w:cs="Arial"/>
                <w:color w:val="000000" w:themeColor="text1"/>
                <w:sz w:val="20"/>
                <w:szCs w:val="20"/>
                <w:lang w:eastAsia="en-AU"/>
              </w:rPr>
              <w:t>Patient must have had progressive disease after receiving at least 3 prior lines of therapy, including each of the following therapies: (i) a proteasome inhibitor, (ii) an immunomodulatory agent, and (iii) an anti</w:t>
            </w:r>
            <w:r w:rsidR="00EC1990">
              <w:rPr>
                <w:rFonts w:ascii="Arial Narrow" w:eastAsia="MS Mincho" w:hAnsi="Arial Narrow" w:cs="Arial"/>
                <w:color w:val="000000" w:themeColor="text1"/>
                <w:sz w:val="20"/>
                <w:szCs w:val="20"/>
                <w:lang w:eastAsia="en-AU"/>
              </w:rPr>
              <w:noBreakHyphen/>
            </w:r>
            <w:r w:rsidRPr="00091816">
              <w:rPr>
                <w:rFonts w:ascii="Arial Narrow" w:eastAsia="MS Mincho" w:hAnsi="Arial Narrow" w:cs="Arial"/>
                <w:color w:val="000000" w:themeColor="text1"/>
                <w:sz w:val="20"/>
                <w:szCs w:val="20"/>
                <w:lang w:eastAsia="en-AU"/>
              </w:rPr>
              <w:t>CD38 monoclonal antibody; or</w:t>
            </w:r>
          </w:p>
        </w:tc>
      </w:tr>
      <w:tr w:rsidR="000644AC" w:rsidRPr="00091816" w14:paraId="611F4C21"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A111E4" w14:textId="353FB048" w:rsidR="000644AC" w:rsidRPr="00091816" w:rsidRDefault="000644AC" w:rsidP="001C47F4">
            <w:pPr>
              <w:jc w:val="center"/>
              <w:rPr>
                <w:rFonts w:ascii="Arial Narrow" w:hAnsi="Arial Narrow" w:cs="Arial"/>
                <w:color w:val="000000" w:themeColor="text1"/>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53804DC" w14:textId="3B34F5DA" w:rsidR="000644AC" w:rsidRPr="00091816" w:rsidRDefault="000644AC" w:rsidP="001C47F4">
            <w:pPr>
              <w:rPr>
                <w:rFonts w:ascii="Arial Narrow" w:hAnsi="Arial Narrow" w:cs="Arial"/>
                <w:b/>
                <w:bCs/>
                <w:color w:val="000000" w:themeColor="text1"/>
                <w:spacing w:val="-5"/>
                <w:sz w:val="20"/>
                <w:szCs w:val="20"/>
                <w:lang w:eastAsia="en-AU"/>
              </w:rPr>
            </w:pPr>
            <w:r w:rsidRPr="00091816">
              <w:rPr>
                <w:rFonts w:ascii="Arial Narrow" w:hAnsi="Arial Narrow" w:cs="Arial"/>
                <w:color w:val="000000" w:themeColor="text1"/>
                <w:spacing w:val="-2"/>
                <w:sz w:val="20"/>
                <w:szCs w:val="20"/>
                <w:lang w:eastAsia="en-AU"/>
              </w:rPr>
              <w:t>Patient must have been refractory to, at least 3 prior lines of therapy, including each of the following therapies: (i) a proteasome inhibitor, (ii) an immunomodulatory agent, (iii) an anti</w:t>
            </w:r>
            <w:r w:rsidR="00EC1990">
              <w:rPr>
                <w:rFonts w:ascii="Arial Narrow" w:hAnsi="Arial Narrow" w:cs="Arial"/>
                <w:color w:val="000000" w:themeColor="text1"/>
                <w:spacing w:val="-2"/>
                <w:sz w:val="20"/>
                <w:szCs w:val="20"/>
                <w:lang w:eastAsia="en-AU"/>
              </w:rPr>
              <w:noBreakHyphen/>
            </w:r>
            <w:r w:rsidRPr="00091816">
              <w:rPr>
                <w:rFonts w:ascii="Arial Narrow" w:hAnsi="Arial Narrow" w:cs="Arial"/>
                <w:color w:val="000000" w:themeColor="text1"/>
                <w:spacing w:val="-2"/>
                <w:sz w:val="20"/>
                <w:szCs w:val="20"/>
                <w:lang w:eastAsia="en-AU"/>
              </w:rPr>
              <w:t>CD38 monoclonal antibody</w:t>
            </w:r>
          </w:p>
        </w:tc>
      </w:tr>
      <w:tr w:rsidR="00A56B9E" w:rsidRPr="00091816" w14:paraId="113C7312"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68399CE" w14:textId="77777777" w:rsidR="00A56B9E" w:rsidRPr="00091816" w:rsidRDefault="00A56B9E" w:rsidP="001C47F4">
            <w:pPr>
              <w:jc w:val="center"/>
              <w:rPr>
                <w:rFonts w:ascii="Arial Narrow" w:hAnsi="Arial Narrow" w:cs="Arial"/>
                <w:color w:val="000000" w:themeColor="text1"/>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1B03DB6" w14:textId="77777777" w:rsidR="00A56B9E" w:rsidRPr="00091816" w:rsidRDefault="00A56B9E" w:rsidP="001C47F4">
            <w:pPr>
              <w:rPr>
                <w:rFonts w:ascii="Arial Narrow" w:hAnsi="Arial Narrow" w:cs="Arial"/>
                <w:b/>
                <w:bCs/>
                <w:color w:val="000000" w:themeColor="text1"/>
                <w:spacing w:val="-5"/>
                <w:sz w:val="20"/>
                <w:szCs w:val="20"/>
                <w:lang w:eastAsia="en-AU"/>
              </w:rPr>
            </w:pPr>
            <w:r w:rsidRPr="00091816">
              <w:rPr>
                <w:rFonts w:ascii="Calibri" w:hAnsi="Calibri" w:cs="Arial"/>
                <w:b/>
                <w:bCs/>
                <w:color w:val="000000" w:themeColor="text1"/>
                <w:spacing w:val="-2"/>
                <w:sz w:val="20"/>
                <w:szCs w:val="20"/>
                <w:lang w:eastAsia="en-AU"/>
              </w:rPr>
              <w:t>AND</w:t>
            </w:r>
          </w:p>
        </w:tc>
      </w:tr>
      <w:tr w:rsidR="00870EA4" w:rsidRPr="00091816" w14:paraId="0F178C3C" w14:textId="77777777" w:rsidTr="00870EA4">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7172812" w14:textId="1DC41339" w:rsidR="00870EA4" w:rsidRPr="00091816" w:rsidRDefault="00870EA4" w:rsidP="001C47F4">
            <w:pPr>
              <w:jc w:val="center"/>
              <w:rPr>
                <w:rFonts w:ascii="Arial Narrow" w:hAnsi="Arial Narrow" w:cs="Arial"/>
                <w:color w:val="000000" w:themeColor="text1"/>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E690CA9" w14:textId="77777777" w:rsidR="00870EA4" w:rsidRPr="00091816" w:rsidRDefault="00870EA4" w:rsidP="001C47F4">
            <w:pPr>
              <w:rPr>
                <w:rFonts w:ascii="Arial Narrow" w:hAnsi="Arial Narrow" w:cs="Arial"/>
                <w:b/>
                <w:bCs/>
                <w:color w:val="000000" w:themeColor="text1"/>
                <w:spacing w:val="-5"/>
                <w:sz w:val="20"/>
                <w:szCs w:val="20"/>
                <w:lang w:eastAsia="en-AU"/>
              </w:rPr>
            </w:pPr>
            <w:r w:rsidRPr="00091816">
              <w:rPr>
                <w:rFonts w:ascii="Arial Narrow" w:hAnsi="Arial Narrow" w:cs="Arial"/>
                <w:b/>
                <w:bCs/>
                <w:color w:val="000000" w:themeColor="text1"/>
                <w:sz w:val="20"/>
                <w:szCs w:val="20"/>
                <w:lang w:eastAsia="en-AU"/>
              </w:rPr>
              <w:t>Clinical</w:t>
            </w:r>
            <w:r w:rsidRPr="00091816">
              <w:rPr>
                <w:rFonts w:ascii="Arial Narrow" w:hAnsi="Arial Narrow" w:cs="Arial"/>
                <w:b/>
                <w:bCs/>
                <w:color w:val="000000" w:themeColor="text1"/>
                <w:spacing w:val="-4"/>
                <w:sz w:val="20"/>
                <w:szCs w:val="20"/>
                <w:lang w:eastAsia="en-AU"/>
              </w:rPr>
              <w:t xml:space="preserve"> </w:t>
            </w:r>
            <w:r w:rsidRPr="00091816">
              <w:rPr>
                <w:rFonts w:ascii="Arial Narrow" w:hAnsi="Arial Narrow" w:cs="Arial"/>
                <w:b/>
                <w:bCs/>
                <w:color w:val="000000" w:themeColor="text1"/>
                <w:spacing w:val="-2"/>
                <w:sz w:val="20"/>
                <w:szCs w:val="20"/>
                <w:lang w:eastAsia="en-AU"/>
              </w:rPr>
              <w:t>criteria:</w:t>
            </w:r>
          </w:p>
        </w:tc>
      </w:tr>
      <w:tr w:rsidR="00870EA4" w:rsidRPr="00091816" w14:paraId="753A51E1" w14:textId="77777777" w:rsidTr="00870EA4">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56B8F4C" w14:textId="2752BF10" w:rsidR="00870EA4" w:rsidRPr="00091816" w:rsidRDefault="00870EA4" w:rsidP="001C47F4">
            <w:pPr>
              <w:jc w:val="center"/>
              <w:rPr>
                <w:rFonts w:ascii="Arial Narrow" w:hAnsi="Arial Narrow" w:cs="Arial"/>
                <w:color w:val="000000" w:themeColor="text1"/>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A65249C" w14:textId="77777777" w:rsidR="00870EA4" w:rsidRPr="00091816" w:rsidRDefault="00870EA4" w:rsidP="001C47F4">
            <w:pPr>
              <w:rPr>
                <w:rFonts w:ascii="Arial Narrow" w:hAnsi="Arial Narrow" w:cs="Arial"/>
                <w:b/>
                <w:bCs/>
                <w:color w:val="000000" w:themeColor="text1"/>
                <w:spacing w:val="-5"/>
                <w:sz w:val="20"/>
                <w:szCs w:val="20"/>
                <w:lang w:eastAsia="en-AU"/>
              </w:rPr>
            </w:pPr>
            <w:r w:rsidRPr="00091816">
              <w:rPr>
                <w:rFonts w:ascii="Arial Narrow" w:hAnsi="Arial Narrow" w:cs="Arial"/>
                <w:color w:val="000000" w:themeColor="text1"/>
                <w:spacing w:val="-2"/>
                <w:sz w:val="20"/>
                <w:szCs w:val="20"/>
                <w:lang w:eastAsia="en-AU"/>
              </w:rPr>
              <w:t>Patient must have a WHO performance status of 2 or less prior to initiating treatment with this drug for this condition</w:t>
            </w:r>
          </w:p>
        </w:tc>
      </w:tr>
      <w:tr w:rsidR="00821983" w:rsidRPr="00091816" w14:paraId="63DF60FB" w14:textId="77777777" w:rsidTr="00870EA4">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E4875D" w14:textId="7D655F3D" w:rsidR="00821983" w:rsidRPr="006715E7" w:rsidRDefault="00821983"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029EFC1" w14:textId="02B66700" w:rsidR="00821983" w:rsidRPr="00D12EB8" w:rsidRDefault="00821983" w:rsidP="001C47F4">
            <w:pPr>
              <w:rPr>
                <w:rFonts w:ascii="Arial Narrow" w:hAnsi="Arial Narrow" w:cs="Arial"/>
                <w:color w:val="000000" w:themeColor="text1"/>
                <w:spacing w:val="-2"/>
                <w:sz w:val="20"/>
                <w:szCs w:val="20"/>
                <w:lang w:eastAsia="en-AU"/>
              </w:rPr>
            </w:pPr>
            <w:r w:rsidRPr="00D12EB8">
              <w:rPr>
                <w:rFonts w:ascii="Arial Narrow" w:hAnsi="Arial Narrow" w:cs="Arial"/>
                <w:b/>
                <w:bCs/>
                <w:sz w:val="20"/>
                <w:szCs w:val="20"/>
                <w:lang w:eastAsia="en-AU"/>
              </w:rPr>
              <w:t>Clinical</w:t>
            </w:r>
            <w:r w:rsidRPr="00D12EB8">
              <w:rPr>
                <w:rFonts w:ascii="Arial Narrow" w:hAnsi="Arial Narrow" w:cs="Arial"/>
                <w:b/>
                <w:bCs/>
                <w:spacing w:val="-4"/>
                <w:sz w:val="20"/>
                <w:szCs w:val="20"/>
                <w:lang w:eastAsia="en-AU"/>
              </w:rPr>
              <w:t xml:space="preserve"> </w:t>
            </w:r>
            <w:r w:rsidRPr="00D12EB8">
              <w:rPr>
                <w:rFonts w:ascii="Arial Narrow" w:hAnsi="Arial Narrow" w:cs="Arial"/>
                <w:b/>
                <w:bCs/>
                <w:spacing w:val="-2"/>
                <w:sz w:val="20"/>
                <w:szCs w:val="20"/>
                <w:lang w:eastAsia="en-AU"/>
              </w:rPr>
              <w:t>criteria:</w:t>
            </w:r>
          </w:p>
        </w:tc>
      </w:tr>
      <w:tr w:rsidR="00821983" w:rsidRPr="00091816" w14:paraId="51489EEE" w14:textId="77777777" w:rsidTr="00870EA4">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8EC87F2" w14:textId="0B94BC32" w:rsidR="00821983" w:rsidRPr="006715E7" w:rsidRDefault="00821983"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5282CB9" w14:textId="1919237E" w:rsidR="00821983" w:rsidRPr="00D12EB8" w:rsidRDefault="00821983" w:rsidP="001C47F4">
            <w:pPr>
              <w:rPr>
                <w:rFonts w:ascii="Arial Narrow" w:hAnsi="Arial Narrow" w:cs="Arial"/>
                <w:color w:val="000000" w:themeColor="text1"/>
                <w:spacing w:val="-2"/>
                <w:sz w:val="20"/>
                <w:szCs w:val="20"/>
                <w:lang w:eastAsia="en-AU"/>
              </w:rPr>
            </w:pPr>
            <w:r w:rsidRPr="00D12EB8">
              <w:rPr>
                <w:rFonts w:ascii="Arial Narrow" w:hAnsi="Arial Narrow" w:cs="Arial"/>
                <w:sz w:val="20"/>
                <w:szCs w:val="20"/>
                <w:lang w:eastAsia="en-AU"/>
              </w:rPr>
              <w:t>Patient must not have previously received treatment with another B</w:t>
            </w:r>
            <w:r w:rsidR="00EC1990" w:rsidRPr="00D12EB8">
              <w:rPr>
                <w:rFonts w:ascii="Arial Narrow" w:hAnsi="Arial Narrow" w:cs="Arial"/>
                <w:sz w:val="20"/>
                <w:szCs w:val="20"/>
                <w:lang w:eastAsia="en-AU"/>
              </w:rPr>
              <w:noBreakHyphen/>
            </w:r>
            <w:r w:rsidRPr="00D12EB8">
              <w:rPr>
                <w:rFonts w:ascii="Arial Narrow" w:hAnsi="Arial Narrow" w:cs="Arial"/>
                <w:sz w:val="20"/>
                <w:szCs w:val="20"/>
                <w:lang w:eastAsia="en-AU"/>
              </w:rPr>
              <w:t>cell maturation antigen (BCMA) directed therapy for this condition; or</w:t>
            </w:r>
          </w:p>
        </w:tc>
      </w:tr>
      <w:tr w:rsidR="00821983" w:rsidRPr="00091816" w14:paraId="0A9A6BBB" w14:textId="77777777" w:rsidTr="00870EA4">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0C52148" w14:textId="348E83FE" w:rsidR="00821983" w:rsidRPr="006715E7" w:rsidRDefault="00821983"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59AB18E" w14:textId="0D130BAB" w:rsidR="00821983" w:rsidRPr="00D12EB8" w:rsidRDefault="00821983" w:rsidP="001C47F4">
            <w:pPr>
              <w:rPr>
                <w:rFonts w:ascii="Arial Narrow" w:hAnsi="Arial Narrow" w:cs="Arial"/>
                <w:color w:val="000000" w:themeColor="text1"/>
                <w:spacing w:val="-2"/>
                <w:sz w:val="20"/>
                <w:szCs w:val="20"/>
                <w:lang w:eastAsia="en-AU"/>
              </w:rPr>
            </w:pPr>
            <w:r w:rsidRPr="00D12EB8">
              <w:rPr>
                <w:rFonts w:ascii="Arial Narrow" w:eastAsia="MS Mincho" w:hAnsi="Arial Narrow" w:cs="Arial Narrow"/>
                <w:spacing w:val="-2"/>
                <w:sz w:val="20"/>
                <w:szCs w:val="20"/>
                <w:lang w:eastAsia="en-AU"/>
              </w:rPr>
              <w:t xml:space="preserve">Patient must have received </w:t>
            </w:r>
            <w:r w:rsidR="00A85908" w:rsidRPr="00D12EB8">
              <w:rPr>
                <w:rFonts w:ascii="Arial Narrow" w:eastAsia="MS Mincho" w:hAnsi="Arial Narrow" w:cs="Arial Narrow"/>
                <w:spacing w:val="-2"/>
                <w:sz w:val="20"/>
                <w:szCs w:val="20"/>
                <w:lang w:eastAsia="en-AU"/>
              </w:rPr>
              <w:t>elranatamab</w:t>
            </w:r>
            <w:r w:rsidRPr="00D12EB8">
              <w:rPr>
                <w:rFonts w:ascii="Arial Narrow" w:eastAsia="MS Mincho" w:hAnsi="Arial Narrow" w:cs="Arial Narrow"/>
                <w:spacing w:val="-2"/>
                <w:sz w:val="20"/>
                <w:szCs w:val="20"/>
                <w:lang w:eastAsia="en-AU"/>
              </w:rPr>
              <w:t xml:space="preserve"> for this PBS indication and are switching treatment due to intolerance</w:t>
            </w:r>
          </w:p>
        </w:tc>
      </w:tr>
      <w:tr w:rsidR="00A56B9E" w:rsidRPr="00091816" w14:paraId="1C0D1528"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9642371" w14:textId="77777777" w:rsidR="00A56B9E" w:rsidRPr="00091816" w:rsidRDefault="00A56B9E" w:rsidP="001C47F4">
            <w:pPr>
              <w:jc w:val="center"/>
              <w:rPr>
                <w:rFonts w:ascii="Arial Narrow" w:hAnsi="Arial Narrow" w:cs="Arial"/>
                <w:color w:val="000000" w:themeColor="text1"/>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1B085E2" w14:textId="77777777" w:rsidR="00A56B9E" w:rsidRPr="00D12EB8" w:rsidRDefault="00A56B9E" w:rsidP="001C47F4">
            <w:pPr>
              <w:rPr>
                <w:rFonts w:ascii="Arial Narrow" w:hAnsi="Arial Narrow" w:cs="Arial"/>
                <w:b/>
                <w:bCs/>
                <w:color w:val="000000" w:themeColor="text1"/>
                <w:spacing w:val="-5"/>
                <w:sz w:val="20"/>
                <w:szCs w:val="20"/>
                <w:lang w:eastAsia="en-AU"/>
              </w:rPr>
            </w:pPr>
            <w:r w:rsidRPr="00D12EB8">
              <w:rPr>
                <w:rFonts w:ascii="Arial Narrow" w:hAnsi="Arial Narrow" w:cs="Arial"/>
                <w:b/>
                <w:bCs/>
                <w:color w:val="000000" w:themeColor="text1"/>
                <w:spacing w:val="-2"/>
                <w:sz w:val="20"/>
                <w:szCs w:val="20"/>
                <w:lang w:eastAsia="en-AU"/>
              </w:rPr>
              <w:t>AND</w:t>
            </w:r>
          </w:p>
        </w:tc>
      </w:tr>
      <w:tr w:rsidR="00A56B9E" w:rsidRPr="00091816" w14:paraId="32319524"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CF1624B" w14:textId="5A6A7A5E" w:rsidR="00A56B9E" w:rsidRPr="00091816" w:rsidRDefault="00A56B9E" w:rsidP="001C47F4">
            <w:pPr>
              <w:jc w:val="center"/>
              <w:rPr>
                <w:rFonts w:ascii="Arial Narrow" w:hAnsi="Arial Narrow" w:cs="Arial"/>
                <w:color w:val="000000" w:themeColor="text1"/>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354AB05" w14:textId="77777777" w:rsidR="00A56B9E" w:rsidRPr="00091816" w:rsidRDefault="00A56B9E" w:rsidP="001C47F4">
            <w:pPr>
              <w:rPr>
                <w:rFonts w:ascii="Arial Narrow" w:hAnsi="Arial Narrow" w:cs="Arial"/>
                <w:b/>
                <w:bCs/>
                <w:color w:val="000000" w:themeColor="text1"/>
                <w:spacing w:val="-5"/>
                <w:sz w:val="20"/>
                <w:szCs w:val="20"/>
                <w:lang w:eastAsia="en-AU"/>
              </w:rPr>
            </w:pPr>
            <w:r w:rsidRPr="00091816">
              <w:rPr>
                <w:rFonts w:ascii="Arial Narrow" w:hAnsi="Arial Narrow" w:cs="Arial"/>
                <w:b/>
                <w:bCs/>
                <w:color w:val="000000" w:themeColor="text1"/>
                <w:sz w:val="20"/>
                <w:szCs w:val="20"/>
                <w:lang w:eastAsia="en-AU"/>
              </w:rPr>
              <w:t>Clinical</w:t>
            </w:r>
            <w:r w:rsidRPr="00091816">
              <w:rPr>
                <w:rFonts w:ascii="Arial Narrow" w:hAnsi="Arial Narrow" w:cs="Arial"/>
                <w:b/>
                <w:bCs/>
                <w:color w:val="000000" w:themeColor="text1"/>
                <w:spacing w:val="-4"/>
                <w:sz w:val="20"/>
                <w:szCs w:val="20"/>
                <w:lang w:eastAsia="en-AU"/>
              </w:rPr>
              <w:t xml:space="preserve"> </w:t>
            </w:r>
            <w:r w:rsidRPr="00091816">
              <w:rPr>
                <w:rFonts w:ascii="Arial Narrow" w:hAnsi="Arial Narrow" w:cs="Arial"/>
                <w:b/>
                <w:bCs/>
                <w:color w:val="000000" w:themeColor="text1"/>
                <w:spacing w:val="-2"/>
                <w:sz w:val="20"/>
                <w:szCs w:val="20"/>
                <w:lang w:eastAsia="en-AU"/>
              </w:rPr>
              <w:t>criteria:</w:t>
            </w:r>
          </w:p>
        </w:tc>
      </w:tr>
      <w:tr w:rsidR="00A56B9E" w:rsidRPr="00091816" w14:paraId="209496C6"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3335401" w14:textId="60C85698" w:rsidR="00A56B9E" w:rsidRPr="00091816" w:rsidRDefault="00A56B9E" w:rsidP="001C47F4">
            <w:pPr>
              <w:jc w:val="center"/>
              <w:rPr>
                <w:rFonts w:ascii="Arial Narrow" w:hAnsi="Arial Narrow" w:cs="Arial"/>
                <w:color w:val="000000" w:themeColor="text1"/>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32A809B" w14:textId="63478A28" w:rsidR="00A56B9E" w:rsidRPr="00091816" w:rsidRDefault="00A56B9E" w:rsidP="001C47F4">
            <w:pPr>
              <w:rPr>
                <w:rFonts w:ascii="Arial Narrow" w:hAnsi="Arial Narrow" w:cs="Arial"/>
                <w:b/>
                <w:bCs/>
                <w:color w:val="000000" w:themeColor="text1"/>
                <w:sz w:val="20"/>
                <w:szCs w:val="20"/>
                <w:lang w:eastAsia="en-AU"/>
              </w:rPr>
            </w:pPr>
            <w:r w:rsidRPr="00091816">
              <w:rPr>
                <w:rFonts w:ascii="Arial Narrow" w:hAnsi="Arial Narrow" w:cs="Arial"/>
                <w:color w:val="000000" w:themeColor="text1"/>
                <w:spacing w:val="-2"/>
                <w:sz w:val="20"/>
                <w:szCs w:val="20"/>
                <w:lang w:eastAsia="en-AU"/>
              </w:rPr>
              <w:t xml:space="preserve">Patient must not have developed disease progression while receiving treatment with </w:t>
            </w:r>
            <w:r w:rsidR="009A47A7">
              <w:rPr>
                <w:rFonts w:ascii="Arial Narrow" w:hAnsi="Arial Narrow" w:cs="Arial"/>
                <w:color w:val="000000" w:themeColor="text1"/>
                <w:spacing w:val="-2"/>
                <w:sz w:val="20"/>
                <w:szCs w:val="20"/>
                <w:lang w:eastAsia="en-AU"/>
              </w:rPr>
              <w:t xml:space="preserve">a BCMA directed therapy </w:t>
            </w:r>
            <w:r w:rsidRPr="00091816">
              <w:rPr>
                <w:rFonts w:ascii="Arial Narrow" w:hAnsi="Arial Narrow" w:cs="Arial"/>
                <w:color w:val="000000" w:themeColor="text1"/>
                <w:spacing w:val="-2"/>
                <w:sz w:val="20"/>
                <w:szCs w:val="20"/>
                <w:lang w:eastAsia="en-AU"/>
              </w:rPr>
              <w:t>for this condition</w:t>
            </w:r>
          </w:p>
        </w:tc>
      </w:tr>
      <w:tr w:rsidR="00A56B9E" w:rsidRPr="00091816" w14:paraId="6392C770"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F68E2F2" w14:textId="77777777" w:rsidR="00A56B9E" w:rsidRPr="00091816" w:rsidRDefault="00A56B9E" w:rsidP="001C47F4">
            <w:pPr>
              <w:jc w:val="center"/>
              <w:rPr>
                <w:rFonts w:ascii="Arial Narrow" w:hAnsi="Arial Narrow" w:cs="Arial"/>
                <w:color w:val="000000" w:themeColor="text1"/>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5D766E1" w14:textId="77777777" w:rsidR="00A56B9E" w:rsidRPr="00091816" w:rsidRDefault="00A56B9E" w:rsidP="001C47F4">
            <w:pPr>
              <w:rPr>
                <w:rFonts w:ascii="Arial Narrow" w:hAnsi="Arial Narrow" w:cs="Arial"/>
                <w:color w:val="000000" w:themeColor="text1"/>
                <w:spacing w:val="-2"/>
                <w:sz w:val="20"/>
                <w:szCs w:val="20"/>
                <w:lang w:eastAsia="en-AU"/>
              </w:rPr>
            </w:pPr>
            <w:r w:rsidRPr="00091816">
              <w:rPr>
                <w:rFonts w:ascii="Arial Narrow" w:hAnsi="Arial Narrow" w:cs="Arial"/>
                <w:b/>
                <w:bCs/>
                <w:color w:val="000000" w:themeColor="text1"/>
                <w:spacing w:val="-5"/>
                <w:sz w:val="20"/>
                <w:szCs w:val="20"/>
                <w:lang w:eastAsia="en-AU"/>
              </w:rPr>
              <w:t>AND</w:t>
            </w:r>
          </w:p>
        </w:tc>
      </w:tr>
      <w:tr w:rsidR="00312827" w:rsidRPr="00091816" w14:paraId="148F0F42" w14:textId="77777777" w:rsidTr="0031282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0F9FDB7" w14:textId="36811F4F" w:rsidR="00312827" w:rsidRPr="00091816" w:rsidRDefault="00312827" w:rsidP="001C47F4">
            <w:pPr>
              <w:jc w:val="center"/>
              <w:rPr>
                <w:rFonts w:ascii="Arial Narrow" w:hAnsi="Arial Narrow" w:cs="Arial"/>
                <w:color w:val="000000" w:themeColor="text1"/>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18709C7" w14:textId="77777777" w:rsidR="00312827" w:rsidRPr="00091816" w:rsidRDefault="00312827" w:rsidP="001C47F4">
            <w:pPr>
              <w:rPr>
                <w:rFonts w:ascii="Arial Narrow" w:hAnsi="Arial Narrow" w:cs="Arial"/>
                <w:b/>
                <w:bCs/>
                <w:color w:val="000000" w:themeColor="text1"/>
                <w:sz w:val="20"/>
                <w:szCs w:val="20"/>
                <w:lang w:eastAsia="en-AU"/>
              </w:rPr>
            </w:pPr>
            <w:r w:rsidRPr="00091816">
              <w:rPr>
                <w:rFonts w:ascii="Arial Narrow" w:hAnsi="Arial Narrow" w:cs="Arial"/>
                <w:b/>
                <w:bCs/>
                <w:color w:val="000000" w:themeColor="text1"/>
                <w:sz w:val="20"/>
                <w:szCs w:val="20"/>
                <w:lang w:eastAsia="en-AU"/>
              </w:rPr>
              <w:t>Clinical criteria:</w:t>
            </w:r>
          </w:p>
        </w:tc>
      </w:tr>
      <w:tr w:rsidR="00312827" w:rsidRPr="00091816" w14:paraId="6E3672C6" w14:textId="77777777" w:rsidTr="0031282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F490309" w14:textId="129ADE69" w:rsidR="00312827" w:rsidRPr="00091816" w:rsidRDefault="00312827" w:rsidP="001C47F4">
            <w:pPr>
              <w:jc w:val="center"/>
              <w:rPr>
                <w:rFonts w:ascii="Arial Narrow" w:hAnsi="Arial Narrow" w:cs="Arial"/>
                <w:color w:val="000000" w:themeColor="text1"/>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F06429E" w14:textId="396CFB52" w:rsidR="00312827" w:rsidRPr="00091816" w:rsidRDefault="00312827" w:rsidP="001C47F4">
            <w:pPr>
              <w:rPr>
                <w:rFonts w:ascii="Arial Narrow" w:hAnsi="Arial Narrow" w:cs="Arial"/>
                <w:color w:val="000000" w:themeColor="text1"/>
                <w:sz w:val="20"/>
                <w:szCs w:val="20"/>
                <w:lang w:eastAsia="en-AU"/>
              </w:rPr>
            </w:pPr>
            <w:r w:rsidRPr="00091816">
              <w:rPr>
                <w:rFonts w:ascii="Arial Narrow" w:hAnsi="Arial Narrow" w:cs="Arial"/>
                <w:color w:val="000000" w:themeColor="text1"/>
                <w:sz w:val="20"/>
                <w:szCs w:val="20"/>
                <w:lang w:eastAsia="en-AU"/>
              </w:rPr>
              <w:t>The treatment must be the sole PBS</w:t>
            </w:r>
            <w:r w:rsidR="00EC1990">
              <w:rPr>
                <w:rFonts w:ascii="Arial Narrow" w:hAnsi="Arial Narrow" w:cs="Arial"/>
                <w:color w:val="000000" w:themeColor="text1"/>
                <w:sz w:val="20"/>
                <w:szCs w:val="20"/>
                <w:lang w:eastAsia="en-AU"/>
              </w:rPr>
              <w:noBreakHyphen/>
            </w:r>
            <w:r w:rsidRPr="00091816">
              <w:rPr>
                <w:rFonts w:ascii="Arial Narrow" w:hAnsi="Arial Narrow" w:cs="Arial"/>
                <w:color w:val="000000" w:themeColor="text1"/>
                <w:sz w:val="20"/>
                <w:szCs w:val="20"/>
                <w:lang w:eastAsia="en-AU"/>
              </w:rPr>
              <w:t>subsidised systemic anti</w:t>
            </w:r>
            <w:r w:rsidR="00EC1990">
              <w:rPr>
                <w:rFonts w:ascii="Arial Narrow" w:hAnsi="Arial Narrow" w:cs="Arial"/>
                <w:color w:val="000000" w:themeColor="text1"/>
                <w:sz w:val="20"/>
                <w:szCs w:val="20"/>
                <w:lang w:eastAsia="en-AU"/>
              </w:rPr>
              <w:noBreakHyphen/>
            </w:r>
            <w:r w:rsidRPr="00091816">
              <w:rPr>
                <w:rFonts w:ascii="Arial Narrow" w:hAnsi="Arial Narrow" w:cs="Arial"/>
                <w:color w:val="000000" w:themeColor="text1"/>
                <w:sz w:val="20"/>
                <w:szCs w:val="20"/>
                <w:lang w:eastAsia="en-AU"/>
              </w:rPr>
              <w:t>cancer therapy for this condition</w:t>
            </w:r>
          </w:p>
        </w:tc>
      </w:tr>
      <w:tr w:rsidR="00A56B9E" w:rsidRPr="00091816" w14:paraId="75F7682C" w14:textId="77777777" w:rsidTr="00905D53">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9DE0BCB" w14:textId="6189586A" w:rsidR="00A56B9E" w:rsidRPr="00091816" w:rsidRDefault="00A56B9E" w:rsidP="001C47F4">
            <w:pPr>
              <w:jc w:val="center"/>
              <w:rPr>
                <w:rFonts w:ascii="Arial Narrow" w:hAnsi="Arial Narrow" w:cs="Arial"/>
                <w:color w:val="000000" w:themeColor="text1"/>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67739F3" w14:textId="77777777"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b/>
                <w:bCs/>
                <w:color w:val="000000" w:themeColor="text1"/>
                <w:spacing w:val="-2"/>
                <w:sz w:val="20"/>
                <w:szCs w:val="20"/>
                <w:lang w:eastAsia="en-AU"/>
              </w:rPr>
            </w:pPr>
            <w:r w:rsidRPr="00091816">
              <w:rPr>
                <w:rFonts w:ascii="Arial Narrow" w:eastAsia="MS Mincho" w:hAnsi="Arial Narrow" w:cs="Arial Narrow"/>
                <w:b/>
                <w:bCs/>
                <w:color w:val="000000" w:themeColor="text1"/>
                <w:spacing w:val="-2"/>
                <w:sz w:val="20"/>
                <w:szCs w:val="20"/>
                <w:lang w:eastAsia="en-AU"/>
              </w:rPr>
              <w:t>Prescribing Instructions:</w:t>
            </w:r>
          </w:p>
          <w:p w14:paraId="76F6D286" w14:textId="7F80FA59" w:rsidR="00A56B9E" w:rsidRPr="00091816" w:rsidRDefault="00A56B9E" w:rsidP="001C47F4">
            <w:pPr>
              <w:rPr>
                <w:rFonts w:ascii="Arial Narrow" w:hAnsi="Arial Narrow" w:cs="Arial"/>
                <w:color w:val="000000" w:themeColor="text1"/>
                <w:sz w:val="20"/>
                <w:szCs w:val="20"/>
                <w:lang w:eastAsia="en-AU"/>
              </w:rPr>
            </w:pPr>
            <w:r w:rsidRPr="00091816">
              <w:rPr>
                <w:rFonts w:ascii="Arial Narrow" w:hAnsi="Arial Narrow" w:cs="Arial"/>
                <w:color w:val="000000" w:themeColor="text1"/>
                <w:sz w:val="20"/>
                <w:szCs w:val="20"/>
                <w:lang w:eastAsia="en-AU"/>
              </w:rPr>
              <w:t>According to the TGA</w:t>
            </w:r>
            <w:r w:rsidR="00EC1990">
              <w:rPr>
                <w:rFonts w:ascii="Arial Narrow" w:hAnsi="Arial Narrow" w:cs="Arial"/>
                <w:color w:val="000000" w:themeColor="text1"/>
                <w:sz w:val="20"/>
                <w:szCs w:val="20"/>
                <w:lang w:eastAsia="en-AU"/>
              </w:rPr>
              <w:noBreakHyphen/>
            </w:r>
            <w:r w:rsidRPr="00091816">
              <w:rPr>
                <w:rFonts w:ascii="Arial Narrow" w:hAnsi="Arial Narrow" w:cs="Arial"/>
                <w:color w:val="000000" w:themeColor="text1"/>
                <w:sz w:val="20"/>
                <w:szCs w:val="20"/>
                <w:lang w:eastAsia="en-AU"/>
              </w:rPr>
              <w:t>approved Product Information, patients should be instructed to remain within proximity of a healthcare facility for 48 hours after the first full treatment dose in the continuing treatment phase.</w:t>
            </w:r>
          </w:p>
        </w:tc>
      </w:tr>
      <w:tr w:rsidR="00A56B9E" w:rsidRPr="00091816" w14:paraId="1B30BF0F" w14:textId="77777777" w:rsidTr="00905D53">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F6445D0" w14:textId="6D11B385" w:rsidR="00A56B9E" w:rsidRPr="00091816" w:rsidRDefault="00A56B9E" w:rsidP="001C47F4">
            <w:pPr>
              <w:jc w:val="center"/>
              <w:rPr>
                <w:rFonts w:ascii="Arial Narrow" w:hAnsi="Arial Narrow" w:cs="Arial"/>
                <w:color w:val="C4BC96" w:themeColor="background2" w:themeShade="BF"/>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4D710B5" w14:textId="77777777"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b/>
                <w:bCs/>
                <w:color w:val="000000" w:themeColor="text1"/>
                <w:spacing w:val="-2"/>
                <w:sz w:val="20"/>
                <w:szCs w:val="20"/>
                <w:lang w:eastAsia="en-AU"/>
              </w:rPr>
            </w:pPr>
            <w:r w:rsidRPr="00091816">
              <w:rPr>
                <w:rFonts w:ascii="Arial Narrow" w:eastAsia="MS Mincho" w:hAnsi="Arial Narrow" w:cs="Arial Narrow"/>
                <w:b/>
                <w:bCs/>
                <w:color w:val="000000" w:themeColor="text1"/>
                <w:spacing w:val="-2"/>
                <w:sz w:val="20"/>
                <w:szCs w:val="20"/>
                <w:lang w:eastAsia="en-AU"/>
              </w:rPr>
              <w:t>Prescribing Instructions:</w:t>
            </w:r>
          </w:p>
          <w:p w14:paraId="39A8C8EB" w14:textId="644CEFE7" w:rsidR="00A56B9E" w:rsidRPr="00091816" w:rsidRDefault="00A56B9E" w:rsidP="001C47F4">
            <w:pPr>
              <w:rPr>
                <w:rFonts w:ascii="Arial Narrow" w:hAnsi="Arial Narrow" w:cs="Arial"/>
                <w:color w:val="C4BC96" w:themeColor="background2" w:themeShade="BF"/>
                <w:sz w:val="20"/>
                <w:szCs w:val="20"/>
                <w:lang w:eastAsia="en-AU"/>
              </w:rPr>
            </w:pPr>
            <w:r w:rsidRPr="00091816">
              <w:rPr>
                <w:rFonts w:ascii="Arial Narrow" w:hAnsi="Arial Narrow" w:cs="Arial"/>
                <w:color w:val="000000" w:themeColor="text1"/>
                <w:sz w:val="20"/>
                <w:szCs w:val="20"/>
                <w:lang w:eastAsia="en-AU"/>
              </w:rPr>
              <w:t>Prescribers may request the number of vials in line with the dosing requirement for each stage of treatment with the intention of providing the number of vials for each 4</w:t>
            </w:r>
            <w:r w:rsidR="00EC1990">
              <w:rPr>
                <w:rFonts w:ascii="Arial Narrow" w:hAnsi="Arial Narrow" w:cs="Arial"/>
                <w:color w:val="000000" w:themeColor="text1"/>
                <w:sz w:val="20"/>
                <w:szCs w:val="20"/>
                <w:lang w:eastAsia="en-AU"/>
              </w:rPr>
              <w:noBreakHyphen/>
            </w:r>
            <w:r w:rsidRPr="00091816">
              <w:rPr>
                <w:rFonts w:ascii="Arial Narrow" w:hAnsi="Arial Narrow" w:cs="Arial"/>
                <w:color w:val="000000" w:themeColor="text1"/>
                <w:sz w:val="20"/>
                <w:szCs w:val="20"/>
                <w:lang w:eastAsia="en-AU"/>
              </w:rPr>
              <w:t>weeks of treatment (24</w:t>
            </w:r>
            <w:r w:rsidR="00EC1990">
              <w:rPr>
                <w:rFonts w:ascii="Arial Narrow" w:hAnsi="Arial Narrow" w:cs="Arial"/>
                <w:color w:val="000000" w:themeColor="text1"/>
                <w:sz w:val="20"/>
                <w:szCs w:val="20"/>
                <w:lang w:eastAsia="en-AU"/>
              </w:rPr>
              <w:noBreakHyphen/>
            </w:r>
            <w:r w:rsidRPr="00091816">
              <w:rPr>
                <w:rFonts w:ascii="Arial Narrow" w:hAnsi="Arial Narrow" w:cs="Arial"/>
                <w:color w:val="000000" w:themeColor="text1"/>
                <w:sz w:val="20"/>
                <w:szCs w:val="20"/>
                <w:lang w:eastAsia="en-AU"/>
              </w:rPr>
              <w:t>weeks of treatment including repeats). Up to a maximum of 8 vials for each 4</w:t>
            </w:r>
            <w:r w:rsidR="00EC1990">
              <w:rPr>
                <w:rFonts w:ascii="Arial Narrow" w:hAnsi="Arial Narrow" w:cs="Arial"/>
                <w:color w:val="000000" w:themeColor="text1"/>
                <w:sz w:val="20"/>
                <w:szCs w:val="20"/>
                <w:lang w:eastAsia="en-AU"/>
              </w:rPr>
              <w:noBreakHyphen/>
            </w:r>
            <w:r w:rsidRPr="00091816">
              <w:rPr>
                <w:rFonts w:ascii="Arial Narrow" w:hAnsi="Arial Narrow" w:cs="Arial"/>
                <w:color w:val="000000" w:themeColor="text1"/>
                <w:sz w:val="20"/>
                <w:szCs w:val="20"/>
                <w:lang w:eastAsia="en-AU"/>
              </w:rPr>
              <w:t>weeks of treatment, with 5 repeats, may be requested for a patient undergoing treatment.</w:t>
            </w:r>
          </w:p>
        </w:tc>
      </w:tr>
      <w:tr w:rsidR="00A56B9E" w:rsidRPr="00091816" w14:paraId="64D00CED" w14:textId="77777777" w:rsidTr="00905D53">
        <w:trPr>
          <w:cantSplit/>
          <w:trHeight w:val="62"/>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81E5434" w14:textId="5B20ED6D" w:rsidR="00A56B9E" w:rsidRPr="00091816" w:rsidRDefault="00A56B9E" w:rsidP="001C47F4">
            <w:pPr>
              <w:jc w:val="center"/>
              <w:rPr>
                <w:rFonts w:ascii="Arial Narrow" w:hAnsi="Arial Narrow" w:cs="Arial"/>
                <w:color w:val="00B0F0"/>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E9119BE" w14:textId="77777777"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91816">
              <w:rPr>
                <w:rFonts w:ascii="Arial Narrow" w:eastAsia="MS Mincho" w:hAnsi="Arial Narrow" w:cs="Arial Narrow"/>
                <w:b/>
                <w:bCs/>
                <w:spacing w:val="-2"/>
                <w:sz w:val="20"/>
                <w:szCs w:val="20"/>
                <w:lang w:eastAsia="en-AU"/>
              </w:rPr>
              <w:t>Prescribing Instructions:</w:t>
            </w:r>
          </w:p>
          <w:p w14:paraId="1F957979" w14:textId="77777777"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Progressive disease is defined as at least 1 of the following:</w:t>
            </w:r>
          </w:p>
          <w:p w14:paraId="4461DCB7" w14:textId="77777777"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p>
          <w:p w14:paraId="795D3670" w14:textId="77777777"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(a) at least a 25% increase and an absolute increase of at least 5 g per L in serum M protein (monoclonal protein); or</w:t>
            </w:r>
          </w:p>
          <w:p w14:paraId="07FE5E5A" w14:textId="77777777"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p>
          <w:p w14:paraId="44765951" w14:textId="69453419"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(b) at least a 25% increase in 24</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hour urinary light chain M protein excretion, and an absolute increase of at least 200 mg per 24 hours; or</w:t>
            </w:r>
          </w:p>
          <w:p w14:paraId="0B4D623A" w14:textId="77777777"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p>
          <w:p w14:paraId="32BE10D4" w14:textId="7AB317AC"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(c) in oligo</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secretory and non</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secretory myeloma patients only, at least a 50% increase in the difference between involved free light chain and uninvolved free light chain; or</w:t>
            </w:r>
          </w:p>
          <w:p w14:paraId="409872FA" w14:textId="77777777"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p>
          <w:p w14:paraId="337FB21E" w14:textId="77777777"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(d) at least a 25% relative increase and at least a 10% absolute increase in plasma cells in a bone marrow aspirate or on biopsy; or</w:t>
            </w:r>
          </w:p>
          <w:p w14:paraId="44E105CF" w14:textId="77777777"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p>
          <w:p w14:paraId="07A8B909" w14:textId="77777777"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(e) an increase in the size or number of lytic bone lesions (not including compression fractures); or</w:t>
            </w:r>
          </w:p>
          <w:p w14:paraId="6ECF31C8" w14:textId="77777777"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p>
          <w:p w14:paraId="1DB5C99B" w14:textId="77777777"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(f) at least a 25% increase in the size of an existing or the development of a new soft tissue plasmacytoma (determined by clinical examination or diagnostic imaging); or</w:t>
            </w:r>
          </w:p>
          <w:p w14:paraId="62041433" w14:textId="77777777"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p>
          <w:p w14:paraId="5187E103" w14:textId="77777777"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091816">
              <w:rPr>
                <w:rFonts w:ascii="Arial Narrow" w:eastAsia="MS Mincho" w:hAnsi="Arial Narrow" w:cs="Arial Narrow"/>
                <w:spacing w:val="-2"/>
                <w:sz w:val="20"/>
                <w:szCs w:val="20"/>
                <w:lang w:eastAsia="en-AU"/>
              </w:rPr>
              <w:t>(g) development of hypercalcaemia (corrected serum calcium greater than 2.65 mmol per L not attributable to any other cause).</w:t>
            </w:r>
          </w:p>
        </w:tc>
      </w:tr>
      <w:tr w:rsidR="00A56B9E" w:rsidRPr="00091816" w14:paraId="300CD2C3" w14:textId="77777777" w:rsidTr="00905D53">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C8CBBF6" w14:textId="19414F08" w:rsidR="00A56B9E" w:rsidRPr="00091816" w:rsidRDefault="00A56B9E" w:rsidP="001C47F4">
            <w:pPr>
              <w:jc w:val="center"/>
              <w:rPr>
                <w:rFonts w:ascii="Calibri" w:hAnsi="Calibri" w:cs="Arial"/>
                <w:color w:val="00B0F0"/>
                <w:spacing w:val="-2"/>
                <w:sz w:val="18"/>
                <w:szCs w:val="18"/>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E139A5E" w14:textId="77777777"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91816">
              <w:rPr>
                <w:rFonts w:ascii="Arial Narrow" w:eastAsia="MS Mincho" w:hAnsi="Arial Narrow" w:cs="Arial Narrow"/>
                <w:b/>
                <w:bCs/>
                <w:spacing w:val="-2"/>
                <w:sz w:val="20"/>
                <w:szCs w:val="20"/>
                <w:lang w:eastAsia="en-AU"/>
              </w:rPr>
              <w:t>Prescribing instruction:</w:t>
            </w:r>
          </w:p>
          <w:p w14:paraId="3115E55C" w14:textId="422B799C" w:rsidR="00A56B9E" w:rsidRPr="00091816" w:rsidRDefault="00A56B9E"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91816">
              <w:rPr>
                <w:rFonts w:ascii="Arial Narrow" w:eastAsia="MS Mincho" w:hAnsi="Arial Narrow" w:cs="Arial Narrow"/>
                <w:spacing w:val="-2"/>
                <w:sz w:val="20"/>
                <w:szCs w:val="20"/>
                <w:lang w:eastAsia="en-AU"/>
              </w:rPr>
              <w:t>This drug is not PBS</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subsidised if it is administered to an in</w:t>
            </w:r>
            <w:r w:rsidR="00EC1990">
              <w:rPr>
                <w:rFonts w:ascii="Arial Narrow" w:eastAsia="MS Mincho" w:hAnsi="Arial Narrow" w:cs="Arial Narrow"/>
                <w:spacing w:val="-2"/>
                <w:sz w:val="20"/>
                <w:szCs w:val="20"/>
                <w:lang w:eastAsia="en-AU"/>
              </w:rPr>
              <w:noBreakHyphen/>
            </w:r>
            <w:r w:rsidRPr="00091816">
              <w:rPr>
                <w:rFonts w:ascii="Arial Narrow" w:eastAsia="MS Mincho" w:hAnsi="Arial Narrow" w:cs="Arial Narrow"/>
                <w:spacing w:val="-2"/>
                <w:sz w:val="20"/>
                <w:szCs w:val="20"/>
                <w:lang w:eastAsia="en-AU"/>
              </w:rPr>
              <w:t>patient in a public hospital setting.</w:t>
            </w:r>
          </w:p>
        </w:tc>
      </w:tr>
      <w:tr w:rsidR="002E4642" w:rsidRPr="00091816" w14:paraId="218474EE" w14:textId="77777777" w:rsidTr="002E4642">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6FE6298" w14:textId="42796234" w:rsidR="002E4642" w:rsidRPr="00091816" w:rsidRDefault="002E4642" w:rsidP="001C47F4">
            <w:pPr>
              <w:jc w:val="center"/>
              <w:rPr>
                <w:rFonts w:ascii="Calibri" w:hAnsi="Calibri" w:cs="Arial"/>
                <w:color w:val="00B0F0"/>
                <w:spacing w:val="-2"/>
                <w:sz w:val="18"/>
                <w:szCs w:val="18"/>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81966AB" w14:textId="77777777" w:rsidR="002E4642" w:rsidRPr="00091816" w:rsidRDefault="002E4642"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91816">
              <w:rPr>
                <w:rFonts w:ascii="Arial Narrow" w:eastAsia="Calibri" w:hAnsi="Arial Narrow" w:cs="Arial"/>
                <w:b/>
                <w:sz w:val="20"/>
                <w:szCs w:val="20"/>
                <w:lang w:eastAsia="en-AU"/>
              </w:rPr>
              <w:t>Administrative advice:</w:t>
            </w:r>
            <w:r w:rsidRPr="00091816">
              <w:rPr>
                <w:rFonts w:ascii="Arial Narrow" w:eastAsia="Calibri" w:hAnsi="Arial Narrow" w:cs="Arial"/>
                <w:bCs/>
                <w:sz w:val="20"/>
                <w:szCs w:val="20"/>
                <w:lang w:eastAsia="en-AU"/>
              </w:rPr>
              <w:t xml:space="preserve"> No increase in the maximum number of repeats may be authorised</w:t>
            </w:r>
          </w:p>
        </w:tc>
      </w:tr>
      <w:tr w:rsidR="002E4642" w:rsidRPr="00091816" w14:paraId="5A067FFA" w14:textId="77777777" w:rsidTr="002E4642">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869AE3" w14:textId="1A7F711D" w:rsidR="002E4642" w:rsidRPr="00091816" w:rsidRDefault="002E4642" w:rsidP="001C47F4">
            <w:pPr>
              <w:jc w:val="center"/>
              <w:rPr>
                <w:rFonts w:ascii="Calibri" w:hAnsi="Calibri" w:cs="Arial"/>
                <w:spacing w:val="-2"/>
                <w:sz w:val="18"/>
                <w:szCs w:val="18"/>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3F0DACB" w14:textId="77777777" w:rsidR="002E4642" w:rsidRPr="00091816" w:rsidRDefault="002E4642"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91816">
              <w:rPr>
                <w:rFonts w:ascii="Arial Narrow" w:eastAsia="Calibri" w:hAnsi="Arial Narrow" w:cs="Arial"/>
                <w:b/>
                <w:sz w:val="20"/>
                <w:szCs w:val="20"/>
                <w:lang w:eastAsia="en-AU"/>
              </w:rPr>
              <w:t>Administrative advice:</w:t>
            </w:r>
            <w:r w:rsidRPr="00091816">
              <w:rPr>
                <w:rFonts w:ascii="Arial Narrow" w:eastAsia="Calibri" w:hAnsi="Arial Narrow" w:cs="Arial"/>
                <w:bCs/>
                <w:sz w:val="20"/>
                <w:szCs w:val="20"/>
                <w:lang w:eastAsia="en-AU"/>
              </w:rPr>
              <w:t xml:space="preserve"> Special pricing arrangements apply</w:t>
            </w:r>
          </w:p>
        </w:tc>
      </w:tr>
      <w:tr w:rsidR="002E4642" w:rsidRPr="00091816" w14:paraId="2FBFD83E"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66878AE" w14:textId="7CDEFAF9" w:rsidR="002E4642" w:rsidRPr="00091816" w:rsidRDefault="002E4642" w:rsidP="001C47F4">
            <w:pPr>
              <w:jc w:val="center"/>
              <w:rPr>
                <w:rFonts w:ascii="Calibri" w:hAnsi="Calibri" w:cs="Arial"/>
                <w:color w:val="00B0F0"/>
                <w:spacing w:val="-2"/>
                <w:sz w:val="18"/>
                <w:szCs w:val="18"/>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0EA8367" w14:textId="77777777" w:rsidR="002E4642" w:rsidRPr="00091816" w:rsidRDefault="002E4642"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091816">
              <w:rPr>
                <w:rFonts w:ascii="Arial Narrow" w:eastAsia="Calibri" w:hAnsi="Arial Narrow" w:cs="Arial"/>
                <w:b/>
                <w:sz w:val="20"/>
                <w:szCs w:val="20"/>
                <w:lang w:eastAsia="en-AU"/>
              </w:rPr>
              <w:t>Administrative Advice:</w:t>
            </w:r>
            <w:r w:rsidRPr="00091816">
              <w:rPr>
                <w:rFonts w:ascii="Arial Narrow" w:eastAsia="Calibri" w:hAnsi="Arial Narrow" w:cs="Arial"/>
                <w:bCs/>
                <w:sz w:val="20"/>
                <w:szCs w:val="20"/>
                <w:lang w:eastAsia="en-AU"/>
              </w:rPr>
              <w:t xml:space="preserve"> Applications for authorisation under this restriction may be made in real time using the Online PBS Authorities system (see www.servicesaustralia.gov.au/HPOS) or by telephone by contacting Services Australia on 1800 888 333.</w:t>
            </w:r>
          </w:p>
        </w:tc>
      </w:tr>
    </w:tbl>
    <w:p w14:paraId="0FD6673F" w14:textId="77777777" w:rsidR="00A56B9E" w:rsidRDefault="00A56B9E" w:rsidP="001C47F4">
      <w:pPr>
        <w:spacing w:before="120"/>
        <w:rPr>
          <w:rFonts w:cs="Arial"/>
          <w:b/>
          <w:i/>
          <w:iCs/>
          <w:snapToGrid w:val="0"/>
          <w:lang w:val="en-GB"/>
        </w:rPr>
      </w:pPr>
    </w:p>
    <w:p w14:paraId="6CD25C66" w14:textId="2B87A453" w:rsidR="002E4642" w:rsidRDefault="00ED4294" w:rsidP="001C47F4">
      <w:pPr>
        <w:numPr>
          <w:ilvl w:val="1"/>
          <w:numId w:val="1"/>
        </w:numPr>
        <w:spacing w:after="120"/>
        <w:contextualSpacing/>
        <w:rPr>
          <w:rFonts w:cs="Arial"/>
          <w:bCs/>
          <w:snapToGrid w:val="0"/>
        </w:rPr>
      </w:pPr>
      <w:r>
        <w:rPr>
          <w:rFonts w:cs="Arial"/>
          <w:bCs/>
          <w:snapToGrid w:val="0"/>
        </w:rPr>
        <w:t>Flow</w:t>
      </w:r>
      <w:r w:rsidR="00EC1990">
        <w:rPr>
          <w:rFonts w:cs="Arial"/>
          <w:bCs/>
          <w:snapToGrid w:val="0"/>
        </w:rPr>
        <w:noBreakHyphen/>
      </w:r>
      <w:r>
        <w:rPr>
          <w:rFonts w:cs="Arial"/>
          <w:bCs/>
          <w:snapToGrid w:val="0"/>
        </w:rPr>
        <w:t>on changes to elranatamab to allow treatment switching in the absence of disease progression</w:t>
      </w:r>
      <w:r w:rsidR="00A75427">
        <w:rPr>
          <w:rFonts w:cs="Arial"/>
          <w:bCs/>
          <w:snapToGrid w:val="0"/>
        </w:rPr>
        <w:t xml:space="preserve"> (</w:t>
      </w:r>
      <w:r w:rsidR="009B12DD">
        <w:rPr>
          <w:rFonts w:cs="Arial"/>
          <w:bCs/>
          <w:snapToGrid w:val="0"/>
        </w:rPr>
        <w:t>a</w:t>
      </w:r>
      <w:r w:rsidR="009B12DD" w:rsidRPr="009B12DD">
        <w:rPr>
          <w:rFonts w:cs="Arial"/>
          <w:bCs/>
          <w:snapToGrid w:val="0"/>
        </w:rPr>
        <w:t>dditions are in italics and deletions are in strikethrough</w:t>
      </w:r>
      <w:r w:rsidR="009B12DD">
        <w:rPr>
          <w:rFonts w:cs="Arial"/>
          <w:bCs/>
          <w:snapToGrid w:val="0"/>
        </w:rPr>
        <w:t>):</w:t>
      </w:r>
    </w:p>
    <w:p w14:paraId="199F6DB9" w14:textId="77777777" w:rsidR="009B6C49" w:rsidRDefault="009B6C49" w:rsidP="009B6C49">
      <w:pPr>
        <w:spacing w:after="120"/>
        <w:ind w:left="720"/>
        <w:contextualSpacing/>
        <w:rPr>
          <w:rFonts w:cs="Arial"/>
          <w:bCs/>
          <w:snapToGrid w:val="0"/>
        </w:rPr>
      </w:pPr>
    </w:p>
    <w:p w14:paraId="20F512E2" w14:textId="77777777" w:rsidR="000E2DAF" w:rsidRPr="00D36462" w:rsidRDefault="000E2DAF" w:rsidP="001C47F4">
      <w:pPr>
        <w:pStyle w:val="Heading3"/>
        <w:rPr>
          <w:rFonts w:ascii="Calibri" w:hAnsi="Calibri" w:cs="Arial"/>
          <w:b/>
          <w:i/>
          <w:iCs/>
          <w:szCs w:val="26"/>
        </w:rPr>
      </w:pPr>
      <w:r w:rsidRPr="00D36462">
        <w:rPr>
          <w:rFonts w:ascii="Calibri" w:hAnsi="Calibri" w:cs="Arial"/>
          <w:b/>
          <w:iCs/>
          <w:szCs w:val="26"/>
        </w:rPr>
        <w:t>Initial/induction</w:t>
      </w:r>
      <w:r>
        <w:rPr>
          <w:rFonts w:ascii="Calibri" w:hAnsi="Calibri" w:cs="Arial"/>
          <w:b/>
          <w:iCs/>
          <w:szCs w:val="26"/>
        </w:rPr>
        <w:t xml:space="preserve"> – Elranatamab</w:t>
      </w:r>
      <w:r w:rsidRPr="00D36462">
        <w:rPr>
          <w:rFonts w:ascii="Calibri" w:hAnsi="Calibri" w:cs="Arial"/>
          <w:b/>
          <w:iCs/>
          <w:szCs w:val="26"/>
        </w:rPr>
        <w:t>:</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low on changes to elranatamab - Initial treatment "/>
      </w:tblPr>
      <w:tblGrid>
        <w:gridCol w:w="1267"/>
        <w:gridCol w:w="2416"/>
        <w:gridCol w:w="1279"/>
        <w:gridCol w:w="992"/>
        <w:gridCol w:w="992"/>
        <w:gridCol w:w="851"/>
        <w:gridCol w:w="1413"/>
      </w:tblGrid>
      <w:tr w:rsidR="000E2DAF" w:rsidRPr="00680C77" w14:paraId="4BE05820" w14:textId="77777777">
        <w:tc>
          <w:tcPr>
            <w:tcW w:w="3683" w:type="dxa"/>
            <w:gridSpan w:val="2"/>
            <w:tcBorders>
              <w:top w:val="single" w:sz="4" w:space="0" w:color="auto"/>
              <w:left w:val="single" w:sz="4" w:space="0" w:color="auto"/>
              <w:bottom w:val="single" w:sz="4" w:space="0" w:color="auto"/>
              <w:right w:val="single" w:sz="4" w:space="0" w:color="auto"/>
            </w:tcBorders>
            <w:vAlign w:val="center"/>
            <w:hideMark/>
          </w:tcPr>
          <w:p w14:paraId="74E23666" w14:textId="77777777" w:rsidR="000E2DAF" w:rsidRPr="00680C77" w:rsidRDefault="000E2DAF" w:rsidP="001C47F4">
            <w:pPr>
              <w:rPr>
                <w:rFonts w:ascii="Arial Narrow" w:hAnsi="Arial Narrow" w:cs="Arial"/>
                <w:b/>
                <w:bCs/>
                <w:sz w:val="20"/>
                <w:szCs w:val="20"/>
                <w:lang w:eastAsia="en-AU"/>
              </w:rPr>
            </w:pPr>
            <w:r w:rsidRPr="00680C77">
              <w:rPr>
                <w:rFonts w:ascii="Arial Narrow" w:hAnsi="Arial Narrow" w:cs="Arial"/>
                <w:b/>
                <w:bCs/>
                <w:sz w:val="20"/>
                <w:szCs w:val="20"/>
                <w:lang w:eastAsia="en-AU"/>
              </w:rPr>
              <w:t>MEDICINAL PRODUCT</w:t>
            </w:r>
          </w:p>
          <w:p w14:paraId="254DE024" w14:textId="77777777" w:rsidR="000E2DAF" w:rsidRPr="00680C77" w:rsidRDefault="000E2DAF" w:rsidP="001C47F4">
            <w:pPr>
              <w:rPr>
                <w:rFonts w:ascii="Arial Narrow" w:hAnsi="Arial Narrow" w:cs="Arial"/>
                <w:b/>
                <w:sz w:val="20"/>
                <w:szCs w:val="20"/>
                <w:lang w:eastAsia="en-AU"/>
              </w:rPr>
            </w:pPr>
            <w:r w:rsidRPr="00680C77">
              <w:rPr>
                <w:rFonts w:ascii="Arial Narrow" w:hAnsi="Arial Narrow" w:cs="Arial"/>
                <w:b/>
                <w:bCs/>
                <w:sz w:val="20"/>
                <w:szCs w:val="20"/>
                <w:lang w:eastAsia="en-AU"/>
              </w:rPr>
              <w:t>medicinal product pack</w:t>
            </w:r>
          </w:p>
        </w:tc>
        <w:tc>
          <w:tcPr>
            <w:tcW w:w="1279" w:type="dxa"/>
            <w:tcBorders>
              <w:top w:val="single" w:sz="4" w:space="0" w:color="auto"/>
              <w:left w:val="single" w:sz="4" w:space="0" w:color="auto"/>
              <w:bottom w:val="single" w:sz="4" w:space="0" w:color="auto"/>
              <w:right w:val="single" w:sz="4" w:space="0" w:color="auto"/>
            </w:tcBorders>
            <w:vAlign w:val="center"/>
            <w:hideMark/>
          </w:tcPr>
          <w:p w14:paraId="379C8CEF" w14:textId="77777777" w:rsidR="000E2DAF" w:rsidRPr="00680C77" w:rsidRDefault="000E2DAF" w:rsidP="001C47F4">
            <w:pPr>
              <w:jc w:val="center"/>
              <w:rPr>
                <w:rFonts w:ascii="Arial Narrow" w:hAnsi="Arial Narrow" w:cs="Arial"/>
                <w:b/>
                <w:sz w:val="20"/>
                <w:szCs w:val="20"/>
                <w:lang w:eastAsia="en-AU"/>
              </w:rPr>
            </w:pPr>
            <w:r w:rsidRPr="00680C77">
              <w:rPr>
                <w:rFonts w:ascii="Arial Narrow" w:hAnsi="Arial Narrow" w:cs="Arial"/>
                <w:b/>
                <w:sz w:val="20"/>
                <w:szCs w:val="20"/>
                <w:lang w:eastAsia="en-AU"/>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D78E16" w14:textId="77777777" w:rsidR="000E2DAF" w:rsidRPr="00680C77" w:rsidRDefault="000E2DAF" w:rsidP="001C47F4">
            <w:pPr>
              <w:jc w:val="center"/>
              <w:rPr>
                <w:rFonts w:ascii="Arial Narrow" w:hAnsi="Arial Narrow" w:cs="Arial"/>
                <w:b/>
                <w:sz w:val="20"/>
                <w:szCs w:val="20"/>
                <w:lang w:eastAsia="en-AU"/>
              </w:rPr>
            </w:pPr>
            <w:r w:rsidRPr="00680C77">
              <w:rPr>
                <w:rFonts w:ascii="Arial Narrow" w:hAnsi="Arial Narrow" w:cs="Arial"/>
                <w:b/>
                <w:sz w:val="20"/>
                <w:szCs w:val="20"/>
                <w:lang w:eastAsia="en-AU"/>
              </w:rPr>
              <w:t>Max. qty packs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728CA0" w14:textId="77777777" w:rsidR="000E2DAF" w:rsidRPr="00680C77" w:rsidRDefault="000E2DAF" w:rsidP="001C47F4">
            <w:pPr>
              <w:jc w:val="center"/>
              <w:rPr>
                <w:rFonts w:ascii="Arial Narrow" w:hAnsi="Arial Narrow" w:cs="Arial"/>
                <w:b/>
                <w:sz w:val="20"/>
                <w:szCs w:val="20"/>
                <w:lang w:eastAsia="en-AU"/>
              </w:rPr>
            </w:pPr>
            <w:r w:rsidRPr="00680C77">
              <w:rPr>
                <w:rFonts w:ascii="Arial Narrow" w:hAnsi="Arial Narrow" w:cs="Arial"/>
                <w:b/>
                <w:sz w:val="20"/>
                <w:szCs w:val="20"/>
                <w:lang w:eastAsia="en-AU"/>
              </w:rPr>
              <w:t>Max. qty units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89BD87" w14:textId="77777777" w:rsidR="000E2DAF" w:rsidRPr="00680C77" w:rsidRDefault="000E2DAF" w:rsidP="001C47F4">
            <w:pPr>
              <w:jc w:val="center"/>
              <w:rPr>
                <w:rFonts w:ascii="Arial Narrow" w:hAnsi="Arial Narrow" w:cs="Arial"/>
                <w:b/>
                <w:sz w:val="20"/>
                <w:szCs w:val="20"/>
                <w:lang w:eastAsia="en-AU"/>
              </w:rPr>
            </w:pPr>
            <w:r w:rsidRPr="00680C77">
              <w:rPr>
                <w:rFonts w:ascii="Arial Narrow" w:hAnsi="Arial Narrow" w:cs="Arial"/>
                <w:b/>
                <w:sz w:val="20"/>
                <w:szCs w:val="20"/>
                <w:lang w:eastAsia="en-AU"/>
              </w:rPr>
              <w:t>№.of</w:t>
            </w:r>
          </w:p>
          <w:p w14:paraId="2F38B0FF" w14:textId="77777777" w:rsidR="000E2DAF" w:rsidRPr="00680C77" w:rsidRDefault="000E2DAF" w:rsidP="001C47F4">
            <w:pPr>
              <w:jc w:val="center"/>
              <w:rPr>
                <w:rFonts w:ascii="Arial Narrow" w:hAnsi="Arial Narrow" w:cs="Arial"/>
                <w:b/>
                <w:sz w:val="20"/>
                <w:szCs w:val="20"/>
                <w:lang w:eastAsia="en-AU"/>
              </w:rPr>
            </w:pPr>
            <w:r w:rsidRPr="00680C77">
              <w:rPr>
                <w:rFonts w:ascii="Arial Narrow" w:hAnsi="Arial Narrow" w:cs="Arial"/>
                <w:b/>
                <w:sz w:val="20"/>
                <w:szCs w:val="20"/>
                <w:lang w:eastAsia="en-AU"/>
              </w:rPr>
              <w:t>Rpts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2CEAEF05" w14:textId="77777777" w:rsidR="000E2DAF" w:rsidRPr="00680C77" w:rsidRDefault="000E2DAF" w:rsidP="001C47F4">
            <w:pPr>
              <w:rPr>
                <w:rFonts w:ascii="Arial Narrow" w:hAnsi="Arial Narrow" w:cs="Arial"/>
                <w:b/>
                <w:sz w:val="20"/>
                <w:szCs w:val="20"/>
                <w:lang w:val="fr-FR" w:eastAsia="en-AU"/>
              </w:rPr>
            </w:pPr>
            <w:r w:rsidRPr="00680C77">
              <w:rPr>
                <w:rFonts w:ascii="Arial Narrow" w:hAnsi="Arial Narrow" w:cs="Arial"/>
                <w:b/>
                <w:sz w:val="20"/>
                <w:szCs w:val="20"/>
                <w:lang w:eastAsia="en-AU"/>
              </w:rPr>
              <w:t>Available brands</w:t>
            </w:r>
          </w:p>
        </w:tc>
      </w:tr>
      <w:tr w:rsidR="000E2DAF" w:rsidRPr="00680C77" w14:paraId="6B3C8EBC" w14:textId="77777777">
        <w:tc>
          <w:tcPr>
            <w:tcW w:w="9210" w:type="dxa"/>
            <w:gridSpan w:val="7"/>
            <w:tcBorders>
              <w:top w:val="single" w:sz="4" w:space="0" w:color="auto"/>
              <w:left w:val="single" w:sz="4" w:space="0" w:color="auto"/>
              <w:bottom w:val="single" w:sz="4" w:space="0" w:color="auto"/>
              <w:right w:val="single" w:sz="4" w:space="0" w:color="auto"/>
            </w:tcBorders>
            <w:vAlign w:val="center"/>
            <w:hideMark/>
          </w:tcPr>
          <w:p w14:paraId="78A19E23" w14:textId="77777777" w:rsidR="000E2DAF" w:rsidRPr="00680C77" w:rsidRDefault="000E2DAF" w:rsidP="001C47F4">
            <w:pPr>
              <w:rPr>
                <w:rFonts w:ascii="Arial Narrow" w:hAnsi="Arial Narrow" w:cs="Arial"/>
                <w:sz w:val="20"/>
                <w:szCs w:val="20"/>
                <w:lang w:eastAsia="en-AU"/>
              </w:rPr>
            </w:pPr>
            <w:r>
              <w:rPr>
                <w:rFonts w:ascii="Arial Narrow" w:hAnsi="Arial Narrow" w:cs="Arial"/>
                <w:bCs/>
                <w:sz w:val="20"/>
                <w:szCs w:val="20"/>
                <w:lang w:eastAsia="en-AU"/>
              </w:rPr>
              <w:t>ELRANATAMAB</w:t>
            </w:r>
          </w:p>
        </w:tc>
      </w:tr>
      <w:tr w:rsidR="000E2DAF" w:rsidRPr="00680C77" w14:paraId="7547ABA6" w14:textId="77777777">
        <w:tc>
          <w:tcPr>
            <w:tcW w:w="3683" w:type="dxa"/>
            <w:gridSpan w:val="2"/>
            <w:tcBorders>
              <w:top w:val="single" w:sz="4" w:space="0" w:color="auto"/>
              <w:left w:val="single" w:sz="4" w:space="0" w:color="auto"/>
              <w:bottom w:val="single" w:sz="4" w:space="0" w:color="auto"/>
              <w:right w:val="single" w:sz="4" w:space="0" w:color="auto"/>
            </w:tcBorders>
            <w:vAlign w:val="center"/>
          </w:tcPr>
          <w:p w14:paraId="0D3CC367" w14:textId="77777777" w:rsidR="000E2DAF" w:rsidRPr="00680C77" w:rsidRDefault="000E2DAF" w:rsidP="001C47F4">
            <w:pPr>
              <w:rPr>
                <w:rFonts w:ascii="Arial Narrow" w:hAnsi="Arial Narrow" w:cs="Arial"/>
                <w:sz w:val="20"/>
                <w:szCs w:val="20"/>
                <w:lang w:eastAsia="en-AU"/>
              </w:rPr>
            </w:pPr>
            <w:r w:rsidRPr="006C433B">
              <w:rPr>
                <w:rFonts w:ascii="Arial Narrow" w:hAnsi="Arial Narrow" w:cs="Arial"/>
                <w:sz w:val="20"/>
                <w:szCs w:val="20"/>
                <w:lang w:eastAsia="en-AU"/>
              </w:rPr>
              <w:t>Elranatamab 44 mg/1.1 mL injection, 1.1 mL vial</w:t>
            </w:r>
          </w:p>
        </w:tc>
        <w:tc>
          <w:tcPr>
            <w:tcW w:w="1279" w:type="dxa"/>
            <w:tcBorders>
              <w:top w:val="single" w:sz="4" w:space="0" w:color="auto"/>
              <w:left w:val="single" w:sz="4" w:space="0" w:color="auto"/>
              <w:bottom w:val="single" w:sz="4" w:space="0" w:color="auto"/>
              <w:right w:val="single" w:sz="4" w:space="0" w:color="auto"/>
            </w:tcBorders>
            <w:vAlign w:val="center"/>
            <w:hideMark/>
          </w:tcPr>
          <w:p w14:paraId="6F20F8B1" w14:textId="77777777" w:rsidR="000E2DAF" w:rsidRPr="00680C77" w:rsidRDefault="000E2DAF" w:rsidP="001C47F4">
            <w:pPr>
              <w:jc w:val="center"/>
              <w:rPr>
                <w:rFonts w:ascii="Arial Narrow" w:hAnsi="Arial Narrow" w:cs="Arial"/>
                <w:sz w:val="20"/>
                <w:szCs w:val="20"/>
                <w:lang w:eastAsia="en-AU"/>
              </w:rPr>
            </w:pPr>
            <w:r w:rsidRPr="00870022">
              <w:rPr>
                <w:rFonts w:ascii="Arial Narrow" w:hAnsi="Arial Narrow" w:cs="Arial"/>
                <w:sz w:val="20"/>
                <w:szCs w:val="20"/>
                <w:lang w:eastAsia="en-AU"/>
              </w:rPr>
              <w:t xml:space="preserve">15301H </w:t>
            </w:r>
            <w:r w:rsidRPr="00680C77">
              <w:rPr>
                <w:rFonts w:ascii="Arial Narrow" w:hAnsi="Arial Narrow" w:cs="Arial"/>
                <w:sz w:val="20"/>
                <w:szCs w:val="20"/>
                <w:lang w:eastAsia="en-AU"/>
              </w:rPr>
              <w:t>(CT)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F199EE" w14:textId="77777777" w:rsidR="000E2DAF" w:rsidRPr="00680C77" w:rsidRDefault="000E2DAF" w:rsidP="001C47F4">
            <w:pPr>
              <w:jc w:val="center"/>
              <w:rPr>
                <w:rFonts w:ascii="Arial Narrow" w:hAnsi="Arial Narrow" w:cs="Arial"/>
                <w:sz w:val="20"/>
                <w:szCs w:val="20"/>
                <w:lang w:eastAsia="en-AU"/>
              </w:rPr>
            </w:pPr>
            <w:r w:rsidRPr="00680C77">
              <w:rPr>
                <w:rFonts w:ascii="Arial Narrow" w:hAnsi="Arial Narrow" w:cs="Arial"/>
                <w:sz w:val="20"/>
                <w:szCs w:val="20"/>
                <w:lang w:eastAsia="en-A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AB3492" w14:textId="77777777" w:rsidR="000E2DAF" w:rsidRPr="00680C77" w:rsidRDefault="000E2DAF" w:rsidP="001C47F4">
            <w:pPr>
              <w:jc w:val="center"/>
              <w:rPr>
                <w:rFonts w:ascii="Arial Narrow" w:hAnsi="Arial Narrow" w:cs="Arial"/>
                <w:sz w:val="20"/>
                <w:szCs w:val="20"/>
                <w:lang w:eastAsia="en-AU"/>
              </w:rPr>
            </w:pPr>
            <w:r w:rsidRPr="00680C77">
              <w:rPr>
                <w:rFonts w:ascii="Arial Narrow" w:hAnsi="Arial Narrow" w:cs="Arial"/>
                <w:sz w:val="20"/>
                <w:szCs w:val="20"/>
                <w:lang w:eastAsia="en-AU"/>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0CC192" w14:textId="77777777" w:rsidR="000E2DAF" w:rsidRPr="00680C77" w:rsidRDefault="000E2DAF" w:rsidP="001C47F4">
            <w:pPr>
              <w:jc w:val="center"/>
              <w:rPr>
                <w:rFonts w:ascii="Arial Narrow" w:hAnsi="Arial Narrow" w:cs="Arial"/>
                <w:sz w:val="20"/>
                <w:szCs w:val="20"/>
                <w:lang w:eastAsia="en-AU"/>
              </w:rPr>
            </w:pPr>
            <w:r w:rsidRPr="00680C77">
              <w:rPr>
                <w:rFonts w:ascii="Arial Narrow" w:hAnsi="Arial Narrow" w:cs="Arial"/>
                <w:sz w:val="20"/>
                <w:szCs w:val="20"/>
                <w:lang w:eastAsia="en-AU"/>
              </w:rPr>
              <w:t>1</w:t>
            </w:r>
          </w:p>
        </w:tc>
        <w:tc>
          <w:tcPr>
            <w:tcW w:w="1413" w:type="dxa"/>
            <w:tcBorders>
              <w:top w:val="single" w:sz="4" w:space="0" w:color="auto"/>
              <w:left w:val="single" w:sz="4" w:space="0" w:color="auto"/>
              <w:bottom w:val="single" w:sz="4" w:space="0" w:color="auto"/>
              <w:right w:val="single" w:sz="4" w:space="0" w:color="auto"/>
            </w:tcBorders>
            <w:vAlign w:val="center"/>
          </w:tcPr>
          <w:p w14:paraId="386AD3AF" w14:textId="77777777" w:rsidR="000E2DAF" w:rsidRPr="00680C77" w:rsidRDefault="000E2DAF" w:rsidP="001C47F4">
            <w:pPr>
              <w:rPr>
                <w:rFonts w:ascii="Arial Narrow" w:hAnsi="Arial Narrow" w:cs="Arial"/>
                <w:sz w:val="20"/>
                <w:szCs w:val="20"/>
                <w:lang w:eastAsia="en-AU"/>
              </w:rPr>
            </w:pPr>
            <w:r w:rsidRPr="00F861A7">
              <w:rPr>
                <w:rFonts w:ascii="Arial Narrow" w:hAnsi="Arial Narrow" w:cs="Arial"/>
                <w:sz w:val="20"/>
                <w:szCs w:val="20"/>
                <w:lang w:eastAsia="en-AU"/>
              </w:rPr>
              <w:t>Elrexfio</w:t>
            </w:r>
          </w:p>
        </w:tc>
      </w:tr>
      <w:tr w:rsidR="000E2DAF" w:rsidRPr="00680C77" w14:paraId="4FAF7626" w14:textId="77777777">
        <w:tc>
          <w:tcPr>
            <w:tcW w:w="3683" w:type="dxa"/>
            <w:gridSpan w:val="2"/>
            <w:tcBorders>
              <w:top w:val="single" w:sz="4" w:space="0" w:color="auto"/>
              <w:left w:val="single" w:sz="4" w:space="0" w:color="auto"/>
              <w:bottom w:val="single" w:sz="4" w:space="0" w:color="auto"/>
              <w:right w:val="single" w:sz="4" w:space="0" w:color="auto"/>
            </w:tcBorders>
            <w:vAlign w:val="center"/>
          </w:tcPr>
          <w:p w14:paraId="5990FFA8" w14:textId="77777777" w:rsidR="000E2DAF" w:rsidRPr="00680C77" w:rsidRDefault="000E2DAF" w:rsidP="001C47F4">
            <w:pPr>
              <w:rPr>
                <w:rFonts w:ascii="Arial Narrow" w:hAnsi="Arial Narrow" w:cs="Arial"/>
                <w:sz w:val="20"/>
                <w:szCs w:val="20"/>
                <w:lang w:eastAsia="en-AU"/>
              </w:rPr>
            </w:pPr>
            <w:r w:rsidRPr="006C433B">
              <w:rPr>
                <w:rFonts w:ascii="Arial Narrow" w:hAnsi="Arial Narrow" w:cs="Arial"/>
                <w:sz w:val="20"/>
                <w:szCs w:val="20"/>
                <w:lang w:eastAsia="en-AU"/>
              </w:rPr>
              <w:t>Elranatamab 44 mg/1.1 mL injection, 1.1 mL vial</w:t>
            </w:r>
          </w:p>
        </w:tc>
        <w:tc>
          <w:tcPr>
            <w:tcW w:w="1279" w:type="dxa"/>
            <w:tcBorders>
              <w:top w:val="single" w:sz="4" w:space="0" w:color="auto"/>
              <w:left w:val="single" w:sz="4" w:space="0" w:color="auto"/>
              <w:bottom w:val="single" w:sz="4" w:space="0" w:color="auto"/>
              <w:right w:val="single" w:sz="4" w:space="0" w:color="auto"/>
            </w:tcBorders>
            <w:vAlign w:val="center"/>
            <w:hideMark/>
          </w:tcPr>
          <w:p w14:paraId="2AACAFB7" w14:textId="77777777" w:rsidR="000E2DAF" w:rsidRPr="00680C77" w:rsidRDefault="000E2DAF" w:rsidP="001C47F4">
            <w:pPr>
              <w:jc w:val="center"/>
              <w:rPr>
                <w:rFonts w:ascii="Arial Narrow" w:hAnsi="Arial Narrow" w:cs="Arial"/>
                <w:sz w:val="20"/>
                <w:szCs w:val="20"/>
                <w:lang w:eastAsia="en-AU"/>
              </w:rPr>
            </w:pPr>
            <w:r w:rsidRPr="00C16681">
              <w:rPr>
                <w:rFonts w:ascii="Arial Narrow" w:hAnsi="Arial Narrow" w:cs="Arial"/>
                <w:sz w:val="20"/>
                <w:szCs w:val="20"/>
                <w:lang w:eastAsia="en-AU"/>
              </w:rPr>
              <w:t xml:space="preserve">15300G </w:t>
            </w:r>
            <w:r w:rsidRPr="00680C77">
              <w:rPr>
                <w:rFonts w:ascii="Arial Narrow" w:hAnsi="Arial Narrow" w:cs="Arial"/>
                <w:sz w:val="20"/>
                <w:szCs w:val="20"/>
                <w:lang w:eastAsia="en-AU"/>
              </w:rPr>
              <w:t>(GE)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DDD799" w14:textId="77777777" w:rsidR="000E2DAF" w:rsidRPr="00680C77" w:rsidRDefault="000E2DAF" w:rsidP="001C47F4">
            <w:pPr>
              <w:jc w:val="center"/>
              <w:rPr>
                <w:rFonts w:ascii="Arial Narrow" w:hAnsi="Arial Narrow" w:cs="Arial"/>
                <w:sz w:val="20"/>
                <w:szCs w:val="20"/>
                <w:lang w:eastAsia="en-AU"/>
              </w:rPr>
            </w:pPr>
            <w:r w:rsidRPr="00680C77">
              <w:rPr>
                <w:rFonts w:ascii="Arial Narrow" w:hAnsi="Arial Narrow" w:cs="Arial"/>
                <w:sz w:val="20"/>
                <w:szCs w:val="20"/>
                <w:lang w:eastAsia="en-A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A4D371" w14:textId="77777777" w:rsidR="000E2DAF" w:rsidRPr="00680C77" w:rsidRDefault="000E2DAF" w:rsidP="001C47F4">
            <w:pPr>
              <w:jc w:val="center"/>
              <w:rPr>
                <w:rFonts w:ascii="Arial Narrow" w:hAnsi="Arial Narrow" w:cs="Arial"/>
                <w:sz w:val="20"/>
                <w:szCs w:val="20"/>
                <w:lang w:eastAsia="en-AU"/>
              </w:rPr>
            </w:pPr>
            <w:r w:rsidRPr="00680C77">
              <w:rPr>
                <w:rFonts w:ascii="Arial Narrow" w:hAnsi="Arial Narrow" w:cs="Arial"/>
                <w:sz w:val="20"/>
                <w:szCs w:val="20"/>
                <w:lang w:eastAsia="en-AU"/>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5034C6" w14:textId="77777777" w:rsidR="000E2DAF" w:rsidRPr="00680C77" w:rsidRDefault="000E2DAF" w:rsidP="001C47F4">
            <w:pPr>
              <w:jc w:val="center"/>
              <w:rPr>
                <w:rFonts w:ascii="Arial Narrow" w:hAnsi="Arial Narrow" w:cs="Arial"/>
                <w:sz w:val="20"/>
                <w:szCs w:val="20"/>
                <w:lang w:eastAsia="en-AU"/>
              </w:rPr>
            </w:pPr>
            <w:r w:rsidRPr="00680C77">
              <w:rPr>
                <w:rFonts w:ascii="Arial Narrow" w:hAnsi="Arial Narrow" w:cs="Arial"/>
                <w:sz w:val="20"/>
                <w:szCs w:val="20"/>
                <w:lang w:eastAsia="en-AU"/>
              </w:rPr>
              <w:t>1</w:t>
            </w:r>
          </w:p>
        </w:tc>
        <w:tc>
          <w:tcPr>
            <w:tcW w:w="1413" w:type="dxa"/>
            <w:tcBorders>
              <w:top w:val="single" w:sz="4" w:space="0" w:color="auto"/>
              <w:left w:val="single" w:sz="4" w:space="0" w:color="auto"/>
              <w:bottom w:val="single" w:sz="4" w:space="0" w:color="auto"/>
              <w:right w:val="single" w:sz="4" w:space="0" w:color="auto"/>
            </w:tcBorders>
            <w:vAlign w:val="center"/>
          </w:tcPr>
          <w:p w14:paraId="0805558B" w14:textId="77777777" w:rsidR="000E2DAF" w:rsidRPr="00680C77" w:rsidRDefault="000E2DAF" w:rsidP="001C47F4">
            <w:pPr>
              <w:rPr>
                <w:rFonts w:ascii="Arial Narrow" w:hAnsi="Arial Narrow" w:cs="Arial"/>
                <w:sz w:val="20"/>
                <w:szCs w:val="20"/>
                <w:lang w:eastAsia="en-AU"/>
              </w:rPr>
            </w:pPr>
            <w:r w:rsidRPr="00F861A7">
              <w:rPr>
                <w:rFonts w:ascii="Arial Narrow" w:hAnsi="Arial Narrow" w:cs="Arial"/>
                <w:sz w:val="20"/>
                <w:szCs w:val="20"/>
                <w:lang w:eastAsia="en-AU"/>
              </w:rPr>
              <w:t>Elrexfio</w:t>
            </w:r>
          </w:p>
        </w:tc>
      </w:tr>
      <w:tr w:rsidR="000E2DAF" w:rsidRPr="00680C77" w14:paraId="5874CCE8" w14:textId="77777777">
        <w:tc>
          <w:tcPr>
            <w:tcW w:w="9210"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9547763" w14:textId="77777777" w:rsidR="000E2DAF" w:rsidRPr="00680C77" w:rsidRDefault="000E2DAF" w:rsidP="001C47F4">
            <w:pPr>
              <w:rPr>
                <w:rFonts w:ascii="Arial Narrow" w:hAnsi="Arial Narrow" w:cs="Arial"/>
                <w:bCs/>
                <w:sz w:val="20"/>
                <w:szCs w:val="20"/>
                <w:lang w:eastAsia="en-AU"/>
              </w:rPr>
            </w:pPr>
          </w:p>
        </w:tc>
      </w:tr>
      <w:tr w:rsidR="000E2DAF" w:rsidRPr="00680C77" w14:paraId="1E5136BA" w14:textId="77777777">
        <w:tc>
          <w:tcPr>
            <w:tcW w:w="1267"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3E5C61D" w14:textId="77777777" w:rsidR="000E2DAF" w:rsidRPr="00680C77" w:rsidRDefault="000E2DAF" w:rsidP="001C47F4">
            <w:pPr>
              <w:jc w:val="center"/>
              <w:rPr>
                <w:rFonts w:ascii="Arial Narrow" w:hAnsi="Arial Narrow" w:cs="Arial"/>
                <w:b/>
                <w:sz w:val="20"/>
                <w:szCs w:val="20"/>
                <w:lang w:eastAsia="en-AU"/>
              </w:rPr>
            </w:pPr>
            <w:r w:rsidRPr="00680C77">
              <w:rPr>
                <w:rFonts w:ascii="Arial Narrow" w:hAnsi="Arial Narrow" w:cs="Arial"/>
                <w:b/>
                <w:sz w:val="20"/>
                <w:szCs w:val="20"/>
              </w:rPr>
              <w:t xml:space="preserve">Concept ID </w:t>
            </w:r>
            <w:r w:rsidRPr="00680C77">
              <w:rPr>
                <w:rFonts w:ascii="Arial Narrow" w:hAnsi="Arial Narrow" w:cs="Arial"/>
                <w:sz w:val="20"/>
                <w:szCs w:val="20"/>
              </w:rPr>
              <w:t>(for internal Dept. use)</w:t>
            </w: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EDF43D" w14:textId="77777777" w:rsidR="000E2DAF" w:rsidRPr="00680C77" w:rsidRDefault="000E2DAF" w:rsidP="001C47F4">
            <w:pPr>
              <w:rPr>
                <w:rFonts w:ascii="Arial Narrow" w:hAnsi="Arial Narrow" w:cs="Arial"/>
                <w:bCs/>
                <w:sz w:val="20"/>
                <w:szCs w:val="20"/>
                <w:lang w:eastAsia="en-AU"/>
              </w:rPr>
            </w:pPr>
            <w:r w:rsidRPr="00680C77">
              <w:rPr>
                <w:rFonts w:ascii="Arial Narrow" w:hAnsi="Arial Narrow" w:cs="Arial"/>
                <w:bCs/>
                <w:sz w:val="20"/>
                <w:szCs w:val="20"/>
                <w:lang w:eastAsia="en-AU"/>
              </w:rPr>
              <w:t xml:space="preserve">Category / Program: </w:t>
            </w:r>
          </w:p>
          <w:p w14:paraId="73BFC0B8" w14:textId="77777777" w:rsidR="000E2DAF" w:rsidRPr="00680C77" w:rsidRDefault="000E2DAF" w:rsidP="001C47F4">
            <w:pPr>
              <w:jc w:val="left"/>
              <w:rPr>
                <w:rFonts w:ascii="Arial Narrow" w:hAnsi="Arial Narrow" w:cs="Arial"/>
                <w:bCs/>
                <w:sz w:val="20"/>
                <w:szCs w:val="20"/>
                <w:lang w:eastAsia="en-AU"/>
              </w:rPr>
            </w:pPr>
            <w:r w:rsidRPr="00680C77">
              <w:rPr>
                <w:rFonts w:ascii="Arial Narrow" w:eastAsia="Calibri" w:hAnsi="Arial Narrow" w:cs="Arial"/>
                <w:bCs/>
                <w:sz w:val="20"/>
                <w:szCs w:val="20"/>
                <w:lang w:eastAsia="en-AU"/>
              </w:rPr>
              <w:fldChar w:fldCharType="begin" w:fldLock="1">
                <w:ffData>
                  <w:name w:val="Check1"/>
                  <w:enabled/>
                  <w:calcOnExit w:val="0"/>
                  <w:checkBox>
                    <w:sizeAuto/>
                    <w:default w:val="1"/>
                  </w:checkBox>
                </w:ffData>
              </w:fldChar>
            </w:r>
            <w:r w:rsidRPr="00680C77">
              <w:rPr>
                <w:rFonts w:ascii="Arial Narrow" w:eastAsia="Calibri" w:hAnsi="Arial Narrow" w:cs="Arial"/>
                <w:bCs/>
                <w:sz w:val="20"/>
                <w:szCs w:val="20"/>
                <w:lang w:eastAsia="en-AU"/>
              </w:rPr>
              <w:instrText xml:space="preserve"> FORMCHECKBOX </w:instrText>
            </w:r>
            <w:r w:rsidRPr="00680C77">
              <w:rPr>
                <w:rFonts w:ascii="Arial Narrow" w:eastAsia="Calibri" w:hAnsi="Arial Narrow" w:cs="Arial"/>
                <w:bCs/>
                <w:sz w:val="20"/>
                <w:szCs w:val="20"/>
                <w:lang w:eastAsia="en-AU"/>
              </w:rPr>
            </w:r>
            <w:r w:rsidRPr="00680C77">
              <w:rPr>
                <w:rFonts w:ascii="Arial Narrow" w:eastAsia="Calibri" w:hAnsi="Arial Narrow" w:cs="Arial"/>
                <w:bCs/>
                <w:sz w:val="20"/>
                <w:szCs w:val="20"/>
                <w:lang w:eastAsia="en-AU"/>
              </w:rPr>
              <w:fldChar w:fldCharType="separate"/>
            </w:r>
            <w:r w:rsidRPr="00680C77">
              <w:rPr>
                <w:rFonts w:ascii="Arial Narrow" w:eastAsia="Calibri" w:hAnsi="Arial Narrow" w:cs="Arial"/>
                <w:bCs/>
                <w:sz w:val="20"/>
                <w:szCs w:val="20"/>
                <w:lang w:eastAsia="en-AU"/>
              </w:rPr>
              <w:fldChar w:fldCharType="end"/>
            </w:r>
            <w:r w:rsidRPr="00680C77">
              <w:rPr>
                <w:rFonts w:ascii="Arial Narrow" w:eastAsia="Calibri" w:hAnsi="Arial Narrow" w:cs="Arial"/>
                <w:bCs/>
                <w:sz w:val="20"/>
                <w:szCs w:val="20"/>
                <w:lang w:eastAsia="en-AU"/>
              </w:rPr>
              <w:t xml:space="preserve"> GENERAL </w:t>
            </w:r>
            <w:r w:rsidRPr="00680C77">
              <w:rPr>
                <w:rFonts w:ascii="Arial Narrow" w:hAnsi="Arial Narrow" w:cs="Arial"/>
                <w:bCs/>
                <w:sz w:val="20"/>
                <w:szCs w:val="20"/>
                <w:lang w:eastAsia="en-AU"/>
              </w:rPr>
              <w:t>–</w:t>
            </w:r>
            <w:r w:rsidRPr="00680C77">
              <w:rPr>
                <w:rFonts w:ascii="Arial Narrow" w:eastAsia="Calibri" w:hAnsi="Arial Narrow" w:cs="Arial"/>
                <w:bCs/>
                <w:sz w:val="20"/>
                <w:szCs w:val="20"/>
                <w:lang w:eastAsia="en-AU"/>
              </w:rPr>
              <w:t xml:space="preserve"> General Schedule (Code GE) </w:t>
            </w:r>
            <w:r w:rsidRPr="00680C77">
              <w:rPr>
                <w:rFonts w:ascii="Arial Narrow" w:eastAsia="Calibri" w:hAnsi="Arial Narrow" w:cs="Arial"/>
                <w:bCs/>
                <w:sz w:val="20"/>
                <w:szCs w:val="20"/>
                <w:lang w:eastAsia="en-AU"/>
              </w:rPr>
              <w:br/>
            </w:r>
            <w:r w:rsidRPr="00680C77">
              <w:rPr>
                <w:rFonts w:ascii="Arial Narrow" w:eastAsia="Calibri" w:hAnsi="Arial Narrow" w:cs="Arial"/>
                <w:bCs/>
                <w:sz w:val="20"/>
                <w:szCs w:val="20"/>
                <w:lang w:eastAsia="en-AU"/>
              </w:rPr>
              <w:fldChar w:fldCharType="begin" w:fldLock="1">
                <w:ffData>
                  <w:name w:val=""/>
                  <w:enabled/>
                  <w:calcOnExit w:val="0"/>
                  <w:checkBox>
                    <w:sizeAuto/>
                    <w:default w:val="1"/>
                  </w:checkBox>
                </w:ffData>
              </w:fldChar>
            </w:r>
            <w:r w:rsidRPr="00680C77">
              <w:rPr>
                <w:rFonts w:ascii="Arial Narrow" w:eastAsia="Calibri" w:hAnsi="Arial Narrow" w:cs="Arial"/>
                <w:bCs/>
                <w:sz w:val="20"/>
                <w:szCs w:val="20"/>
                <w:lang w:eastAsia="en-AU"/>
              </w:rPr>
              <w:instrText xml:space="preserve"> FORMCHECKBOX </w:instrText>
            </w:r>
            <w:r w:rsidRPr="00680C77">
              <w:rPr>
                <w:rFonts w:ascii="Arial Narrow" w:eastAsia="Calibri" w:hAnsi="Arial Narrow" w:cs="Arial"/>
                <w:bCs/>
                <w:sz w:val="20"/>
                <w:szCs w:val="20"/>
                <w:lang w:eastAsia="en-AU"/>
              </w:rPr>
            </w:r>
            <w:r w:rsidRPr="00680C77">
              <w:rPr>
                <w:rFonts w:ascii="Arial Narrow" w:eastAsia="Calibri" w:hAnsi="Arial Narrow" w:cs="Arial"/>
                <w:bCs/>
                <w:sz w:val="20"/>
                <w:szCs w:val="20"/>
                <w:lang w:eastAsia="en-AU"/>
              </w:rPr>
              <w:fldChar w:fldCharType="separate"/>
            </w:r>
            <w:r w:rsidRPr="00680C77">
              <w:rPr>
                <w:rFonts w:ascii="Arial Narrow" w:eastAsia="Calibri" w:hAnsi="Arial Narrow" w:cs="Arial"/>
                <w:bCs/>
                <w:sz w:val="20"/>
                <w:szCs w:val="20"/>
                <w:lang w:eastAsia="en-AU"/>
              </w:rPr>
              <w:fldChar w:fldCharType="end"/>
            </w:r>
            <w:r w:rsidRPr="00680C77">
              <w:rPr>
                <w:rFonts w:ascii="Arial Narrow" w:eastAsia="Calibri" w:hAnsi="Arial Narrow" w:cs="Arial"/>
                <w:bCs/>
                <w:sz w:val="20"/>
                <w:szCs w:val="20"/>
                <w:lang w:eastAsia="en-AU"/>
              </w:rPr>
              <w:t xml:space="preserve"> Section </w:t>
            </w:r>
            <w:r w:rsidRPr="00680C77">
              <w:rPr>
                <w:rFonts w:ascii="Arial Narrow" w:hAnsi="Arial Narrow" w:cs="Arial"/>
                <w:bCs/>
                <w:sz w:val="20"/>
                <w:szCs w:val="20"/>
                <w:lang w:eastAsia="en-AU"/>
              </w:rPr>
              <w:t xml:space="preserve">100 – Efficient Funding of Chemotherapy – Related Benefits (Code CT) </w:t>
            </w:r>
          </w:p>
        </w:tc>
      </w:tr>
      <w:tr w:rsidR="000E2DAF" w:rsidRPr="00680C77" w14:paraId="09213815" w14:textId="77777777">
        <w:tc>
          <w:tcPr>
            <w:tcW w:w="1267" w:type="dxa"/>
            <w:vMerge/>
            <w:vAlign w:val="center"/>
            <w:hideMark/>
          </w:tcPr>
          <w:p w14:paraId="2CAD35FE" w14:textId="77777777" w:rsidR="000E2DAF" w:rsidRPr="00680C77" w:rsidRDefault="000E2DAF" w:rsidP="001C47F4">
            <w:pPr>
              <w:rPr>
                <w:rFonts w:ascii="Arial Narrow" w:hAnsi="Arial Narrow" w:cs="Arial"/>
                <w:b/>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BFD2280" w14:textId="77777777" w:rsidR="000E2DAF" w:rsidRPr="00680C77" w:rsidRDefault="000E2DAF" w:rsidP="001C47F4">
            <w:pPr>
              <w:rPr>
                <w:rFonts w:ascii="Arial Narrow" w:hAnsi="Arial Narrow" w:cs="Arial"/>
                <w:bCs/>
                <w:sz w:val="20"/>
                <w:szCs w:val="20"/>
                <w:lang w:eastAsia="en-AU"/>
              </w:rPr>
            </w:pPr>
            <w:r w:rsidRPr="00680C77">
              <w:rPr>
                <w:rFonts w:ascii="Arial Narrow" w:hAnsi="Arial Narrow" w:cs="Arial"/>
                <w:bCs/>
                <w:sz w:val="20"/>
                <w:szCs w:val="20"/>
                <w:lang w:eastAsia="en-AU"/>
              </w:rPr>
              <w:t xml:space="preserve">Prescriber type: </w:t>
            </w:r>
            <w:r w:rsidRPr="00680C77">
              <w:rPr>
                <w:rFonts w:ascii="Arial Narrow" w:hAnsi="Arial Narrow" w:cs="Arial"/>
                <w:bCs/>
                <w:sz w:val="20"/>
                <w:szCs w:val="20"/>
                <w:lang w:eastAsia="en-AU"/>
              </w:rPr>
              <w:fldChar w:fldCharType="begin" w:fldLock="1">
                <w:ffData>
                  <w:name w:val=""/>
                  <w:enabled/>
                  <w:calcOnExit w:val="0"/>
                  <w:checkBox>
                    <w:sizeAuto/>
                    <w:default w:val="1"/>
                  </w:checkBox>
                </w:ffData>
              </w:fldChar>
            </w:r>
            <w:r w:rsidRPr="00680C77">
              <w:rPr>
                <w:rFonts w:ascii="Arial Narrow" w:hAnsi="Arial Narrow" w:cs="Arial"/>
                <w:bCs/>
                <w:sz w:val="20"/>
                <w:szCs w:val="20"/>
                <w:lang w:eastAsia="en-AU"/>
              </w:rPr>
              <w:instrText xml:space="preserve"> FORMCHECKBOX </w:instrText>
            </w:r>
            <w:r w:rsidRPr="00680C77">
              <w:rPr>
                <w:rFonts w:ascii="Arial Narrow" w:hAnsi="Arial Narrow" w:cs="Arial"/>
                <w:bCs/>
                <w:sz w:val="20"/>
                <w:szCs w:val="20"/>
                <w:lang w:eastAsia="en-AU"/>
              </w:rPr>
            </w:r>
            <w:r w:rsidRPr="00680C77">
              <w:rPr>
                <w:rFonts w:ascii="Arial Narrow" w:hAnsi="Arial Narrow" w:cs="Arial"/>
                <w:bCs/>
                <w:sz w:val="20"/>
                <w:szCs w:val="20"/>
                <w:lang w:eastAsia="en-AU"/>
              </w:rPr>
              <w:fldChar w:fldCharType="separate"/>
            </w:r>
            <w:r w:rsidRPr="00680C77">
              <w:rPr>
                <w:rFonts w:ascii="Arial Narrow" w:hAnsi="Arial Narrow" w:cs="Arial"/>
                <w:bCs/>
                <w:sz w:val="20"/>
                <w:szCs w:val="20"/>
                <w:lang w:eastAsia="en-AU"/>
              </w:rPr>
              <w:fldChar w:fldCharType="end"/>
            </w:r>
            <w:r w:rsidRPr="00680C77">
              <w:rPr>
                <w:rFonts w:ascii="Arial Narrow" w:hAnsi="Arial Narrow" w:cs="Arial"/>
                <w:bCs/>
                <w:sz w:val="20"/>
                <w:szCs w:val="20"/>
                <w:lang w:eastAsia="en-AU"/>
              </w:rPr>
              <w:t xml:space="preserve">Medical Practitioners </w:t>
            </w:r>
          </w:p>
        </w:tc>
      </w:tr>
      <w:tr w:rsidR="000E2DAF" w:rsidRPr="00680C77" w14:paraId="763C6CF0" w14:textId="77777777">
        <w:trPr>
          <w:trHeight w:val="184"/>
        </w:trPr>
        <w:tc>
          <w:tcPr>
            <w:tcW w:w="1267" w:type="dxa"/>
            <w:vMerge/>
            <w:vAlign w:val="center"/>
            <w:hideMark/>
          </w:tcPr>
          <w:p w14:paraId="5A713E37" w14:textId="77777777" w:rsidR="000E2DAF" w:rsidRPr="00680C77" w:rsidRDefault="000E2DAF" w:rsidP="001C47F4">
            <w:pPr>
              <w:rPr>
                <w:rFonts w:ascii="Arial Narrow" w:hAnsi="Arial Narrow" w:cs="Arial"/>
                <w:b/>
                <w:sz w:val="20"/>
                <w:szCs w:val="20"/>
                <w:lang w:eastAsia="en-AU"/>
              </w:rPr>
            </w:pPr>
          </w:p>
        </w:tc>
        <w:tc>
          <w:tcPr>
            <w:tcW w:w="7943" w:type="dxa"/>
            <w:gridSpan w:val="6"/>
            <w:tcBorders>
              <w:top w:val="single" w:sz="4" w:space="0" w:color="auto"/>
              <w:left w:val="single" w:sz="4" w:space="0" w:color="auto"/>
              <w:right w:val="single" w:sz="4" w:space="0" w:color="auto"/>
            </w:tcBorders>
            <w:tcMar>
              <w:top w:w="15" w:type="dxa"/>
              <w:left w:w="108" w:type="dxa"/>
              <w:bottom w:w="15" w:type="dxa"/>
              <w:right w:w="108" w:type="dxa"/>
            </w:tcMar>
            <w:hideMark/>
          </w:tcPr>
          <w:p w14:paraId="456CB3D9" w14:textId="77777777" w:rsidR="000E2DAF" w:rsidRPr="00680C77" w:rsidRDefault="000E2DAF" w:rsidP="001C47F4">
            <w:pPr>
              <w:rPr>
                <w:rFonts w:ascii="Arial Narrow" w:eastAsia="Calibri" w:hAnsi="Arial Narrow" w:cs="Arial"/>
                <w:bCs/>
                <w:sz w:val="20"/>
                <w:szCs w:val="20"/>
                <w:lang w:eastAsia="en-AU"/>
              </w:rPr>
            </w:pPr>
            <w:r w:rsidRPr="00680C77">
              <w:rPr>
                <w:rFonts w:ascii="Arial Narrow" w:hAnsi="Arial Narrow" w:cs="Arial"/>
                <w:bCs/>
                <w:sz w:val="20"/>
                <w:szCs w:val="20"/>
                <w:lang w:eastAsia="en-AU"/>
              </w:rPr>
              <w:t xml:space="preserve">Restriction type: </w:t>
            </w:r>
            <w:r w:rsidRPr="00680C77">
              <w:rPr>
                <w:rFonts w:ascii="Arial Narrow" w:hAnsi="Arial Narrow" w:cs="Arial"/>
                <w:bCs/>
                <w:sz w:val="20"/>
                <w:szCs w:val="20"/>
                <w:lang w:eastAsia="en-AU"/>
              </w:rPr>
              <w:fldChar w:fldCharType="begin" w:fldLock="1">
                <w:ffData>
                  <w:name w:val=""/>
                  <w:enabled/>
                  <w:calcOnExit w:val="0"/>
                  <w:checkBox>
                    <w:sizeAuto/>
                    <w:default w:val="1"/>
                  </w:checkBox>
                </w:ffData>
              </w:fldChar>
            </w:r>
            <w:r w:rsidRPr="00680C77">
              <w:rPr>
                <w:rFonts w:ascii="Arial Narrow" w:hAnsi="Arial Narrow" w:cs="Arial"/>
                <w:bCs/>
                <w:sz w:val="20"/>
                <w:szCs w:val="20"/>
                <w:lang w:eastAsia="en-AU"/>
              </w:rPr>
              <w:instrText xml:space="preserve"> FORMCHECKBOX </w:instrText>
            </w:r>
            <w:r w:rsidRPr="00680C77">
              <w:rPr>
                <w:rFonts w:ascii="Arial Narrow" w:hAnsi="Arial Narrow" w:cs="Arial"/>
                <w:bCs/>
                <w:sz w:val="20"/>
                <w:szCs w:val="20"/>
                <w:lang w:eastAsia="en-AU"/>
              </w:rPr>
            </w:r>
            <w:r w:rsidRPr="00680C77">
              <w:rPr>
                <w:rFonts w:ascii="Arial Narrow" w:hAnsi="Arial Narrow" w:cs="Arial"/>
                <w:bCs/>
                <w:sz w:val="20"/>
                <w:szCs w:val="20"/>
                <w:lang w:eastAsia="en-AU"/>
              </w:rPr>
              <w:fldChar w:fldCharType="separate"/>
            </w:r>
            <w:r w:rsidRPr="00680C77">
              <w:rPr>
                <w:rFonts w:ascii="Arial Narrow" w:hAnsi="Arial Narrow" w:cs="Arial"/>
                <w:bCs/>
                <w:sz w:val="20"/>
                <w:szCs w:val="20"/>
                <w:lang w:eastAsia="en-AU"/>
              </w:rPr>
              <w:fldChar w:fldCharType="end"/>
            </w:r>
            <w:r w:rsidRPr="00680C77">
              <w:rPr>
                <w:rFonts w:ascii="Arial Narrow" w:hAnsi="Arial Narrow" w:cs="Arial"/>
                <w:bCs/>
                <w:sz w:val="20"/>
                <w:szCs w:val="20"/>
                <w:lang w:eastAsia="en-AU"/>
              </w:rPr>
              <w:t>Authority Required (Telephone/Online)</w:t>
            </w:r>
          </w:p>
        </w:tc>
      </w:tr>
      <w:tr w:rsidR="000E2DAF" w:rsidRPr="00680C77" w14:paraId="717ADB7F" w14:textId="77777777">
        <w:tc>
          <w:tcPr>
            <w:tcW w:w="1267"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72C1C9E" w14:textId="77777777" w:rsidR="000E2DAF" w:rsidRPr="00680C77"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2527C64" w14:textId="77777777" w:rsidR="000E2DAF" w:rsidRPr="00680C77" w:rsidRDefault="000E2DAF" w:rsidP="001C47F4">
            <w:pPr>
              <w:rPr>
                <w:rFonts w:ascii="Arial Narrow" w:hAnsi="Arial Narrow" w:cs="Arial"/>
                <w:bCs/>
                <w:sz w:val="20"/>
                <w:szCs w:val="20"/>
                <w:lang w:eastAsia="en-AU"/>
              </w:rPr>
            </w:pPr>
            <w:r w:rsidRPr="00680C77">
              <w:rPr>
                <w:rFonts w:ascii="Arial Narrow" w:hAnsi="Arial Narrow" w:cs="Arial"/>
                <w:b/>
                <w:bCs/>
                <w:sz w:val="20"/>
                <w:szCs w:val="20"/>
                <w:lang w:eastAsia="en-AU"/>
              </w:rPr>
              <w:t xml:space="preserve">Episodicity: </w:t>
            </w:r>
            <w:r w:rsidRPr="00680C77">
              <w:rPr>
                <w:rFonts w:ascii="Arial Narrow" w:hAnsi="Arial Narrow" w:cs="Arial"/>
                <w:sz w:val="20"/>
                <w:szCs w:val="20"/>
                <w:lang w:eastAsia="en-AU"/>
              </w:rPr>
              <w:t>[Blank]</w:t>
            </w:r>
          </w:p>
        </w:tc>
      </w:tr>
      <w:tr w:rsidR="000E2DAF" w:rsidRPr="00680C77" w14:paraId="56313C43" w14:textId="77777777">
        <w:tc>
          <w:tcPr>
            <w:tcW w:w="1267" w:type="dxa"/>
            <w:vMerge/>
            <w:vAlign w:val="center"/>
            <w:hideMark/>
          </w:tcPr>
          <w:p w14:paraId="114388CE" w14:textId="77777777" w:rsidR="000E2DAF" w:rsidRPr="00680C77" w:rsidRDefault="000E2DAF" w:rsidP="001C47F4">
            <w:pP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6E40F70" w14:textId="77777777" w:rsidR="000E2DAF" w:rsidRPr="00680C77" w:rsidRDefault="000E2DAF" w:rsidP="001C47F4">
            <w:pPr>
              <w:rPr>
                <w:rFonts w:ascii="Arial Narrow" w:hAnsi="Arial Narrow" w:cs="Arial"/>
                <w:b/>
                <w:bCs/>
                <w:sz w:val="20"/>
                <w:szCs w:val="20"/>
                <w:lang w:eastAsia="en-AU"/>
              </w:rPr>
            </w:pPr>
            <w:r w:rsidRPr="00680C77">
              <w:rPr>
                <w:rFonts w:ascii="Arial Narrow" w:hAnsi="Arial Narrow" w:cs="Arial"/>
                <w:b/>
                <w:sz w:val="20"/>
                <w:szCs w:val="20"/>
                <w:lang w:eastAsia="en-AU"/>
              </w:rPr>
              <w:t>Severity:</w:t>
            </w:r>
            <w:r w:rsidRPr="00680C77">
              <w:rPr>
                <w:rFonts w:ascii="Arial Narrow" w:hAnsi="Arial Narrow" w:cs="Arial"/>
                <w:sz w:val="20"/>
                <w:szCs w:val="20"/>
                <w:lang w:eastAsia="en-AU"/>
              </w:rPr>
              <w:t xml:space="preserve"> Relapsed or refractory</w:t>
            </w:r>
          </w:p>
        </w:tc>
      </w:tr>
      <w:tr w:rsidR="000E2DAF" w:rsidRPr="00680C77" w14:paraId="19571812" w14:textId="77777777">
        <w:tc>
          <w:tcPr>
            <w:tcW w:w="1267" w:type="dxa"/>
            <w:vMerge/>
            <w:vAlign w:val="center"/>
            <w:hideMark/>
          </w:tcPr>
          <w:p w14:paraId="39E1CADB" w14:textId="77777777" w:rsidR="000E2DAF" w:rsidRPr="00680C77" w:rsidRDefault="000E2DAF" w:rsidP="001C47F4">
            <w:pP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62FF858" w14:textId="77777777" w:rsidR="000E2DAF" w:rsidRPr="00680C77" w:rsidRDefault="000E2DAF" w:rsidP="001C47F4">
            <w:pPr>
              <w:rPr>
                <w:rFonts w:ascii="Arial Narrow" w:hAnsi="Arial Narrow" w:cs="Arial"/>
                <w:b/>
                <w:bCs/>
                <w:sz w:val="20"/>
                <w:szCs w:val="20"/>
                <w:lang w:eastAsia="en-AU"/>
              </w:rPr>
            </w:pPr>
            <w:r w:rsidRPr="00680C77">
              <w:rPr>
                <w:rFonts w:ascii="Arial Narrow" w:hAnsi="Arial Narrow" w:cs="Arial"/>
                <w:b/>
                <w:sz w:val="20"/>
                <w:szCs w:val="20"/>
                <w:lang w:eastAsia="en-AU"/>
              </w:rPr>
              <w:t>Condition:</w:t>
            </w:r>
            <w:r w:rsidRPr="00680C77">
              <w:rPr>
                <w:rFonts w:ascii="Arial Narrow" w:hAnsi="Arial Narrow" w:cs="Arial"/>
                <w:sz w:val="20"/>
                <w:szCs w:val="20"/>
                <w:lang w:eastAsia="en-AU"/>
              </w:rPr>
              <w:t xml:space="preserve"> Multiple myeloma</w:t>
            </w:r>
          </w:p>
        </w:tc>
      </w:tr>
      <w:tr w:rsidR="000E2DAF" w:rsidRPr="00680C77" w14:paraId="4C26E248"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D4324AF" w14:textId="204C786F" w:rsidR="000E2DAF" w:rsidRPr="00C76ABC"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3E3259D" w14:textId="77777777" w:rsidR="000E2DAF" w:rsidRPr="00680C77" w:rsidRDefault="000E2DAF" w:rsidP="001C47F4">
            <w:pPr>
              <w:rPr>
                <w:rFonts w:ascii="Arial Narrow" w:hAnsi="Arial Narrow" w:cs="Arial"/>
                <w:sz w:val="20"/>
                <w:szCs w:val="20"/>
                <w:lang w:eastAsia="en-AU"/>
              </w:rPr>
            </w:pPr>
            <w:r w:rsidRPr="00680C77">
              <w:rPr>
                <w:rFonts w:ascii="Arial Narrow" w:hAnsi="Arial Narrow" w:cs="Arial"/>
                <w:b/>
                <w:sz w:val="20"/>
                <w:szCs w:val="20"/>
                <w:lang w:eastAsia="en-AU"/>
              </w:rPr>
              <w:t>Indication:</w:t>
            </w:r>
            <w:r w:rsidRPr="00680C77">
              <w:rPr>
                <w:rFonts w:ascii="Arial Narrow" w:hAnsi="Arial Narrow" w:cs="Arial"/>
                <w:sz w:val="20"/>
                <w:szCs w:val="20"/>
                <w:lang w:eastAsia="en-AU"/>
              </w:rPr>
              <w:t xml:space="preserve"> Relapsed or refractory multiple myeloma</w:t>
            </w:r>
          </w:p>
        </w:tc>
      </w:tr>
      <w:tr w:rsidR="000E2DAF" w:rsidRPr="00680C77" w14:paraId="74CEF161"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AC3D3BA" w14:textId="77777777" w:rsidR="000E2DAF" w:rsidRPr="00C76ABC"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59E4BCF" w14:textId="5E373433" w:rsidR="000E2DAF" w:rsidRPr="00680C77" w:rsidRDefault="000E2DAF" w:rsidP="001C47F4">
            <w:pPr>
              <w:rPr>
                <w:rFonts w:ascii="Arial Narrow" w:hAnsi="Arial Narrow" w:cs="Arial"/>
                <w:b/>
                <w:sz w:val="20"/>
                <w:szCs w:val="20"/>
                <w:lang w:eastAsia="en-AU"/>
              </w:rPr>
            </w:pPr>
            <w:r w:rsidRPr="00680C77">
              <w:rPr>
                <w:rFonts w:ascii="Arial Narrow" w:hAnsi="Arial Narrow" w:cs="Arial"/>
                <w:b/>
                <w:bCs/>
                <w:sz w:val="20"/>
                <w:szCs w:val="20"/>
                <w:lang w:eastAsia="en-AU"/>
              </w:rPr>
              <w:t>Treatment</w:t>
            </w:r>
            <w:r w:rsidRPr="00680C77">
              <w:rPr>
                <w:rFonts w:ascii="Arial Narrow" w:hAnsi="Arial Narrow" w:cs="Arial"/>
                <w:b/>
                <w:bCs/>
                <w:spacing w:val="-3"/>
                <w:sz w:val="20"/>
                <w:szCs w:val="20"/>
                <w:lang w:eastAsia="en-AU"/>
              </w:rPr>
              <w:t xml:space="preserve"> </w:t>
            </w:r>
            <w:r w:rsidRPr="00680C77">
              <w:rPr>
                <w:rFonts w:ascii="Arial Narrow" w:hAnsi="Arial Narrow" w:cs="Arial"/>
                <w:b/>
                <w:bCs/>
                <w:sz w:val="20"/>
                <w:szCs w:val="20"/>
                <w:lang w:eastAsia="en-AU"/>
              </w:rPr>
              <w:t>Phase:</w:t>
            </w:r>
            <w:r w:rsidRPr="00680C77">
              <w:rPr>
                <w:rFonts w:ascii="Arial Narrow" w:hAnsi="Arial Narrow" w:cs="Arial"/>
                <w:sz w:val="20"/>
                <w:szCs w:val="20"/>
                <w:lang w:eastAsia="en-AU"/>
              </w:rPr>
              <w:t xml:space="preserve"> Induction treatment (step</w:t>
            </w:r>
            <w:r w:rsidR="00EC1990">
              <w:rPr>
                <w:rFonts w:ascii="Arial Narrow" w:hAnsi="Arial Narrow" w:cs="Arial"/>
                <w:sz w:val="20"/>
                <w:szCs w:val="20"/>
                <w:lang w:eastAsia="en-AU"/>
              </w:rPr>
              <w:noBreakHyphen/>
            </w:r>
            <w:r w:rsidRPr="00680C77">
              <w:rPr>
                <w:rFonts w:ascii="Arial Narrow" w:hAnsi="Arial Narrow" w:cs="Arial"/>
                <w:sz w:val="20"/>
                <w:szCs w:val="20"/>
                <w:lang w:eastAsia="en-AU"/>
              </w:rPr>
              <w:t xml:space="preserve">up dosing) </w:t>
            </w:r>
          </w:p>
        </w:tc>
      </w:tr>
      <w:tr w:rsidR="000E2DAF" w:rsidRPr="00680C77" w14:paraId="7A49A8AF"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20F0462" w14:textId="30B50A6C" w:rsidR="000E2DAF" w:rsidRPr="00C76ABC"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527FE0A" w14:textId="77777777" w:rsidR="000E2DAF" w:rsidRPr="00680C77" w:rsidRDefault="000E2DAF" w:rsidP="001C47F4">
            <w:pPr>
              <w:rPr>
                <w:rFonts w:ascii="Arial Narrow" w:hAnsi="Arial Narrow" w:cs="Arial"/>
                <w:b/>
                <w:sz w:val="20"/>
                <w:szCs w:val="20"/>
                <w:lang w:eastAsia="en-AU"/>
              </w:rPr>
            </w:pPr>
            <w:r w:rsidRPr="00680C77">
              <w:rPr>
                <w:rFonts w:ascii="Arial Narrow" w:hAnsi="Arial Narrow" w:cs="Arial"/>
                <w:b/>
                <w:bCs/>
                <w:sz w:val="20"/>
                <w:szCs w:val="20"/>
                <w:lang w:eastAsia="en-AU"/>
              </w:rPr>
              <w:t>Clinical</w:t>
            </w:r>
            <w:r w:rsidRPr="00680C77">
              <w:rPr>
                <w:rFonts w:ascii="Arial Narrow" w:hAnsi="Arial Narrow" w:cs="Arial"/>
                <w:b/>
                <w:bCs/>
                <w:spacing w:val="-4"/>
                <w:sz w:val="20"/>
                <w:szCs w:val="20"/>
                <w:lang w:eastAsia="en-AU"/>
              </w:rPr>
              <w:t xml:space="preserve"> </w:t>
            </w:r>
            <w:r w:rsidRPr="00680C77">
              <w:rPr>
                <w:rFonts w:ascii="Arial Narrow" w:hAnsi="Arial Narrow" w:cs="Arial"/>
                <w:b/>
                <w:bCs/>
                <w:spacing w:val="-2"/>
                <w:sz w:val="20"/>
                <w:szCs w:val="20"/>
                <w:lang w:eastAsia="en-AU"/>
              </w:rPr>
              <w:t>criteria:</w:t>
            </w:r>
          </w:p>
        </w:tc>
      </w:tr>
      <w:tr w:rsidR="000E2DAF" w:rsidRPr="00680C77" w14:paraId="709C49D9"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6D946B8" w14:textId="6B0DFAD8" w:rsidR="000E2DAF" w:rsidRPr="00C76ABC"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87AF882" w14:textId="77777777" w:rsidR="000E2DAF" w:rsidRPr="00680C77" w:rsidRDefault="000E2DAF" w:rsidP="001C47F4">
            <w:pPr>
              <w:rPr>
                <w:rFonts w:ascii="Arial Narrow" w:hAnsi="Arial Narrow" w:cs="Arial"/>
                <w:b/>
                <w:sz w:val="20"/>
                <w:szCs w:val="20"/>
                <w:lang w:eastAsia="en-AU"/>
              </w:rPr>
            </w:pPr>
            <w:r w:rsidRPr="00680C77">
              <w:rPr>
                <w:rFonts w:ascii="Arial Narrow" w:hAnsi="Arial Narrow" w:cs="Arial"/>
                <w:spacing w:val="-2"/>
                <w:sz w:val="20"/>
                <w:szCs w:val="20"/>
                <w:lang w:eastAsia="en-AU"/>
              </w:rPr>
              <w:t>The condition must be confirmed by a histological diagnosis</w:t>
            </w:r>
          </w:p>
        </w:tc>
      </w:tr>
      <w:tr w:rsidR="000E2DAF" w:rsidRPr="00680C77" w14:paraId="615865A1"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6C9F3A2" w14:textId="77777777" w:rsidR="000E2DAF" w:rsidRPr="00C76ABC"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C94539B" w14:textId="77777777" w:rsidR="000E2DAF" w:rsidRPr="00680C77" w:rsidRDefault="000E2DAF" w:rsidP="001C47F4">
            <w:pPr>
              <w:rPr>
                <w:rFonts w:ascii="Arial Narrow" w:hAnsi="Arial Narrow" w:cs="Arial"/>
                <w:b/>
                <w:sz w:val="20"/>
                <w:szCs w:val="20"/>
                <w:lang w:eastAsia="en-AU"/>
              </w:rPr>
            </w:pPr>
            <w:r w:rsidRPr="00680C77">
              <w:rPr>
                <w:rFonts w:ascii="Arial Narrow" w:hAnsi="Arial Narrow" w:cs="Arial"/>
                <w:b/>
                <w:bCs/>
                <w:spacing w:val="-5"/>
                <w:sz w:val="20"/>
                <w:szCs w:val="20"/>
                <w:lang w:eastAsia="en-AU"/>
              </w:rPr>
              <w:t>AND</w:t>
            </w:r>
          </w:p>
        </w:tc>
      </w:tr>
      <w:tr w:rsidR="000E2DAF" w:rsidRPr="00680C77" w14:paraId="5E008A17"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73FC94D" w14:textId="07969297" w:rsidR="000E2DAF" w:rsidRPr="00C76ABC"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51A5376" w14:textId="77777777" w:rsidR="000E2DAF" w:rsidRPr="00680C77" w:rsidRDefault="000E2DAF" w:rsidP="001C47F4">
            <w:pPr>
              <w:rPr>
                <w:rFonts w:ascii="Arial Narrow" w:hAnsi="Arial Narrow" w:cs="Arial"/>
                <w:b/>
                <w:bCs/>
                <w:spacing w:val="-5"/>
                <w:sz w:val="20"/>
                <w:szCs w:val="20"/>
                <w:lang w:eastAsia="en-AU"/>
              </w:rPr>
            </w:pPr>
            <w:r w:rsidRPr="00680C77">
              <w:rPr>
                <w:rFonts w:ascii="Arial Narrow" w:hAnsi="Arial Narrow" w:cs="Arial"/>
                <w:b/>
                <w:bCs/>
                <w:sz w:val="20"/>
                <w:szCs w:val="20"/>
                <w:lang w:eastAsia="en-AU"/>
              </w:rPr>
              <w:t>Clinical</w:t>
            </w:r>
            <w:r w:rsidRPr="00680C77">
              <w:rPr>
                <w:rFonts w:ascii="Arial Narrow" w:hAnsi="Arial Narrow" w:cs="Arial"/>
                <w:b/>
                <w:bCs/>
                <w:spacing w:val="-4"/>
                <w:sz w:val="20"/>
                <w:szCs w:val="20"/>
                <w:lang w:eastAsia="en-AU"/>
              </w:rPr>
              <w:t xml:space="preserve"> </w:t>
            </w:r>
            <w:r w:rsidRPr="00680C77">
              <w:rPr>
                <w:rFonts w:ascii="Arial Narrow" w:hAnsi="Arial Narrow" w:cs="Arial"/>
                <w:b/>
                <w:bCs/>
                <w:spacing w:val="-2"/>
                <w:sz w:val="20"/>
                <w:szCs w:val="20"/>
                <w:lang w:eastAsia="en-AU"/>
              </w:rPr>
              <w:t>criteria:</w:t>
            </w:r>
          </w:p>
        </w:tc>
      </w:tr>
      <w:tr w:rsidR="000E2DAF" w:rsidRPr="00680C77" w14:paraId="0BFFCC5A"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5BE8559" w14:textId="57C98969" w:rsidR="000E2DAF" w:rsidRPr="00C76ABC"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90E7DE1" w14:textId="047510E2" w:rsidR="000E2DAF" w:rsidRPr="00680C77" w:rsidRDefault="000E2DAF" w:rsidP="001C47F4">
            <w:pPr>
              <w:rPr>
                <w:rFonts w:ascii="Arial Narrow" w:hAnsi="Arial Narrow" w:cs="Arial"/>
                <w:spacing w:val="-2"/>
                <w:sz w:val="20"/>
                <w:szCs w:val="20"/>
                <w:lang w:eastAsia="en-AU"/>
              </w:rPr>
            </w:pPr>
            <w:r w:rsidRPr="00680C77">
              <w:rPr>
                <w:rFonts w:ascii="Arial Narrow" w:hAnsi="Arial Narrow" w:cs="Arial"/>
                <w:spacing w:val="-2"/>
                <w:sz w:val="20"/>
                <w:szCs w:val="20"/>
                <w:lang w:eastAsia="en-AU"/>
              </w:rPr>
              <w:t>Patient must have had progressive disease after receiving at least 3 prior lines of therapy, including each of the following therapies: (i) a proteasome inhibitor, (ii) an immunomodulatory agent, and (iii) an anti</w:t>
            </w:r>
            <w:r w:rsidR="00EC1990">
              <w:rPr>
                <w:rFonts w:ascii="Arial Narrow" w:hAnsi="Arial Narrow" w:cs="Arial"/>
                <w:spacing w:val="-2"/>
                <w:sz w:val="20"/>
                <w:szCs w:val="20"/>
                <w:lang w:eastAsia="en-AU"/>
              </w:rPr>
              <w:noBreakHyphen/>
            </w:r>
            <w:r w:rsidRPr="00680C77">
              <w:rPr>
                <w:rFonts w:ascii="Arial Narrow" w:hAnsi="Arial Narrow" w:cs="Arial"/>
                <w:spacing w:val="-2"/>
                <w:sz w:val="20"/>
                <w:szCs w:val="20"/>
                <w:lang w:eastAsia="en-AU"/>
              </w:rPr>
              <w:t>CD38 monoclonal antibody; or</w:t>
            </w:r>
          </w:p>
        </w:tc>
      </w:tr>
      <w:tr w:rsidR="000E2DAF" w:rsidRPr="00680C77" w14:paraId="12FF7363"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F4F413B" w14:textId="69A96B64" w:rsidR="000E2DAF" w:rsidRPr="00C76ABC"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E86588A" w14:textId="40D1A200" w:rsidR="000E2DAF" w:rsidRPr="00680C77" w:rsidRDefault="000E2DAF" w:rsidP="001C47F4">
            <w:pPr>
              <w:rPr>
                <w:rFonts w:ascii="Arial Narrow" w:hAnsi="Arial Narrow" w:cs="Arial"/>
                <w:b/>
                <w:sz w:val="20"/>
                <w:szCs w:val="20"/>
                <w:lang w:eastAsia="en-AU"/>
              </w:rPr>
            </w:pPr>
            <w:r w:rsidRPr="00680C77">
              <w:rPr>
                <w:rFonts w:ascii="Arial Narrow" w:hAnsi="Arial Narrow" w:cs="Arial"/>
                <w:spacing w:val="-2"/>
                <w:sz w:val="20"/>
                <w:szCs w:val="20"/>
                <w:lang w:eastAsia="en-AU"/>
              </w:rPr>
              <w:t>Patient must have been refractory to, at least 3 prior lines of therapy, including each of the following therapies: (i) a proteasome inhibitor, (ii) an immunomodulatory agent, (iii) an anti</w:t>
            </w:r>
            <w:r w:rsidR="00EC1990">
              <w:rPr>
                <w:rFonts w:ascii="Arial Narrow" w:hAnsi="Arial Narrow" w:cs="Arial"/>
                <w:spacing w:val="-2"/>
                <w:sz w:val="20"/>
                <w:szCs w:val="20"/>
                <w:lang w:eastAsia="en-AU"/>
              </w:rPr>
              <w:noBreakHyphen/>
            </w:r>
            <w:r w:rsidRPr="00680C77">
              <w:rPr>
                <w:rFonts w:ascii="Arial Narrow" w:hAnsi="Arial Narrow" w:cs="Arial"/>
                <w:spacing w:val="-2"/>
                <w:sz w:val="20"/>
                <w:szCs w:val="20"/>
                <w:lang w:eastAsia="en-AU"/>
              </w:rPr>
              <w:t>CD38 monoclonal antibody</w:t>
            </w:r>
          </w:p>
        </w:tc>
      </w:tr>
      <w:tr w:rsidR="000E2DAF" w:rsidRPr="00680C77" w14:paraId="4D4BA179"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CFA5ADA" w14:textId="77777777" w:rsidR="000E2DAF" w:rsidRPr="00C76ABC"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B7C5EBF" w14:textId="77777777" w:rsidR="000E2DAF" w:rsidRPr="00680C77" w:rsidRDefault="000E2DAF" w:rsidP="001C47F4">
            <w:pPr>
              <w:rPr>
                <w:rFonts w:ascii="Arial Narrow" w:hAnsi="Arial Narrow" w:cs="Arial"/>
                <w:strike/>
                <w:spacing w:val="-2"/>
                <w:sz w:val="20"/>
                <w:szCs w:val="20"/>
                <w:lang w:eastAsia="en-AU"/>
              </w:rPr>
            </w:pPr>
            <w:r w:rsidRPr="00680C77">
              <w:rPr>
                <w:rFonts w:ascii="Arial Narrow" w:hAnsi="Arial Narrow" w:cs="Arial"/>
                <w:b/>
                <w:bCs/>
                <w:spacing w:val="-2"/>
                <w:sz w:val="20"/>
                <w:szCs w:val="20"/>
                <w:lang w:eastAsia="en-AU"/>
              </w:rPr>
              <w:t>AND</w:t>
            </w:r>
          </w:p>
        </w:tc>
      </w:tr>
      <w:tr w:rsidR="000E2DAF" w:rsidRPr="00680C77" w14:paraId="44CC0DD1"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97E81DC" w14:textId="2389CAE6" w:rsidR="000E2DAF" w:rsidRPr="00C76ABC"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548CC22" w14:textId="77777777" w:rsidR="000E2DAF" w:rsidRPr="00680C77" w:rsidRDefault="000E2DAF" w:rsidP="001C47F4">
            <w:pPr>
              <w:rPr>
                <w:rFonts w:ascii="Arial Narrow" w:hAnsi="Arial Narrow" w:cs="Arial"/>
                <w:strike/>
                <w:spacing w:val="-2"/>
                <w:sz w:val="20"/>
                <w:szCs w:val="20"/>
                <w:lang w:eastAsia="en-AU"/>
              </w:rPr>
            </w:pPr>
            <w:r w:rsidRPr="00680C77">
              <w:rPr>
                <w:rFonts w:ascii="Arial Narrow" w:hAnsi="Arial Narrow" w:cs="Arial"/>
                <w:b/>
                <w:bCs/>
                <w:sz w:val="20"/>
                <w:szCs w:val="20"/>
                <w:lang w:eastAsia="en-AU"/>
              </w:rPr>
              <w:t>Clinical</w:t>
            </w:r>
            <w:r w:rsidRPr="00680C77">
              <w:rPr>
                <w:rFonts w:ascii="Arial Narrow" w:hAnsi="Arial Narrow" w:cs="Arial"/>
                <w:b/>
                <w:bCs/>
                <w:spacing w:val="-4"/>
                <w:sz w:val="20"/>
                <w:szCs w:val="20"/>
                <w:lang w:eastAsia="en-AU"/>
              </w:rPr>
              <w:t xml:space="preserve"> </w:t>
            </w:r>
            <w:r w:rsidRPr="00680C77">
              <w:rPr>
                <w:rFonts w:ascii="Arial Narrow" w:hAnsi="Arial Narrow" w:cs="Arial"/>
                <w:b/>
                <w:bCs/>
                <w:spacing w:val="-2"/>
                <w:sz w:val="20"/>
                <w:szCs w:val="20"/>
                <w:lang w:eastAsia="en-AU"/>
              </w:rPr>
              <w:t>criteria:</w:t>
            </w:r>
          </w:p>
        </w:tc>
      </w:tr>
      <w:tr w:rsidR="000E2DAF" w:rsidRPr="00680C77" w14:paraId="0725398C"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33AE01E" w14:textId="4A070A00" w:rsidR="000E2DAF" w:rsidRPr="00C76ABC"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4B4CCE4" w14:textId="77777777" w:rsidR="000E2DAF" w:rsidRPr="00680C77" w:rsidRDefault="000E2DAF" w:rsidP="001C47F4">
            <w:pPr>
              <w:rPr>
                <w:rFonts w:ascii="Arial Narrow" w:hAnsi="Arial Narrow" w:cs="Arial"/>
                <w:strike/>
                <w:spacing w:val="-2"/>
                <w:sz w:val="20"/>
                <w:szCs w:val="20"/>
                <w:lang w:eastAsia="en-AU"/>
              </w:rPr>
            </w:pPr>
            <w:r w:rsidRPr="00680C77">
              <w:rPr>
                <w:rFonts w:ascii="Arial Narrow" w:hAnsi="Arial Narrow" w:cs="Arial"/>
                <w:spacing w:val="-2"/>
                <w:sz w:val="20"/>
                <w:szCs w:val="20"/>
                <w:lang w:eastAsia="en-AU"/>
              </w:rPr>
              <w:t>Patient must have a WHO performance status of 2 or less</w:t>
            </w:r>
          </w:p>
        </w:tc>
      </w:tr>
      <w:tr w:rsidR="000E2DAF" w:rsidRPr="00680C77" w14:paraId="33557A42"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A1D66DC" w14:textId="77777777" w:rsidR="000E2DAF" w:rsidRPr="00774679"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4FFC5D7" w14:textId="77777777" w:rsidR="000E2DAF" w:rsidRPr="00774679" w:rsidRDefault="000E2DAF"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774679">
              <w:rPr>
                <w:rFonts w:ascii="Arial Narrow" w:eastAsia="MS Mincho" w:hAnsi="Arial Narrow" w:cs="Arial Narrow"/>
                <w:b/>
                <w:bCs/>
                <w:spacing w:val="-2"/>
                <w:sz w:val="20"/>
                <w:szCs w:val="20"/>
                <w:lang w:eastAsia="en-AU"/>
              </w:rPr>
              <w:t>AND</w:t>
            </w:r>
          </w:p>
        </w:tc>
      </w:tr>
      <w:tr w:rsidR="000E2DAF" w:rsidRPr="00680C77" w14:paraId="64BE5C5F"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4015CF" w14:textId="240D3B56" w:rsidR="000E2DAF" w:rsidRPr="00774679"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2918C40" w14:textId="77777777" w:rsidR="000E2DAF" w:rsidRPr="00774679" w:rsidRDefault="000E2DAF"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774679">
              <w:rPr>
                <w:rFonts w:ascii="Arial Narrow" w:eastAsia="MS Mincho" w:hAnsi="Arial Narrow" w:cs="Arial Narrow"/>
                <w:b/>
                <w:bCs/>
                <w:spacing w:val="-2"/>
                <w:sz w:val="20"/>
                <w:szCs w:val="20"/>
                <w:lang w:eastAsia="en-AU"/>
              </w:rPr>
              <w:t>Clinical criteria:</w:t>
            </w:r>
          </w:p>
        </w:tc>
      </w:tr>
      <w:tr w:rsidR="000E2DAF" w:rsidRPr="00680C77" w14:paraId="38E39E7D"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5EAA2A4" w14:textId="291056DA" w:rsidR="000E2DAF" w:rsidRPr="00774679"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56E70A1" w14:textId="5BFE4AC5" w:rsidR="000E2DAF" w:rsidRPr="00774679" w:rsidRDefault="000E2DAF"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774679">
              <w:rPr>
                <w:rFonts w:ascii="Arial Narrow" w:eastAsia="MS Mincho" w:hAnsi="Arial Narrow" w:cs="Arial Narrow"/>
                <w:spacing w:val="-2"/>
                <w:sz w:val="20"/>
                <w:szCs w:val="20"/>
                <w:lang w:eastAsia="en-AU"/>
              </w:rPr>
              <w:t>Patient must not have previously received treatment with another B</w:t>
            </w:r>
            <w:r w:rsidR="00EC1990">
              <w:rPr>
                <w:rFonts w:ascii="Arial Narrow" w:eastAsia="MS Mincho" w:hAnsi="Arial Narrow" w:cs="Arial Narrow"/>
                <w:spacing w:val="-2"/>
                <w:sz w:val="20"/>
                <w:szCs w:val="20"/>
                <w:lang w:eastAsia="en-AU"/>
              </w:rPr>
              <w:noBreakHyphen/>
            </w:r>
            <w:r w:rsidRPr="00774679">
              <w:rPr>
                <w:rFonts w:ascii="Arial Narrow" w:eastAsia="MS Mincho" w:hAnsi="Arial Narrow" w:cs="Arial Narrow"/>
                <w:spacing w:val="-2"/>
                <w:sz w:val="20"/>
                <w:szCs w:val="20"/>
                <w:lang w:eastAsia="en-AU"/>
              </w:rPr>
              <w:t>cell maturation antigen (BCMA) directed therapy for this condition</w:t>
            </w:r>
            <w:r w:rsidR="00774679" w:rsidRPr="00774679">
              <w:rPr>
                <w:rFonts w:ascii="Arial Narrow" w:eastAsia="MS Mincho" w:hAnsi="Arial Narrow" w:cs="Arial Narrow"/>
                <w:spacing w:val="-2"/>
                <w:sz w:val="20"/>
                <w:szCs w:val="20"/>
                <w:lang w:eastAsia="en-AU"/>
              </w:rPr>
              <w:t xml:space="preserve">; </w:t>
            </w:r>
            <w:r w:rsidR="00774679" w:rsidRPr="00416833">
              <w:rPr>
                <w:rFonts w:ascii="Arial Narrow" w:eastAsia="MS Mincho" w:hAnsi="Arial Narrow" w:cs="Arial Narrow"/>
                <w:i/>
                <w:iCs/>
                <w:spacing w:val="-2"/>
                <w:sz w:val="20"/>
                <w:szCs w:val="20"/>
                <w:lang w:eastAsia="en-AU"/>
              </w:rPr>
              <w:t>or</w:t>
            </w:r>
          </w:p>
        </w:tc>
      </w:tr>
      <w:tr w:rsidR="00774679" w:rsidRPr="00680C77" w14:paraId="0140C604" w14:textId="77777777" w:rsidTr="00FA42DA">
        <w:trPr>
          <w:trHeight w:val="45"/>
        </w:trPr>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F5300B1" w14:textId="6592E87E" w:rsidR="00774679" w:rsidRPr="00416833" w:rsidRDefault="00774679" w:rsidP="001C47F4">
            <w:pPr>
              <w:jc w:val="center"/>
              <w:rPr>
                <w:rFonts w:ascii="Arial Narrow" w:hAnsi="Arial Narrow" w:cs="Arial"/>
                <w:i/>
                <w:iCs/>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E4E69E1" w14:textId="0CFB80C2" w:rsidR="00774679" w:rsidRPr="00416833" w:rsidRDefault="00774679" w:rsidP="001C47F4">
            <w:pPr>
              <w:kinsoku w:val="0"/>
              <w:overflowPunct w:val="0"/>
              <w:autoSpaceDE w:val="0"/>
              <w:autoSpaceDN w:val="0"/>
              <w:adjustRightInd w:val="0"/>
              <w:spacing w:line="201" w:lineRule="exact"/>
              <w:ind w:left="13"/>
              <w:rPr>
                <w:rFonts w:ascii="Arial Narrow" w:eastAsia="MS Mincho" w:hAnsi="Arial Narrow" w:cs="Arial Narrow"/>
                <w:i/>
                <w:iCs/>
                <w:strike/>
                <w:spacing w:val="-2"/>
                <w:sz w:val="20"/>
                <w:szCs w:val="20"/>
                <w:lang w:eastAsia="en-AU"/>
              </w:rPr>
            </w:pPr>
            <w:r w:rsidRPr="00416833">
              <w:rPr>
                <w:rFonts w:ascii="Arial Narrow" w:eastAsia="MS Mincho" w:hAnsi="Arial Narrow" w:cs="Arial Narrow"/>
                <w:i/>
                <w:iCs/>
                <w:spacing w:val="-2"/>
                <w:sz w:val="20"/>
                <w:szCs w:val="20"/>
                <w:lang w:eastAsia="en-AU"/>
              </w:rPr>
              <w:t>Patient must have received teclistamab for this PBS indication and are switching treatment due to intolerance</w:t>
            </w:r>
          </w:p>
        </w:tc>
      </w:tr>
      <w:tr w:rsidR="000E2DAF" w:rsidRPr="00680C77" w14:paraId="19D3AF35"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F43FEA0" w14:textId="77777777" w:rsidR="000E2DAF" w:rsidRPr="00C76ABC"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E8BF21A" w14:textId="77777777" w:rsidR="000E2DAF" w:rsidRPr="00680C77" w:rsidRDefault="000E2DAF"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680C77">
              <w:rPr>
                <w:rFonts w:ascii="Arial Narrow" w:eastAsia="MS Mincho" w:hAnsi="Arial Narrow" w:cs="Arial Narrow"/>
                <w:b/>
                <w:bCs/>
                <w:spacing w:val="-2"/>
                <w:sz w:val="20"/>
                <w:szCs w:val="20"/>
                <w:lang w:eastAsia="en-AU"/>
              </w:rPr>
              <w:t>AND</w:t>
            </w:r>
          </w:p>
        </w:tc>
      </w:tr>
      <w:tr w:rsidR="000E2DAF" w:rsidRPr="00680C77" w14:paraId="2B48520C"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8F53CF9" w14:textId="4FEE2182" w:rsidR="000E2DAF" w:rsidRPr="00C76ABC"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331098E" w14:textId="77777777" w:rsidR="000E2DAF" w:rsidRPr="00680C77" w:rsidRDefault="000E2DAF"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680C77">
              <w:rPr>
                <w:rFonts w:ascii="Arial Narrow" w:eastAsia="MS Mincho" w:hAnsi="Arial Narrow" w:cs="Arial Narrow"/>
                <w:b/>
                <w:bCs/>
                <w:spacing w:val="-2"/>
                <w:sz w:val="20"/>
                <w:szCs w:val="20"/>
                <w:lang w:eastAsia="en-AU"/>
              </w:rPr>
              <w:t>Clinical criteria:</w:t>
            </w:r>
          </w:p>
        </w:tc>
      </w:tr>
      <w:tr w:rsidR="000E2DAF" w:rsidRPr="00680C77" w14:paraId="455E2C94"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0805873" w14:textId="7D885C1A" w:rsidR="000E2DAF" w:rsidRPr="00C76ABC"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6CDEF33" w14:textId="792BCF00" w:rsidR="000E2DAF" w:rsidRPr="00680C77" w:rsidRDefault="000E2DAF"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The treatment must be the sole PBS</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subsidised systemic anti</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cancer therapy for this condition</w:t>
            </w:r>
          </w:p>
        </w:tc>
      </w:tr>
      <w:tr w:rsidR="000E2DAF" w:rsidRPr="00680C77" w14:paraId="29547C57"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8E0F452" w14:textId="265456A6" w:rsidR="000E2DAF" w:rsidRPr="00C76ABC"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909BD5C" w14:textId="77777777" w:rsidR="000E2DAF" w:rsidRPr="00680C77" w:rsidRDefault="000E2DAF"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680C77">
              <w:rPr>
                <w:rFonts w:ascii="Arial Narrow" w:eastAsia="MS Mincho" w:hAnsi="Arial Narrow" w:cs="Arial Narrow"/>
                <w:b/>
                <w:bCs/>
                <w:spacing w:val="-2"/>
                <w:sz w:val="20"/>
                <w:szCs w:val="20"/>
                <w:lang w:eastAsia="en-AU"/>
              </w:rPr>
              <w:t>Prescribing instruction:</w:t>
            </w:r>
          </w:p>
          <w:p w14:paraId="05B26EE2" w14:textId="477C556E" w:rsidR="000E2DAF" w:rsidRPr="00680C77" w:rsidRDefault="000E2DAF" w:rsidP="001C47F4">
            <w:pPr>
              <w:kinsoku w:val="0"/>
              <w:overflowPunct w:val="0"/>
              <w:autoSpaceDE w:val="0"/>
              <w:autoSpaceDN w:val="0"/>
              <w:adjustRightInd w:val="0"/>
              <w:spacing w:line="201" w:lineRule="exact"/>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According to the TGA</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approved Product Information, patients should be instructed to remain within proximity of a healthcare facility for 48 hours after all doses within the induction treatment phase.</w:t>
            </w:r>
          </w:p>
        </w:tc>
      </w:tr>
      <w:tr w:rsidR="000E2DAF" w:rsidRPr="00680C77" w14:paraId="1B25592E"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932DDD7" w14:textId="2ACDB94E" w:rsidR="000E2DAF" w:rsidRPr="00C76ABC"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F75387B" w14:textId="77777777" w:rsidR="000E2DAF" w:rsidRPr="00680C77" w:rsidRDefault="000E2DAF"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680C77">
              <w:rPr>
                <w:rFonts w:ascii="Arial Narrow" w:eastAsia="MS Mincho" w:hAnsi="Arial Narrow" w:cs="Arial Narrow"/>
                <w:b/>
                <w:bCs/>
                <w:spacing w:val="-2"/>
                <w:sz w:val="20"/>
                <w:szCs w:val="20"/>
                <w:lang w:eastAsia="en-AU"/>
              </w:rPr>
              <w:t>Prescribing instruction:</w:t>
            </w:r>
          </w:p>
          <w:p w14:paraId="6F048313" w14:textId="2635C39F" w:rsidR="000E2DAF" w:rsidRPr="00680C77" w:rsidRDefault="000E2DAF"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680C77">
              <w:rPr>
                <w:rFonts w:ascii="Arial Narrow" w:eastAsia="MS Mincho" w:hAnsi="Arial Narrow" w:cs="Arial Narrow"/>
                <w:spacing w:val="-2"/>
                <w:sz w:val="20"/>
                <w:szCs w:val="20"/>
                <w:lang w:eastAsia="en-AU"/>
              </w:rPr>
              <w:t>Patients who require restarting therapy due to dose delays may access step</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up dosing through this induction treatment restriction.</w:t>
            </w:r>
          </w:p>
        </w:tc>
      </w:tr>
      <w:tr w:rsidR="000E2DAF" w:rsidRPr="00680C77" w14:paraId="09EAAA0A"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2DAF522" w14:textId="07892631" w:rsidR="000E2DAF" w:rsidRPr="00C76ABC"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4FACE67" w14:textId="77777777" w:rsidR="000E2DAF" w:rsidRPr="00680C77" w:rsidRDefault="000E2DAF"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680C77">
              <w:rPr>
                <w:rFonts w:ascii="Arial Narrow" w:eastAsia="MS Mincho" w:hAnsi="Arial Narrow" w:cs="Arial Narrow"/>
                <w:b/>
                <w:bCs/>
                <w:spacing w:val="-2"/>
                <w:sz w:val="20"/>
                <w:szCs w:val="20"/>
                <w:lang w:eastAsia="en-AU"/>
              </w:rPr>
              <w:t>Prescribing instruction:</w:t>
            </w:r>
          </w:p>
          <w:p w14:paraId="44CD0FF9" w14:textId="700F4262" w:rsidR="000E2DAF" w:rsidRPr="00680C77" w:rsidRDefault="000E2DAF"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680C77">
              <w:rPr>
                <w:rFonts w:ascii="Arial Narrow" w:eastAsia="MS Mincho" w:hAnsi="Arial Narrow" w:cs="Arial Narrow"/>
                <w:spacing w:val="-2"/>
                <w:sz w:val="20"/>
                <w:szCs w:val="20"/>
                <w:lang w:eastAsia="en-AU"/>
              </w:rPr>
              <w:t>This drug is not PBS</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subsidised if it is administered to an in</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patient in a public hospital setting.</w:t>
            </w:r>
          </w:p>
        </w:tc>
      </w:tr>
      <w:tr w:rsidR="000E2DAF" w:rsidRPr="00680C77" w14:paraId="55DC7B41"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A89E84D" w14:textId="338AE86A" w:rsidR="000E2DAF" w:rsidRPr="00C76ABC"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7A17AF5" w14:textId="77777777" w:rsidR="000E2DAF" w:rsidRPr="00680C77" w:rsidRDefault="000E2DAF" w:rsidP="001C47F4">
            <w:pPr>
              <w:kinsoku w:val="0"/>
              <w:overflowPunct w:val="0"/>
              <w:autoSpaceDE w:val="0"/>
              <w:autoSpaceDN w:val="0"/>
              <w:adjustRightInd w:val="0"/>
              <w:rPr>
                <w:rFonts w:ascii="Arial Narrow" w:eastAsia="MS Mincho" w:hAnsi="Arial Narrow" w:cs="Arial Narrow"/>
                <w:b/>
                <w:bCs/>
                <w:spacing w:val="-2"/>
                <w:sz w:val="20"/>
                <w:szCs w:val="20"/>
                <w:lang w:eastAsia="en-AU"/>
              </w:rPr>
            </w:pPr>
            <w:r w:rsidRPr="00680C77">
              <w:rPr>
                <w:rFonts w:ascii="Arial Narrow" w:eastAsia="MS Mincho" w:hAnsi="Arial Narrow" w:cs="Arial Narrow"/>
                <w:b/>
                <w:bCs/>
                <w:spacing w:val="-2"/>
                <w:sz w:val="20"/>
                <w:szCs w:val="20"/>
                <w:lang w:eastAsia="en-AU"/>
              </w:rPr>
              <w:t xml:space="preserve">Prescriber Instructions: </w:t>
            </w:r>
          </w:p>
          <w:p w14:paraId="38F6F08E" w14:textId="77777777"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Progressive disease is defined as at least 1 of the following:</w:t>
            </w:r>
          </w:p>
          <w:p w14:paraId="74775279" w14:textId="77777777"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(a) at least a 25% increase and an absolute increase of at least 5 g per L in serum M protein (monoclonal protein); or</w:t>
            </w:r>
          </w:p>
          <w:p w14:paraId="20A3D276" w14:textId="0CACE3D0"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(b) at least a 25% increase in 24</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hour urinary light chain M protein excretion, and an absolute increase of at least 200 mg per 24 hours; or</w:t>
            </w:r>
          </w:p>
          <w:p w14:paraId="47CDBEED" w14:textId="22EA8887"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(c) in oligo</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secretory and non</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secretory myeloma patients only, at least a 50% increase in the difference between involved free light chain and uninvolved free light chain; or</w:t>
            </w:r>
          </w:p>
          <w:p w14:paraId="3B225D92" w14:textId="77777777"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(d) at least a 25% relative increase and at least a 10% absolute increase in plasma cells in a bone marrow aspirate or on biopsy; or</w:t>
            </w:r>
          </w:p>
          <w:p w14:paraId="306C6ADA" w14:textId="77777777"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(e) an increase in the size or number of lytic bone lesions (not including compression fractures); or</w:t>
            </w:r>
          </w:p>
          <w:p w14:paraId="4A4C0B9B" w14:textId="77777777"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(f) at least a 25% increase in the size of an existing or the development of a new soft tissue plasmacytoma (determined by clinical examination or diagnostic imaging); or</w:t>
            </w:r>
          </w:p>
          <w:p w14:paraId="62660E0D" w14:textId="77777777"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(g) development of hypercalcaemia (corrected serum calcium greater than 2.65 mmol per L not attributable to any other cause).</w:t>
            </w:r>
          </w:p>
          <w:p w14:paraId="0035F346" w14:textId="77777777"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p>
          <w:p w14:paraId="30C28325" w14:textId="00744682"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Oligo</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secretory and non</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secretory patients are defined as having active disease with less than 10 g per L serum M protein.</w:t>
            </w:r>
          </w:p>
          <w:p w14:paraId="312DFD8F" w14:textId="77777777"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 xml:space="preserve">Details </w:t>
            </w:r>
            <w:proofErr w:type="gramStart"/>
            <w:r w:rsidRPr="00680C77">
              <w:rPr>
                <w:rFonts w:ascii="Arial Narrow" w:eastAsia="MS Mincho" w:hAnsi="Arial Narrow" w:cs="Arial Narrow"/>
                <w:spacing w:val="-2"/>
                <w:sz w:val="20"/>
                <w:szCs w:val="20"/>
                <w:lang w:eastAsia="en-AU"/>
              </w:rPr>
              <w:t>of:</w:t>
            </w:r>
            <w:proofErr w:type="gramEnd"/>
            <w:r w:rsidRPr="00680C77">
              <w:rPr>
                <w:rFonts w:ascii="Arial Narrow" w:eastAsia="MS Mincho" w:hAnsi="Arial Narrow" w:cs="Arial Narrow"/>
                <w:spacing w:val="-2"/>
                <w:sz w:val="20"/>
                <w:szCs w:val="20"/>
                <w:lang w:eastAsia="en-AU"/>
              </w:rPr>
              <w:t xml:space="preserve">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w:t>
            </w:r>
          </w:p>
          <w:p w14:paraId="4C651404" w14:textId="77777777"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p>
          <w:p w14:paraId="5CBDB8B7" w14:textId="77777777"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lastRenderedPageBreak/>
              <w:t>Confirmation of eligibility for treatment with current diagnostic reports of at least one of the following must be documented in the patient's medical records:</w:t>
            </w:r>
          </w:p>
          <w:p w14:paraId="75642775" w14:textId="77777777"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p>
          <w:p w14:paraId="1E4AB1AF" w14:textId="77777777"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(a) the level of serum monoclonal protein; or</w:t>
            </w:r>
          </w:p>
          <w:p w14:paraId="328F5BEB" w14:textId="749B2201"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(b) Bence</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 xml:space="preserve">Jones proteinuria </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 xml:space="preserve"> the results of 24</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hour urinary light chain M protein excretion; or</w:t>
            </w:r>
          </w:p>
          <w:p w14:paraId="40C61BF1" w14:textId="77777777"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(c) the serum level of free kappa and lambda light chains; or</w:t>
            </w:r>
          </w:p>
          <w:p w14:paraId="0B2AB0AA" w14:textId="77777777"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(d) bone marrow aspirate or trephine; or</w:t>
            </w:r>
          </w:p>
          <w:p w14:paraId="7FC82180" w14:textId="77777777"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(e) if present, the size and location of lytic bone lesions (not including compression fractures); or</w:t>
            </w:r>
          </w:p>
          <w:p w14:paraId="3BBA3119" w14:textId="556118D6"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(f) if present, the size and location of all soft tissue plasmacytomas by clinical or radiographic examination i.e. MRI or CT</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scan; or</w:t>
            </w:r>
          </w:p>
          <w:p w14:paraId="70FA60D3" w14:textId="77777777"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(g) if present, the level of hypercalcaemia, corrected for albumin concentration.</w:t>
            </w:r>
          </w:p>
          <w:p w14:paraId="50616933" w14:textId="77777777"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p>
          <w:p w14:paraId="440DAEC1" w14:textId="6705FD91"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As these parameters must be used to determine response, results for either (a) or (b) or (c) should be documented for all patients. Where the patient has oligo</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secretory or non</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secretory multiple myeloma, either (c) or (d) or if relevant (e), (f) or (g) must be documented in the patient's medical records. Where the prescriber plans to assess response in patients with oligo</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secretory or non</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secretory multiple myeloma with free light chain assays, evidence of the oligo</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secretory or non</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secretory nature of the multiple myeloma (current serum M protein less than 10 g per L) must be documented in the patient's medical records.</w:t>
            </w:r>
          </w:p>
          <w:p w14:paraId="5BF60B29" w14:textId="77777777" w:rsidR="000E2DAF" w:rsidRPr="00680C77" w:rsidRDefault="000E2DAF" w:rsidP="001C47F4">
            <w:pPr>
              <w:kinsoku w:val="0"/>
              <w:overflowPunct w:val="0"/>
              <w:autoSpaceDE w:val="0"/>
              <w:autoSpaceDN w:val="0"/>
              <w:adjustRightInd w:val="0"/>
              <w:rPr>
                <w:rFonts w:ascii="Arial Narrow" w:eastAsia="MS Mincho" w:hAnsi="Arial Narrow" w:cs="Arial Narrow"/>
                <w:spacing w:val="-2"/>
                <w:sz w:val="20"/>
                <w:szCs w:val="20"/>
                <w:lang w:eastAsia="en-AU"/>
              </w:rPr>
            </w:pPr>
          </w:p>
          <w:p w14:paraId="09171710" w14:textId="77777777" w:rsidR="000E2DAF" w:rsidRPr="00680C77" w:rsidRDefault="000E2DAF" w:rsidP="001C47F4">
            <w:pPr>
              <w:rPr>
                <w:rFonts w:ascii="Arial Narrow" w:hAnsi="Arial Narrow" w:cs="Arial"/>
                <w:spacing w:val="-2"/>
                <w:sz w:val="20"/>
                <w:szCs w:val="20"/>
                <w:lang w:eastAsia="en-AU"/>
              </w:rPr>
            </w:pPr>
            <w:r w:rsidRPr="00680C77">
              <w:rPr>
                <w:rFonts w:ascii="Arial Narrow" w:hAnsi="Arial Narrow" w:cs="Arial"/>
                <w:spacing w:val="-2"/>
                <w:sz w:val="20"/>
                <w:szCs w:val="20"/>
                <w:lang w:eastAsia="en-AU"/>
              </w:rPr>
              <w:t>Refractory disease is defined as less than or equal to a 25% response to therapy, or progression during or within 60 days after completion of therapy</w:t>
            </w:r>
          </w:p>
        </w:tc>
      </w:tr>
      <w:tr w:rsidR="000E2DAF" w:rsidRPr="00680C77" w14:paraId="420C73E7"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6716088" w14:textId="7302F057" w:rsidR="000E2DAF" w:rsidRPr="00111DBC"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690F4CF" w14:textId="77777777" w:rsidR="000E2DAF" w:rsidRPr="00680C77" w:rsidRDefault="000E2DAF" w:rsidP="001C47F4">
            <w:pPr>
              <w:kinsoku w:val="0"/>
              <w:overflowPunct w:val="0"/>
              <w:autoSpaceDE w:val="0"/>
              <w:autoSpaceDN w:val="0"/>
              <w:adjustRightInd w:val="0"/>
              <w:rPr>
                <w:rFonts w:ascii="Arial Narrow" w:eastAsia="Calibri" w:hAnsi="Arial Narrow" w:cs="Arial"/>
                <w:b/>
                <w:sz w:val="20"/>
                <w:szCs w:val="20"/>
                <w:lang w:eastAsia="en-AU"/>
              </w:rPr>
            </w:pPr>
            <w:r w:rsidRPr="00472ED3">
              <w:rPr>
                <w:rFonts w:ascii="Arial Narrow" w:hAnsi="Arial Narrow"/>
                <w:b/>
                <w:bCs/>
                <w:sz w:val="20"/>
                <w:szCs w:val="20"/>
              </w:rPr>
              <w:t xml:space="preserve">Administrative </w:t>
            </w:r>
            <w:r>
              <w:rPr>
                <w:rFonts w:ascii="Arial Narrow" w:hAnsi="Arial Narrow"/>
                <w:b/>
                <w:bCs/>
                <w:sz w:val="20"/>
                <w:szCs w:val="20"/>
              </w:rPr>
              <w:t>A</w:t>
            </w:r>
            <w:r w:rsidRPr="00472ED3">
              <w:rPr>
                <w:rFonts w:ascii="Arial Narrow" w:hAnsi="Arial Narrow"/>
                <w:b/>
                <w:bCs/>
                <w:sz w:val="20"/>
                <w:szCs w:val="20"/>
              </w:rPr>
              <w:t xml:space="preserve">dvice: </w:t>
            </w:r>
            <w:r w:rsidRPr="00472ED3">
              <w:rPr>
                <w:rFonts w:ascii="Arial Narrow" w:hAnsi="Arial Narrow"/>
                <w:bCs/>
                <w:sz w:val="20"/>
                <w:szCs w:val="20"/>
              </w:rPr>
              <w:t>No increase in the maximum quantity or number of units may be authorised.</w:t>
            </w:r>
          </w:p>
        </w:tc>
      </w:tr>
      <w:tr w:rsidR="000E2DAF" w:rsidRPr="00680C77" w14:paraId="45D251E9"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2C7426D" w14:textId="52CB1E88" w:rsidR="000E2DAF" w:rsidRPr="00680C77"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14C43CF" w14:textId="77777777" w:rsidR="000E2DAF" w:rsidRPr="00680C77" w:rsidRDefault="000E2DAF" w:rsidP="001C47F4">
            <w:pPr>
              <w:kinsoku w:val="0"/>
              <w:overflowPunct w:val="0"/>
              <w:autoSpaceDE w:val="0"/>
              <w:autoSpaceDN w:val="0"/>
              <w:adjustRightInd w:val="0"/>
              <w:rPr>
                <w:rFonts w:ascii="Arial Narrow" w:eastAsia="MS Mincho" w:hAnsi="Arial Narrow" w:cs="Arial Narrow"/>
                <w:b/>
                <w:bCs/>
                <w:spacing w:val="-2"/>
                <w:sz w:val="20"/>
                <w:szCs w:val="20"/>
                <w:lang w:eastAsia="en-AU"/>
              </w:rPr>
            </w:pPr>
            <w:r w:rsidRPr="00680C77">
              <w:rPr>
                <w:rFonts w:ascii="Arial Narrow" w:eastAsia="Calibri" w:hAnsi="Arial Narrow" w:cs="Arial"/>
                <w:b/>
                <w:sz w:val="20"/>
                <w:szCs w:val="20"/>
                <w:lang w:eastAsia="en-AU"/>
              </w:rPr>
              <w:t xml:space="preserve">Administrative </w:t>
            </w:r>
            <w:r>
              <w:rPr>
                <w:rFonts w:ascii="Arial Narrow" w:eastAsia="Calibri" w:hAnsi="Arial Narrow" w:cs="Arial"/>
                <w:b/>
                <w:sz w:val="20"/>
                <w:szCs w:val="20"/>
                <w:lang w:eastAsia="en-AU"/>
              </w:rPr>
              <w:t>A</w:t>
            </w:r>
            <w:r w:rsidRPr="00680C77">
              <w:rPr>
                <w:rFonts w:ascii="Arial Narrow" w:eastAsia="Calibri" w:hAnsi="Arial Narrow" w:cs="Arial"/>
                <w:b/>
                <w:sz w:val="20"/>
                <w:szCs w:val="20"/>
                <w:lang w:eastAsia="en-AU"/>
              </w:rPr>
              <w:t>dvice:</w:t>
            </w:r>
            <w:r w:rsidRPr="00680C77">
              <w:rPr>
                <w:rFonts w:ascii="Arial Narrow" w:eastAsia="Calibri" w:hAnsi="Arial Narrow" w:cs="Arial"/>
                <w:bCs/>
                <w:sz w:val="20"/>
                <w:szCs w:val="20"/>
                <w:lang w:eastAsia="en-AU"/>
              </w:rPr>
              <w:t xml:space="preserve"> No increase in the maximum number of repeats may be authorised</w:t>
            </w:r>
          </w:p>
        </w:tc>
      </w:tr>
      <w:tr w:rsidR="000E2DAF" w:rsidRPr="00680C77" w14:paraId="3AA2A53A"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09D3F32" w14:textId="555F3B05" w:rsidR="000E2DAF" w:rsidRPr="00680C77"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B8E3C0E" w14:textId="77777777" w:rsidR="000E2DAF" w:rsidRPr="00680C77" w:rsidRDefault="000E2DAF" w:rsidP="001C47F4">
            <w:pPr>
              <w:kinsoku w:val="0"/>
              <w:overflowPunct w:val="0"/>
              <w:autoSpaceDE w:val="0"/>
              <w:autoSpaceDN w:val="0"/>
              <w:adjustRightInd w:val="0"/>
              <w:rPr>
                <w:rFonts w:ascii="Arial Narrow" w:eastAsia="MS Mincho" w:hAnsi="Arial Narrow" w:cs="Arial Narrow"/>
                <w:b/>
                <w:bCs/>
                <w:spacing w:val="-2"/>
                <w:sz w:val="20"/>
                <w:szCs w:val="20"/>
                <w:lang w:eastAsia="en-AU"/>
              </w:rPr>
            </w:pPr>
            <w:r w:rsidRPr="00680C77">
              <w:rPr>
                <w:rFonts w:ascii="Arial Narrow" w:eastAsia="Calibri" w:hAnsi="Arial Narrow" w:cs="Arial"/>
                <w:b/>
                <w:sz w:val="20"/>
                <w:szCs w:val="20"/>
                <w:lang w:eastAsia="en-AU"/>
              </w:rPr>
              <w:t xml:space="preserve">Administrative </w:t>
            </w:r>
            <w:r>
              <w:rPr>
                <w:rFonts w:ascii="Arial Narrow" w:eastAsia="Calibri" w:hAnsi="Arial Narrow" w:cs="Arial"/>
                <w:b/>
                <w:sz w:val="20"/>
                <w:szCs w:val="20"/>
                <w:lang w:eastAsia="en-AU"/>
              </w:rPr>
              <w:t>A</w:t>
            </w:r>
            <w:r w:rsidRPr="00680C77">
              <w:rPr>
                <w:rFonts w:ascii="Arial Narrow" w:eastAsia="Calibri" w:hAnsi="Arial Narrow" w:cs="Arial"/>
                <w:b/>
                <w:sz w:val="20"/>
                <w:szCs w:val="20"/>
                <w:lang w:eastAsia="en-AU"/>
              </w:rPr>
              <w:t>dvice:</w:t>
            </w:r>
            <w:r w:rsidRPr="00680C77">
              <w:rPr>
                <w:rFonts w:ascii="Arial Narrow" w:eastAsia="Calibri" w:hAnsi="Arial Narrow" w:cs="Arial"/>
                <w:bCs/>
                <w:sz w:val="20"/>
                <w:szCs w:val="20"/>
                <w:lang w:eastAsia="en-AU"/>
              </w:rPr>
              <w:t xml:space="preserve"> Special pricing arrangements apply</w:t>
            </w:r>
          </w:p>
        </w:tc>
      </w:tr>
      <w:tr w:rsidR="000E2DAF" w:rsidRPr="00680C77" w14:paraId="2E9BA8AE" w14:textId="77777777">
        <w:tc>
          <w:tcPr>
            <w:tcW w:w="12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CA96822" w14:textId="41681312" w:rsidR="000E2DAF" w:rsidRPr="00680C77" w:rsidRDefault="000E2DAF" w:rsidP="001C47F4">
            <w:pPr>
              <w:jc w:val="center"/>
              <w:rPr>
                <w:rFonts w:ascii="Arial Narrow" w:hAnsi="Arial Narrow" w:cs="Arial"/>
                <w:sz w:val="20"/>
                <w:szCs w:val="20"/>
                <w:lang w:eastAsia="en-AU"/>
              </w:rPr>
            </w:pPr>
          </w:p>
        </w:tc>
        <w:tc>
          <w:tcPr>
            <w:tcW w:w="794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0C8D75" w14:textId="77777777" w:rsidR="000E2DAF" w:rsidRPr="00680C77" w:rsidRDefault="000E2DAF" w:rsidP="001C47F4">
            <w:pPr>
              <w:kinsoku w:val="0"/>
              <w:overflowPunct w:val="0"/>
              <w:autoSpaceDE w:val="0"/>
              <w:autoSpaceDN w:val="0"/>
              <w:adjustRightInd w:val="0"/>
              <w:rPr>
                <w:rFonts w:ascii="Arial Narrow" w:eastAsia="MS Mincho" w:hAnsi="Arial Narrow" w:cs="Arial Narrow"/>
                <w:b/>
                <w:bCs/>
                <w:spacing w:val="-2"/>
                <w:sz w:val="20"/>
                <w:szCs w:val="20"/>
                <w:lang w:eastAsia="en-AU"/>
              </w:rPr>
            </w:pPr>
            <w:r w:rsidRPr="00680C77">
              <w:rPr>
                <w:rFonts w:ascii="Arial Narrow" w:eastAsia="Calibri" w:hAnsi="Arial Narrow" w:cs="Arial"/>
                <w:b/>
                <w:sz w:val="20"/>
                <w:szCs w:val="20"/>
                <w:lang w:eastAsia="en-AU"/>
              </w:rPr>
              <w:t>Administrative Advice:</w:t>
            </w:r>
            <w:r w:rsidRPr="00680C77">
              <w:rPr>
                <w:rFonts w:ascii="Arial Narrow" w:eastAsia="Calibri" w:hAnsi="Arial Narrow" w:cs="Arial"/>
                <w:bCs/>
                <w:sz w:val="20"/>
                <w:szCs w:val="20"/>
                <w:lang w:eastAsia="en-AU"/>
              </w:rPr>
              <w:t xml:space="preserve"> Applications for authorisation under this restriction may be made in real time using the Online PBS Authorities system (see www.servicesaustralia.gov.au/HPOS) or by telephone by contacting Services Australia on 1800 888 333.</w:t>
            </w:r>
          </w:p>
        </w:tc>
      </w:tr>
    </w:tbl>
    <w:p w14:paraId="1B4F1D82" w14:textId="77777777" w:rsidR="000E2DAF" w:rsidRPr="00680C77" w:rsidRDefault="000E2DAF" w:rsidP="001C47F4">
      <w:pPr>
        <w:rPr>
          <w:rFonts w:ascii="Calibri" w:hAnsi="Calibri" w:cs="Arial"/>
          <w:lang w:eastAsia="en-AU"/>
        </w:rPr>
      </w:pPr>
    </w:p>
    <w:p w14:paraId="452BC869" w14:textId="77777777" w:rsidR="000E2DAF" w:rsidRPr="00D36462" w:rsidRDefault="000E2DAF" w:rsidP="001C47F4">
      <w:pPr>
        <w:pStyle w:val="Heading3"/>
        <w:rPr>
          <w:rFonts w:ascii="Calibri" w:hAnsi="Calibri" w:cs="Arial"/>
          <w:b/>
          <w:szCs w:val="26"/>
        </w:rPr>
      </w:pPr>
      <w:r w:rsidRPr="00D36462">
        <w:rPr>
          <w:rFonts w:ascii="Calibri" w:hAnsi="Calibri" w:cs="Arial"/>
          <w:b/>
          <w:szCs w:val="26"/>
        </w:rPr>
        <w:t>Continuing treatment</w:t>
      </w:r>
      <w:r>
        <w:rPr>
          <w:rFonts w:ascii="Calibri" w:hAnsi="Calibri" w:cs="Arial"/>
          <w:b/>
          <w:szCs w:val="26"/>
        </w:rPr>
        <w:t xml:space="preserve"> </w:t>
      </w:r>
      <w:r>
        <w:rPr>
          <w:rFonts w:ascii="Calibri" w:hAnsi="Calibri" w:cs="Arial"/>
          <w:b/>
          <w:iCs/>
          <w:szCs w:val="26"/>
        </w:rPr>
        <w:t>– Elranatamab</w:t>
      </w:r>
      <w:r w:rsidRPr="00D36462">
        <w:rPr>
          <w:rFonts w:ascii="Calibri" w:hAnsi="Calibri" w:cs="Arial"/>
          <w:b/>
          <w:szCs w:val="26"/>
        </w:rPr>
        <w:t>:</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low on changes to elranatamab - Continuing treatment"/>
      </w:tblPr>
      <w:tblGrid>
        <w:gridCol w:w="6"/>
        <w:gridCol w:w="1270"/>
        <w:gridCol w:w="2407"/>
        <w:gridCol w:w="1279"/>
        <w:gridCol w:w="1134"/>
        <w:gridCol w:w="992"/>
        <w:gridCol w:w="850"/>
        <w:gridCol w:w="1272"/>
      </w:tblGrid>
      <w:tr w:rsidR="000E2DAF" w:rsidRPr="00680C77" w14:paraId="65BD0595" w14:textId="77777777">
        <w:trPr>
          <w:gridBefore w:val="1"/>
          <w:wBefore w:w="6" w:type="dxa"/>
          <w:cantSplit/>
          <w:trHeight w:val="20"/>
        </w:trPr>
        <w:tc>
          <w:tcPr>
            <w:tcW w:w="3677" w:type="dxa"/>
            <w:gridSpan w:val="2"/>
            <w:tcBorders>
              <w:top w:val="single" w:sz="4" w:space="0" w:color="auto"/>
              <w:left w:val="single" w:sz="4" w:space="0" w:color="auto"/>
              <w:bottom w:val="single" w:sz="4" w:space="0" w:color="auto"/>
              <w:right w:val="single" w:sz="4" w:space="0" w:color="auto"/>
            </w:tcBorders>
            <w:vAlign w:val="center"/>
            <w:hideMark/>
          </w:tcPr>
          <w:p w14:paraId="3BB44939" w14:textId="77777777" w:rsidR="000E2DAF" w:rsidRPr="00680C77" w:rsidRDefault="000E2DAF" w:rsidP="001C47F4">
            <w:pPr>
              <w:keepNext/>
              <w:keepLines/>
              <w:rPr>
                <w:rFonts w:ascii="Arial Narrow" w:hAnsi="Arial Narrow" w:cs="Arial"/>
                <w:b/>
                <w:bCs/>
                <w:sz w:val="20"/>
                <w:szCs w:val="20"/>
                <w:lang w:eastAsia="en-AU"/>
              </w:rPr>
            </w:pPr>
            <w:r w:rsidRPr="00680C77">
              <w:rPr>
                <w:rFonts w:ascii="Arial Narrow" w:hAnsi="Arial Narrow" w:cs="Arial"/>
                <w:b/>
                <w:bCs/>
                <w:sz w:val="20"/>
                <w:szCs w:val="20"/>
                <w:lang w:eastAsia="en-AU"/>
              </w:rPr>
              <w:t>MEDICINAL PRODUCT</w:t>
            </w:r>
          </w:p>
          <w:p w14:paraId="0E69EAD3" w14:textId="77777777" w:rsidR="000E2DAF" w:rsidRPr="00680C77" w:rsidRDefault="000E2DAF" w:rsidP="001C47F4">
            <w:pPr>
              <w:keepNext/>
              <w:keepLines/>
              <w:rPr>
                <w:rFonts w:ascii="Arial Narrow" w:hAnsi="Arial Narrow" w:cs="Arial"/>
                <w:b/>
                <w:sz w:val="20"/>
                <w:szCs w:val="20"/>
                <w:lang w:eastAsia="en-AU"/>
              </w:rPr>
            </w:pPr>
            <w:r w:rsidRPr="00680C77">
              <w:rPr>
                <w:rFonts w:ascii="Arial Narrow" w:hAnsi="Arial Narrow" w:cs="Arial"/>
                <w:b/>
                <w:bCs/>
                <w:sz w:val="20"/>
                <w:szCs w:val="20"/>
                <w:lang w:eastAsia="en-AU"/>
              </w:rPr>
              <w:t>medicinal product pack</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0624F56" w14:textId="77777777" w:rsidR="000E2DAF" w:rsidRPr="00680C77" w:rsidRDefault="000E2DAF" w:rsidP="001C47F4">
            <w:pPr>
              <w:keepNext/>
              <w:keepLines/>
              <w:jc w:val="center"/>
              <w:rPr>
                <w:rFonts w:ascii="Arial Narrow" w:hAnsi="Arial Narrow" w:cs="Arial"/>
                <w:b/>
                <w:sz w:val="20"/>
                <w:szCs w:val="20"/>
                <w:lang w:eastAsia="en-AU"/>
              </w:rPr>
            </w:pPr>
            <w:r w:rsidRPr="00680C77">
              <w:rPr>
                <w:rFonts w:ascii="Arial Narrow" w:hAnsi="Arial Narrow" w:cs="Arial"/>
                <w:b/>
                <w:sz w:val="20"/>
                <w:szCs w:val="20"/>
                <w:lang w:eastAsia="en-AU"/>
              </w:rPr>
              <w:t>PBS item code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8A4FF0" w14:textId="77777777" w:rsidR="000E2DAF" w:rsidRPr="00680C77" w:rsidRDefault="000E2DAF" w:rsidP="001C47F4">
            <w:pPr>
              <w:keepNext/>
              <w:keepLines/>
              <w:jc w:val="center"/>
              <w:rPr>
                <w:rFonts w:ascii="Arial Narrow" w:hAnsi="Arial Narrow" w:cs="Arial"/>
                <w:b/>
                <w:sz w:val="20"/>
                <w:szCs w:val="20"/>
                <w:lang w:eastAsia="en-AU"/>
              </w:rPr>
            </w:pPr>
            <w:r w:rsidRPr="00680C77">
              <w:rPr>
                <w:rFonts w:ascii="Arial Narrow" w:hAnsi="Arial Narrow" w:cs="Arial"/>
                <w:b/>
                <w:sz w:val="20"/>
                <w:szCs w:val="20"/>
                <w:lang w:eastAsia="en-AU"/>
              </w:rPr>
              <w:t>Max. qty packs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297EC9" w14:textId="77777777" w:rsidR="000E2DAF" w:rsidRPr="00680C77" w:rsidRDefault="000E2DAF" w:rsidP="001C47F4">
            <w:pPr>
              <w:keepNext/>
              <w:keepLines/>
              <w:jc w:val="center"/>
              <w:rPr>
                <w:rFonts w:ascii="Arial Narrow" w:hAnsi="Arial Narrow" w:cs="Arial"/>
                <w:b/>
                <w:sz w:val="20"/>
                <w:szCs w:val="20"/>
                <w:lang w:eastAsia="en-AU"/>
              </w:rPr>
            </w:pPr>
            <w:r w:rsidRPr="00680C77">
              <w:rPr>
                <w:rFonts w:ascii="Arial Narrow" w:hAnsi="Arial Narrow" w:cs="Arial"/>
                <w:b/>
                <w:sz w:val="20"/>
                <w:szCs w:val="20"/>
                <w:lang w:eastAsia="en-AU"/>
              </w:rPr>
              <w:t>Max. qty units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F19B45" w14:textId="77777777" w:rsidR="000E2DAF" w:rsidRPr="00680C77" w:rsidRDefault="000E2DAF" w:rsidP="001C47F4">
            <w:pPr>
              <w:keepNext/>
              <w:keepLines/>
              <w:jc w:val="center"/>
              <w:rPr>
                <w:rFonts w:ascii="Arial Narrow" w:hAnsi="Arial Narrow" w:cs="Arial"/>
                <w:b/>
                <w:sz w:val="20"/>
                <w:szCs w:val="20"/>
                <w:lang w:eastAsia="en-AU"/>
              </w:rPr>
            </w:pPr>
            <w:r w:rsidRPr="00680C77">
              <w:rPr>
                <w:rFonts w:ascii="Arial Narrow" w:hAnsi="Arial Narrow" w:cs="Arial"/>
                <w:b/>
                <w:sz w:val="20"/>
                <w:szCs w:val="20"/>
                <w:lang w:eastAsia="en-AU"/>
              </w:rPr>
              <w:t>№.of</w:t>
            </w:r>
          </w:p>
          <w:p w14:paraId="14DE6D07" w14:textId="77777777" w:rsidR="000E2DAF" w:rsidRPr="00680C77" w:rsidRDefault="000E2DAF" w:rsidP="001C47F4">
            <w:pPr>
              <w:keepNext/>
              <w:keepLines/>
              <w:jc w:val="center"/>
              <w:rPr>
                <w:rFonts w:ascii="Arial Narrow" w:hAnsi="Arial Narrow" w:cs="Arial"/>
                <w:b/>
                <w:sz w:val="20"/>
                <w:szCs w:val="20"/>
                <w:lang w:eastAsia="en-AU"/>
              </w:rPr>
            </w:pPr>
            <w:r w:rsidRPr="00680C77">
              <w:rPr>
                <w:rFonts w:ascii="Arial Narrow" w:hAnsi="Arial Narrow" w:cs="Arial"/>
                <w:b/>
                <w:sz w:val="20"/>
                <w:szCs w:val="20"/>
                <w:lang w:eastAsia="en-AU"/>
              </w:rPr>
              <w:t>Rpts</w:t>
            </w:r>
          </w:p>
        </w:tc>
        <w:tc>
          <w:tcPr>
            <w:tcW w:w="1272" w:type="dxa"/>
            <w:tcBorders>
              <w:top w:val="single" w:sz="4" w:space="0" w:color="auto"/>
              <w:left w:val="single" w:sz="4" w:space="0" w:color="auto"/>
              <w:bottom w:val="single" w:sz="4" w:space="0" w:color="auto"/>
              <w:right w:val="single" w:sz="4" w:space="0" w:color="auto"/>
            </w:tcBorders>
            <w:vAlign w:val="center"/>
            <w:hideMark/>
          </w:tcPr>
          <w:p w14:paraId="3409598B" w14:textId="77777777" w:rsidR="000E2DAF" w:rsidRPr="00680C77" w:rsidRDefault="000E2DAF" w:rsidP="001C47F4">
            <w:pPr>
              <w:keepNext/>
              <w:keepLines/>
              <w:rPr>
                <w:rFonts w:ascii="Arial Narrow" w:hAnsi="Arial Narrow" w:cs="Arial"/>
                <w:b/>
                <w:sz w:val="20"/>
                <w:szCs w:val="20"/>
                <w:lang w:val="fr-FR" w:eastAsia="en-AU"/>
              </w:rPr>
            </w:pPr>
            <w:r w:rsidRPr="00680C77">
              <w:rPr>
                <w:rFonts w:ascii="Arial Narrow" w:hAnsi="Arial Narrow" w:cs="Arial"/>
                <w:b/>
                <w:sz w:val="20"/>
                <w:szCs w:val="20"/>
                <w:lang w:eastAsia="en-AU"/>
              </w:rPr>
              <w:t>Available brands</w:t>
            </w:r>
          </w:p>
        </w:tc>
      </w:tr>
      <w:tr w:rsidR="000E2DAF" w:rsidRPr="00680C77" w14:paraId="5A1D121E" w14:textId="77777777">
        <w:trPr>
          <w:gridBefore w:val="1"/>
          <w:wBefore w:w="6" w:type="dxa"/>
          <w:cantSplit/>
          <w:trHeight w:val="20"/>
        </w:trPr>
        <w:tc>
          <w:tcPr>
            <w:tcW w:w="9204" w:type="dxa"/>
            <w:gridSpan w:val="7"/>
            <w:tcBorders>
              <w:top w:val="single" w:sz="4" w:space="0" w:color="auto"/>
              <w:left w:val="single" w:sz="4" w:space="0" w:color="auto"/>
              <w:bottom w:val="single" w:sz="4" w:space="0" w:color="auto"/>
              <w:right w:val="single" w:sz="4" w:space="0" w:color="auto"/>
            </w:tcBorders>
            <w:vAlign w:val="center"/>
            <w:hideMark/>
          </w:tcPr>
          <w:p w14:paraId="1F8C0809" w14:textId="77777777" w:rsidR="000E2DAF" w:rsidRPr="00680C77" w:rsidRDefault="000E2DAF" w:rsidP="001C47F4">
            <w:pPr>
              <w:keepNext/>
              <w:keepLines/>
              <w:rPr>
                <w:rFonts w:ascii="Arial Narrow" w:hAnsi="Arial Narrow" w:cs="Arial"/>
                <w:sz w:val="20"/>
                <w:szCs w:val="20"/>
                <w:lang w:eastAsia="en-AU"/>
              </w:rPr>
            </w:pPr>
            <w:r w:rsidRPr="00680C77">
              <w:rPr>
                <w:rFonts w:ascii="Arial Narrow" w:hAnsi="Arial Narrow" w:cs="Arial"/>
                <w:bCs/>
                <w:sz w:val="20"/>
                <w:szCs w:val="20"/>
                <w:lang w:eastAsia="en-AU"/>
              </w:rPr>
              <w:t>ELRANATAMAB</w:t>
            </w:r>
          </w:p>
        </w:tc>
      </w:tr>
      <w:tr w:rsidR="000E2DAF" w:rsidRPr="00680C77" w14:paraId="029E65D3" w14:textId="77777777">
        <w:trPr>
          <w:gridBefore w:val="1"/>
          <w:wBefore w:w="6" w:type="dxa"/>
          <w:cantSplit/>
          <w:trHeight w:val="20"/>
        </w:trPr>
        <w:tc>
          <w:tcPr>
            <w:tcW w:w="3677" w:type="dxa"/>
            <w:gridSpan w:val="2"/>
            <w:tcBorders>
              <w:top w:val="single" w:sz="4" w:space="0" w:color="auto"/>
              <w:left w:val="single" w:sz="4" w:space="0" w:color="auto"/>
              <w:bottom w:val="single" w:sz="4" w:space="0" w:color="auto"/>
              <w:right w:val="single" w:sz="4" w:space="0" w:color="auto"/>
            </w:tcBorders>
            <w:vAlign w:val="center"/>
            <w:hideMark/>
          </w:tcPr>
          <w:p w14:paraId="284CE25D" w14:textId="77777777" w:rsidR="000E2DAF" w:rsidRPr="00680C77" w:rsidRDefault="000E2DAF" w:rsidP="001C47F4">
            <w:pPr>
              <w:keepNext/>
              <w:keepLines/>
              <w:rPr>
                <w:rFonts w:ascii="Arial Narrow" w:hAnsi="Arial Narrow" w:cs="Arial"/>
                <w:sz w:val="20"/>
                <w:szCs w:val="20"/>
                <w:lang w:eastAsia="en-AU"/>
              </w:rPr>
            </w:pPr>
            <w:r w:rsidRPr="006E1906">
              <w:rPr>
                <w:rFonts w:ascii="Arial Narrow" w:hAnsi="Arial Narrow" w:cs="Arial"/>
                <w:sz w:val="20"/>
                <w:szCs w:val="20"/>
                <w:lang w:eastAsia="en-AU"/>
              </w:rPr>
              <w:t>Elranatamab 76 mg/1.9 mL injection, 1.9 mL vial</w:t>
            </w:r>
          </w:p>
        </w:tc>
        <w:tc>
          <w:tcPr>
            <w:tcW w:w="1279" w:type="dxa"/>
            <w:tcBorders>
              <w:top w:val="single" w:sz="4" w:space="0" w:color="auto"/>
              <w:left w:val="single" w:sz="4" w:space="0" w:color="auto"/>
              <w:bottom w:val="single" w:sz="4" w:space="0" w:color="auto"/>
              <w:right w:val="single" w:sz="4" w:space="0" w:color="auto"/>
            </w:tcBorders>
            <w:vAlign w:val="center"/>
            <w:hideMark/>
          </w:tcPr>
          <w:p w14:paraId="2894DEFB" w14:textId="77777777" w:rsidR="000E2DAF" w:rsidRPr="00680C77" w:rsidRDefault="000E2DAF" w:rsidP="001C47F4">
            <w:pPr>
              <w:keepNext/>
              <w:keepLines/>
              <w:jc w:val="center"/>
              <w:rPr>
                <w:rFonts w:ascii="Arial Narrow" w:hAnsi="Arial Narrow" w:cs="Arial"/>
                <w:sz w:val="20"/>
                <w:szCs w:val="20"/>
                <w:lang w:eastAsia="en-AU"/>
              </w:rPr>
            </w:pPr>
            <w:r w:rsidRPr="00E15641">
              <w:rPr>
                <w:rFonts w:ascii="Arial Narrow" w:hAnsi="Arial Narrow" w:cs="Arial"/>
                <w:sz w:val="20"/>
                <w:szCs w:val="20"/>
                <w:lang w:eastAsia="en-AU"/>
              </w:rPr>
              <w:t xml:space="preserve">15331X </w:t>
            </w:r>
            <w:r w:rsidRPr="00680C77">
              <w:rPr>
                <w:rFonts w:ascii="Arial Narrow" w:hAnsi="Arial Narrow" w:cs="Arial"/>
                <w:sz w:val="20"/>
                <w:szCs w:val="20"/>
                <w:lang w:eastAsia="en-AU"/>
              </w:rPr>
              <w:t>(CT)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B0AD0" w14:textId="77777777" w:rsidR="000E2DAF" w:rsidRPr="00680C77" w:rsidRDefault="000E2DAF" w:rsidP="001C47F4">
            <w:pPr>
              <w:keepNext/>
              <w:keepLines/>
              <w:jc w:val="center"/>
              <w:rPr>
                <w:rFonts w:ascii="Arial Narrow" w:hAnsi="Arial Narrow" w:cs="Arial"/>
                <w:sz w:val="20"/>
                <w:szCs w:val="20"/>
                <w:lang w:eastAsia="en-AU"/>
              </w:rPr>
            </w:pPr>
            <w:r>
              <w:rPr>
                <w:rFonts w:ascii="Arial Narrow" w:hAnsi="Arial Narrow" w:cs="Arial"/>
                <w:sz w:val="20"/>
                <w:szCs w:val="20"/>
                <w:lang w:eastAsia="en-A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1AC047" w14:textId="77777777" w:rsidR="000E2DAF" w:rsidRPr="00680C77" w:rsidRDefault="000E2DAF" w:rsidP="001C47F4">
            <w:pPr>
              <w:keepNext/>
              <w:keepLines/>
              <w:jc w:val="center"/>
              <w:rPr>
                <w:rFonts w:ascii="Arial Narrow" w:hAnsi="Arial Narrow" w:cs="Arial"/>
                <w:sz w:val="20"/>
                <w:szCs w:val="20"/>
                <w:lang w:eastAsia="en-AU"/>
              </w:rPr>
            </w:pPr>
            <w:r>
              <w:rPr>
                <w:rFonts w:ascii="Arial Narrow" w:hAnsi="Arial Narrow" w:cs="Arial"/>
                <w:sz w:val="20"/>
                <w:szCs w:val="20"/>
                <w:lang w:eastAsia="en-AU"/>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4F413B" w14:textId="77777777" w:rsidR="000E2DAF" w:rsidRPr="00680C77" w:rsidRDefault="000E2DAF" w:rsidP="001C47F4">
            <w:pPr>
              <w:keepNext/>
              <w:keepLines/>
              <w:jc w:val="center"/>
              <w:rPr>
                <w:rFonts w:ascii="Arial Narrow" w:hAnsi="Arial Narrow" w:cs="Arial"/>
                <w:sz w:val="20"/>
                <w:szCs w:val="20"/>
                <w:lang w:eastAsia="en-AU"/>
              </w:rPr>
            </w:pPr>
            <w:r w:rsidRPr="00680C77">
              <w:rPr>
                <w:rFonts w:ascii="Arial Narrow" w:hAnsi="Arial Narrow" w:cs="Arial"/>
                <w:sz w:val="20"/>
                <w:szCs w:val="20"/>
                <w:lang w:eastAsia="en-AU"/>
              </w:rPr>
              <w:t>5</w:t>
            </w:r>
          </w:p>
        </w:tc>
        <w:tc>
          <w:tcPr>
            <w:tcW w:w="1272" w:type="dxa"/>
            <w:tcBorders>
              <w:top w:val="single" w:sz="4" w:space="0" w:color="auto"/>
              <w:left w:val="single" w:sz="4" w:space="0" w:color="auto"/>
              <w:bottom w:val="single" w:sz="4" w:space="0" w:color="auto"/>
              <w:right w:val="single" w:sz="4" w:space="0" w:color="auto"/>
            </w:tcBorders>
            <w:vAlign w:val="center"/>
            <w:hideMark/>
          </w:tcPr>
          <w:p w14:paraId="52863B51" w14:textId="77777777" w:rsidR="000E2DAF" w:rsidRPr="00680C77" w:rsidRDefault="000E2DAF" w:rsidP="001C47F4">
            <w:pPr>
              <w:keepNext/>
              <w:keepLines/>
              <w:rPr>
                <w:rFonts w:ascii="Arial Narrow" w:hAnsi="Arial Narrow" w:cs="Arial"/>
                <w:sz w:val="20"/>
                <w:szCs w:val="20"/>
                <w:lang w:eastAsia="en-AU"/>
              </w:rPr>
            </w:pPr>
            <w:r w:rsidRPr="00F861A7">
              <w:rPr>
                <w:rFonts w:ascii="Arial Narrow" w:hAnsi="Arial Narrow" w:cs="Arial"/>
                <w:sz w:val="20"/>
                <w:szCs w:val="20"/>
                <w:lang w:eastAsia="en-AU"/>
              </w:rPr>
              <w:t>Elrexfio</w:t>
            </w:r>
          </w:p>
        </w:tc>
      </w:tr>
      <w:tr w:rsidR="000E2DAF" w:rsidRPr="00680C77" w14:paraId="35F639E1" w14:textId="77777777">
        <w:trPr>
          <w:gridBefore w:val="1"/>
          <w:wBefore w:w="6" w:type="dxa"/>
          <w:cantSplit/>
          <w:trHeight w:val="20"/>
        </w:trPr>
        <w:tc>
          <w:tcPr>
            <w:tcW w:w="3677" w:type="dxa"/>
            <w:gridSpan w:val="2"/>
            <w:tcBorders>
              <w:top w:val="single" w:sz="4" w:space="0" w:color="auto"/>
              <w:left w:val="single" w:sz="4" w:space="0" w:color="auto"/>
              <w:bottom w:val="single" w:sz="4" w:space="0" w:color="auto"/>
              <w:right w:val="single" w:sz="4" w:space="0" w:color="auto"/>
            </w:tcBorders>
            <w:vAlign w:val="center"/>
            <w:hideMark/>
          </w:tcPr>
          <w:p w14:paraId="11B50980" w14:textId="77777777" w:rsidR="000E2DAF" w:rsidRPr="00680C77" w:rsidRDefault="000E2DAF" w:rsidP="001C47F4">
            <w:pPr>
              <w:keepNext/>
              <w:keepLines/>
              <w:rPr>
                <w:rFonts w:ascii="Arial Narrow" w:hAnsi="Arial Narrow" w:cs="Arial"/>
                <w:sz w:val="20"/>
                <w:szCs w:val="20"/>
                <w:lang w:eastAsia="en-AU"/>
              </w:rPr>
            </w:pPr>
            <w:r w:rsidRPr="006E1906">
              <w:rPr>
                <w:rFonts w:ascii="Arial Narrow" w:hAnsi="Arial Narrow" w:cs="Arial"/>
                <w:sz w:val="20"/>
                <w:szCs w:val="20"/>
                <w:lang w:eastAsia="en-AU"/>
              </w:rPr>
              <w:t>Elranatamab 76 mg/1.9 mL injection, 1.9 mL vial</w:t>
            </w:r>
          </w:p>
        </w:tc>
        <w:tc>
          <w:tcPr>
            <w:tcW w:w="1279" w:type="dxa"/>
            <w:tcBorders>
              <w:top w:val="single" w:sz="4" w:space="0" w:color="auto"/>
              <w:left w:val="single" w:sz="4" w:space="0" w:color="auto"/>
              <w:bottom w:val="single" w:sz="4" w:space="0" w:color="auto"/>
              <w:right w:val="single" w:sz="4" w:space="0" w:color="auto"/>
            </w:tcBorders>
            <w:vAlign w:val="center"/>
            <w:hideMark/>
          </w:tcPr>
          <w:p w14:paraId="693A2FAB" w14:textId="77777777" w:rsidR="000E2DAF" w:rsidRPr="00680C77" w:rsidRDefault="000E2DAF" w:rsidP="001C47F4">
            <w:pPr>
              <w:keepNext/>
              <w:keepLines/>
              <w:jc w:val="center"/>
              <w:rPr>
                <w:rFonts w:ascii="Arial Narrow" w:hAnsi="Arial Narrow" w:cs="Arial"/>
                <w:sz w:val="20"/>
                <w:szCs w:val="20"/>
                <w:lang w:eastAsia="en-AU"/>
              </w:rPr>
            </w:pPr>
            <w:r w:rsidRPr="003F05B9">
              <w:rPr>
                <w:rFonts w:ascii="Arial Narrow" w:hAnsi="Arial Narrow" w:cs="Arial"/>
                <w:sz w:val="20"/>
                <w:szCs w:val="20"/>
                <w:lang w:eastAsia="en-AU"/>
              </w:rPr>
              <w:t xml:space="preserve">15293X </w:t>
            </w:r>
            <w:r w:rsidRPr="00680C77">
              <w:rPr>
                <w:rFonts w:ascii="Arial Narrow" w:hAnsi="Arial Narrow" w:cs="Arial"/>
                <w:sz w:val="20"/>
                <w:szCs w:val="20"/>
                <w:lang w:eastAsia="en-AU"/>
              </w:rPr>
              <w:t>(GE)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439E7D" w14:textId="77777777" w:rsidR="000E2DAF" w:rsidRPr="00680C77" w:rsidRDefault="000E2DAF" w:rsidP="001C47F4">
            <w:pPr>
              <w:keepNext/>
              <w:keepLines/>
              <w:jc w:val="center"/>
              <w:rPr>
                <w:rFonts w:ascii="Arial Narrow" w:hAnsi="Arial Narrow" w:cs="Arial"/>
                <w:sz w:val="20"/>
                <w:szCs w:val="20"/>
                <w:lang w:eastAsia="en-AU"/>
              </w:rPr>
            </w:pPr>
            <w:r>
              <w:rPr>
                <w:rFonts w:ascii="Arial Narrow" w:hAnsi="Arial Narrow" w:cs="Arial"/>
                <w:sz w:val="20"/>
                <w:szCs w:val="20"/>
                <w:lang w:eastAsia="en-A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42CC7" w14:textId="77777777" w:rsidR="000E2DAF" w:rsidRPr="00680C77" w:rsidRDefault="000E2DAF" w:rsidP="001C47F4">
            <w:pPr>
              <w:keepNext/>
              <w:keepLines/>
              <w:jc w:val="center"/>
              <w:rPr>
                <w:rFonts w:ascii="Arial Narrow" w:hAnsi="Arial Narrow" w:cs="Arial"/>
                <w:sz w:val="20"/>
                <w:szCs w:val="20"/>
                <w:lang w:eastAsia="en-AU"/>
              </w:rPr>
            </w:pPr>
            <w:r>
              <w:rPr>
                <w:rFonts w:ascii="Arial Narrow" w:hAnsi="Arial Narrow" w:cs="Arial"/>
                <w:sz w:val="20"/>
                <w:szCs w:val="20"/>
                <w:lang w:eastAsia="en-AU"/>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D6A26F" w14:textId="77777777" w:rsidR="000E2DAF" w:rsidRPr="00680C77" w:rsidRDefault="000E2DAF" w:rsidP="001C47F4">
            <w:pPr>
              <w:keepNext/>
              <w:keepLines/>
              <w:jc w:val="center"/>
              <w:rPr>
                <w:rFonts w:ascii="Arial Narrow" w:hAnsi="Arial Narrow" w:cs="Arial"/>
                <w:sz w:val="20"/>
                <w:szCs w:val="20"/>
                <w:lang w:eastAsia="en-AU"/>
              </w:rPr>
            </w:pPr>
            <w:r w:rsidRPr="00680C77">
              <w:rPr>
                <w:rFonts w:ascii="Arial Narrow" w:hAnsi="Arial Narrow" w:cs="Arial"/>
                <w:sz w:val="20"/>
                <w:szCs w:val="20"/>
                <w:lang w:eastAsia="en-AU"/>
              </w:rPr>
              <w:t>5</w:t>
            </w:r>
          </w:p>
        </w:tc>
        <w:tc>
          <w:tcPr>
            <w:tcW w:w="1272" w:type="dxa"/>
            <w:tcBorders>
              <w:top w:val="single" w:sz="4" w:space="0" w:color="auto"/>
              <w:left w:val="single" w:sz="4" w:space="0" w:color="auto"/>
              <w:bottom w:val="single" w:sz="4" w:space="0" w:color="auto"/>
              <w:right w:val="single" w:sz="4" w:space="0" w:color="auto"/>
            </w:tcBorders>
            <w:vAlign w:val="center"/>
            <w:hideMark/>
          </w:tcPr>
          <w:p w14:paraId="30227BDA" w14:textId="77777777" w:rsidR="000E2DAF" w:rsidRPr="00680C77" w:rsidRDefault="000E2DAF" w:rsidP="001C47F4">
            <w:pPr>
              <w:keepNext/>
              <w:keepLines/>
              <w:rPr>
                <w:rFonts w:ascii="Arial Narrow" w:hAnsi="Arial Narrow" w:cs="Arial"/>
                <w:sz w:val="20"/>
                <w:szCs w:val="20"/>
                <w:lang w:eastAsia="en-AU"/>
              </w:rPr>
            </w:pPr>
            <w:r w:rsidRPr="00F861A7">
              <w:rPr>
                <w:rFonts w:ascii="Arial Narrow" w:hAnsi="Arial Narrow" w:cs="Arial"/>
                <w:sz w:val="20"/>
                <w:szCs w:val="20"/>
                <w:lang w:eastAsia="en-AU"/>
              </w:rPr>
              <w:t>Elrexfio</w:t>
            </w:r>
          </w:p>
        </w:tc>
      </w:tr>
      <w:tr w:rsidR="000E2DAF" w:rsidRPr="00680C77" w14:paraId="11B9506A" w14:textId="77777777">
        <w:trPr>
          <w:cantSplit/>
          <w:trHeight w:val="20"/>
        </w:trPr>
        <w:tc>
          <w:tcPr>
            <w:tcW w:w="9210"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1744DB" w14:textId="77777777" w:rsidR="000E2DAF" w:rsidRPr="00680C77" w:rsidRDefault="000E2DAF" w:rsidP="001C47F4">
            <w:pPr>
              <w:keepNext/>
              <w:keepLines/>
              <w:rPr>
                <w:rFonts w:ascii="Arial Narrow" w:hAnsi="Arial Narrow" w:cs="Arial"/>
                <w:b/>
                <w:sz w:val="20"/>
                <w:szCs w:val="20"/>
                <w:lang w:eastAsia="en-AU"/>
              </w:rPr>
            </w:pPr>
          </w:p>
        </w:tc>
      </w:tr>
      <w:tr w:rsidR="000E2DAF" w:rsidRPr="00680C77" w14:paraId="3024F92C" w14:textId="77777777">
        <w:tc>
          <w:tcPr>
            <w:tcW w:w="1276"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D4EB798" w14:textId="77777777" w:rsidR="000E2DAF" w:rsidRPr="00680C77" w:rsidRDefault="000E2DAF" w:rsidP="001C47F4">
            <w:pPr>
              <w:jc w:val="center"/>
              <w:rPr>
                <w:rFonts w:ascii="Arial Narrow" w:hAnsi="Arial Narrow" w:cs="Arial"/>
                <w:b/>
                <w:sz w:val="20"/>
                <w:szCs w:val="20"/>
                <w:lang w:eastAsia="en-AU"/>
              </w:rPr>
            </w:pPr>
            <w:r w:rsidRPr="00680C77">
              <w:rPr>
                <w:rFonts w:ascii="Arial Narrow" w:hAnsi="Arial Narrow" w:cs="Arial"/>
                <w:b/>
                <w:sz w:val="20"/>
                <w:szCs w:val="20"/>
              </w:rPr>
              <w:t xml:space="preserve">Concept ID </w:t>
            </w:r>
            <w:r w:rsidRPr="00680C77">
              <w:rPr>
                <w:rFonts w:ascii="Arial Narrow" w:hAnsi="Arial Narrow" w:cs="Arial"/>
                <w:sz w:val="20"/>
                <w:szCs w:val="20"/>
              </w:rPr>
              <w:t>(for internal Dept. use)</w:t>
            </w: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FE607D4" w14:textId="77777777" w:rsidR="000E2DAF" w:rsidRPr="00680C77" w:rsidRDefault="000E2DAF" w:rsidP="001C47F4">
            <w:pPr>
              <w:rPr>
                <w:rFonts w:ascii="Arial Narrow" w:hAnsi="Arial Narrow" w:cs="Arial"/>
                <w:bCs/>
                <w:sz w:val="20"/>
                <w:szCs w:val="20"/>
                <w:lang w:eastAsia="en-AU"/>
              </w:rPr>
            </w:pPr>
            <w:r w:rsidRPr="00680C77">
              <w:rPr>
                <w:rFonts w:ascii="Arial Narrow" w:hAnsi="Arial Narrow" w:cs="Arial"/>
                <w:bCs/>
                <w:sz w:val="20"/>
                <w:szCs w:val="20"/>
                <w:lang w:eastAsia="en-AU"/>
              </w:rPr>
              <w:t xml:space="preserve">Category / Program: </w:t>
            </w:r>
          </w:p>
          <w:p w14:paraId="56C7200A" w14:textId="77777777" w:rsidR="000E2DAF" w:rsidRPr="00680C77" w:rsidRDefault="000E2DAF" w:rsidP="001C47F4">
            <w:pPr>
              <w:jc w:val="left"/>
              <w:rPr>
                <w:rFonts w:ascii="Arial Narrow" w:hAnsi="Arial Narrow" w:cs="Arial"/>
                <w:bCs/>
                <w:sz w:val="20"/>
                <w:szCs w:val="20"/>
                <w:lang w:eastAsia="en-AU"/>
              </w:rPr>
            </w:pPr>
            <w:r w:rsidRPr="00680C77">
              <w:rPr>
                <w:rFonts w:ascii="Arial Narrow" w:eastAsia="Calibri" w:hAnsi="Arial Narrow" w:cs="Arial"/>
                <w:bCs/>
                <w:sz w:val="20"/>
                <w:szCs w:val="20"/>
                <w:lang w:eastAsia="en-AU"/>
              </w:rPr>
              <w:fldChar w:fldCharType="begin" w:fldLock="1">
                <w:ffData>
                  <w:name w:val="Check1"/>
                  <w:enabled/>
                  <w:calcOnExit w:val="0"/>
                  <w:checkBox>
                    <w:sizeAuto/>
                    <w:default w:val="1"/>
                  </w:checkBox>
                </w:ffData>
              </w:fldChar>
            </w:r>
            <w:r w:rsidRPr="00680C77">
              <w:rPr>
                <w:rFonts w:ascii="Arial Narrow" w:eastAsia="Calibri" w:hAnsi="Arial Narrow" w:cs="Arial"/>
                <w:bCs/>
                <w:sz w:val="20"/>
                <w:szCs w:val="20"/>
                <w:lang w:eastAsia="en-AU"/>
              </w:rPr>
              <w:instrText xml:space="preserve"> FORMCHECKBOX </w:instrText>
            </w:r>
            <w:r w:rsidRPr="00680C77">
              <w:rPr>
                <w:rFonts w:ascii="Arial Narrow" w:eastAsia="Calibri" w:hAnsi="Arial Narrow" w:cs="Arial"/>
                <w:bCs/>
                <w:sz w:val="20"/>
                <w:szCs w:val="20"/>
                <w:lang w:eastAsia="en-AU"/>
              </w:rPr>
            </w:r>
            <w:r w:rsidRPr="00680C77">
              <w:rPr>
                <w:rFonts w:ascii="Arial Narrow" w:eastAsia="Calibri" w:hAnsi="Arial Narrow" w:cs="Arial"/>
                <w:bCs/>
                <w:sz w:val="20"/>
                <w:szCs w:val="20"/>
                <w:lang w:eastAsia="en-AU"/>
              </w:rPr>
              <w:fldChar w:fldCharType="separate"/>
            </w:r>
            <w:r w:rsidRPr="00680C77">
              <w:rPr>
                <w:rFonts w:ascii="Arial Narrow" w:eastAsia="Calibri" w:hAnsi="Arial Narrow" w:cs="Arial"/>
                <w:bCs/>
                <w:sz w:val="20"/>
                <w:szCs w:val="20"/>
                <w:lang w:eastAsia="en-AU"/>
              </w:rPr>
              <w:fldChar w:fldCharType="end"/>
            </w:r>
            <w:r w:rsidRPr="00680C77">
              <w:rPr>
                <w:rFonts w:ascii="Arial Narrow" w:eastAsia="Calibri" w:hAnsi="Arial Narrow" w:cs="Arial"/>
                <w:bCs/>
                <w:sz w:val="20"/>
                <w:szCs w:val="20"/>
                <w:lang w:eastAsia="en-AU"/>
              </w:rPr>
              <w:t xml:space="preserve"> GENERAL </w:t>
            </w:r>
            <w:r w:rsidRPr="00680C77">
              <w:rPr>
                <w:rFonts w:ascii="Arial Narrow" w:hAnsi="Arial Narrow" w:cs="Arial"/>
                <w:bCs/>
                <w:sz w:val="20"/>
                <w:szCs w:val="20"/>
                <w:lang w:eastAsia="en-AU"/>
              </w:rPr>
              <w:t>–</w:t>
            </w:r>
            <w:r w:rsidRPr="00680C77">
              <w:rPr>
                <w:rFonts w:ascii="Arial Narrow" w:eastAsia="Calibri" w:hAnsi="Arial Narrow" w:cs="Arial"/>
                <w:bCs/>
                <w:sz w:val="20"/>
                <w:szCs w:val="20"/>
                <w:lang w:eastAsia="en-AU"/>
              </w:rPr>
              <w:t xml:space="preserve"> General Schedule (Code GE) </w:t>
            </w:r>
            <w:r w:rsidRPr="00680C77">
              <w:rPr>
                <w:rFonts w:ascii="Arial Narrow" w:eastAsia="Calibri" w:hAnsi="Arial Narrow" w:cs="Arial"/>
                <w:bCs/>
                <w:sz w:val="20"/>
                <w:szCs w:val="20"/>
                <w:lang w:eastAsia="en-AU"/>
              </w:rPr>
              <w:br/>
            </w:r>
            <w:r w:rsidRPr="00680C77">
              <w:rPr>
                <w:rFonts w:ascii="Arial Narrow" w:eastAsia="Calibri" w:hAnsi="Arial Narrow" w:cs="Arial"/>
                <w:bCs/>
                <w:sz w:val="20"/>
                <w:szCs w:val="20"/>
                <w:lang w:eastAsia="en-AU"/>
              </w:rPr>
              <w:fldChar w:fldCharType="begin" w:fldLock="1">
                <w:ffData>
                  <w:name w:val=""/>
                  <w:enabled/>
                  <w:calcOnExit w:val="0"/>
                  <w:checkBox>
                    <w:sizeAuto/>
                    <w:default w:val="1"/>
                  </w:checkBox>
                </w:ffData>
              </w:fldChar>
            </w:r>
            <w:r w:rsidRPr="00680C77">
              <w:rPr>
                <w:rFonts w:ascii="Arial Narrow" w:eastAsia="Calibri" w:hAnsi="Arial Narrow" w:cs="Arial"/>
                <w:bCs/>
                <w:sz w:val="20"/>
                <w:szCs w:val="20"/>
                <w:lang w:eastAsia="en-AU"/>
              </w:rPr>
              <w:instrText xml:space="preserve"> FORMCHECKBOX </w:instrText>
            </w:r>
            <w:r w:rsidRPr="00680C77">
              <w:rPr>
                <w:rFonts w:ascii="Arial Narrow" w:eastAsia="Calibri" w:hAnsi="Arial Narrow" w:cs="Arial"/>
                <w:bCs/>
                <w:sz w:val="20"/>
                <w:szCs w:val="20"/>
                <w:lang w:eastAsia="en-AU"/>
              </w:rPr>
            </w:r>
            <w:r w:rsidRPr="00680C77">
              <w:rPr>
                <w:rFonts w:ascii="Arial Narrow" w:eastAsia="Calibri" w:hAnsi="Arial Narrow" w:cs="Arial"/>
                <w:bCs/>
                <w:sz w:val="20"/>
                <w:szCs w:val="20"/>
                <w:lang w:eastAsia="en-AU"/>
              </w:rPr>
              <w:fldChar w:fldCharType="separate"/>
            </w:r>
            <w:r w:rsidRPr="00680C77">
              <w:rPr>
                <w:rFonts w:ascii="Arial Narrow" w:eastAsia="Calibri" w:hAnsi="Arial Narrow" w:cs="Arial"/>
                <w:bCs/>
                <w:sz w:val="20"/>
                <w:szCs w:val="20"/>
                <w:lang w:eastAsia="en-AU"/>
              </w:rPr>
              <w:fldChar w:fldCharType="end"/>
            </w:r>
            <w:r w:rsidRPr="00680C77">
              <w:rPr>
                <w:rFonts w:ascii="Arial Narrow" w:eastAsia="Calibri" w:hAnsi="Arial Narrow" w:cs="Arial"/>
                <w:bCs/>
                <w:sz w:val="20"/>
                <w:szCs w:val="20"/>
                <w:lang w:eastAsia="en-AU"/>
              </w:rPr>
              <w:t xml:space="preserve"> Section </w:t>
            </w:r>
            <w:r w:rsidRPr="00680C77">
              <w:rPr>
                <w:rFonts w:ascii="Arial Narrow" w:hAnsi="Arial Narrow" w:cs="Arial"/>
                <w:bCs/>
                <w:sz w:val="20"/>
                <w:szCs w:val="20"/>
                <w:lang w:eastAsia="en-AU"/>
              </w:rPr>
              <w:t xml:space="preserve">100 – Efficient Funding of Chemotherapy – Related Benefits (Code CT) </w:t>
            </w:r>
          </w:p>
        </w:tc>
      </w:tr>
      <w:tr w:rsidR="000E2DAF" w:rsidRPr="00680C77" w14:paraId="67566226" w14:textId="77777777">
        <w:tc>
          <w:tcPr>
            <w:tcW w:w="1276" w:type="dxa"/>
            <w:gridSpan w:val="2"/>
            <w:vMerge/>
            <w:vAlign w:val="center"/>
            <w:hideMark/>
          </w:tcPr>
          <w:p w14:paraId="1577E926" w14:textId="77777777" w:rsidR="000E2DAF" w:rsidRPr="00680C77" w:rsidRDefault="000E2DAF" w:rsidP="001C47F4">
            <w:pPr>
              <w:rPr>
                <w:rFonts w:ascii="Arial Narrow" w:hAnsi="Arial Narrow" w:cs="Arial"/>
                <w:b/>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381A51" w14:textId="77777777" w:rsidR="000E2DAF" w:rsidRPr="00680C77" w:rsidRDefault="000E2DAF" w:rsidP="001C47F4">
            <w:pPr>
              <w:rPr>
                <w:rFonts w:ascii="Arial Narrow" w:hAnsi="Arial Narrow" w:cs="Arial"/>
                <w:bCs/>
                <w:sz w:val="20"/>
                <w:szCs w:val="20"/>
                <w:lang w:eastAsia="en-AU"/>
              </w:rPr>
            </w:pPr>
            <w:r w:rsidRPr="00680C77">
              <w:rPr>
                <w:rFonts w:ascii="Arial Narrow" w:hAnsi="Arial Narrow" w:cs="Arial"/>
                <w:bCs/>
                <w:sz w:val="20"/>
                <w:szCs w:val="20"/>
                <w:lang w:eastAsia="en-AU"/>
              </w:rPr>
              <w:t xml:space="preserve">Prescriber type: </w:t>
            </w:r>
            <w:r w:rsidRPr="00680C77">
              <w:rPr>
                <w:rFonts w:ascii="Arial Narrow" w:hAnsi="Arial Narrow" w:cs="Arial"/>
                <w:bCs/>
                <w:sz w:val="20"/>
                <w:szCs w:val="20"/>
                <w:lang w:eastAsia="en-AU"/>
              </w:rPr>
              <w:fldChar w:fldCharType="begin" w:fldLock="1">
                <w:ffData>
                  <w:name w:val=""/>
                  <w:enabled/>
                  <w:calcOnExit w:val="0"/>
                  <w:checkBox>
                    <w:sizeAuto/>
                    <w:default w:val="1"/>
                  </w:checkBox>
                </w:ffData>
              </w:fldChar>
            </w:r>
            <w:r w:rsidRPr="00680C77">
              <w:rPr>
                <w:rFonts w:ascii="Arial Narrow" w:hAnsi="Arial Narrow" w:cs="Arial"/>
                <w:bCs/>
                <w:sz w:val="20"/>
                <w:szCs w:val="20"/>
                <w:lang w:eastAsia="en-AU"/>
              </w:rPr>
              <w:instrText xml:space="preserve"> FORMCHECKBOX </w:instrText>
            </w:r>
            <w:r w:rsidRPr="00680C77">
              <w:rPr>
                <w:rFonts w:ascii="Arial Narrow" w:hAnsi="Arial Narrow" w:cs="Arial"/>
                <w:bCs/>
                <w:sz w:val="20"/>
                <w:szCs w:val="20"/>
                <w:lang w:eastAsia="en-AU"/>
              </w:rPr>
            </w:r>
            <w:r w:rsidRPr="00680C77">
              <w:rPr>
                <w:rFonts w:ascii="Arial Narrow" w:hAnsi="Arial Narrow" w:cs="Arial"/>
                <w:bCs/>
                <w:sz w:val="20"/>
                <w:szCs w:val="20"/>
                <w:lang w:eastAsia="en-AU"/>
              </w:rPr>
              <w:fldChar w:fldCharType="separate"/>
            </w:r>
            <w:r w:rsidRPr="00680C77">
              <w:rPr>
                <w:rFonts w:ascii="Arial Narrow" w:hAnsi="Arial Narrow" w:cs="Arial"/>
                <w:bCs/>
                <w:sz w:val="20"/>
                <w:szCs w:val="20"/>
                <w:lang w:eastAsia="en-AU"/>
              </w:rPr>
              <w:fldChar w:fldCharType="end"/>
            </w:r>
            <w:r w:rsidRPr="00680C77">
              <w:rPr>
                <w:rFonts w:ascii="Arial Narrow" w:hAnsi="Arial Narrow" w:cs="Arial"/>
                <w:bCs/>
                <w:sz w:val="20"/>
                <w:szCs w:val="20"/>
                <w:lang w:eastAsia="en-AU"/>
              </w:rPr>
              <w:t xml:space="preserve">Medical Practitioners </w:t>
            </w:r>
          </w:p>
        </w:tc>
      </w:tr>
      <w:tr w:rsidR="000E2DAF" w:rsidRPr="00680C77" w14:paraId="05ABB499" w14:textId="77777777">
        <w:trPr>
          <w:trHeight w:val="189"/>
        </w:trPr>
        <w:tc>
          <w:tcPr>
            <w:tcW w:w="1276" w:type="dxa"/>
            <w:gridSpan w:val="2"/>
            <w:vMerge/>
            <w:vAlign w:val="center"/>
            <w:hideMark/>
          </w:tcPr>
          <w:p w14:paraId="78004C01" w14:textId="77777777" w:rsidR="000E2DAF" w:rsidRPr="00680C77" w:rsidRDefault="000E2DAF" w:rsidP="001C47F4">
            <w:pPr>
              <w:rPr>
                <w:rFonts w:ascii="Arial Narrow" w:hAnsi="Arial Narrow" w:cs="Arial"/>
                <w:b/>
                <w:sz w:val="20"/>
                <w:szCs w:val="20"/>
                <w:lang w:eastAsia="en-AU"/>
              </w:rPr>
            </w:pPr>
          </w:p>
        </w:tc>
        <w:tc>
          <w:tcPr>
            <w:tcW w:w="7934" w:type="dxa"/>
            <w:gridSpan w:val="6"/>
            <w:tcBorders>
              <w:top w:val="single" w:sz="4" w:space="0" w:color="auto"/>
              <w:left w:val="single" w:sz="4" w:space="0" w:color="auto"/>
              <w:right w:val="single" w:sz="4" w:space="0" w:color="auto"/>
            </w:tcBorders>
            <w:tcMar>
              <w:top w:w="15" w:type="dxa"/>
              <w:left w:w="108" w:type="dxa"/>
              <w:bottom w:w="15" w:type="dxa"/>
              <w:right w:w="108" w:type="dxa"/>
            </w:tcMar>
            <w:hideMark/>
          </w:tcPr>
          <w:p w14:paraId="3E70BA66" w14:textId="77777777" w:rsidR="000E2DAF" w:rsidRPr="00680C77" w:rsidRDefault="000E2DAF" w:rsidP="001C47F4">
            <w:pPr>
              <w:rPr>
                <w:rFonts w:ascii="Arial Narrow" w:eastAsia="Calibri" w:hAnsi="Arial Narrow" w:cs="Arial"/>
                <w:bCs/>
                <w:sz w:val="20"/>
                <w:szCs w:val="20"/>
                <w:lang w:eastAsia="en-AU"/>
              </w:rPr>
            </w:pPr>
            <w:r w:rsidRPr="00680C77">
              <w:rPr>
                <w:rFonts w:ascii="Arial Narrow" w:hAnsi="Arial Narrow" w:cs="Arial"/>
                <w:bCs/>
                <w:sz w:val="20"/>
                <w:szCs w:val="20"/>
                <w:lang w:eastAsia="en-AU"/>
              </w:rPr>
              <w:t xml:space="preserve">Restriction type: </w:t>
            </w:r>
            <w:r w:rsidRPr="00680C77">
              <w:rPr>
                <w:rFonts w:ascii="Arial Narrow" w:hAnsi="Arial Narrow" w:cs="Arial"/>
                <w:bCs/>
                <w:sz w:val="20"/>
                <w:szCs w:val="20"/>
                <w:lang w:eastAsia="en-AU"/>
              </w:rPr>
              <w:fldChar w:fldCharType="begin" w:fldLock="1">
                <w:ffData>
                  <w:name w:val=""/>
                  <w:enabled/>
                  <w:calcOnExit w:val="0"/>
                  <w:checkBox>
                    <w:sizeAuto/>
                    <w:default w:val="1"/>
                  </w:checkBox>
                </w:ffData>
              </w:fldChar>
            </w:r>
            <w:r w:rsidRPr="00680C77">
              <w:rPr>
                <w:rFonts w:ascii="Arial Narrow" w:hAnsi="Arial Narrow" w:cs="Arial"/>
                <w:bCs/>
                <w:sz w:val="20"/>
                <w:szCs w:val="20"/>
                <w:lang w:eastAsia="en-AU"/>
              </w:rPr>
              <w:instrText xml:space="preserve"> FORMCHECKBOX </w:instrText>
            </w:r>
            <w:r w:rsidRPr="00680C77">
              <w:rPr>
                <w:rFonts w:ascii="Arial Narrow" w:hAnsi="Arial Narrow" w:cs="Arial"/>
                <w:bCs/>
                <w:sz w:val="20"/>
                <w:szCs w:val="20"/>
                <w:lang w:eastAsia="en-AU"/>
              </w:rPr>
            </w:r>
            <w:r w:rsidRPr="00680C77">
              <w:rPr>
                <w:rFonts w:ascii="Arial Narrow" w:hAnsi="Arial Narrow" w:cs="Arial"/>
                <w:bCs/>
                <w:sz w:val="20"/>
                <w:szCs w:val="20"/>
                <w:lang w:eastAsia="en-AU"/>
              </w:rPr>
              <w:fldChar w:fldCharType="separate"/>
            </w:r>
            <w:r w:rsidRPr="00680C77">
              <w:rPr>
                <w:rFonts w:ascii="Arial Narrow" w:hAnsi="Arial Narrow" w:cs="Arial"/>
                <w:bCs/>
                <w:sz w:val="20"/>
                <w:szCs w:val="20"/>
                <w:lang w:eastAsia="en-AU"/>
              </w:rPr>
              <w:fldChar w:fldCharType="end"/>
            </w:r>
            <w:r w:rsidRPr="00680C77">
              <w:rPr>
                <w:rFonts w:ascii="Arial Narrow" w:hAnsi="Arial Narrow" w:cs="Arial"/>
                <w:bCs/>
                <w:sz w:val="20"/>
                <w:szCs w:val="20"/>
                <w:lang w:eastAsia="en-AU"/>
              </w:rPr>
              <w:t>Authority Required (Telephone/Online) – Immediate Assessment</w:t>
            </w:r>
          </w:p>
        </w:tc>
      </w:tr>
      <w:tr w:rsidR="000E2DAF" w:rsidRPr="00680C77" w14:paraId="5F686B43" w14:textId="77777777">
        <w:trPr>
          <w:cantSplit/>
          <w:trHeight w:val="20"/>
        </w:trPr>
        <w:tc>
          <w:tcPr>
            <w:tcW w:w="1276"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73C0762" w14:textId="77777777" w:rsidR="000E2DAF" w:rsidRPr="00680C77" w:rsidRDefault="000E2DAF" w:rsidP="001C47F4">
            <w:pPr>
              <w:keepNext/>
              <w:keepLines/>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4F3FE1D" w14:textId="77777777" w:rsidR="000E2DAF" w:rsidRPr="00680C77" w:rsidRDefault="000E2DAF" w:rsidP="001C47F4">
            <w:pPr>
              <w:keepNext/>
              <w:keepLines/>
              <w:rPr>
                <w:rFonts w:ascii="Arial Narrow" w:hAnsi="Arial Narrow" w:cs="Arial"/>
                <w:bCs/>
                <w:sz w:val="20"/>
                <w:szCs w:val="20"/>
                <w:lang w:eastAsia="en-AU"/>
              </w:rPr>
            </w:pPr>
            <w:r w:rsidRPr="00680C77">
              <w:rPr>
                <w:rFonts w:ascii="Arial Narrow" w:hAnsi="Arial Narrow" w:cs="Arial"/>
                <w:b/>
                <w:bCs/>
                <w:sz w:val="20"/>
                <w:szCs w:val="20"/>
                <w:lang w:eastAsia="en-AU"/>
              </w:rPr>
              <w:t xml:space="preserve">Episodicity: </w:t>
            </w:r>
            <w:r w:rsidRPr="00680C77">
              <w:rPr>
                <w:rFonts w:ascii="Arial Narrow" w:hAnsi="Arial Narrow" w:cs="Arial"/>
                <w:sz w:val="20"/>
                <w:szCs w:val="20"/>
                <w:lang w:eastAsia="en-AU"/>
              </w:rPr>
              <w:t>[Blank]</w:t>
            </w:r>
          </w:p>
        </w:tc>
      </w:tr>
      <w:tr w:rsidR="000E2DAF" w:rsidRPr="00680C77" w14:paraId="4737C1FE" w14:textId="77777777">
        <w:trPr>
          <w:cantSplit/>
          <w:trHeight w:val="20"/>
        </w:trPr>
        <w:tc>
          <w:tcPr>
            <w:tcW w:w="1276" w:type="dxa"/>
            <w:gridSpan w:val="2"/>
            <w:vMerge/>
            <w:vAlign w:val="center"/>
            <w:hideMark/>
          </w:tcPr>
          <w:p w14:paraId="43E7C32E" w14:textId="77777777" w:rsidR="000E2DAF" w:rsidRPr="00680C77" w:rsidRDefault="000E2DAF" w:rsidP="001C47F4">
            <w:pP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D378D62" w14:textId="77777777" w:rsidR="000E2DAF" w:rsidRPr="00680C77" w:rsidRDefault="000E2DAF" w:rsidP="001C47F4">
            <w:pPr>
              <w:rPr>
                <w:rFonts w:ascii="Arial Narrow" w:hAnsi="Arial Narrow" w:cs="Arial"/>
                <w:b/>
                <w:bCs/>
                <w:sz w:val="20"/>
                <w:szCs w:val="20"/>
                <w:lang w:eastAsia="en-AU"/>
              </w:rPr>
            </w:pPr>
            <w:r w:rsidRPr="00680C77">
              <w:rPr>
                <w:rFonts w:ascii="Arial Narrow" w:hAnsi="Arial Narrow" w:cs="Arial"/>
                <w:b/>
                <w:sz w:val="20"/>
                <w:szCs w:val="20"/>
                <w:lang w:eastAsia="en-AU"/>
              </w:rPr>
              <w:t>Severity:</w:t>
            </w:r>
            <w:r w:rsidRPr="00680C77">
              <w:rPr>
                <w:rFonts w:ascii="Arial Narrow" w:hAnsi="Arial Narrow" w:cs="Arial"/>
                <w:sz w:val="20"/>
                <w:szCs w:val="20"/>
                <w:lang w:eastAsia="en-AU"/>
              </w:rPr>
              <w:t xml:space="preserve"> Relapsed or refractory</w:t>
            </w:r>
          </w:p>
        </w:tc>
      </w:tr>
      <w:tr w:rsidR="000E2DAF" w:rsidRPr="00680C77" w14:paraId="45856E97" w14:textId="77777777">
        <w:trPr>
          <w:cantSplit/>
          <w:trHeight w:val="20"/>
        </w:trPr>
        <w:tc>
          <w:tcPr>
            <w:tcW w:w="1276" w:type="dxa"/>
            <w:gridSpan w:val="2"/>
            <w:vMerge/>
            <w:vAlign w:val="center"/>
            <w:hideMark/>
          </w:tcPr>
          <w:p w14:paraId="4119FB80" w14:textId="77777777" w:rsidR="000E2DAF" w:rsidRPr="00680C77" w:rsidRDefault="000E2DAF" w:rsidP="001C47F4">
            <w:pP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CD22941" w14:textId="77777777" w:rsidR="000E2DAF" w:rsidRPr="00680C77" w:rsidRDefault="000E2DAF" w:rsidP="001C47F4">
            <w:pPr>
              <w:rPr>
                <w:rFonts w:ascii="Arial Narrow" w:hAnsi="Arial Narrow" w:cs="Arial"/>
                <w:b/>
                <w:bCs/>
                <w:sz w:val="20"/>
                <w:szCs w:val="20"/>
                <w:lang w:eastAsia="en-AU"/>
              </w:rPr>
            </w:pPr>
            <w:r w:rsidRPr="00680C77">
              <w:rPr>
                <w:rFonts w:ascii="Arial Narrow" w:hAnsi="Arial Narrow" w:cs="Arial"/>
                <w:b/>
                <w:sz w:val="20"/>
                <w:szCs w:val="20"/>
                <w:lang w:eastAsia="en-AU"/>
              </w:rPr>
              <w:t>Condition:</w:t>
            </w:r>
            <w:r w:rsidRPr="00680C77">
              <w:rPr>
                <w:rFonts w:ascii="Arial Narrow" w:hAnsi="Arial Narrow" w:cs="Arial"/>
                <w:sz w:val="20"/>
                <w:szCs w:val="20"/>
                <w:lang w:eastAsia="en-AU"/>
              </w:rPr>
              <w:t xml:space="preserve"> Multiple myeloma</w:t>
            </w:r>
          </w:p>
        </w:tc>
      </w:tr>
      <w:tr w:rsidR="000E2DAF" w:rsidRPr="00680C77" w14:paraId="1C79545B"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AF077BD" w14:textId="50B074BA" w:rsidR="000E2DAF" w:rsidRPr="00680C77" w:rsidRDefault="000E2DAF"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62E622D" w14:textId="77777777" w:rsidR="000E2DAF" w:rsidRPr="00680C77" w:rsidRDefault="000E2DAF" w:rsidP="001C47F4">
            <w:pPr>
              <w:rPr>
                <w:rFonts w:ascii="Arial Narrow" w:hAnsi="Arial Narrow" w:cs="Arial"/>
                <w:sz w:val="20"/>
                <w:szCs w:val="20"/>
                <w:lang w:eastAsia="en-AU"/>
              </w:rPr>
            </w:pPr>
            <w:r w:rsidRPr="00680C77">
              <w:rPr>
                <w:rFonts w:ascii="Arial Narrow" w:hAnsi="Arial Narrow" w:cs="Arial"/>
                <w:b/>
                <w:sz w:val="20"/>
                <w:szCs w:val="20"/>
                <w:lang w:eastAsia="en-AU"/>
              </w:rPr>
              <w:t>Indication:</w:t>
            </w:r>
            <w:r w:rsidRPr="00680C77">
              <w:rPr>
                <w:rFonts w:ascii="Arial Narrow" w:hAnsi="Arial Narrow" w:cs="Arial"/>
                <w:sz w:val="20"/>
                <w:szCs w:val="20"/>
                <w:lang w:eastAsia="en-AU"/>
              </w:rPr>
              <w:t xml:space="preserve"> Relapsed or refractory multiple myeloma</w:t>
            </w:r>
          </w:p>
        </w:tc>
      </w:tr>
      <w:tr w:rsidR="000E2DAF" w:rsidRPr="00680C77" w14:paraId="113F9314"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5A5F222" w14:textId="77777777" w:rsidR="000E2DAF" w:rsidRPr="00680C77" w:rsidRDefault="000E2DAF"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A4702B3" w14:textId="77777777" w:rsidR="000E2DAF" w:rsidRPr="00680C77" w:rsidRDefault="000E2DAF" w:rsidP="001C47F4">
            <w:pPr>
              <w:rPr>
                <w:rFonts w:ascii="Arial Narrow" w:hAnsi="Arial Narrow" w:cs="Arial"/>
                <w:b/>
                <w:sz w:val="20"/>
                <w:szCs w:val="20"/>
                <w:lang w:eastAsia="en-AU"/>
              </w:rPr>
            </w:pPr>
            <w:r w:rsidRPr="00680C77">
              <w:rPr>
                <w:rFonts w:ascii="Arial Narrow" w:hAnsi="Arial Narrow" w:cs="Arial"/>
                <w:b/>
                <w:bCs/>
                <w:sz w:val="20"/>
                <w:szCs w:val="20"/>
                <w:lang w:eastAsia="en-AU"/>
              </w:rPr>
              <w:t>Treatment</w:t>
            </w:r>
            <w:r w:rsidRPr="00680C77">
              <w:rPr>
                <w:rFonts w:ascii="Arial Narrow" w:hAnsi="Arial Narrow" w:cs="Arial"/>
                <w:b/>
                <w:bCs/>
                <w:spacing w:val="-3"/>
                <w:sz w:val="20"/>
                <w:szCs w:val="20"/>
                <w:lang w:eastAsia="en-AU"/>
              </w:rPr>
              <w:t xml:space="preserve"> </w:t>
            </w:r>
            <w:r w:rsidRPr="00680C77">
              <w:rPr>
                <w:rFonts w:ascii="Arial Narrow" w:hAnsi="Arial Narrow" w:cs="Arial"/>
                <w:b/>
                <w:bCs/>
                <w:sz w:val="20"/>
                <w:szCs w:val="20"/>
                <w:lang w:eastAsia="en-AU"/>
              </w:rPr>
              <w:t>Phase:</w:t>
            </w:r>
            <w:r w:rsidRPr="00680C77">
              <w:rPr>
                <w:rFonts w:ascii="Arial Narrow" w:hAnsi="Arial Narrow" w:cs="Arial"/>
                <w:b/>
                <w:bCs/>
                <w:spacing w:val="-1"/>
                <w:sz w:val="20"/>
                <w:szCs w:val="20"/>
                <w:lang w:eastAsia="en-AU"/>
              </w:rPr>
              <w:t xml:space="preserve"> </w:t>
            </w:r>
            <w:r w:rsidRPr="00680C77">
              <w:rPr>
                <w:rFonts w:ascii="Arial Narrow" w:hAnsi="Arial Narrow" w:cs="Arial"/>
                <w:sz w:val="20"/>
                <w:szCs w:val="20"/>
                <w:lang w:eastAsia="en-AU"/>
              </w:rPr>
              <w:t xml:space="preserve">Continuing treatment </w:t>
            </w:r>
          </w:p>
        </w:tc>
      </w:tr>
      <w:tr w:rsidR="000E2DAF" w:rsidRPr="00680C77" w14:paraId="76D29C57"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A31FAB6" w14:textId="1C7ADF96" w:rsidR="000E2DAF" w:rsidRPr="00680C77" w:rsidRDefault="000E2DAF"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A6BDB8D" w14:textId="77777777" w:rsidR="000E2DAF" w:rsidRPr="00680C77" w:rsidRDefault="000E2DAF" w:rsidP="001C47F4">
            <w:pPr>
              <w:rPr>
                <w:rFonts w:ascii="Arial Narrow" w:hAnsi="Arial Narrow" w:cs="Arial"/>
                <w:b/>
                <w:bCs/>
                <w:spacing w:val="-5"/>
                <w:sz w:val="20"/>
                <w:szCs w:val="20"/>
                <w:lang w:eastAsia="en-AU"/>
              </w:rPr>
            </w:pPr>
            <w:r w:rsidRPr="00680C77">
              <w:rPr>
                <w:rFonts w:ascii="Arial Narrow" w:hAnsi="Arial Narrow" w:cs="Arial"/>
                <w:b/>
                <w:bCs/>
                <w:sz w:val="20"/>
                <w:szCs w:val="20"/>
                <w:lang w:eastAsia="en-AU"/>
              </w:rPr>
              <w:t>Clinical</w:t>
            </w:r>
            <w:r w:rsidRPr="00680C77">
              <w:rPr>
                <w:rFonts w:ascii="Arial Narrow" w:hAnsi="Arial Narrow" w:cs="Arial"/>
                <w:b/>
                <w:bCs/>
                <w:spacing w:val="-4"/>
                <w:sz w:val="20"/>
                <w:szCs w:val="20"/>
                <w:lang w:eastAsia="en-AU"/>
              </w:rPr>
              <w:t xml:space="preserve"> </w:t>
            </w:r>
            <w:r w:rsidRPr="00680C77">
              <w:rPr>
                <w:rFonts w:ascii="Arial Narrow" w:hAnsi="Arial Narrow" w:cs="Arial"/>
                <w:b/>
                <w:bCs/>
                <w:spacing w:val="-2"/>
                <w:sz w:val="20"/>
                <w:szCs w:val="20"/>
                <w:lang w:eastAsia="en-AU"/>
              </w:rPr>
              <w:t>criteria:</w:t>
            </w:r>
          </w:p>
        </w:tc>
      </w:tr>
      <w:tr w:rsidR="000E2DAF" w:rsidRPr="00680C77" w14:paraId="54189F21"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8C4B9EF" w14:textId="30E03311" w:rsidR="000E2DAF" w:rsidRPr="00680C77" w:rsidRDefault="000E2DAF"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E1DB0E8" w14:textId="2E106100" w:rsidR="000E2DAF" w:rsidRPr="00680C77" w:rsidRDefault="000E2DAF" w:rsidP="001C47F4">
            <w:pPr>
              <w:rPr>
                <w:rFonts w:ascii="Arial Narrow" w:hAnsi="Arial Narrow" w:cs="Arial"/>
                <w:b/>
                <w:bCs/>
                <w:sz w:val="20"/>
                <w:szCs w:val="20"/>
                <w:lang w:eastAsia="en-AU"/>
              </w:rPr>
            </w:pPr>
            <w:r w:rsidRPr="00680C77">
              <w:rPr>
                <w:rFonts w:ascii="Arial Narrow" w:eastAsia="MS Mincho" w:hAnsi="Arial Narrow" w:cs="Arial"/>
                <w:sz w:val="20"/>
                <w:szCs w:val="20"/>
                <w:lang w:eastAsia="en-AU"/>
              </w:rPr>
              <w:t>Patient must have had progressive disease after receiving at least 3 prior lines of therapy, including each of the following therapies: (i) a proteasome inhibitor, (ii) an immunomodulatory agent, and (iii) an anti</w:t>
            </w:r>
            <w:r w:rsidR="00EC1990">
              <w:rPr>
                <w:rFonts w:ascii="Arial Narrow" w:eastAsia="MS Mincho" w:hAnsi="Arial Narrow" w:cs="Arial"/>
                <w:sz w:val="20"/>
                <w:szCs w:val="20"/>
                <w:lang w:eastAsia="en-AU"/>
              </w:rPr>
              <w:noBreakHyphen/>
            </w:r>
            <w:r w:rsidRPr="00680C77">
              <w:rPr>
                <w:rFonts w:ascii="Arial Narrow" w:eastAsia="MS Mincho" w:hAnsi="Arial Narrow" w:cs="Arial"/>
                <w:sz w:val="20"/>
                <w:szCs w:val="20"/>
                <w:lang w:eastAsia="en-AU"/>
              </w:rPr>
              <w:t>CD38 monoclonal antibody; or</w:t>
            </w:r>
          </w:p>
        </w:tc>
      </w:tr>
      <w:tr w:rsidR="000E2DAF" w:rsidRPr="00680C77" w14:paraId="0A752C05"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F9D8FBA" w14:textId="2413E826" w:rsidR="000E2DAF" w:rsidRPr="00680C77" w:rsidRDefault="000E2DAF"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A9FAB22" w14:textId="78E303A3" w:rsidR="000E2DAF" w:rsidRPr="00680C77" w:rsidRDefault="000E2DAF" w:rsidP="001C47F4">
            <w:pPr>
              <w:rPr>
                <w:rFonts w:ascii="Arial Narrow" w:hAnsi="Arial Narrow" w:cs="Arial"/>
                <w:b/>
                <w:bCs/>
                <w:spacing w:val="-5"/>
                <w:sz w:val="20"/>
                <w:szCs w:val="20"/>
                <w:lang w:eastAsia="en-AU"/>
              </w:rPr>
            </w:pPr>
            <w:r w:rsidRPr="00680C77">
              <w:rPr>
                <w:rFonts w:ascii="Arial Narrow" w:hAnsi="Arial Narrow" w:cs="Arial"/>
                <w:spacing w:val="-2"/>
                <w:sz w:val="20"/>
                <w:szCs w:val="20"/>
                <w:lang w:eastAsia="en-AU"/>
              </w:rPr>
              <w:t>Patient must have been refractory to, at least 3 prior lines of therapy, including each of the following therapies: (i) a proteasome inhibitor, (ii) an immunomodulatory agent, (iii) an anti</w:t>
            </w:r>
            <w:r w:rsidR="00EC1990">
              <w:rPr>
                <w:rFonts w:ascii="Arial Narrow" w:hAnsi="Arial Narrow" w:cs="Arial"/>
                <w:spacing w:val="-2"/>
                <w:sz w:val="20"/>
                <w:szCs w:val="20"/>
                <w:lang w:eastAsia="en-AU"/>
              </w:rPr>
              <w:noBreakHyphen/>
            </w:r>
            <w:r w:rsidRPr="00680C77">
              <w:rPr>
                <w:rFonts w:ascii="Arial Narrow" w:hAnsi="Arial Narrow" w:cs="Arial"/>
                <w:spacing w:val="-2"/>
                <w:sz w:val="20"/>
                <w:szCs w:val="20"/>
                <w:lang w:eastAsia="en-AU"/>
              </w:rPr>
              <w:t>CD38 monoclonal antibody</w:t>
            </w:r>
          </w:p>
        </w:tc>
      </w:tr>
      <w:tr w:rsidR="000E2DAF" w:rsidRPr="00680C77" w14:paraId="14000227"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C26682C" w14:textId="77777777" w:rsidR="000E2DAF" w:rsidRPr="00E97CFF" w:rsidRDefault="000E2DAF"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8774E33" w14:textId="77777777" w:rsidR="000E2DAF" w:rsidRPr="00E97CFF" w:rsidRDefault="000E2DAF" w:rsidP="001C47F4">
            <w:pPr>
              <w:rPr>
                <w:rFonts w:ascii="Arial Narrow" w:hAnsi="Arial Narrow" w:cs="Arial"/>
                <w:b/>
                <w:bCs/>
                <w:spacing w:val="-5"/>
                <w:sz w:val="20"/>
                <w:szCs w:val="20"/>
                <w:lang w:eastAsia="en-AU"/>
              </w:rPr>
            </w:pPr>
            <w:r w:rsidRPr="00E97CFF">
              <w:rPr>
                <w:rFonts w:ascii="Arial Narrow" w:hAnsi="Arial Narrow" w:cs="Arial"/>
                <w:b/>
                <w:bCs/>
                <w:spacing w:val="-5"/>
                <w:sz w:val="20"/>
                <w:szCs w:val="20"/>
                <w:lang w:eastAsia="en-AU"/>
              </w:rPr>
              <w:t>AND</w:t>
            </w:r>
          </w:p>
        </w:tc>
      </w:tr>
      <w:tr w:rsidR="000E2DAF" w:rsidRPr="00680C77" w14:paraId="4540111C"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F5F3CF3" w14:textId="2ABDAC88" w:rsidR="000E2DAF" w:rsidRPr="00E97CFF" w:rsidRDefault="000E2DAF"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3B22B9D" w14:textId="77777777" w:rsidR="000E2DAF" w:rsidRPr="00E97CFF" w:rsidRDefault="000E2DAF" w:rsidP="001C47F4">
            <w:pPr>
              <w:rPr>
                <w:rFonts w:ascii="Arial Narrow" w:hAnsi="Arial Narrow" w:cs="Arial"/>
                <w:b/>
                <w:bCs/>
                <w:spacing w:val="-5"/>
                <w:sz w:val="20"/>
                <w:szCs w:val="20"/>
                <w:lang w:eastAsia="en-AU"/>
              </w:rPr>
            </w:pPr>
            <w:r w:rsidRPr="00E97CFF">
              <w:rPr>
                <w:rFonts w:ascii="Arial Narrow" w:hAnsi="Arial Narrow" w:cs="Arial"/>
                <w:b/>
                <w:bCs/>
                <w:sz w:val="20"/>
                <w:szCs w:val="20"/>
                <w:lang w:eastAsia="en-AU"/>
              </w:rPr>
              <w:t>Clinical</w:t>
            </w:r>
            <w:r w:rsidRPr="00E97CFF">
              <w:rPr>
                <w:rFonts w:ascii="Arial Narrow" w:hAnsi="Arial Narrow" w:cs="Arial"/>
                <w:b/>
                <w:bCs/>
                <w:spacing w:val="-4"/>
                <w:sz w:val="20"/>
                <w:szCs w:val="20"/>
                <w:lang w:eastAsia="en-AU"/>
              </w:rPr>
              <w:t xml:space="preserve"> </w:t>
            </w:r>
            <w:r w:rsidRPr="00E97CFF">
              <w:rPr>
                <w:rFonts w:ascii="Arial Narrow" w:hAnsi="Arial Narrow" w:cs="Arial"/>
                <w:b/>
                <w:bCs/>
                <w:spacing w:val="-2"/>
                <w:sz w:val="20"/>
                <w:szCs w:val="20"/>
                <w:lang w:eastAsia="en-AU"/>
              </w:rPr>
              <w:t>criteria:</w:t>
            </w:r>
          </w:p>
        </w:tc>
      </w:tr>
      <w:tr w:rsidR="000E2DAF" w:rsidRPr="00680C77" w14:paraId="0C84499D"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5DD284D" w14:textId="0FA244FA" w:rsidR="000E2DAF" w:rsidRPr="00E97CFF" w:rsidRDefault="000E2DAF"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05FF69A" w14:textId="43C2AC5D" w:rsidR="000E2DAF" w:rsidRPr="00E97CFF" w:rsidRDefault="000E2DAF" w:rsidP="001C47F4">
            <w:pPr>
              <w:rPr>
                <w:rFonts w:ascii="Arial Narrow" w:hAnsi="Arial Narrow" w:cs="Arial"/>
                <w:b/>
                <w:bCs/>
                <w:spacing w:val="-5"/>
                <w:sz w:val="20"/>
                <w:szCs w:val="20"/>
                <w:lang w:eastAsia="en-AU"/>
              </w:rPr>
            </w:pPr>
            <w:r w:rsidRPr="00E97CFF">
              <w:rPr>
                <w:rFonts w:ascii="Arial Narrow" w:hAnsi="Arial Narrow" w:cs="Arial"/>
                <w:sz w:val="20"/>
                <w:szCs w:val="20"/>
                <w:lang w:eastAsia="en-AU"/>
              </w:rPr>
              <w:t>Patient must not have previously received treatment with another B</w:t>
            </w:r>
            <w:r w:rsidR="00EC1990">
              <w:rPr>
                <w:rFonts w:ascii="Arial Narrow" w:hAnsi="Arial Narrow" w:cs="Arial"/>
                <w:sz w:val="20"/>
                <w:szCs w:val="20"/>
                <w:lang w:eastAsia="en-AU"/>
              </w:rPr>
              <w:noBreakHyphen/>
            </w:r>
            <w:r w:rsidRPr="00E97CFF">
              <w:rPr>
                <w:rFonts w:ascii="Arial Narrow" w:hAnsi="Arial Narrow" w:cs="Arial"/>
                <w:sz w:val="20"/>
                <w:szCs w:val="20"/>
                <w:lang w:eastAsia="en-AU"/>
              </w:rPr>
              <w:t>cell maturation antigen (BCMA) directed therapy for this condition</w:t>
            </w:r>
            <w:r w:rsidR="00E97CFF">
              <w:rPr>
                <w:rFonts w:ascii="Arial Narrow" w:hAnsi="Arial Narrow" w:cs="Arial"/>
                <w:sz w:val="20"/>
                <w:szCs w:val="20"/>
                <w:lang w:eastAsia="en-AU"/>
              </w:rPr>
              <w:t>; or</w:t>
            </w:r>
          </w:p>
        </w:tc>
      </w:tr>
      <w:tr w:rsidR="006231C1" w:rsidRPr="00680C77" w14:paraId="2A534192"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DFD57F8" w14:textId="61C26A1A" w:rsidR="006231C1" w:rsidRPr="00E97CFF" w:rsidRDefault="006231C1" w:rsidP="001C47F4">
            <w:pPr>
              <w:jc w:val="center"/>
              <w:rPr>
                <w:rFonts w:ascii="Arial Narrow" w:hAnsi="Arial Narrow" w:cs="Arial"/>
                <w:i/>
                <w:iCs/>
                <w:strike/>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B24B57C" w14:textId="2D7A33F4" w:rsidR="006231C1" w:rsidRPr="00E97CFF" w:rsidRDefault="006231C1" w:rsidP="001C47F4">
            <w:pPr>
              <w:rPr>
                <w:rFonts w:ascii="Arial Narrow" w:hAnsi="Arial Narrow" w:cs="Arial"/>
                <w:i/>
                <w:iCs/>
                <w:strike/>
                <w:sz w:val="20"/>
                <w:szCs w:val="20"/>
                <w:lang w:eastAsia="en-AU"/>
              </w:rPr>
            </w:pPr>
            <w:r w:rsidRPr="00E97CFF">
              <w:rPr>
                <w:rFonts w:ascii="Arial Narrow" w:eastAsia="MS Mincho" w:hAnsi="Arial Narrow" w:cs="Arial Narrow"/>
                <w:i/>
                <w:iCs/>
                <w:spacing w:val="-2"/>
                <w:sz w:val="20"/>
                <w:szCs w:val="20"/>
                <w:lang w:eastAsia="en-AU"/>
              </w:rPr>
              <w:t>Patient must have received teclistamab for this PBS indication and are switching treatment due to intolerance</w:t>
            </w:r>
          </w:p>
        </w:tc>
      </w:tr>
      <w:tr w:rsidR="006231C1" w:rsidRPr="00680C77" w14:paraId="72FDA8A5"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A08D371" w14:textId="77777777" w:rsidR="006231C1" w:rsidRPr="00680C77" w:rsidRDefault="006231C1"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FA473DC" w14:textId="77777777" w:rsidR="006231C1" w:rsidRPr="00680C77" w:rsidRDefault="006231C1" w:rsidP="001C47F4">
            <w:pPr>
              <w:rPr>
                <w:rFonts w:ascii="Arial Narrow" w:hAnsi="Arial Narrow" w:cs="Arial"/>
                <w:b/>
                <w:bCs/>
                <w:spacing w:val="-5"/>
                <w:sz w:val="20"/>
                <w:szCs w:val="20"/>
                <w:lang w:eastAsia="en-AU"/>
              </w:rPr>
            </w:pPr>
            <w:r w:rsidRPr="00680C77">
              <w:rPr>
                <w:rFonts w:ascii="Arial Narrow" w:hAnsi="Arial Narrow" w:cs="Arial"/>
                <w:b/>
                <w:bCs/>
                <w:spacing w:val="-5"/>
                <w:sz w:val="20"/>
                <w:szCs w:val="20"/>
                <w:lang w:eastAsia="en-AU"/>
              </w:rPr>
              <w:t>AND</w:t>
            </w:r>
          </w:p>
        </w:tc>
      </w:tr>
      <w:tr w:rsidR="006231C1" w:rsidRPr="00680C77" w14:paraId="7C6ABA22"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83BA719" w14:textId="7A6D4208" w:rsidR="006231C1" w:rsidRPr="00680C77" w:rsidRDefault="006231C1"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38625F2" w14:textId="77777777" w:rsidR="006231C1" w:rsidRPr="00680C77" w:rsidRDefault="006231C1" w:rsidP="001C47F4">
            <w:pPr>
              <w:rPr>
                <w:rFonts w:ascii="Arial Narrow" w:hAnsi="Arial Narrow" w:cs="Arial"/>
                <w:b/>
                <w:bCs/>
                <w:spacing w:val="-5"/>
                <w:sz w:val="20"/>
                <w:szCs w:val="20"/>
                <w:lang w:eastAsia="en-AU"/>
              </w:rPr>
            </w:pPr>
            <w:r w:rsidRPr="00680C77">
              <w:rPr>
                <w:rFonts w:ascii="Arial Narrow" w:hAnsi="Arial Narrow" w:cs="Arial"/>
                <w:b/>
                <w:bCs/>
                <w:sz w:val="20"/>
                <w:szCs w:val="20"/>
                <w:lang w:eastAsia="en-AU"/>
              </w:rPr>
              <w:t>Clinical</w:t>
            </w:r>
            <w:r w:rsidRPr="00680C77">
              <w:rPr>
                <w:rFonts w:ascii="Arial Narrow" w:hAnsi="Arial Narrow" w:cs="Arial"/>
                <w:b/>
                <w:bCs/>
                <w:spacing w:val="-4"/>
                <w:sz w:val="20"/>
                <w:szCs w:val="20"/>
                <w:lang w:eastAsia="en-AU"/>
              </w:rPr>
              <w:t xml:space="preserve"> </w:t>
            </w:r>
            <w:r w:rsidRPr="00680C77">
              <w:rPr>
                <w:rFonts w:ascii="Arial Narrow" w:hAnsi="Arial Narrow" w:cs="Arial"/>
                <w:b/>
                <w:bCs/>
                <w:spacing w:val="-2"/>
                <w:sz w:val="20"/>
                <w:szCs w:val="20"/>
                <w:lang w:eastAsia="en-AU"/>
              </w:rPr>
              <w:t>criteria:</w:t>
            </w:r>
          </w:p>
        </w:tc>
      </w:tr>
      <w:tr w:rsidR="006231C1" w:rsidRPr="00680C77" w14:paraId="0B04E66D"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573A90F" w14:textId="4E721A63" w:rsidR="006231C1" w:rsidRPr="00680C77" w:rsidRDefault="006231C1"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1295DEB" w14:textId="77777777" w:rsidR="006231C1" w:rsidRPr="00680C77" w:rsidRDefault="006231C1" w:rsidP="001C47F4">
            <w:pPr>
              <w:rPr>
                <w:rFonts w:ascii="Arial Narrow" w:hAnsi="Arial Narrow" w:cs="Arial"/>
                <w:b/>
                <w:bCs/>
                <w:spacing w:val="-5"/>
                <w:sz w:val="20"/>
                <w:szCs w:val="20"/>
                <w:lang w:eastAsia="en-AU"/>
              </w:rPr>
            </w:pPr>
            <w:r w:rsidRPr="00680C77">
              <w:rPr>
                <w:rFonts w:ascii="Arial Narrow" w:hAnsi="Arial Narrow" w:cs="Arial"/>
                <w:spacing w:val="-2"/>
                <w:sz w:val="20"/>
                <w:szCs w:val="20"/>
                <w:lang w:eastAsia="en-AU"/>
              </w:rPr>
              <w:t>Patient must have a WHO performance status of 2 or less prior to initiating treatment with this drug for this condition</w:t>
            </w:r>
          </w:p>
        </w:tc>
      </w:tr>
      <w:tr w:rsidR="006231C1" w:rsidRPr="00680C77" w14:paraId="53D8BFB4"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608A635" w14:textId="77777777" w:rsidR="006231C1" w:rsidRPr="00680C77" w:rsidRDefault="006231C1"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4DD2B74" w14:textId="77777777" w:rsidR="006231C1" w:rsidRPr="00680C77" w:rsidRDefault="006231C1" w:rsidP="001C47F4">
            <w:pPr>
              <w:rPr>
                <w:rFonts w:ascii="Arial Narrow" w:hAnsi="Arial Narrow" w:cs="Arial"/>
                <w:b/>
                <w:bCs/>
                <w:spacing w:val="-5"/>
                <w:sz w:val="20"/>
                <w:szCs w:val="20"/>
                <w:lang w:eastAsia="en-AU"/>
              </w:rPr>
            </w:pPr>
            <w:r w:rsidRPr="00680C77">
              <w:rPr>
                <w:rFonts w:ascii="Arial Narrow" w:hAnsi="Arial Narrow" w:cs="Arial"/>
                <w:b/>
                <w:bCs/>
                <w:spacing w:val="-2"/>
                <w:sz w:val="20"/>
                <w:szCs w:val="20"/>
                <w:lang w:eastAsia="en-AU"/>
              </w:rPr>
              <w:t>AND</w:t>
            </w:r>
          </w:p>
        </w:tc>
      </w:tr>
      <w:tr w:rsidR="006231C1" w:rsidRPr="00680C77" w14:paraId="4CA7D84D"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0EA3ABF" w14:textId="0A6B1F69" w:rsidR="006231C1" w:rsidRPr="00680C77" w:rsidRDefault="006231C1"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4DC90B1" w14:textId="77777777" w:rsidR="006231C1" w:rsidRPr="00680C77" w:rsidRDefault="006231C1" w:rsidP="001C47F4">
            <w:pPr>
              <w:rPr>
                <w:rFonts w:ascii="Arial Narrow" w:hAnsi="Arial Narrow" w:cs="Arial"/>
                <w:b/>
                <w:bCs/>
                <w:spacing w:val="-5"/>
                <w:sz w:val="20"/>
                <w:szCs w:val="20"/>
                <w:lang w:eastAsia="en-AU"/>
              </w:rPr>
            </w:pPr>
            <w:r w:rsidRPr="00680C77">
              <w:rPr>
                <w:rFonts w:ascii="Arial Narrow" w:hAnsi="Arial Narrow" w:cs="Arial"/>
                <w:b/>
                <w:bCs/>
                <w:sz w:val="20"/>
                <w:szCs w:val="20"/>
                <w:lang w:eastAsia="en-AU"/>
              </w:rPr>
              <w:t>Clinical</w:t>
            </w:r>
            <w:r w:rsidRPr="00680C77">
              <w:rPr>
                <w:rFonts w:ascii="Arial Narrow" w:hAnsi="Arial Narrow" w:cs="Arial"/>
                <w:b/>
                <w:bCs/>
                <w:spacing w:val="-4"/>
                <w:sz w:val="20"/>
                <w:szCs w:val="20"/>
                <w:lang w:eastAsia="en-AU"/>
              </w:rPr>
              <w:t xml:space="preserve"> </w:t>
            </w:r>
            <w:r w:rsidRPr="00680C77">
              <w:rPr>
                <w:rFonts w:ascii="Arial Narrow" w:hAnsi="Arial Narrow" w:cs="Arial"/>
                <w:b/>
                <w:bCs/>
                <w:spacing w:val="-2"/>
                <w:sz w:val="20"/>
                <w:szCs w:val="20"/>
                <w:lang w:eastAsia="en-AU"/>
              </w:rPr>
              <w:t>criteria:</w:t>
            </w:r>
          </w:p>
        </w:tc>
      </w:tr>
      <w:tr w:rsidR="006231C1" w:rsidRPr="00680C77" w14:paraId="07A8D614"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D50268" w14:textId="4AA0B1A5" w:rsidR="006231C1" w:rsidRPr="00680C77" w:rsidRDefault="006231C1"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ACA22E1" w14:textId="2DD5C4F2" w:rsidR="006231C1" w:rsidRPr="00680C77" w:rsidRDefault="006231C1" w:rsidP="001C47F4">
            <w:pPr>
              <w:rPr>
                <w:rFonts w:ascii="Arial Narrow" w:hAnsi="Arial Narrow" w:cs="Arial"/>
                <w:b/>
                <w:bCs/>
                <w:sz w:val="20"/>
                <w:szCs w:val="20"/>
                <w:lang w:eastAsia="en-AU"/>
              </w:rPr>
            </w:pPr>
            <w:r w:rsidRPr="00680C77">
              <w:rPr>
                <w:rFonts w:ascii="Arial Narrow" w:hAnsi="Arial Narrow" w:cs="Arial"/>
                <w:spacing w:val="-2"/>
                <w:sz w:val="20"/>
                <w:szCs w:val="20"/>
                <w:lang w:eastAsia="en-AU"/>
              </w:rPr>
              <w:t xml:space="preserve">Patient must not have developed disease progression while receiving treatment with </w:t>
            </w:r>
            <w:r w:rsidRPr="00EC58F1">
              <w:rPr>
                <w:rFonts w:ascii="Arial Narrow" w:hAnsi="Arial Narrow" w:cs="Arial"/>
                <w:i/>
                <w:iCs/>
                <w:spacing w:val="-2"/>
                <w:sz w:val="20"/>
                <w:szCs w:val="20"/>
                <w:lang w:eastAsia="en-AU"/>
              </w:rPr>
              <w:t xml:space="preserve">a </w:t>
            </w:r>
            <w:r w:rsidRPr="00EC58F1">
              <w:rPr>
                <w:rFonts w:ascii="Arial Narrow" w:hAnsi="Arial Narrow" w:cs="Arial"/>
                <w:i/>
                <w:iCs/>
                <w:sz w:val="20"/>
                <w:szCs w:val="20"/>
                <w:lang w:eastAsia="en-AU"/>
              </w:rPr>
              <w:t>B</w:t>
            </w:r>
            <w:r w:rsidR="00EC1990">
              <w:rPr>
                <w:rFonts w:ascii="Arial Narrow" w:hAnsi="Arial Narrow" w:cs="Arial"/>
                <w:i/>
                <w:iCs/>
                <w:sz w:val="20"/>
                <w:szCs w:val="20"/>
                <w:lang w:eastAsia="en-AU"/>
              </w:rPr>
              <w:noBreakHyphen/>
            </w:r>
            <w:r w:rsidRPr="00EC58F1">
              <w:rPr>
                <w:rFonts w:ascii="Arial Narrow" w:hAnsi="Arial Narrow" w:cs="Arial"/>
                <w:i/>
                <w:iCs/>
                <w:sz w:val="20"/>
                <w:szCs w:val="20"/>
                <w:lang w:eastAsia="en-AU"/>
              </w:rPr>
              <w:t>cell maturation antigen (BCMA) directed therapy</w:t>
            </w:r>
            <w:r w:rsidRPr="00680C77">
              <w:rPr>
                <w:rFonts w:ascii="Arial Narrow" w:hAnsi="Arial Narrow" w:cs="Arial"/>
                <w:sz w:val="20"/>
                <w:szCs w:val="20"/>
                <w:lang w:eastAsia="en-AU"/>
              </w:rPr>
              <w:t xml:space="preserve"> </w:t>
            </w:r>
            <w:r w:rsidRPr="00680C77">
              <w:rPr>
                <w:rFonts w:ascii="Arial Narrow" w:hAnsi="Arial Narrow" w:cs="Arial"/>
                <w:spacing w:val="-2"/>
                <w:sz w:val="20"/>
                <w:szCs w:val="20"/>
                <w:lang w:eastAsia="en-AU"/>
              </w:rPr>
              <w:t>for this condition</w:t>
            </w:r>
          </w:p>
        </w:tc>
      </w:tr>
      <w:tr w:rsidR="006231C1" w:rsidRPr="00680C77" w14:paraId="5CF38B72"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329638D" w14:textId="77777777" w:rsidR="006231C1" w:rsidRPr="00680C77" w:rsidRDefault="006231C1"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5DD1176" w14:textId="77777777" w:rsidR="006231C1" w:rsidRPr="00680C77" w:rsidRDefault="006231C1" w:rsidP="001C47F4">
            <w:pPr>
              <w:rPr>
                <w:rFonts w:ascii="Arial Narrow" w:hAnsi="Arial Narrow" w:cs="Arial"/>
                <w:spacing w:val="-2"/>
                <w:sz w:val="20"/>
                <w:szCs w:val="20"/>
                <w:lang w:eastAsia="en-AU"/>
              </w:rPr>
            </w:pPr>
            <w:r w:rsidRPr="00680C77">
              <w:rPr>
                <w:rFonts w:ascii="Arial Narrow" w:hAnsi="Arial Narrow" w:cs="Arial"/>
                <w:b/>
                <w:bCs/>
                <w:spacing w:val="-5"/>
                <w:sz w:val="20"/>
                <w:szCs w:val="20"/>
                <w:lang w:eastAsia="en-AU"/>
              </w:rPr>
              <w:t>AND</w:t>
            </w:r>
          </w:p>
        </w:tc>
      </w:tr>
      <w:tr w:rsidR="006231C1" w:rsidRPr="00680C77" w14:paraId="08F37DC7"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6397B5F" w14:textId="11CBF11E" w:rsidR="006231C1" w:rsidRPr="00680C77" w:rsidRDefault="006231C1"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63E8EA7" w14:textId="77777777" w:rsidR="006231C1" w:rsidRPr="00680C77" w:rsidRDefault="006231C1" w:rsidP="001C47F4">
            <w:pPr>
              <w:rPr>
                <w:rFonts w:ascii="Arial Narrow" w:hAnsi="Arial Narrow" w:cs="Arial"/>
                <w:b/>
                <w:bCs/>
                <w:sz w:val="20"/>
                <w:szCs w:val="20"/>
                <w:lang w:eastAsia="en-AU"/>
              </w:rPr>
            </w:pPr>
            <w:r w:rsidRPr="00680C77">
              <w:rPr>
                <w:rFonts w:ascii="Arial Narrow" w:hAnsi="Arial Narrow" w:cs="Arial"/>
                <w:b/>
                <w:bCs/>
                <w:sz w:val="20"/>
                <w:szCs w:val="20"/>
                <w:lang w:eastAsia="en-AU"/>
              </w:rPr>
              <w:t>Clinical criteria:</w:t>
            </w:r>
          </w:p>
        </w:tc>
      </w:tr>
      <w:tr w:rsidR="006231C1" w:rsidRPr="00680C77" w14:paraId="3C947FCF"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02CFE5C" w14:textId="1160970D" w:rsidR="006231C1" w:rsidRPr="00680C77" w:rsidRDefault="006231C1"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926B256" w14:textId="209552E6" w:rsidR="006231C1" w:rsidRPr="00680C77" w:rsidRDefault="006231C1" w:rsidP="001C47F4">
            <w:pPr>
              <w:rPr>
                <w:rFonts w:ascii="Arial Narrow" w:hAnsi="Arial Narrow" w:cs="Arial"/>
                <w:sz w:val="20"/>
                <w:szCs w:val="20"/>
                <w:lang w:eastAsia="en-AU"/>
              </w:rPr>
            </w:pPr>
            <w:r w:rsidRPr="00680C77">
              <w:rPr>
                <w:rFonts w:ascii="Arial Narrow" w:hAnsi="Arial Narrow" w:cs="Arial"/>
                <w:sz w:val="20"/>
                <w:szCs w:val="20"/>
                <w:lang w:eastAsia="en-AU"/>
              </w:rPr>
              <w:t>The treatment must be the sole PBS</w:t>
            </w:r>
            <w:r w:rsidR="00EC1990">
              <w:rPr>
                <w:rFonts w:ascii="Arial Narrow" w:hAnsi="Arial Narrow" w:cs="Arial"/>
                <w:sz w:val="20"/>
                <w:szCs w:val="20"/>
                <w:lang w:eastAsia="en-AU"/>
              </w:rPr>
              <w:noBreakHyphen/>
            </w:r>
            <w:r w:rsidRPr="00680C77">
              <w:rPr>
                <w:rFonts w:ascii="Arial Narrow" w:hAnsi="Arial Narrow" w:cs="Arial"/>
                <w:sz w:val="20"/>
                <w:szCs w:val="20"/>
                <w:lang w:eastAsia="en-AU"/>
              </w:rPr>
              <w:t>subsidised systemic anti</w:t>
            </w:r>
            <w:r w:rsidR="00EC1990">
              <w:rPr>
                <w:rFonts w:ascii="Arial Narrow" w:hAnsi="Arial Narrow" w:cs="Arial"/>
                <w:sz w:val="20"/>
                <w:szCs w:val="20"/>
                <w:lang w:eastAsia="en-AU"/>
              </w:rPr>
              <w:noBreakHyphen/>
            </w:r>
            <w:r w:rsidRPr="00680C77">
              <w:rPr>
                <w:rFonts w:ascii="Arial Narrow" w:hAnsi="Arial Narrow" w:cs="Arial"/>
                <w:sz w:val="20"/>
                <w:szCs w:val="20"/>
                <w:lang w:eastAsia="en-AU"/>
              </w:rPr>
              <w:t>cancer therapy for this condition</w:t>
            </w:r>
          </w:p>
        </w:tc>
      </w:tr>
      <w:tr w:rsidR="006231C1" w:rsidRPr="00680C77" w14:paraId="3AFC661C"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7F80603" w14:textId="19C8165D" w:rsidR="006231C1" w:rsidRPr="00FA41BD" w:rsidRDefault="006231C1"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10B6473" w14:textId="77777777" w:rsidR="006231C1" w:rsidRPr="00680C77" w:rsidRDefault="006231C1"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680C77">
              <w:rPr>
                <w:rFonts w:ascii="Arial Narrow" w:eastAsia="MS Mincho" w:hAnsi="Arial Narrow" w:cs="Arial Narrow"/>
                <w:b/>
                <w:bCs/>
                <w:spacing w:val="-2"/>
                <w:sz w:val="20"/>
                <w:szCs w:val="20"/>
                <w:lang w:eastAsia="en-AU"/>
              </w:rPr>
              <w:t>Prescribing Instructions:</w:t>
            </w:r>
          </w:p>
          <w:p w14:paraId="5D1974EE" w14:textId="77777777" w:rsidR="006231C1" w:rsidRPr="00680C77" w:rsidRDefault="006231C1"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Progressive disease is defined as at least 1 of the following:</w:t>
            </w:r>
          </w:p>
          <w:p w14:paraId="34A7B0B1" w14:textId="77777777" w:rsidR="006231C1" w:rsidRPr="00680C77" w:rsidRDefault="006231C1"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(a) at least a 25% increase and an absolute increase of at least 5 g per L in serum M protein (monoclonal protein); or</w:t>
            </w:r>
          </w:p>
          <w:p w14:paraId="2032552A" w14:textId="7C5A0593" w:rsidR="006231C1" w:rsidRPr="00680C77" w:rsidRDefault="006231C1"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(b) at least a 25% increase in 24</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hour urinary light chain M protein excretion, and an absolute increase of at least 200 mg per 24 hours; or</w:t>
            </w:r>
          </w:p>
          <w:p w14:paraId="45F9DE16" w14:textId="7C8C174C" w:rsidR="006231C1" w:rsidRPr="00680C77" w:rsidRDefault="006231C1"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(c) in oligo</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secretory and non</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secretory myeloma patients only, at least a 50% increase in the difference between involved free light chain and uninvolved free light chain; or</w:t>
            </w:r>
          </w:p>
          <w:p w14:paraId="1DC9C3D1" w14:textId="77777777" w:rsidR="006231C1" w:rsidRPr="00680C77" w:rsidRDefault="006231C1"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(d) at least a 25% relative increase and at least a 10% absolute increase in plasma cells in a bone marrow aspirate or on biopsy; or</w:t>
            </w:r>
          </w:p>
          <w:p w14:paraId="6069E9E3" w14:textId="77777777" w:rsidR="006231C1" w:rsidRPr="00680C77" w:rsidRDefault="006231C1"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(e) an increase in the size or number of lytic bone lesions (not including compression fractures); or</w:t>
            </w:r>
          </w:p>
          <w:p w14:paraId="5A3E95CF" w14:textId="77777777" w:rsidR="006231C1" w:rsidRPr="00680C77" w:rsidRDefault="006231C1" w:rsidP="001C47F4">
            <w:pPr>
              <w:kinsoku w:val="0"/>
              <w:overflowPunct w:val="0"/>
              <w:autoSpaceDE w:val="0"/>
              <w:autoSpaceDN w:val="0"/>
              <w:adjustRightInd w:val="0"/>
              <w:spacing w:line="201" w:lineRule="exact"/>
              <w:ind w:left="13"/>
              <w:rPr>
                <w:rFonts w:ascii="Arial Narrow" w:eastAsia="MS Mincho" w:hAnsi="Arial Narrow" w:cs="Arial Narrow"/>
                <w:spacing w:val="-2"/>
                <w:sz w:val="20"/>
                <w:szCs w:val="20"/>
                <w:lang w:eastAsia="en-AU"/>
              </w:rPr>
            </w:pPr>
            <w:r w:rsidRPr="00680C77">
              <w:rPr>
                <w:rFonts w:ascii="Arial Narrow" w:eastAsia="MS Mincho" w:hAnsi="Arial Narrow" w:cs="Arial Narrow"/>
                <w:spacing w:val="-2"/>
                <w:sz w:val="20"/>
                <w:szCs w:val="20"/>
                <w:lang w:eastAsia="en-AU"/>
              </w:rPr>
              <w:t>(f) at least a 25% increase in the size of an existing or the development of a new soft tissue plasmacytoma (determined by clinical examination or diagnostic imaging); or</w:t>
            </w:r>
          </w:p>
          <w:p w14:paraId="2E061911" w14:textId="77777777" w:rsidR="006231C1" w:rsidRPr="00680C77" w:rsidRDefault="006231C1" w:rsidP="001C47F4">
            <w:pPr>
              <w:rPr>
                <w:rFonts w:ascii="Arial Narrow" w:hAnsi="Arial Narrow" w:cs="Arial"/>
                <w:sz w:val="20"/>
                <w:szCs w:val="20"/>
                <w:lang w:eastAsia="en-AU"/>
              </w:rPr>
            </w:pPr>
            <w:r w:rsidRPr="00680C77">
              <w:rPr>
                <w:rFonts w:ascii="Arial Narrow" w:eastAsia="MS Mincho" w:hAnsi="Arial Narrow" w:cs="Arial Narrow"/>
                <w:spacing w:val="-2"/>
                <w:sz w:val="20"/>
                <w:szCs w:val="20"/>
                <w:lang w:eastAsia="en-AU"/>
              </w:rPr>
              <w:t>(g) development of hypercalcaemia (corrected serum calcium greater than 2.65 mmol per L not attributable to any other cause).</w:t>
            </w:r>
          </w:p>
        </w:tc>
      </w:tr>
      <w:tr w:rsidR="006231C1" w:rsidRPr="00680C77" w14:paraId="672E60C1"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FE61E34" w14:textId="2C0EA54F" w:rsidR="006231C1" w:rsidRPr="00680C77" w:rsidRDefault="006231C1"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A21AF85" w14:textId="77777777" w:rsidR="006231C1" w:rsidRPr="00680C77" w:rsidRDefault="006231C1"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680C77">
              <w:rPr>
                <w:rFonts w:ascii="Arial Narrow" w:eastAsia="MS Mincho" w:hAnsi="Arial Narrow" w:cs="Arial Narrow"/>
                <w:b/>
                <w:bCs/>
                <w:spacing w:val="-2"/>
                <w:sz w:val="20"/>
                <w:szCs w:val="20"/>
                <w:lang w:eastAsia="en-AU"/>
              </w:rPr>
              <w:t>Prescribing Instructions:</w:t>
            </w:r>
          </w:p>
          <w:p w14:paraId="39575A42" w14:textId="72D27660" w:rsidR="006231C1" w:rsidRPr="00680C77" w:rsidRDefault="006231C1" w:rsidP="001C47F4">
            <w:pPr>
              <w:rPr>
                <w:rFonts w:ascii="Arial Narrow" w:hAnsi="Arial Narrow" w:cs="Arial"/>
                <w:sz w:val="20"/>
                <w:szCs w:val="20"/>
                <w:lang w:eastAsia="en-AU"/>
              </w:rPr>
            </w:pPr>
            <w:r w:rsidRPr="00680C77">
              <w:rPr>
                <w:rFonts w:ascii="Arial Narrow" w:hAnsi="Arial Narrow" w:cs="Arial"/>
                <w:sz w:val="20"/>
                <w:szCs w:val="20"/>
                <w:lang w:eastAsia="en-AU"/>
              </w:rPr>
              <w:t>According to the TGA</w:t>
            </w:r>
            <w:r w:rsidR="00EC1990">
              <w:rPr>
                <w:rFonts w:ascii="Arial Narrow" w:hAnsi="Arial Narrow" w:cs="Arial"/>
                <w:sz w:val="20"/>
                <w:szCs w:val="20"/>
                <w:lang w:eastAsia="en-AU"/>
              </w:rPr>
              <w:noBreakHyphen/>
            </w:r>
            <w:r w:rsidRPr="00680C77">
              <w:rPr>
                <w:rFonts w:ascii="Arial Narrow" w:hAnsi="Arial Narrow" w:cs="Arial"/>
                <w:sz w:val="20"/>
                <w:szCs w:val="20"/>
                <w:lang w:eastAsia="en-AU"/>
              </w:rPr>
              <w:t>approved Product Information, patients should be instructed to remain within proximity of a healthcare facility for 48 hours after the first full treatment dose in the continuing treatment phase.</w:t>
            </w:r>
          </w:p>
        </w:tc>
      </w:tr>
      <w:tr w:rsidR="006231C1" w:rsidRPr="00680C77" w14:paraId="52919628"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942B097" w14:textId="48E89207" w:rsidR="006231C1" w:rsidRPr="00680C77" w:rsidRDefault="006231C1"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E7D80F4" w14:textId="77777777" w:rsidR="006231C1" w:rsidRPr="00680C77" w:rsidRDefault="006231C1"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680C77">
              <w:rPr>
                <w:rFonts w:ascii="Arial Narrow" w:eastAsia="MS Mincho" w:hAnsi="Arial Narrow" w:cs="Arial Narrow"/>
                <w:b/>
                <w:bCs/>
                <w:spacing w:val="-2"/>
                <w:sz w:val="20"/>
                <w:szCs w:val="20"/>
                <w:lang w:eastAsia="en-AU"/>
              </w:rPr>
              <w:t>Prescribing Instructions:</w:t>
            </w:r>
          </w:p>
          <w:p w14:paraId="7FC8B9EC" w14:textId="32B5FFAC" w:rsidR="006231C1" w:rsidRPr="00680C77" w:rsidRDefault="006231C1" w:rsidP="001C47F4">
            <w:pPr>
              <w:rPr>
                <w:rFonts w:ascii="Arial Narrow" w:hAnsi="Arial Narrow" w:cs="Arial"/>
                <w:sz w:val="20"/>
                <w:szCs w:val="20"/>
                <w:lang w:eastAsia="en-AU"/>
              </w:rPr>
            </w:pPr>
            <w:r w:rsidRPr="00680C77">
              <w:rPr>
                <w:rFonts w:ascii="Arial Narrow" w:hAnsi="Arial Narrow" w:cs="Arial"/>
                <w:sz w:val="20"/>
                <w:szCs w:val="20"/>
                <w:lang w:eastAsia="en-AU"/>
              </w:rPr>
              <w:t>Prescribers may request the number of vials in line with the dosing requirement for each stage of treatment with the intention of providing the number of vials for each 4</w:t>
            </w:r>
            <w:r w:rsidR="00EC1990">
              <w:rPr>
                <w:rFonts w:ascii="Arial Narrow" w:hAnsi="Arial Narrow" w:cs="Arial"/>
                <w:sz w:val="20"/>
                <w:szCs w:val="20"/>
                <w:lang w:eastAsia="en-AU"/>
              </w:rPr>
              <w:noBreakHyphen/>
            </w:r>
            <w:r w:rsidRPr="00680C77">
              <w:rPr>
                <w:rFonts w:ascii="Arial Narrow" w:hAnsi="Arial Narrow" w:cs="Arial"/>
                <w:sz w:val="20"/>
                <w:szCs w:val="20"/>
                <w:lang w:eastAsia="en-AU"/>
              </w:rPr>
              <w:t>weeks of treatment (24</w:t>
            </w:r>
            <w:r w:rsidR="00EC1990">
              <w:rPr>
                <w:rFonts w:ascii="Arial Narrow" w:hAnsi="Arial Narrow" w:cs="Arial"/>
                <w:sz w:val="20"/>
                <w:szCs w:val="20"/>
                <w:lang w:eastAsia="en-AU"/>
              </w:rPr>
              <w:noBreakHyphen/>
            </w:r>
            <w:r w:rsidRPr="00680C77">
              <w:rPr>
                <w:rFonts w:ascii="Arial Narrow" w:hAnsi="Arial Narrow" w:cs="Arial"/>
                <w:sz w:val="20"/>
                <w:szCs w:val="20"/>
                <w:lang w:eastAsia="en-AU"/>
              </w:rPr>
              <w:t>weeks of treatment including repeats). Up to a maximum of 8 vials for each 4</w:t>
            </w:r>
            <w:r w:rsidR="00EC1990">
              <w:rPr>
                <w:rFonts w:ascii="Arial Narrow" w:hAnsi="Arial Narrow" w:cs="Arial"/>
                <w:sz w:val="20"/>
                <w:szCs w:val="20"/>
                <w:lang w:eastAsia="en-AU"/>
              </w:rPr>
              <w:noBreakHyphen/>
            </w:r>
            <w:r w:rsidRPr="00680C77">
              <w:rPr>
                <w:rFonts w:ascii="Arial Narrow" w:hAnsi="Arial Narrow" w:cs="Arial"/>
                <w:sz w:val="20"/>
                <w:szCs w:val="20"/>
                <w:lang w:eastAsia="en-AU"/>
              </w:rPr>
              <w:t>weeks of treatment, with 5 repeats, may be requested for a patient undergoing treatment.</w:t>
            </w:r>
          </w:p>
        </w:tc>
      </w:tr>
      <w:tr w:rsidR="006231C1" w:rsidRPr="00680C77" w14:paraId="14E8A1FC"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63A6D73" w14:textId="1D36F794" w:rsidR="006231C1" w:rsidRPr="00806CB8" w:rsidRDefault="006231C1"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A85A459" w14:textId="77777777" w:rsidR="006231C1" w:rsidRPr="00680C77" w:rsidRDefault="006231C1"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680C77">
              <w:rPr>
                <w:rFonts w:ascii="Arial Narrow" w:eastAsia="MS Mincho" w:hAnsi="Arial Narrow" w:cs="Arial Narrow"/>
                <w:b/>
                <w:bCs/>
                <w:spacing w:val="-2"/>
                <w:sz w:val="20"/>
                <w:szCs w:val="20"/>
                <w:lang w:eastAsia="en-AU"/>
              </w:rPr>
              <w:t>Prescribing instruction:</w:t>
            </w:r>
          </w:p>
          <w:p w14:paraId="73FEE6C9" w14:textId="46AABFBE" w:rsidR="006231C1" w:rsidRPr="00680C77" w:rsidRDefault="006231C1"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680C77">
              <w:rPr>
                <w:rFonts w:ascii="Arial Narrow" w:eastAsia="MS Mincho" w:hAnsi="Arial Narrow" w:cs="Arial Narrow"/>
                <w:spacing w:val="-2"/>
                <w:sz w:val="20"/>
                <w:szCs w:val="20"/>
                <w:lang w:eastAsia="en-AU"/>
              </w:rPr>
              <w:t>This drug is not PBS</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subsidised if it is administered to an in</w:t>
            </w:r>
            <w:r w:rsidR="00EC1990">
              <w:rPr>
                <w:rFonts w:ascii="Arial Narrow" w:eastAsia="MS Mincho" w:hAnsi="Arial Narrow" w:cs="Arial Narrow"/>
                <w:spacing w:val="-2"/>
                <w:sz w:val="20"/>
                <w:szCs w:val="20"/>
                <w:lang w:eastAsia="en-AU"/>
              </w:rPr>
              <w:noBreakHyphen/>
            </w:r>
            <w:r w:rsidRPr="00680C77">
              <w:rPr>
                <w:rFonts w:ascii="Arial Narrow" w:eastAsia="MS Mincho" w:hAnsi="Arial Narrow" w:cs="Arial Narrow"/>
                <w:spacing w:val="-2"/>
                <w:sz w:val="20"/>
                <w:szCs w:val="20"/>
                <w:lang w:eastAsia="en-AU"/>
              </w:rPr>
              <w:t>patient in a public hospital setting.</w:t>
            </w:r>
          </w:p>
        </w:tc>
      </w:tr>
      <w:tr w:rsidR="006231C1" w:rsidRPr="00680C77" w14:paraId="582AAE4A"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CA9C817" w14:textId="3C86BBCE" w:rsidR="006231C1" w:rsidRPr="00806CB8" w:rsidRDefault="006231C1"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86DD253" w14:textId="77777777" w:rsidR="006231C1" w:rsidRPr="00680C77" w:rsidRDefault="006231C1"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680C77">
              <w:rPr>
                <w:rFonts w:ascii="Arial Narrow" w:eastAsia="Calibri" w:hAnsi="Arial Narrow" w:cs="Arial"/>
                <w:b/>
                <w:sz w:val="20"/>
                <w:szCs w:val="20"/>
                <w:lang w:eastAsia="en-AU"/>
              </w:rPr>
              <w:t xml:space="preserve">Administrative </w:t>
            </w:r>
            <w:r>
              <w:rPr>
                <w:rFonts w:ascii="Arial Narrow" w:eastAsia="Calibri" w:hAnsi="Arial Narrow" w:cs="Arial"/>
                <w:b/>
                <w:sz w:val="20"/>
                <w:szCs w:val="20"/>
                <w:lang w:eastAsia="en-AU"/>
              </w:rPr>
              <w:t>A</w:t>
            </w:r>
            <w:r w:rsidRPr="00680C77">
              <w:rPr>
                <w:rFonts w:ascii="Arial Narrow" w:eastAsia="Calibri" w:hAnsi="Arial Narrow" w:cs="Arial"/>
                <w:b/>
                <w:sz w:val="20"/>
                <w:szCs w:val="20"/>
                <w:lang w:eastAsia="en-AU"/>
              </w:rPr>
              <w:t>dvice:</w:t>
            </w:r>
            <w:r w:rsidRPr="00680C77">
              <w:rPr>
                <w:rFonts w:ascii="Arial Narrow" w:eastAsia="Calibri" w:hAnsi="Arial Narrow" w:cs="Arial"/>
                <w:bCs/>
                <w:sz w:val="20"/>
                <w:szCs w:val="20"/>
                <w:lang w:eastAsia="en-AU"/>
              </w:rPr>
              <w:t xml:space="preserve"> No increase in the maximum number of repeats may be authorised</w:t>
            </w:r>
          </w:p>
        </w:tc>
      </w:tr>
      <w:tr w:rsidR="006231C1" w:rsidRPr="00680C77" w14:paraId="3A9C86BC"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86D3B8C" w14:textId="0D6D7D47" w:rsidR="006231C1" w:rsidRPr="00806CB8" w:rsidRDefault="006231C1" w:rsidP="001C47F4">
            <w:pPr>
              <w:jc w:val="center"/>
              <w:rPr>
                <w:rFonts w:ascii="Arial Narrow" w:hAnsi="Arial Narrow" w:cs="Arial"/>
                <w:sz w:val="20"/>
                <w:szCs w:val="20"/>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19274EE" w14:textId="77777777" w:rsidR="006231C1" w:rsidRPr="00680C77" w:rsidRDefault="006231C1"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680C77">
              <w:rPr>
                <w:rFonts w:ascii="Arial Narrow" w:eastAsia="Calibri" w:hAnsi="Arial Narrow" w:cs="Arial"/>
                <w:b/>
                <w:sz w:val="20"/>
                <w:szCs w:val="20"/>
                <w:lang w:eastAsia="en-AU"/>
              </w:rPr>
              <w:t xml:space="preserve">Administrative </w:t>
            </w:r>
            <w:r>
              <w:rPr>
                <w:rFonts w:ascii="Arial Narrow" w:eastAsia="Calibri" w:hAnsi="Arial Narrow" w:cs="Arial"/>
                <w:b/>
                <w:sz w:val="20"/>
                <w:szCs w:val="20"/>
                <w:lang w:eastAsia="en-AU"/>
              </w:rPr>
              <w:t>A</w:t>
            </w:r>
            <w:r w:rsidRPr="00680C77">
              <w:rPr>
                <w:rFonts w:ascii="Arial Narrow" w:eastAsia="Calibri" w:hAnsi="Arial Narrow" w:cs="Arial"/>
                <w:b/>
                <w:sz w:val="20"/>
                <w:szCs w:val="20"/>
                <w:lang w:eastAsia="en-AU"/>
              </w:rPr>
              <w:t>dvice:</w:t>
            </w:r>
            <w:r w:rsidRPr="00680C77">
              <w:rPr>
                <w:rFonts w:ascii="Arial Narrow" w:eastAsia="Calibri" w:hAnsi="Arial Narrow" w:cs="Arial"/>
                <w:bCs/>
                <w:sz w:val="20"/>
                <w:szCs w:val="20"/>
                <w:lang w:eastAsia="en-AU"/>
              </w:rPr>
              <w:t xml:space="preserve"> Special pricing arrangements apply</w:t>
            </w:r>
          </w:p>
        </w:tc>
      </w:tr>
      <w:tr w:rsidR="006231C1" w:rsidRPr="00680C77" w14:paraId="6CA35243"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1E99D96" w14:textId="1B4845F7" w:rsidR="006231C1" w:rsidRPr="00680C77" w:rsidRDefault="006231C1" w:rsidP="001C47F4">
            <w:pPr>
              <w:jc w:val="center"/>
              <w:rPr>
                <w:rFonts w:ascii="Calibri" w:hAnsi="Calibri" w:cs="Arial"/>
                <w:color w:val="00B0F0"/>
                <w:spacing w:val="-2"/>
                <w:sz w:val="18"/>
                <w:szCs w:val="18"/>
                <w:lang w:eastAsia="en-AU"/>
              </w:rPr>
            </w:pPr>
          </w:p>
        </w:tc>
        <w:tc>
          <w:tcPr>
            <w:tcW w:w="793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4F3B51" w14:textId="77777777" w:rsidR="006231C1" w:rsidRPr="00680C77" w:rsidRDefault="006231C1" w:rsidP="001C47F4">
            <w:pPr>
              <w:kinsoku w:val="0"/>
              <w:overflowPunct w:val="0"/>
              <w:autoSpaceDE w:val="0"/>
              <w:autoSpaceDN w:val="0"/>
              <w:adjustRightInd w:val="0"/>
              <w:spacing w:line="201" w:lineRule="exact"/>
              <w:ind w:left="13"/>
              <w:rPr>
                <w:rFonts w:ascii="Arial Narrow" w:eastAsia="MS Mincho" w:hAnsi="Arial Narrow" w:cs="Arial Narrow"/>
                <w:b/>
                <w:bCs/>
                <w:spacing w:val="-2"/>
                <w:sz w:val="20"/>
                <w:szCs w:val="20"/>
                <w:lang w:eastAsia="en-AU"/>
              </w:rPr>
            </w:pPr>
            <w:r w:rsidRPr="00680C77">
              <w:rPr>
                <w:rFonts w:ascii="Arial Narrow" w:eastAsia="Calibri" w:hAnsi="Arial Narrow" w:cs="Arial"/>
                <w:b/>
                <w:sz w:val="20"/>
                <w:szCs w:val="20"/>
                <w:lang w:eastAsia="en-AU"/>
              </w:rPr>
              <w:t>Administrative Advice:</w:t>
            </w:r>
            <w:r w:rsidRPr="00680C77">
              <w:rPr>
                <w:rFonts w:ascii="Arial Narrow" w:eastAsia="Calibri" w:hAnsi="Arial Narrow" w:cs="Arial"/>
                <w:bCs/>
                <w:sz w:val="20"/>
                <w:szCs w:val="20"/>
                <w:lang w:eastAsia="en-AU"/>
              </w:rPr>
              <w:t xml:space="preserve"> Applications for authorisation under this restriction may be made in real time using the Online PBS Authorities system (see www.servicesaustralia.gov.au/HPOS) or by telephone by contacting Services Australia on 1800 888 333.</w:t>
            </w:r>
          </w:p>
        </w:tc>
      </w:tr>
    </w:tbl>
    <w:p w14:paraId="1D1FD340" w14:textId="77777777" w:rsidR="009B12DD" w:rsidRPr="00A56B9E" w:rsidRDefault="009B12DD" w:rsidP="001C47F4">
      <w:pPr>
        <w:spacing w:after="120"/>
        <w:contextualSpacing/>
        <w:rPr>
          <w:rFonts w:cs="Arial"/>
          <w:bCs/>
          <w:snapToGrid w:val="0"/>
        </w:rPr>
      </w:pPr>
    </w:p>
    <w:p w14:paraId="3C33A650" w14:textId="5ECD49B6" w:rsidR="00DC4645" w:rsidRDefault="00DC4645" w:rsidP="00C123BF">
      <w:pPr>
        <w:spacing w:before="120"/>
      </w:pPr>
      <w:r w:rsidRPr="00907671">
        <w:rPr>
          <w:rFonts w:cs="Arial"/>
          <w:b/>
          <w:i/>
          <w:iCs/>
          <w:snapToGrid w:val="0"/>
          <w:lang w:val="en-GB"/>
        </w:rPr>
        <w:t>These restrictions may be subject to further review. Should there be any changes made to the restriction the sponsor will be informed.</w:t>
      </w:r>
      <w:bookmarkEnd w:id="74"/>
    </w:p>
    <w:p w14:paraId="50C17B73" w14:textId="146DD44B" w:rsidR="00C123BF" w:rsidRPr="00C123BF" w:rsidRDefault="00C123BF" w:rsidP="00C123BF">
      <w:pPr>
        <w:keepNext/>
        <w:spacing w:before="240" w:after="120"/>
        <w:ind w:left="720" w:hanging="720"/>
        <w:jc w:val="left"/>
        <w:outlineLvl w:val="0"/>
        <w:rPr>
          <w:rFonts w:cs="Arial"/>
          <w:b/>
          <w:snapToGrid w:val="0"/>
          <w:sz w:val="32"/>
          <w:szCs w:val="32"/>
          <w:lang w:val="en-GB" w:eastAsia="en-US"/>
        </w:rPr>
      </w:pPr>
      <w:r>
        <w:rPr>
          <w:rFonts w:cs="Arial"/>
          <w:b/>
          <w:snapToGrid w:val="0"/>
          <w:sz w:val="32"/>
          <w:szCs w:val="32"/>
          <w:lang w:eastAsia="en-US"/>
        </w:rPr>
        <w:t>9</w:t>
      </w:r>
      <w:r w:rsidRPr="00C123BF">
        <w:rPr>
          <w:rFonts w:cs="Arial"/>
          <w:b/>
          <w:snapToGrid w:val="0"/>
          <w:sz w:val="32"/>
          <w:szCs w:val="32"/>
          <w:lang w:eastAsia="en-US"/>
        </w:rPr>
        <w:tab/>
        <w:t>Context for Decision</w:t>
      </w:r>
    </w:p>
    <w:p w14:paraId="29A9CB23" w14:textId="77777777" w:rsidR="00C123BF" w:rsidRPr="00C123BF" w:rsidRDefault="00C123BF" w:rsidP="00C123BF">
      <w:pPr>
        <w:spacing w:after="120"/>
        <w:ind w:left="720"/>
        <w:rPr>
          <w:rFonts w:ascii="Calibri" w:hAnsi="Calibri" w:cs="Calibri"/>
          <w:bCs/>
          <w:szCs w:val="22"/>
          <w:lang w:val="en-GB" w:eastAsia="en-AU"/>
        </w:rPr>
      </w:pPr>
      <w:r w:rsidRPr="00C123BF">
        <w:rPr>
          <w:rFonts w:ascii="Calibri" w:hAnsi="Calibri" w:cs="Calibri"/>
          <w:bCs/>
          <w:szCs w:val="22"/>
          <w:lang w:val="en-GB" w:eastAsia="en-AU"/>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1E2C7D1" w14:textId="7C550879" w:rsidR="00C123BF" w:rsidRPr="00C123BF" w:rsidRDefault="00C123BF" w:rsidP="00C123BF">
      <w:pPr>
        <w:keepNext/>
        <w:spacing w:before="240" w:after="120"/>
        <w:ind w:left="720" w:hanging="720"/>
        <w:jc w:val="left"/>
        <w:outlineLvl w:val="0"/>
        <w:rPr>
          <w:rFonts w:cs="Arial"/>
          <w:b/>
          <w:snapToGrid w:val="0"/>
          <w:sz w:val="32"/>
          <w:szCs w:val="32"/>
          <w:lang w:eastAsia="en-US"/>
        </w:rPr>
      </w:pPr>
      <w:r>
        <w:rPr>
          <w:rFonts w:cs="Arial"/>
          <w:b/>
          <w:snapToGrid w:val="0"/>
          <w:sz w:val="32"/>
          <w:szCs w:val="32"/>
          <w:lang w:eastAsia="en-US"/>
        </w:rPr>
        <w:lastRenderedPageBreak/>
        <w:t>10</w:t>
      </w:r>
      <w:r w:rsidRPr="00C123BF">
        <w:rPr>
          <w:rFonts w:cs="Arial"/>
          <w:b/>
          <w:snapToGrid w:val="0"/>
          <w:sz w:val="32"/>
          <w:szCs w:val="32"/>
          <w:lang w:eastAsia="en-US"/>
        </w:rPr>
        <w:tab/>
        <w:t>Sponsor’s Comment</w:t>
      </w:r>
    </w:p>
    <w:p w14:paraId="5E0E1704" w14:textId="2F9C2ECA" w:rsidR="00156FEC" w:rsidRPr="000160C3" w:rsidRDefault="00C123BF" w:rsidP="00B214C4">
      <w:pPr>
        <w:pStyle w:val="3-BodyText"/>
        <w:numPr>
          <w:ilvl w:val="0"/>
          <w:numId w:val="0"/>
        </w:numPr>
        <w:ind w:firstLine="720"/>
        <w:rPr>
          <w:i/>
        </w:rPr>
      </w:pPr>
      <w:r w:rsidRPr="00C123BF">
        <w:rPr>
          <w:rFonts w:ascii="Calibri" w:eastAsia="Times New Roman" w:hAnsi="Calibri" w:cs="Calibri"/>
          <w:bCs/>
          <w:lang w:eastAsia="en-US"/>
        </w:rPr>
        <w:t>The sponsor had no comment.</w:t>
      </w:r>
    </w:p>
    <w:sectPr w:rsidR="00156FEC" w:rsidRPr="000160C3" w:rsidSect="006640FD">
      <w:headerReference w:type="even" r:id="rId14"/>
      <w:headerReference w:type="default" r:id="rId15"/>
      <w:footerReference w:type="even" r:id="rId16"/>
      <w:footerReference w:type="default" r:id="rId17"/>
      <w:headerReference w:type="first" r:id="rId18"/>
      <w:footerReference w:type="first" r:id="rId19"/>
      <w:pgSz w:w="11907" w:h="16840" w:code="9"/>
      <w:pgMar w:top="1247" w:right="1134" w:bottom="124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8AE5F" w14:textId="77777777" w:rsidR="00DF1622" w:rsidRDefault="00DF1622" w:rsidP="00124A51">
      <w:r>
        <w:separator/>
      </w:r>
    </w:p>
    <w:p w14:paraId="3AC624B7" w14:textId="77777777" w:rsidR="00DF1622" w:rsidRDefault="00DF1622"/>
  </w:endnote>
  <w:endnote w:type="continuationSeparator" w:id="0">
    <w:p w14:paraId="3B8A2161" w14:textId="77777777" w:rsidR="00DF1622" w:rsidRDefault="00DF1622" w:rsidP="00124A51">
      <w:r>
        <w:continuationSeparator/>
      </w:r>
    </w:p>
    <w:p w14:paraId="3D2F4E18" w14:textId="77777777" w:rsidR="00DF1622" w:rsidRDefault="00DF1622"/>
  </w:endnote>
  <w:endnote w:type="continuationNotice" w:id="1">
    <w:p w14:paraId="0ADE7AD2" w14:textId="77777777" w:rsidR="00DF1622" w:rsidRDefault="00DF1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21D7" w14:textId="1CE23F8A" w:rsidR="00D843F2" w:rsidRDefault="00BF3413">
    <w:pPr>
      <w:pStyle w:val="Footer"/>
    </w:pPr>
    <w:r>
      <w:rPr>
        <w:noProof/>
      </w:rPr>
      <mc:AlternateContent>
        <mc:Choice Requires="wps">
          <w:drawing>
            <wp:anchor distT="0" distB="0" distL="0" distR="0" simplePos="0" relativeHeight="251658244" behindDoc="0" locked="0" layoutInCell="1" allowOverlap="1" wp14:anchorId="2EAC5ACA" wp14:editId="4F57EFC3">
              <wp:simplePos x="635" y="635"/>
              <wp:positionH relativeFrom="page">
                <wp:align>center</wp:align>
              </wp:positionH>
              <wp:positionV relativeFrom="page">
                <wp:align>bottom</wp:align>
              </wp:positionV>
              <wp:extent cx="622300" cy="376555"/>
              <wp:effectExtent l="0" t="0" r="6350" b="0"/>
              <wp:wrapNone/>
              <wp:docPr id="18319497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78C06FE" w14:textId="01F52EAC" w:rsidR="00BF3413" w:rsidRPr="00BF3413" w:rsidRDefault="00BF3413" w:rsidP="00BF3413">
                          <w:pPr>
                            <w:rPr>
                              <w:rFonts w:ascii="Aptos" w:eastAsia="Aptos" w:hAnsi="Aptos" w:cs="Aptos"/>
                              <w:noProof/>
                              <w:color w:val="FF0000"/>
                            </w:rPr>
                          </w:pPr>
                          <w:r w:rsidRPr="00BF341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AC5ACA"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78C06FE" w14:textId="01F52EAC" w:rsidR="00BF3413" w:rsidRPr="00BF3413" w:rsidRDefault="00BF3413" w:rsidP="00BF3413">
                    <w:pPr>
                      <w:rPr>
                        <w:rFonts w:ascii="Aptos" w:eastAsia="Aptos" w:hAnsi="Aptos" w:cs="Aptos"/>
                        <w:noProof/>
                        <w:color w:val="FF0000"/>
                      </w:rPr>
                    </w:pPr>
                    <w:r w:rsidRPr="00BF3413">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440B8E2E" w:rsidR="00D843F2" w:rsidRDefault="00BF3413" w:rsidP="00753B29">
    <w:pPr>
      <w:pStyle w:val="Footer"/>
      <w:jc w:val="center"/>
    </w:pPr>
    <w:r>
      <w:rPr>
        <w:noProof/>
      </w:rPr>
      <mc:AlternateContent>
        <mc:Choice Requires="wps">
          <w:drawing>
            <wp:anchor distT="0" distB="0" distL="0" distR="0" simplePos="0" relativeHeight="251658245" behindDoc="0" locked="0" layoutInCell="1" allowOverlap="1" wp14:anchorId="0A5A5501" wp14:editId="2D03F7BF">
              <wp:simplePos x="635" y="635"/>
              <wp:positionH relativeFrom="page">
                <wp:align>center</wp:align>
              </wp:positionH>
              <wp:positionV relativeFrom="page">
                <wp:align>bottom</wp:align>
              </wp:positionV>
              <wp:extent cx="622300" cy="376555"/>
              <wp:effectExtent l="0" t="0" r="6350" b="0"/>
              <wp:wrapNone/>
              <wp:docPr id="20364374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30683EE" w14:textId="7BFFEB91" w:rsidR="00BF3413" w:rsidRPr="00BF3413" w:rsidRDefault="00BF3413" w:rsidP="00BF3413">
                          <w:pPr>
                            <w:rPr>
                              <w:rFonts w:ascii="Aptos" w:eastAsia="Aptos" w:hAnsi="Aptos" w:cs="Aptos"/>
                              <w:noProof/>
                              <w:color w:val="FF0000"/>
                            </w:rPr>
                          </w:pPr>
                          <w:r w:rsidRPr="00BF341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A5501"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30683EE" w14:textId="7BFFEB91" w:rsidR="00BF3413" w:rsidRPr="00BF3413" w:rsidRDefault="00BF3413" w:rsidP="00BF3413">
                    <w:pPr>
                      <w:rPr>
                        <w:rFonts w:ascii="Aptos" w:eastAsia="Aptos" w:hAnsi="Aptos" w:cs="Aptos"/>
                        <w:noProof/>
                        <w:color w:val="FF0000"/>
                      </w:rPr>
                    </w:pPr>
                    <w:r w:rsidRPr="00BF3413">
                      <w:rPr>
                        <w:rFonts w:ascii="Aptos" w:eastAsia="Aptos" w:hAnsi="Aptos" w:cs="Aptos"/>
                        <w:noProof/>
                        <w:color w:val="FF0000"/>
                      </w:rPr>
                      <w:t>OFFICIAL</w:t>
                    </w:r>
                  </w:p>
                </w:txbxContent>
              </v:textbox>
              <w10:wrap anchorx="page" anchory="page"/>
            </v:shape>
          </w:pict>
        </mc:Fallback>
      </mc:AlternateContent>
    </w:r>
  </w:p>
  <w:p w14:paraId="37484CD3" w14:textId="5F134761" w:rsidR="00D843F2" w:rsidRPr="007C1CD9" w:rsidRDefault="00000000" w:rsidP="00BC07A4">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A4E7" w14:textId="24A7EAF0" w:rsidR="00D843F2" w:rsidRDefault="00BF3413">
    <w:pPr>
      <w:pStyle w:val="Footer"/>
    </w:pPr>
    <w:r>
      <w:rPr>
        <w:noProof/>
      </w:rPr>
      <mc:AlternateContent>
        <mc:Choice Requires="wps">
          <w:drawing>
            <wp:anchor distT="0" distB="0" distL="0" distR="0" simplePos="0" relativeHeight="251658243" behindDoc="0" locked="0" layoutInCell="1" allowOverlap="1" wp14:anchorId="58ECAC4A" wp14:editId="31B9752E">
              <wp:simplePos x="635" y="635"/>
              <wp:positionH relativeFrom="page">
                <wp:align>center</wp:align>
              </wp:positionH>
              <wp:positionV relativeFrom="page">
                <wp:align>bottom</wp:align>
              </wp:positionV>
              <wp:extent cx="622300" cy="376555"/>
              <wp:effectExtent l="0" t="0" r="6350" b="0"/>
              <wp:wrapNone/>
              <wp:docPr id="70884971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0978EE5" w14:textId="3151D9E8" w:rsidR="00BF3413" w:rsidRPr="00BF3413" w:rsidRDefault="00BF3413" w:rsidP="00BF3413">
                          <w:pPr>
                            <w:rPr>
                              <w:rFonts w:ascii="Aptos" w:eastAsia="Aptos" w:hAnsi="Aptos" w:cs="Aptos"/>
                              <w:noProof/>
                              <w:color w:val="FF0000"/>
                            </w:rPr>
                          </w:pPr>
                          <w:r w:rsidRPr="00BF341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ECAC4A"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60978EE5" w14:textId="3151D9E8" w:rsidR="00BF3413" w:rsidRPr="00BF3413" w:rsidRDefault="00BF3413" w:rsidP="00BF3413">
                    <w:pPr>
                      <w:rPr>
                        <w:rFonts w:ascii="Aptos" w:eastAsia="Aptos" w:hAnsi="Aptos" w:cs="Aptos"/>
                        <w:noProof/>
                        <w:color w:val="FF0000"/>
                      </w:rPr>
                    </w:pPr>
                    <w:r w:rsidRPr="00BF3413">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19D8C" w14:textId="77777777" w:rsidR="00DF1622" w:rsidRDefault="00DF1622" w:rsidP="00124A51">
      <w:r>
        <w:separator/>
      </w:r>
    </w:p>
    <w:p w14:paraId="58A5E112" w14:textId="77777777" w:rsidR="00DF1622" w:rsidRDefault="00DF1622"/>
  </w:footnote>
  <w:footnote w:type="continuationSeparator" w:id="0">
    <w:p w14:paraId="2EAA627F" w14:textId="77777777" w:rsidR="00DF1622" w:rsidRDefault="00DF1622" w:rsidP="00124A51">
      <w:r>
        <w:continuationSeparator/>
      </w:r>
    </w:p>
    <w:p w14:paraId="5991815F" w14:textId="77777777" w:rsidR="00DF1622" w:rsidRDefault="00DF1622"/>
  </w:footnote>
  <w:footnote w:type="continuationNotice" w:id="1">
    <w:p w14:paraId="76EA3E4A" w14:textId="77777777" w:rsidR="00DF1622" w:rsidRDefault="00DF1622"/>
  </w:footnote>
  <w:footnote w:id="2">
    <w:p w14:paraId="784A9A4A" w14:textId="1D865ABF" w:rsidR="00F21248" w:rsidRDefault="00F21248">
      <w:pPr>
        <w:pStyle w:val="FootnoteText"/>
      </w:pPr>
      <w:r>
        <w:rPr>
          <w:rStyle w:val="FootnoteReference"/>
        </w:rPr>
        <w:footnoteRef/>
      </w:r>
      <w:r>
        <w:t xml:space="preserve"> </w:t>
      </w:r>
      <w:hyperlink r:id="rId1" w:history="1">
        <w:r w:rsidRPr="00F21248">
          <w:rPr>
            <w:rStyle w:val="Hyperlink"/>
          </w:rPr>
          <w:t>Pharmaceutical Benefits Scheme (PBS) | Elranatamab; Solution for subcutaneous injection 44 mg in 1.1 mL (40 mg per mL), Solution for subcutaneous injection 76 mg in 1.9 mL (40 mg per mL); Elrexfio®</w:t>
        </w:r>
      </w:hyperlink>
    </w:p>
  </w:footnote>
  <w:footnote w:id="3">
    <w:p w14:paraId="7C333347" w14:textId="58FE91CB" w:rsidR="00AA4F41" w:rsidRDefault="00AA4F41">
      <w:pPr>
        <w:pStyle w:val="FootnoteText"/>
      </w:pPr>
      <w:r>
        <w:rPr>
          <w:rStyle w:val="FootnoteReference"/>
        </w:rPr>
        <w:footnoteRef/>
      </w:r>
      <w:r>
        <w:t xml:space="preserve"> </w:t>
      </w:r>
      <w:hyperlink r:id="rId2" w:history="1">
        <w:r w:rsidRPr="003E6AE4">
          <w:rPr>
            <w:rStyle w:val="Hyperlink"/>
          </w:rPr>
          <w:t>Multiple-Myeloma-Meeting-Outcome-Statement.pdf</w:t>
        </w:r>
      </w:hyperlink>
    </w:p>
  </w:footnote>
  <w:footnote w:id="4">
    <w:p w14:paraId="21764700" w14:textId="07F972E1" w:rsidR="00C67077" w:rsidRDefault="00C67077" w:rsidP="00C67077">
      <w:pPr>
        <w:pStyle w:val="FootnoteText"/>
      </w:pPr>
      <w:r>
        <w:rPr>
          <w:rStyle w:val="FootnoteReference"/>
        </w:rPr>
        <w:footnoteRef/>
      </w:r>
      <w:r>
        <w:t xml:space="preserve"> NCCN Guidelines Version </w:t>
      </w:r>
      <w:r w:rsidR="008A104D">
        <w:t>5</w:t>
      </w:r>
      <w:r>
        <w:t xml:space="preserve">.2026, November 26, 2025. Multiple Myeloma. </w:t>
      </w:r>
    </w:p>
  </w:footnote>
  <w:footnote w:id="5">
    <w:p w14:paraId="11FFC983" w14:textId="39239DAE" w:rsidR="008050C8" w:rsidRDefault="008050C8">
      <w:pPr>
        <w:pStyle w:val="FootnoteText"/>
      </w:pPr>
      <w:r>
        <w:rPr>
          <w:rStyle w:val="FootnoteReference"/>
        </w:rPr>
        <w:footnoteRef/>
      </w:r>
      <w:r>
        <w:t xml:space="preserve"> Includes </w:t>
      </w:r>
      <w:r w:rsidR="005C7B75">
        <w:t xml:space="preserve">125 patients from Part 3, Cohort A and 40 patients from Part 1 </w:t>
      </w:r>
      <w:r w:rsidR="00B830C7">
        <w:t xml:space="preserve">and Part 2 </w:t>
      </w:r>
      <w:r w:rsidR="005C7B75">
        <w:t>of the study.</w:t>
      </w:r>
    </w:p>
  </w:footnote>
  <w:footnote w:id="6">
    <w:p w14:paraId="55D9A121" w14:textId="39797486" w:rsidR="009D0AD2" w:rsidRDefault="009D0AD2">
      <w:pPr>
        <w:pStyle w:val="FootnoteText"/>
      </w:pPr>
      <w:r>
        <w:rPr>
          <w:rStyle w:val="FootnoteReference"/>
        </w:rPr>
        <w:footnoteRef/>
      </w:r>
      <w:r>
        <w:t xml:space="preserve"> </w:t>
      </w:r>
      <w:r w:rsidRPr="00445047">
        <w:t xml:space="preserve">Mol I, Hu Y, LeBlanc TW, </w:t>
      </w:r>
      <w:proofErr w:type="spellStart"/>
      <w:r w:rsidRPr="00445047">
        <w:t>Cappelleri</w:t>
      </w:r>
      <w:proofErr w:type="spellEnd"/>
      <w:r w:rsidRPr="00445047">
        <w:t xml:space="preserve"> JC, Chu H, </w:t>
      </w:r>
      <w:proofErr w:type="spellStart"/>
      <w:r w:rsidRPr="00445047">
        <w:t>Nador</w:t>
      </w:r>
      <w:proofErr w:type="spellEnd"/>
      <w:r w:rsidRPr="00445047">
        <w:t xml:space="preserve"> G, Aydin D, </w:t>
      </w:r>
      <w:proofErr w:type="spellStart"/>
      <w:r w:rsidRPr="00445047">
        <w:t>Schepart</w:t>
      </w:r>
      <w:proofErr w:type="spellEnd"/>
      <w:r w:rsidRPr="00445047">
        <w:t xml:space="preserve"> A, Hlavacek P. A matching-adjusted indirect comparison of the efficacy of elranatamab versus teclistamab in patients with triple-class exposed/refractory multiple myeloma. Leuk Lymphoma. 2024 May;65(5):660-668. doi: 10.1080/10428194.2024.2313628.</w:t>
      </w:r>
    </w:p>
  </w:footnote>
  <w:footnote w:id="7">
    <w:p w14:paraId="1544D104" w14:textId="6FE84805" w:rsidR="009D0AD2" w:rsidRDefault="009D0AD2">
      <w:pPr>
        <w:pStyle w:val="FootnoteText"/>
      </w:pPr>
      <w:r>
        <w:rPr>
          <w:rStyle w:val="FootnoteReference"/>
        </w:rPr>
        <w:footnoteRef/>
      </w:r>
      <w:r>
        <w:t xml:space="preserve"> </w:t>
      </w:r>
      <w:r w:rsidRPr="00445047">
        <w:t xml:space="preserve">Mol I, Hu Y, LeBlanc TW, </w:t>
      </w:r>
      <w:proofErr w:type="spellStart"/>
      <w:r w:rsidRPr="00445047">
        <w:t>Cappelleri</w:t>
      </w:r>
      <w:proofErr w:type="spellEnd"/>
      <w:r w:rsidRPr="00445047">
        <w:t xml:space="preserve"> JC, Chu H, </w:t>
      </w:r>
      <w:proofErr w:type="spellStart"/>
      <w:r w:rsidRPr="00445047">
        <w:t>Nador</w:t>
      </w:r>
      <w:proofErr w:type="spellEnd"/>
      <w:r w:rsidRPr="00445047">
        <w:t xml:space="preserve"> G, Aydin D, Perez Cruz I, Hlavacek P. Matching-Adjusted Indirect Comparison of Elranatamab versus Teclistamab in Patients with Triple-Class Exposed/Refractory Multiple Myeloma: Updated Results. J Blood Med. 2025 May 14;16:233-239. doi: 10.2147/JBM.S507550</w:t>
      </w:r>
    </w:p>
  </w:footnote>
  <w:footnote w:id="8">
    <w:p w14:paraId="4EA25C9D" w14:textId="02D0CD0C" w:rsidR="001C2F2E" w:rsidRPr="00C40F0B" w:rsidRDefault="001C2F2E" w:rsidP="001C2F2E">
      <w:pPr>
        <w:pStyle w:val="FootnoteText"/>
      </w:pPr>
      <w:r w:rsidRPr="00445047">
        <w:rPr>
          <w:rStyle w:val="FootnoteReference"/>
        </w:rPr>
        <w:footnoteRef/>
      </w:r>
      <w:r w:rsidRPr="00445047">
        <w:t xml:space="preserve"> Based on Phillippo 2018: ESS=(∑</w:t>
      </w:r>
      <w:proofErr w:type="spellStart"/>
      <w:r w:rsidRPr="00445047">
        <w:t>w</w:t>
      </w:r>
      <w:r w:rsidRPr="00445047">
        <w:rPr>
          <w:vertAlign w:val="subscript"/>
        </w:rPr>
        <w:t>i</w:t>
      </w:r>
      <w:proofErr w:type="spellEnd"/>
      <w:r w:rsidRPr="00445047">
        <w:t xml:space="preserve"> )</w:t>
      </w:r>
      <w:r w:rsidRPr="00445047">
        <w:rPr>
          <w:vertAlign w:val="superscript"/>
        </w:rPr>
        <w:t>2</w:t>
      </w:r>
      <w:r w:rsidRPr="00445047">
        <w:t>/(∑w</w:t>
      </w:r>
      <w:r w:rsidRPr="00445047">
        <w:rPr>
          <w:vertAlign w:val="subscript"/>
        </w:rPr>
        <w:t>i</w:t>
      </w:r>
      <w:r w:rsidRPr="00445047">
        <w:rPr>
          <w:vertAlign w:val="superscript"/>
        </w:rPr>
        <w:t>2</w:t>
      </w:r>
      <w:r w:rsidRPr="00445047">
        <w:t xml:space="preserve">), where </w:t>
      </w:r>
      <w:proofErr w:type="spellStart"/>
      <w:r w:rsidRPr="00445047">
        <w:t>w</w:t>
      </w:r>
      <w:r w:rsidRPr="00445047">
        <w:rPr>
          <w:vertAlign w:val="subscript"/>
        </w:rPr>
        <w:t>i</w:t>
      </w:r>
      <w:proofErr w:type="spellEnd"/>
      <w:r w:rsidRPr="00445047">
        <w:t>, i=1,</w:t>
      </w:r>
      <w:r w:rsidR="00796ADB">
        <w:t xml:space="preserve"> </w:t>
      </w:r>
      <w:r w:rsidRPr="00445047">
        <w:t>…</w:t>
      </w:r>
      <w:r w:rsidR="00796ADB">
        <w:t xml:space="preserve">, </w:t>
      </w:r>
      <w:r w:rsidRPr="00445047">
        <w:t xml:space="preserve">N, are the patient weights. A low ESS compared to the original sample size N indicates extreme patient weights due to large imbalances in patient populations prior to reweighting. While guidance on what constitutes a minimally acceptable ESS is not currently available, a review of published MAIC studies showed reductions in ESS ranging from 57% to 98% (Phillippo 2016), suggesting that there are circumstances where a large reduction in ESS is required to adjust for covariate bias. </w:t>
      </w:r>
    </w:p>
  </w:footnote>
  <w:footnote w:id="9">
    <w:p w14:paraId="7892EF9B" w14:textId="511B8053" w:rsidR="007D4C5F" w:rsidRDefault="007D4C5F">
      <w:pPr>
        <w:pStyle w:val="FootnoteText"/>
      </w:pPr>
      <w:r>
        <w:rPr>
          <w:rStyle w:val="FootnoteReference"/>
        </w:rPr>
        <w:footnoteRef/>
      </w:r>
      <w:r>
        <w:t xml:space="preserve"> </w:t>
      </w:r>
      <w:r w:rsidR="00771D1C">
        <w:t xml:space="preserve">191 = </w:t>
      </w:r>
      <w:r>
        <w:t xml:space="preserve">RP2D population </w:t>
      </w:r>
      <w:r w:rsidR="00944770">
        <w:t>(n=</w:t>
      </w:r>
      <w:r>
        <w:t>16</w:t>
      </w:r>
      <w:r w:rsidR="006B0A0E">
        <w:t>5</w:t>
      </w:r>
      <w:r w:rsidR="002B1CB7">
        <w:t>)</w:t>
      </w:r>
      <w:r w:rsidR="00944770">
        <w:t xml:space="preserve"> plus</w:t>
      </w:r>
      <w:r>
        <w:t xml:space="preserve"> China Cohort </w:t>
      </w:r>
      <w:r w:rsidR="00944770">
        <w:t>(n=</w:t>
      </w:r>
      <w:r w:rsidR="00A83A52">
        <w:t>26</w:t>
      </w:r>
      <w:r w:rsidR="00DF7621">
        <w:t>)</w:t>
      </w:r>
      <w:r w:rsidR="00771D1C">
        <w:t xml:space="preserve"> </w:t>
      </w:r>
    </w:p>
  </w:footnote>
  <w:footnote w:id="10">
    <w:p w14:paraId="56061A17" w14:textId="26FEE9EA" w:rsidR="009F2B17" w:rsidRPr="009E4F42" w:rsidRDefault="009F2B17">
      <w:pPr>
        <w:pStyle w:val="FootnoteText"/>
        <w:rPr>
          <w:rFonts w:asciiTheme="minorHAnsi" w:hAnsiTheme="minorHAnsi" w:cstheme="minorHAnsi"/>
        </w:rPr>
      </w:pPr>
      <w:r w:rsidRPr="009E4F42">
        <w:rPr>
          <w:rStyle w:val="FootnoteReference"/>
          <w:rFonts w:asciiTheme="minorHAnsi" w:hAnsiTheme="minorHAnsi" w:cstheme="minorHAnsi"/>
        </w:rPr>
        <w:footnoteRef/>
      </w:r>
      <w:r w:rsidRPr="009E4F42">
        <w:rPr>
          <w:rFonts w:asciiTheme="minorHAnsi" w:hAnsiTheme="minorHAnsi" w:cstheme="minorHAnsi"/>
        </w:rPr>
        <w:t xml:space="preserve"> </w:t>
      </w:r>
      <w:proofErr w:type="spellStart"/>
      <w:r w:rsidR="00777413" w:rsidRPr="009E4F42">
        <w:rPr>
          <w:rFonts w:asciiTheme="minorHAnsi" w:hAnsiTheme="minorHAnsi" w:cstheme="minorHAnsi"/>
          <w:color w:val="212121"/>
          <w:shd w:val="clear" w:color="auto" w:fill="FFFFFF"/>
        </w:rPr>
        <w:t>Chunara</w:t>
      </w:r>
      <w:proofErr w:type="spellEnd"/>
      <w:r w:rsidR="00777413" w:rsidRPr="009E4F42">
        <w:rPr>
          <w:rFonts w:asciiTheme="minorHAnsi" w:hAnsiTheme="minorHAnsi" w:cstheme="minorHAnsi"/>
          <w:color w:val="212121"/>
          <w:shd w:val="clear" w:color="auto" w:fill="FFFFFF"/>
        </w:rPr>
        <w:t xml:space="preserve"> F,</w:t>
      </w:r>
      <w:r w:rsidR="00A9217E" w:rsidRPr="009E4F42">
        <w:rPr>
          <w:rFonts w:asciiTheme="minorHAnsi" w:hAnsiTheme="minorHAnsi" w:cstheme="minorHAnsi"/>
          <w:color w:val="212121"/>
          <w:shd w:val="clear" w:color="auto" w:fill="FFFFFF"/>
        </w:rPr>
        <w:t xml:space="preserve"> et al</w:t>
      </w:r>
      <w:r w:rsidR="00777413" w:rsidRPr="009E4F42">
        <w:rPr>
          <w:rFonts w:asciiTheme="minorHAnsi" w:hAnsiTheme="minorHAnsi" w:cstheme="minorHAnsi"/>
          <w:color w:val="212121"/>
          <w:shd w:val="clear" w:color="auto" w:fill="FFFFFF"/>
        </w:rPr>
        <w:t>. Real-world treatment patterns for teclistamab and talquetamab in multiple myeloma (MM): experience from 609 patients. Blood Cancer J. 2025 Apr 8;15(1):61. doi: 10.1038/s41408-025-01254-4.</w:t>
      </w:r>
    </w:p>
  </w:footnote>
  <w:footnote w:id="11">
    <w:p w14:paraId="39C351BE" w14:textId="620A8D06" w:rsidR="00F963CA" w:rsidRDefault="00F963CA">
      <w:pPr>
        <w:pStyle w:val="FootnoteText"/>
      </w:pPr>
      <w:r>
        <w:rPr>
          <w:rStyle w:val="FootnoteReference"/>
        </w:rPr>
        <w:footnoteRef/>
      </w:r>
      <w:r>
        <w:t xml:space="preserve"> At the time of consideration, </w:t>
      </w:r>
      <w:r w:rsidR="00AC77C7">
        <w:t>the Q4W dose of elranatamab was not approved</w:t>
      </w:r>
      <w:r w:rsidR="00994ECA">
        <w:t xml:space="preserve"> (see paragraph </w:t>
      </w:r>
      <w:r w:rsidR="00134E1F">
        <w:t>7.17, elranatamab PSD, March 2025 PBAC meeting) but could be included in modelling if it was approved by the TGA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F1A5" w14:textId="699A5A67" w:rsidR="00D843F2" w:rsidRDefault="00BF3413">
    <w:pPr>
      <w:pStyle w:val="Header"/>
    </w:pPr>
    <w:r>
      <w:rPr>
        <w:noProof/>
      </w:rPr>
      <mc:AlternateContent>
        <mc:Choice Requires="wps">
          <w:drawing>
            <wp:anchor distT="0" distB="0" distL="0" distR="0" simplePos="0" relativeHeight="251658241" behindDoc="0" locked="0" layoutInCell="1" allowOverlap="1" wp14:anchorId="618B0C7D" wp14:editId="019AC09F">
              <wp:simplePos x="635" y="635"/>
              <wp:positionH relativeFrom="page">
                <wp:align>center</wp:align>
              </wp:positionH>
              <wp:positionV relativeFrom="page">
                <wp:align>top</wp:align>
              </wp:positionV>
              <wp:extent cx="622300" cy="376555"/>
              <wp:effectExtent l="0" t="0" r="6350" b="4445"/>
              <wp:wrapNone/>
              <wp:docPr id="4360081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F4B08C" w14:textId="7825C286" w:rsidR="00BF3413" w:rsidRPr="00BF3413" w:rsidRDefault="00BF3413" w:rsidP="00BF3413">
                          <w:pPr>
                            <w:rPr>
                              <w:rFonts w:ascii="Aptos" w:eastAsia="Aptos" w:hAnsi="Aptos" w:cs="Aptos"/>
                              <w:noProof/>
                              <w:color w:val="FF0000"/>
                            </w:rPr>
                          </w:pPr>
                          <w:r w:rsidRPr="00BF341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8B0C7D"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AF4B08C" w14:textId="7825C286" w:rsidR="00BF3413" w:rsidRPr="00BF3413" w:rsidRDefault="00BF3413" w:rsidP="00BF3413">
                    <w:pPr>
                      <w:rPr>
                        <w:rFonts w:ascii="Aptos" w:eastAsia="Aptos" w:hAnsi="Aptos" w:cs="Aptos"/>
                        <w:noProof/>
                        <w:color w:val="FF0000"/>
                      </w:rPr>
                    </w:pPr>
                    <w:r w:rsidRPr="00BF3413">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3F49" w14:textId="238C3905" w:rsidR="00CC61B2" w:rsidRDefault="00BF3413" w:rsidP="00D822E2">
    <w:pPr>
      <w:pStyle w:val="Header"/>
      <w:rPr>
        <w:color w:val="808080"/>
      </w:rPr>
    </w:pPr>
    <w:r>
      <w:rPr>
        <w:noProof/>
        <w:color w:val="808080"/>
      </w:rPr>
      <mc:AlternateContent>
        <mc:Choice Requires="wps">
          <w:drawing>
            <wp:anchor distT="0" distB="0" distL="0" distR="0" simplePos="0" relativeHeight="251658242" behindDoc="0" locked="0" layoutInCell="1" allowOverlap="1" wp14:anchorId="557436B7" wp14:editId="228AA147">
              <wp:simplePos x="635" y="635"/>
              <wp:positionH relativeFrom="page">
                <wp:align>center</wp:align>
              </wp:positionH>
              <wp:positionV relativeFrom="page">
                <wp:align>top</wp:align>
              </wp:positionV>
              <wp:extent cx="622300" cy="376555"/>
              <wp:effectExtent l="0" t="0" r="6350" b="4445"/>
              <wp:wrapNone/>
              <wp:docPr id="14775548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AF2EC1" w14:textId="35A15C09" w:rsidR="00BF3413" w:rsidRPr="00BF3413" w:rsidRDefault="00BF3413" w:rsidP="00BF3413">
                          <w:pPr>
                            <w:rPr>
                              <w:rFonts w:ascii="Aptos" w:eastAsia="Aptos" w:hAnsi="Aptos" w:cs="Aptos"/>
                              <w:noProof/>
                              <w:color w:val="FF0000"/>
                            </w:rPr>
                          </w:pPr>
                          <w:r w:rsidRPr="00BF341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7436B7"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2AF2EC1" w14:textId="35A15C09" w:rsidR="00BF3413" w:rsidRPr="00BF3413" w:rsidRDefault="00BF3413" w:rsidP="00BF3413">
                    <w:pPr>
                      <w:rPr>
                        <w:rFonts w:ascii="Aptos" w:eastAsia="Aptos" w:hAnsi="Aptos" w:cs="Aptos"/>
                        <w:noProof/>
                        <w:color w:val="FF0000"/>
                      </w:rPr>
                    </w:pPr>
                    <w:r w:rsidRPr="00BF3413">
                      <w:rPr>
                        <w:rFonts w:ascii="Aptos" w:eastAsia="Aptos" w:hAnsi="Aptos" w:cs="Aptos"/>
                        <w:noProof/>
                        <w:color w:val="FF0000"/>
                      </w:rPr>
                      <w:t>OFFICIAL</w:t>
                    </w:r>
                  </w:p>
                </w:txbxContent>
              </v:textbox>
              <w10:wrap anchorx="page" anchory="page"/>
            </v:shape>
          </w:pict>
        </mc:Fallback>
      </mc:AlternateContent>
    </w:r>
  </w:p>
  <w:p w14:paraId="53F5E204" w14:textId="282DCFDD" w:rsidR="00D843F2" w:rsidRPr="00195452" w:rsidRDefault="001B7534" w:rsidP="00D822E2">
    <w:pPr>
      <w:pStyle w:val="Header"/>
      <w:rPr>
        <w:i w:val="0"/>
        <w:color w:val="808080"/>
      </w:rPr>
    </w:pPr>
    <w:r>
      <w:rPr>
        <w:color w:val="808080"/>
      </w:rPr>
      <w:t>Public Summary Document</w:t>
    </w:r>
    <w:r w:rsidR="00BC07A4">
      <w:rPr>
        <w:color w:val="808080"/>
      </w:rPr>
      <w:t xml:space="preserve"> - </w:t>
    </w:r>
    <w:r w:rsidR="00637995">
      <w:rPr>
        <w:color w:val="808080"/>
      </w:rPr>
      <w:t xml:space="preserve">March </w:t>
    </w:r>
    <w:r w:rsidR="00D843F2">
      <w:rPr>
        <w:color w:val="808080"/>
      </w:rPr>
      <w:t>202</w:t>
    </w:r>
    <w:r w:rsidR="00826839">
      <w:rPr>
        <w:color w:val="808080"/>
      </w:rPr>
      <w:t>6</w:t>
    </w:r>
    <w:r w:rsidR="00D843F2">
      <w:rPr>
        <w:color w:val="808080"/>
      </w:rPr>
      <w:t xml:space="preserve"> </w:t>
    </w:r>
    <w:r w:rsidR="00D843F2" w:rsidRPr="00195452">
      <w:rPr>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BE60" w14:textId="0251B1C9" w:rsidR="00D843F2" w:rsidRDefault="00BF3413">
    <w:pPr>
      <w:pStyle w:val="Header"/>
    </w:pPr>
    <w:r>
      <w:rPr>
        <w:noProof/>
      </w:rPr>
      <mc:AlternateContent>
        <mc:Choice Requires="wps">
          <w:drawing>
            <wp:anchor distT="0" distB="0" distL="0" distR="0" simplePos="0" relativeHeight="251658240" behindDoc="0" locked="0" layoutInCell="1" allowOverlap="1" wp14:anchorId="131E2558" wp14:editId="1800CA2A">
              <wp:simplePos x="635" y="635"/>
              <wp:positionH relativeFrom="page">
                <wp:align>center</wp:align>
              </wp:positionH>
              <wp:positionV relativeFrom="page">
                <wp:align>top</wp:align>
              </wp:positionV>
              <wp:extent cx="622300" cy="376555"/>
              <wp:effectExtent l="0" t="0" r="6350" b="4445"/>
              <wp:wrapNone/>
              <wp:docPr id="10149084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9F16511" w14:textId="2CBEF932" w:rsidR="00BF3413" w:rsidRPr="00BF3413" w:rsidRDefault="00BF3413" w:rsidP="00BF3413">
                          <w:pPr>
                            <w:rPr>
                              <w:rFonts w:ascii="Aptos" w:eastAsia="Aptos" w:hAnsi="Aptos" w:cs="Aptos"/>
                              <w:noProof/>
                              <w:color w:val="FF0000"/>
                            </w:rPr>
                          </w:pPr>
                          <w:r w:rsidRPr="00BF341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1E2558"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9F16511" w14:textId="2CBEF932" w:rsidR="00BF3413" w:rsidRPr="00BF3413" w:rsidRDefault="00BF3413" w:rsidP="00BF3413">
                    <w:pPr>
                      <w:rPr>
                        <w:rFonts w:ascii="Aptos" w:eastAsia="Aptos" w:hAnsi="Aptos" w:cs="Aptos"/>
                        <w:noProof/>
                        <w:color w:val="FF0000"/>
                      </w:rPr>
                    </w:pPr>
                    <w:r w:rsidRPr="00BF3413">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0346AD7"/>
    <w:multiLevelType w:val="hybridMultilevel"/>
    <w:tmpl w:val="A3F2E9B4"/>
    <w:lvl w:ilvl="0" w:tplc="CFBE442A">
      <w:start w:val="1"/>
      <w:numFmt w:val="bullet"/>
      <w:pStyle w:val="ListParagraph"/>
      <w:lvlText w:val=""/>
      <w:lvlJc w:val="left"/>
      <w:pPr>
        <w:ind w:left="1440" w:hanging="360"/>
      </w:pPr>
      <w:rPr>
        <w:rFonts w:ascii="Symbol" w:hAnsi="Symbol" w:hint="default"/>
      </w:rPr>
    </w:lvl>
    <w:lvl w:ilvl="1" w:tplc="5196422C">
      <w:numFmt w:val="bullet"/>
      <w:lvlText w:val="•"/>
      <w:lvlJc w:val="left"/>
      <w:pPr>
        <w:ind w:left="2580" w:hanging="780"/>
      </w:pPr>
      <w:rPr>
        <w:rFonts w:ascii="Calibri" w:eastAsia="Times New Roman" w:hAnsi="Calibri" w:cs="Calibr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8FD78DC"/>
    <w:multiLevelType w:val="multilevel"/>
    <w:tmpl w:val="318AC452"/>
    <w:lvl w:ilvl="0">
      <w:start w:val="1"/>
      <w:numFmt w:val="bullet"/>
      <w:pStyle w:val="TableListParagraph"/>
      <w:lvlText w:val=""/>
      <w:lvlJc w:val="left"/>
      <w:pPr>
        <w:ind w:left="144" w:hanging="144"/>
      </w:pPr>
      <w:rPr>
        <w:rFonts w:ascii="Symbol" w:hAnsi="Symbol" w:hint="default"/>
      </w:rPr>
    </w:lvl>
    <w:lvl w:ilvl="1">
      <w:start w:val="1"/>
      <w:numFmt w:val="bullet"/>
      <w:lvlText w:val="–"/>
      <w:lvlJc w:val="left"/>
      <w:pPr>
        <w:ind w:left="288" w:hanging="144"/>
      </w:pPr>
      <w:rPr>
        <w:rFonts w:ascii="Calibri" w:hAnsi="Calibri" w:hint="default"/>
      </w:rPr>
    </w:lvl>
    <w:lvl w:ilvl="2">
      <w:start w:val="1"/>
      <w:numFmt w:val="bullet"/>
      <w:lvlText w:val="–"/>
      <w:lvlJc w:val="left"/>
      <w:pPr>
        <w:ind w:left="432" w:hanging="144"/>
      </w:pPr>
      <w:rPr>
        <w:rFonts w:ascii="Calibri" w:hAnsi="Calibri" w:hint="default"/>
      </w:rPr>
    </w:lvl>
    <w:lvl w:ilvl="3">
      <w:start w:val="1"/>
      <w:numFmt w:val="bullet"/>
      <w:lvlText w:val="–"/>
      <w:lvlJc w:val="left"/>
      <w:pPr>
        <w:ind w:left="576" w:hanging="144"/>
      </w:pPr>
      <w:rPr>
        <w:rFonts w:ascii="Calibri" w:hAnsi="Calibri" w:hint="default"/>
      </w:rPr>
    </w:lvl>
    <w:lvl w:ilvl="4">
      <w:start w:val="1"/>
      <w:numFmt w:val="bullet"/>
      <w:lvlText w:val="–"/>
      <w:lvlJc w:val="left"/>
      <w:pPr>
        <w:ind w:left="720" w:hanging="144"/>
      </w:pPr>
      <w:rPr>
        <w:rFonts w:ascii="Calibri" w:hAnsi="Calibri" w:hint="default"/>
      </w:rPr>
    </w:lvl>
    <w:lvl w:ilvl="5">
      <w:start w:val="1"/>
      <w:numFmt w:val="bullet"/>
      <w:lvlText w:val="–"/>
      <w:lvlJc w:val="left"/>
      <w:pPr>
        <w:ind w:left="864" w:hanging="144"/>
      </w:pPr>
      <w:rPr>
        <w:rFonts w:ascii="Calibri" w:hAnsi="Calibri" w:hint="default"/>
      </w:rPr>
    </w:lvl>
    <w:lvl w:ilvl="6">
      <w:start w:val="1"/>
      <w:numFmt w:val="bullet"/>
      <w:lvlText w:val="–"/>
      <w:lvlJc w:val="left"/>
      <w:pPr>
        <w:ind w:left="1008" w:hanging="144"/>
      </w:pPr>
      <w:rPr>
        <w:rFonts w:ascii="Calibri" w:hAnsi="Calibri" w:hint="default"/>
      </w:rPr>
    </w:lvl>
    <w:lvl w:ilvl="7">
      <w:start w:val="1"/>
      <w:numFmt w:val="bullet"/>
      <w:lvlText w:val="–"/>
      <w:lvlJc w:val="left"/>
      <w:pPr>
        <w:ind w:left="1152" w:hanging="144"/>
      </w:pPr>
      <w:rPr>
        <w:rFonts w:ascii="Calibri" w:hAnsi="Calibri" w:hint="default"/>
      </w:rPr>
    </w:lvl>
    <w:lvl w:ilvl="8">
      <w:start w:val="1"/>
      <w:numFmt w:val="bullet"/>
      <w:lvlRestart w:val="0"/>
      <w:lvlText w:val="–"/>
      <w:lvlJc w:val="left"/>
      <w:pPr>
        <w:ind w:left="1296" w:hanging="144"/>
      </w:pPr>
      <w:rPr>
        <w:rFonts w:ascii="Calibri" w:hAnsi="Calibri" w:hint="default"/>
      </w:rPr>
    </w:lvl>
  </w:abstractNum>
  <w:abstractNum w:abstractNumId="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32637"/>
    <w:multiLevelType w:val="hybridMultilevel"/>
    <w:tmpl w:val="65169B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9BC6773"/>
    <w:multiLevelType w:val="hybridMultilevel"/>
    <w:tmpl w:val="E5D6F1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57DB40C0"/>
    <w:multiLevelType w:val="hybridMultilevel"/>
    <w:tmpl w:val="C7D6106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AC310F"/>
    <w:multiLevelType w:val="multilevel"/>
    <w:tmpl w:val="DBBC7162"/>
    <w:lvl w:ilvl="0">
      <w:start w:val="1"/>
      <w:numFmt w:val="decimal"/>
      <w:pStyle w:val="TableTitleA"/>
      <w:lvlText w:val="Table 1.%1"/>
      <w:lvlJc w:val="left"/>
      <w:pPr>
        <w:tabs>
          <w:tab w:val="num" w:pos="1080"/>
        </w:tabs>
        <w:ind w:left="851" w:hanging="851"/>
      </w:pPr>
      <w:rPr>
        <w:rFonts w:ascii="Arial" w:hAnsi="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6A352EC"/>
    <w:multiLevelType w:val="hybridMultilevel"/>
    <w:tmpl w:val="A7284E2E"/>
    <w:lvl w:ilvl="0" w:tplc="F578C33A">
      <w:start w:val="1"/>
      <w:numFmt w:val="bullet"/>
      <w:pStyle w:val="Tablebullet"/>
      <w:lvlText w:val=""/>
      <w:lvlJc w:val="left"/>
      <w:pPr>
        <w:ind w:left="360" w:hanging="360"/>
      </w:pPr>
      <w:rPr>
        <w:rFonts w:ascii="Symbol" w:hAnsi="Symbol" w:hint="default"/>
        <w:b w:val="0"/>
        <w:i w:val="0"/>
        <w:caps w:val="0"/>
        <w:strike w:val="0"/>
        <w:dstrike w:val="0"/>
        <w:vanish w:val="0"/>
        <w:color w:val="FFFFFF" w:themeColor="background1"/>
        <w:sz w:val="20"/>
        <w:szCs w:val="20"/>
        <w:u w:val="none" w:color="FFFFFF"/>
        <w:vertAlign w:val="baseline"/>
      </w:rPr>
    </w:lvl>
    <w:lvl w:ilvl="1" w:tplc="C40EFE8A">
      <w:start w:val="1"/>
      <w:numFmt w:val="bullet"/>
      <w:pStyle w:val="TablebulletL2"/>
      <w:lvlText w:val="o"/>
      <w:lvlJc w:val="left"/>
      <w:pPr>
        <w:ind w:left="-725"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706E90"/>
    <w:multiLevelType w:val="hybridMultilevel"/>
    <w:tmpl w:val="B58C52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6A026D0"/>
    <w:multiLevelType w:val="hybridMultilevel"/>
    <w:tmpl w:val="974A856E"/>
    <w:lvl w:ilvl="0" w:tplc="A99C61D2">
      <w:start w:val="1"/>
      <w:numFmt w:val="bullet"/>
      <w:pStyle w:val="BulletedText"/>
      <w:lvlText w:val=""/>
      <w:lvlJc w:val="left"/>
      <w:pPr>
        <w:ind w:left="717" w:hanging="360"/>
      </w:pPr>
      <w:rPr>
        <w:rFonts w:ascii="Symbol" w:hAnsi="Symbol" w:hint="default"/>
        <w:color w:val="auto"/>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12"/>
  </w:num>
  <w:num w:numId="2" w16cid:durableId="917793048">
    <w:abstractNumId w:val="3"/>
  </w:num>
  <w:num w:numId="3" w16cid:durableId="263461728">
    <w:abstractNumId w:val="0"/>
  </w:num>
  <w:num w:numId="4" w16cid:durableId="220360847">
    <w:abstractNumId w:val="8"/>
  </w:num>
  <w:num w:numId="5" w16cid:durableId="268196418">
    <w:abstractNumId w:val="1"/>
  </w:num>
  <w:num w:numId="6" w16cid:durableId="1048839230">
    <w:abstractNumId w:val="12"/>
  </w:num>
  <w:num w:numId="7" w16cid:durableId="1835298056">
    <w:abstractNumId w:val="7"/>
  </w:num>
  <w:num w:numId="8" w16cid:durableId="1730567302">
    <w:abstractNumId w:val="6"/>
  </w:num>
  <w:num w:numId="9" w16cid:durableId="1518423330">
    <w:abstractNumId w:val="11"/>
  </w:num>
  <w:num w:numId="10" w16cid:durableId="2010717657">
    <w:abstractNumId w:val="2"/>
  </w:num>
  <w:num w:numId="11" w16cid:durableId="1516114538">
    <w:abstractNumId w:val="9"/>
  </w:num>
  <w:num w:numId="12" w16cid:durableId="1954095471">
    <w:abstractNumId w:val="5"/>
  </w:num>
  <w:num w:numId="13" w16cid:durableId="1068385373">
    <w:abstractNumId w:val="10"/>
  </w:num>
  <w:num w:numId="14" w16cid:durableId="107427781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1F0"/>
    <w:rsid w:val="00001C50"/>
    <w:rsid w:val="00002208"/>
    <w:rsid w:val="000022B3"/>
    <w:rsid w:val="00002495"/>
    <w:rsid w:val="00002517"/>
    <w:rsid w:val="00002887"/>
    <w:rsid w:val="000028FA"/>
    <w:rsid w:val="00002BC5"/>
    <w:rsid w:val="00002F54"/>
    <w:rsid w:val="00003499"/>
    <w:rsid w:val="00003557"/>
    <w:rsid w:val="00003591"/>
    <w:rsid w:val="000035AE"/>
    <w:rsid w:val="00003840"/>
    <w:rsid w:val="0000384B"/>
    <w:rsid w:val="000039B7"/>
    <w:rsid w:val="00003AEE"/>
    <w:rsid w:val="00003BDA"/>
    <w:rsid w:val="000044E6"/>
    <w:rsid w:val="00004757"/>
    <w:rsid w:val="00004ADF"/>
    <w:rsid w:val="00004F78"/>
    <w:rsid w:val="000050EC"/>
    <w:rsid w:val="000056B9"/>
    <w:rsid w:val="00005A81"/>
    <w:rsid w:val="00005AD5"/>
    <w:rsid w:val="00005BBC"/>
    <w:rsid w:val="00005D39"/>
    <w:rsid w:val="0000639A"/>
    <w:rsid w:val="000063ED"/>
    <w:rsid w:val="000064CB"/>
    <w:rsid w:val="00006550"/>
    <w:rsid w:val="00006B87"/>
    <w:rsid w:val="00006DA3"/>
    <w:rsid w:val="000072B4"/>
    <w:rsid w:val="000079F7"/>
    <w:rsid w:val="00007C0D"/>
    <w:rsid w:val="00007F5E"/>
    <w:rsid w:val="0001025A"/>
    <w:rsid w:val="00010495"/>
    <w:rsid w:val="00010680"/>
    <w:rsid w:val="000106F5"/>
    <w:rsid w:val="0001082C"/>
    <w:rsid w:val="00010861"/>
    <w:rsid w:val="000111DB"/>
    <w:rsid w:val="0001127D"/>
    <w:rsid w:val="00011491"/>
    <w:rsid w:val="00012C2D"/>
    <w:rsid w:val="00013247"/>
    <w:rsid w:val="00013365"/>
    <w:rsid w:val="000138BB"/>
    <w:rsid w:val="00013E81"/>
    <w:rsid w:val="00014BCA"/>
    <w:rsid w:val="00015463"/>
    <w:rsid w:val="000154D1"/>
    <w:rsid w:val="00015764"/>
    <w:rsid w:val="00015886"/>
    <w:rsid w:val="000158B5"/>
    <w:rsid w:val="00015D60"/>
    <w:rsid w:val="000160C3"/>
    <w:rsid w:val="000162EF"/>
    <w:rsid w:val="00016A01"/>
    <w:rsid w:val="00016B04"/>
    <w:rsid w:val="00016C36"/>
    <w:rsid w:val="00016FC7"/>
    <w:rsid w:val="000170A3"/>
    <w:rsid w:val="000177D5"/>
    <w:rsid w:val="0001791C"/>
    <w:rsid w:val="000207C9"/>
    <w:rsid w:val="00020813"/>
    <w:rsid w:val="00020E0F"/>
    <w:rsid w:val="00020F4A"/>
    <w:rsid w:val="00021051"/>
    <w:rsid w:val="00021783"/>
    <w:rsid w:val="00021872"/>
    <w:rsid w:val="000219A7"/>
    <w:rsid w:val="00022240"/>
    <w:rsid w:val="00022241"/>
    <w:rsid w:val="0002225F"/>
    <w:rsid w:val="0002227F"/>
    <w:rsid w:val="00023025"/>
    <w:rsid w:val="00023763"/>
    <w:rsid w:val="00023B9F"/>
    <w:rsid w:val="00024262"/>
    <w:rsid w:val="0002433F"/>
    <w:rsid w:val="00024BC9"/>
    <w:rsid w:val="00024EB5"/>
    <w:rsid w:val="000252F1"/>
    <w:rsid w:val="0002568F"/>
    <w:rsid w:val="0002571A"/>
    <w:rsid w:val="00025962"/>
    <w:rsid w:val="00025A0B"/>
    <w:rsid w:val="00025E76"/>
    <w:rsid w:val="00025FEB"/>
    <w:rsid w:val="000262BA"/>
    <w:rsid w:val="000262F8"/>
    <w:rsid w:val="0002637A"/>
    <w:rsid w:val="00026529"/>
    <w:rsid w:val="00026A26"/>
    <w:rsid w:val="00027062"/>
    <w:rsid w:val="0002743F"/>
    <w:rsid w:val="000274B8"/>
    <w:rsid w:val="000277FD"/>
    <w:rsid w:val="00027920"/>
    <w:rsid w:val="000309AE"/>
    <w:rsid w:val="000309BB"/>
    <w:rsid w:val="00030B02"/>
    <w:rsid w:val="00030F70"/>
    <w:rsid w:val="000311C3"/>
    <w:rsid w:val="00031868"/>
    <w:rsid w:val="000318FA"/>
    <w:rsid w:val="00031A6B"/>
    <w:rsid w:val="00031AE6"/>
    <w:rsid w:val="000326B2"/>
    <w:rsid w:val="00032990"/>
    <w:rsid w:val="00032A10"/>
    <w:rsid w:val="00032F60"/>
    <w:rsid w:val="00033471"/>
    <w:rsid w:val="00033863"/>
    <w:rsid w:val="000339F6"/>
    <w:rsid w:val="00033C9E"/>
    <w:rsid w:val="00033D19"/>
    <w:rsid w:val="00034961"/>
    <w:rsid w:val="00034B4A"/>
    <w:rsid w:val="00035921"/>
    <w:rsid w:val="000359F8"/>
    <w:rsid w:val="00035BCD"/>
    <w:rsid w:val="00035DC0"/>
    <w:rsid w:val="00036448"/>
    <w:rsid w:val="0003671D"/>
    <w:rsid w:val="00036829"/>
    <w:rsid w:val="00036A76"/>
    <w:rsid w:val="00036B4F"/>
    <w:rsid w:val="0003711B"/>
    <w:rsid w:val="0003730C"/>
    <w:rsid w:val="00037374"/>
    <w:rsid w:val="00037551"/>
    <w:rsid w:val="00037670"/>
    <w:rsid w:val="000376DA"/>
    <w:rsid w:val="00037DF1"/>
    <w:rsid w:val="00037EE1"/>
    <w:rsid w:val="000400E1"/>
    <w:rsid w:val="00040187"/>
    <w:rsid w:val="00040895"/>
    <w:rsid w:val="00040FF1"/>
    <w:rsid w:val="000410A0"/>
    <w:rsid w:val="000410C2"/>
    <w:rsid w:val="00041BEC"/>
    <w:rsid w:val="00042151"/>
    <w:rsid w:val="0004222E"/>
    <w:rsid w:val="0004241F"/>
    <w:rsid w:val="00042445"/>
    <w:rsid w:val="00042800"/>
    <w:rsid w:val="000429E5"/>
    <w:rsid w:val="00042B96"/>
    <w:rsid w:val="00042BCB"/>
    <w:rsid w:val="00042C08"/>
    <w:rsid w:val="00042EAB"/>
    <w:rsid w:val="00042F0A"/>
    <w:rsid w:val="0004320B"/>
    <w:rsid w:val="00043240"/>
    <w:rsid w:val="000435EE"/>
    <w:rsid w:val="00043A13"/>
    <w:rsid w:val="00043A32"/>
    <w:rsid w:val="00043B04"/>
    <w:rsid w:val="00043C37"/>
    <w:rsid w:val="000440CE"/>
    <w:rsid w:val="000440F9"/>
    <w:rsid w:val="00044548"/>
    <w:rsid w:val="0004470F"/>
    <w:rsid w:val="000448C5"/>
    <w:rsid w:val="00044A3D"/>
    <w:rsid w:val="00044FE6"/>
    <w:rsid w:val="00045017"/>
    <w:rsid w:val="000455CB"/>
    <w:rsid w:val="00045A02"/>
    <w:rsid w:val="00045A2B"/>
    <w:rsid w:val="00045C32"/>
    <w:rsid w:val="0004621B"/>
    <w:rsid w:val="000465EB"/>
    <w:rsid w:val="00046646"/>
    <w:rsid w:val="0004686D"/>
    <w:rsid w:val="0004698F"/>
    <w:rsid w:val="00046AD6"/>
    <w:rsid w:val="00046D64"/>
    <w:rsid w:val="000473FC"/>
    <w:rsid w:val="00047669"/>
    <w:rsid w:val="00047B44"/>
    <w:rsid w:val="00047FEB"/>
    <w:rsid w:val="000500B9"/>
    <w:rsid w:val="000508C2"/>
    <w:rsid w:val="00051008"/>
    <w:rsid w:val="0005152C"/>
    <w:rsid w:val="00051AF3"/>
    <w:rsid w:val="0005235B"/>
    <w:rsid w:val="000526CD"/>
    <w:rsid w:val="00052C1C"/>
    <w:rsid w:val="00052D4C"/>
    <w:rsid w:val="000534FD"/>
    <w:rsid w:val="00053646"/>
    <w:rsid w:val="0005383D"/>
    <w:rsid w:val="000539C8"/>
    <w:rsid w:val="000539D0"/>
    <w:rsid w:val="00053AED"/>
    <w:rsid w:val="00053B38"/>
    <w:rsid w:val="00053C16"/>
    <w:rsid w:val="00054359"/>
    <w:rsid w:val="00054621"/>
    <w:rsid w:val="000546B2"/>
    <w:rsid w:val="000546D7"/>
    <w:rsid w:val="0005477A"/>
    <w:rsid w:val="0005495E"/>
    <w:rsid w:val="00054976"/>
    <w:rsid w:val="00054A8D"/>
    <w:rsid w:val="00054BD1"/>
    <w:rsid w:val="00054CB7"/>
    <w:rsid w:val="00054EF9"/>
    <w:rsid w:val="00054F4B"/>
    <w:rsid w:val="00054F87"/>
    <w:rsid w:val="00055063"/>
    <w:rsid w:val="000557E5"/>
    <w:rsid w:val="00055D86"/>
    <w:rsid w:val="00055D9F"/>
    <w:rsid w:val="00056380"/>
    <w:rsid w:val="00056511"/>
    <w:rsid w:val="00056815"/>
    <w:rsid w:val="0005684A"/>
    <w:rsid w:val="00056DDA"/>
    <w:rsid w:val="00056DFC"/>
    <w:rsid w:val="00056ECF"/>
    <w:rsid w:val="00057394"/>
    <w:rsid w:val="00057436"/>
    <w:rsid w:val="0005777E"/>
    <w:rsid w:val="0006009E"/>
    <w:rsid w:val="00060180"/>
    <w:rsid w:val="00060234"/>
    <w:rsid w:val="0006038D"/>
    <w:rsid w:val="000603EB"/>
    <w:rsid w:val="000604DF"/>
    <w:rsid w:val="0006054D"/>
    <w:rsid w:val="00060654"/>
    <w:rsid w:val="000607DC"/>
    <w:rsid w:val="0006097D"/>
    <w:rsid w:val="00060A31"/>
    <w:rsid w:val="00060A3A"/>
    <w:rsid w:val="00060EB5"/>
    <w:rsid w:val="00060FF8"/>
    <w:rsid w:val="00061212"/>
    <w:rsid w:val="000615C5"/>
    <w:rsid w:val="000616A4"/>
    <w:rsid w:val="000616BE"/>
    <w:rsid w:val="0006170E"/>
    <w:rsid w:val="00061811"/>
    <w:rsid w:val="00061BC2"/>
    <w:rsid w:val="00062004"/>
    <w:rsid w:val="00062027"/>
    <w:rsid w:val="00062086"/>
    <w:rsid w:val="0006225A"/>
    <w:rsid w:val="00062324"/>
    <w:rsid w:val="00062903"/>
    <w:rsid w:val="00062CC5"/>
    <w:rsid w:val="00062CDA"/>
    <w:rsid w:val="00062CE6"/>
    <w:rsid w:val="00062D33"/>
    <w:rsid w:val="00063139"/>
    <w:rsid w:val="0006337A"/>
    <w:rsid w:val="00063AF0"/>
    <w:rsid w:val="00063B03"/>
    <w:rsid w:val="00063C35"/>
    <w:rsid w:val="00063E8B"/>
    <w:rsid w:val="00063F2E"/>
    <w:rsid w:val="000641BF"/>
    <w:rsid w:val="000642B3"/>
    <w:rsid w:val="000644AC"/>
    <w:rsid w:val="000646A0"/>
    <w:rsid w:val="000647C8"/>
    <w:rsid w:val="00064A40"/>
    <w:rsid w:val="00064CAB"/>
    <w:rsid w:val="00064EA2"/>
    <w:rsid w:val="00064ECF"/>
    <w:rsid w:val="00064F1F"/>
    <w:rsid w:val="00065143"/>
    <w:rsid w:val="00065212"/>
    <w:rsid w:val="000653B5"/>
    <w:rsid w:val="00065AD2"/>
    <w:rsid w:val="00065BE6"/>
    <w:rsid w:val="00066221"/>
    <w:rsid w:val="00066360"/>
    <w:rsid w:val="00066752"/>
    <w:rsid w:val="00066A24"/>
    <w:rsid w:val="00066AF8"/>
    <w:rsid w:val="00066F2C"/>
    <w:rsid w:val="000679C2"/>
    <w:rsid w:val="00067AA2"/>
    <w:rsid w:val="000700CA"/>
    <w:rsid w:val="0007047E"/>
    <w:rsid w:val="00070945"/>
    <w:rsid w:val="00070A3D"/>
    <w:rsid w:val="00070E47"/>
    <w:rsid w:val="00071248"/>
    <w:rsid w:val="000713C8"/>
    <w:rsid w:val="00071666"/>
    <w:rsid w:val="00071892"/>
    <w:rsid w:val="00071903"/>
    <w:rsid w:val="00071BB3"/>
    <w:rsid w:val="00071F1E"/>
    <w:rsid w:val="00071F7A"/>
    <w:rsid w:val="0007200A"/>
    <w:rsid w:val="000720B9"/>
    <w:rsid w:val="00072185"/>
    <w:rsid w:val="000721BF"/>
    <w:rsid w:val="0007234B"/>
    <w:rsid w:val="00072615"/>
    <w:rsid w:val="00072AD6"/>
    <w:rsid w:val="00072FBB"/>
    <w:rsid w:val="000731CA"/>
    <w:rsid w:val="000731FC"/>
    <w:rsid w:val="000737F7"/>
    <w:rsid w:val="00073DA3"/>
    <w:rsid w:val="00074476"/>
    <w:rsid w:val="000746A5"/>
    <w:rsid w:val="000747BF"/>
    <w:rsid w:val="000747FC"/>
    <w:rsid w:val="00074A44"/>
    <w:rsid w:val="00074CD5"/>
    <w:rsid w:val="000753E5"/>
    <w:rsid w:val="00075A31"/>
    <w:rsid w:val="00075A54"/>
    <w:rsid w:val="00075A71"/>
    <w:rsid w:val="00075F08"/>
    <w:rsid w:val="0007616C"/>
    <w:rsid w:val="0007629D"/>
    <w:rsid w:val="0007638A"/>
    <w:rsid w:val="0007645D"/>
    <w:rsid w:val="0007661D"/>
    <w:rsid w:val="0007672F"/>
    <w:rsid w:val="000769D0"/>
    <w:rsid w:val="00076B54"/>
    <w:rsid w:val="00077243"/>
    <w:rsid w:val="000774F0"/>
    <w:rsid w:val="00077957"/>
    <w:rsid w:val="00077F92"/>
    <w:rsid w:val="00080028"/>
    <w:rsid w:val="000801A1"/>
    <w:rsid w:val="0008021F"/>
    <w:rsid w:val="00080343"/>
    <w:rsid w:val="00080479"/>
    <w:rsid w:val="0008079D"/>
    <w:rsid w:val="00080909"/>
    <w:rsid w:val="00080A17"/>
    <w:rsid w:val="00080ADF"/>
    <w:rsid w:val="00081092"/>
    <w:rsid w:val="000812CA"/>
    <w:rsid w:val="00081416"/>
    <w:rsid w:val="00081B5A"/>
    <w:rsid w:val="00081E63"/>
    <w:rsid w:val="000821C2"/>
    <w:rsid w:val="0008258D"/>
    <w:rsid w:val="0008271A"/>
    <w:rsid w:val="00082850"/>
    <w:rsid w:val="00082863"/>
    <w:rsid w:val="00082EA8"/>
    <w:rsid w:val="00082EFF"/>
    <w:rsid w:val="000830C4"/>
    <w:rsid w:val="00083199"/>
    <w:rsid w:val="000831CE"/>
    <w:rsid w:val="000831F0"/>
    <w:rsid w:val="0008354D"/>
    <w:rsid w:val="0008355E"/>
    <w:rsid w:val="00083760"/>
    <w:rsid w:val="00083DA2"/>
    <w:rsid w:val="00083E99"/>
    <w:rsid w:val="00084BD0"/>
    <w:rsid w:val="00084D87"/>
    <w:rsid w:val="00084FA8"/>
    <w:rsid w:val="000851F6"/>
    <w:rsid w:val="000852A8"/>
    <w:rsid w:val="000853EB"/>
    <w:rsid w:val="0008545D"/>
    <w:rsid w:val="000856C5"/>
    <w:rsid w:val="000859C4"/>
    <w:rsid w:val="00085C31"/>
    <w:rsid w:val="00085C4A"/>
    <w:rsid w:val="00085D01"/>
    <w:rsid w:val="000860BF"/>
    <w:rsid w:val="000862C4"/>
    <w:rsid w:val="000864CF"/>
    <w:rsid w:val="0008669E"/>
    <w:rsid w:val="000868D6"/>
    <w:rsid w:val="000869CE"/>
    <w:rsid w:val="00086D6D"/>
    <w:rsid w:val="0008769C"/>
    <w:rsid w:val="00087A45"/>
    <w:rsid w:val="00087DD4"/>
    <w:rsid w:val="000902D9"/>
    <w:rsid w:val="000906F6"/>
    <w:rsid w:val="00090982"/>
    <w:rsid w:val="00090987"/>
    <w:rsid w:val="00090C7E"/>
    <w:rsid w:val="000911AC"/>
    <w:rsid w:val="0009157E"/>
    <w:rsid w:val="00091816"/>
    <w:rsid w:val="00091988"/>
    <w:rsid w:val="000919E8"/>
    <w:rsid w:val="00091D67"/>
    <w:rsid w:val="00091F4D"/>
    <w:rsid w:val="000921AA"/>
    <w:rsid w:val="0009258A"/>
    <w:rsid w:val="00092600"/>
    <w:rsid w:val="0009262B"/>
    <w:rsid w:val="00093310"/>
    <w:rsid w:val="000938BE"/>
    <w:rsid w:val="00093D42"/>
    <w:rsid w:val="000942F1"/>
    <w:rsid w:val="0009445C"/>
    <w:rsid w:val="000944BB"/>
    <w:rsid w:val="000948BB"/>
    <w:rsid w:val="0009511D"/>
    <w:rsid w:val="00095200"/>
    <w:rsid w:val="00095530"/>
    <w:rsid w:val="00095989"/>
    <w:rsid w:val="00095ACF"/>
    <w:rsid w:val="00095FE5"/>
    <w:rsid w:val="00096284"/>
    <w:rsid w:val="0009630A"/>
    <w:rsid w:val="000967DA"/>
    <w:rsid w:val="00096966"/>
    <w:rsid w:val="00096BA8"/>
    <w:rsid w:val="00096E99"/>
    <w:rsid w:val="00097065"/>
    <w:rsid w:val="000971E0"/>
    <w:rsid w:val="0009785A"/>
    <w:rsid w:val="00097DAF"/>
    <w:rsid w:val="00097E8E"/>
    <w:rsid w:val="000A0DCF"/>
    <w:rsid w:val="000A0E4A"/>
    <w:rsid w:val="000A1BC0"/>
    <w:rsid w:val="000A1CA1"/>
    <w:rsid w:val="000A24DE"/>
    <w:rsid w:val="000A2F9E"/>
    <w:rsid w:val="000A316B"/>
    <w:rsid w:val="000A38D3"/>
    <w:rsid w:val="000A394D"/>
    <w:rsid w:val="000A3E26"/>
    <w:rsid w:val="000A3E47"/>
    <w:rsid w:val="000A3EB0"/>
    <w:rsid w:val="000A3F48"/>
    <w:rsid w:val="000A425C"/>
    <w:rsid w:val="000A4296"/>
    <w:rsid w:val="000A47FF"/>
    <w:rsid w:val="000A48F3"/>
    <w:rsid w:val="000A4D30"/>
    <w:rsid w:val="000A4F94"/>
    <w:rsid w:val="000A522B"/>
    <w:rsid w:val="000A52D4"/>
    <w:rsid w:val="000A5529"/>
    <w:rsid w:val="000A5A28"/>
    <w:rsid w:val="000A5FBD"/>
    <w:rsid w:val="000A6039"/>
    <w:rsid w:val="000A6576"/>
    <w:rsid w:val="000A6BF5"/>
    <w:rsid w:val="000A71A4"/>
    <w:rsid w:val="000A7453"/>
    <w:rsid w:val="000A7688"/>
    <w:rsid w:val="000A7A6A"/>
    <w:rsid w:val="000A7B52"/>
    <w:rsid w:val="000A7D08"/>
    <w:rsid w:val="000B0121"/>
    <w:rsid w:val="000B04A0"/>
    <w:rsid w:val="000B0670"/>
    <w:rsid w:val="000B068B"/>
    <w:rsid w:val="000B0BB9"/>
    <w:rsid w:val="000B0DC6"/>
    <w:rsid w:val="000B0E75"/>
    <w:rsid w:val="000B1389"/>
    <w:rsid w:val="000B17DD"/>
    <w:rsid w:val="000B1840"/>
    <w:rsid w:val="000B1DDC"/>
    <w:rsid w:val="000B1F70"/>
    <w:rsid w:val="000B216F"/>
    <w:rsid w:val="000B2345"/>
    <w:rsid w:val="000B253F"/>
    <w:rsid w:val="000B26CF"/>
    <w:rsid w:val="000B2DCB"/>
    <w:rsid w:val="000B3858"/>
    <w:rsid w:val="000B4431"/>
    <w:rsid w:val="000B45C0"/>
    <w:rsid w:val="000B4CCB"/>
    <w:rsid w:val="000B56EB"/>
    <w:rsid w:val="000B59AC"/>
    <w:rsid w:val="000B5CE0"/>
    <w:rsid w:val="000B60F4"/>
    <w:rsid w:val="000B6151"/>
    <w:rsid w:val="000B619A"/>
    <w:rsid w:val="000B66BF"/>
    <w:rsid w:val="000B6CAC"/>
    <w:rsid w:val="000B6D48"/>
    <w:rsid w:val="000B6DC2"/>
    <w:rsid w:val="000B6EAD"/>
    <w:rsid w:val="000B73E9"/>
    <w:rsid w:val="000B7612"/>
    <w:rsid w:val="000B78AE"/>
    <w:rsid w:val="000B7D35"/>
    <w:rsid w:val="000B7F60"/>
    <w:rsid w:val="000C02D1"/>
    <w:rsid w:val="000C03E0"/>
    <w:rsid w:val="000C0A33"/>
    <w:rsid w:val="000C0ABE"/>
    <w:rsid w:val="000C1140"/>
    <w:rsid w:val="000C13D5"/>
    <w:rsid w:val="000C1871"/>
    <w:rsid w:val="000C1C33"/>
    <w:rsid w:val="000C1F75"/>
    <w:rsid w:val="000C1F82"/>
    <w:rsid w:val="000C2666"/>
    <w:rsid w:val="000C2B29"/>
    <w:rsid w:val="000C2DAF"/>
    <w:rsid w:val="000C2EF3"/>
    <w:rsid w:val="000C306C"/>
    <w:rsid w:val="000C33A1"/>
    <w:rsid w:val="000C34AD"/>
    <w:rsid w:val="000C36D4"/>
    <w:rsid w:val="000C3A6C"/>
    <w:rsid w:val="000C3AA6"/>
    <w:rsid w:val="000C3CB7"/>
    <w:rsid w:val="000C3D3D"/>
    <w:rsid w:val="000C3DF9"/>
    <w:rsid w:val="000C3EA8"/>
    <w:rsid w:val="000C45F6"/>
    <w:rsid w:val="000C4675"/>
    <w:rsid w:val="000C4CF2"/>
    <w:rsid w:val="000C55CE"/>
    <w:rsid w:val="000C5A54"/>
    <w:rsid w:val="000C5BBE"/>
    <w:rsid w:val="000C61B2"/>
    <w:rsid w:val="000C6713"/>
    <w:rsid w:val="000C6842"/>
    <w:rsid w:val="000C68BD"/>
    <w:rsid w:val="000C6C03"/>
    <w:rsid w:val="000C742F"/>
    <w:rsid w:val="000C75B2"/>
    <w:rsid w:val="000C7BF8"/>
    <w:rsid w:val="000C7C6D"/>
    <w:rsid w:val="000C7D72"/>
    <w:rsid w:val="000D030F"/>
    <w:rsid w:val="000D040F"/>
    <w:rsid w:val="000D0B23"/>
    <w:rsid w:val="000D0B8C"/>
    <w:rsid w:val="000D1152"/>
    <w:rsid w:val="000D18DA"/>
    <w:rsid w:val="000D18FB"/>
    <w:rsid w:val="000D1BFC"/>
    <w:rsid w:val="000D1CB7"/>
    <w:rsid w:val="000D1D5D"/>
    <w:rsid w:val="000D2047"/>
    <w:rsid w:val="000D224D"/>
    <w:rsid w:val="000D2583"/>
    <w:rsid w:val="000D281A"/>
    <w:rsid w:val="000D2848"/>
    <w:rsid w:val="000D30A1"/>
    <w:rsid w:val="000D326A"/>
    <w:rsid w:val="000D374C"/>
    <w:rsid w:val="000D38D5"/>
    <w:rsid w:val="000D3BC1"/>
    <w:rsid w:val="000D3C8D"/>
    <w:rsid w:val="000D455A"/>
    <w:rsid w:val="000D47C0"/>
    <w:rsid w:val="000D484D"/>
    <w:rsid w:val="000D4A9D"/>
    <w:rsid w:val="000D4DF2"/>
    <w:rsid w:val="000D4E65"/>
    <w:rsid w:val="000D5116"/>
    <w:rsid w:val="000D51FB"/>
    <w:rsid w:val="000D5215"/>
    <w:rsid w:val="000D57BD"/>
    <w:rsid w:val="000D5B15"/>
    <w:rsid w:val="000D5C24"/>
    <w:rsid w:val="000D6122"/>
    <w:rsid w:val="000D61DA"/>
    <w:rsid w:val="000D62EE"/>
    <w:rsid w:val="000D6550"/>
    <w:rsid w:val="000D6E4D"/>
    <w:rsid w:val="000D6E85"/>
    <w:rsid w:val="000D6F5B"/>
    <w:rsid w:val="000D7F7D"/>
    <w:rsid w:val="000D7FD0"/>
    <w:rsid w:val="000E02B9"/>
    <w:rsid w:val="000E04D4"/>
    <w:rsid w:val="000E0640"/>
    <w:rsid w:val="000E08DF"/>
    <w:rsid w:val="000E0C4A"/>
    <w:rsid w:val="000E135D"/>
    <w:rsid w:val="000E1D24"/>
    <w:rsid w:val="000E2102"/>
    <w:rsid w:val="000E26BC"/>
    <w:rsid w:val="000E289C"/>
    <w:rsid w:val="000E28BC"/>
    <w:rsid w:val="000E2A81"/>
    <w:rsid w:val="000E2B98"/>
    <w:rsid w:val="000E2DA9"/>
    <w:rsid w:val="000E2DAF"/>
    <w:rsid w:val="000E2FEE"/>
    <w:rsid w:val="000E42B3"/>
    <w:rsid w:val="000E44C2"/>
    <w:rsid w:val="000E4730"/>
    <w:rsid w:val="000E487E"/>
    <w:rsid w:val="000E49D6"/>
    <w:rsid w:val="000E5249"/>
    <w:rsid w:val="000E5A87"/>
    <w:rsid w:val="000E5FE2"/>
    <w:rsid w:val="000E6027"/>
    <w:rsid w:val="000E60FE"/>
    <w:rsid w:val="000E64AE"/>
    <w:rsid w:val="000E664D"/>
    <w:rsid w:val="000E66F3"/>
    <w:rsid w:val="000E6DAD"/>
    <w:rsid w:val="000E6E96"/>
    <w:rsid w:val="000E6F4C"/>
    <w:rsid w:val="000E70CA"/>
    <w:rsid w:val="000E714B"/>
    <w:rsid w:val="000E7320"/>
    <w:rsid w:val="000E7391"/>
    <w:rsid w:val="000E73F0"/>
    <w:rsid w:val="000E748D"/>
    <w:rsid w:val="000E7700"/>
    <w:rsid w:val="000E794E"/>
    <w:rsid w:val="000E7B82"/>
    <w:rsid w:val="000E7D2D"/>
    <w:rsid w:val="000E7DDD"/>
    <w:rsid w:val="000F00BA"/>
    <w:rsid w:val="000F0380"/>
    <w:rsid w:val="000F068D"/>
    <w:rsid w:val="000F0819"/>
    <w:rsid w:val="000F0989"/>
    <w:rsid w:val="000F0AC6"/>
    <w:rsid w:val="000F14F9"/>
    <w:rsid w:val="000F14FF"/>
    <w:rsid w:val="000F15EE"/>
    <w:rsid w:val="000F1861"/>
    <w:rsid w:val="000F1EE9"/>
    <w:rsid w:val="000F20BB"/>
    <w:rsid w:val="000F25AE"/>
    <w:rsid w:val="000F29D3"/>
    <w:rsid w:val="000F2B82"/>
    <w:rsid w:val="000F316A"/>
    <w:rsid w:val="000F321B"/>
    <w:rsid w:val="000F3581"/>
    <w:rsid w:val="000F35FC"/>
    <w:rsid w:val="000F3C74"/>
    <w:rsid w:val="000F43D8"/>
    <w:rsid w:val="000F4BB8"/>
    <w:rsid w:val="000F4FA9"/>
    <w:rsid w:val="000F523C"/>
    <w:rsid w:val="000F53FB"/>
    <w:rsid w:val="000F56B4"/>
    <w:rsid w:val="000F6420"/>
    <w:rsid w:val="000F662F"/>
    <w:rsid w:val="000F7127"/>
    <w:rsid w:val="000F7B54"/>
    <w:rsid w:val="000F7EA4"/>
    <w:rsid w:val="000F7F34"/>
    <w:rsid w:val="001000B3"/>
    <w:rsid w:val="00100397"/>
    <w:rsid w:val="0010058C"/>
    <w:rsid w:val="0010090F"/>
    <w:rsid w:val="00100F8A"/>
    <w:rsid w:val="001017CC"/>
    <w:rsid w:val="00101917"/>
    <w:rsid w:val="00101D55"/>
    <w:rsid w:val="00101F16"/>
    <w:rsid w:val="0010266A"/>
    <w:rsid w:val="00103298"/>
    <w:rsid w:val="00103968"/>
    <w:rsid w:val="00103F13"/>
    <w:rsid w:val="0010452E"/>
    <w:rsid w:val="00104589"/>
    <w:rsid w:val="001045F1"/>
    <w:rsid w:val="00104D27"/>
    <w:rsid w:val="00104D8C"/>
    <w:rsid w:val="00105063"/>
    <w:rsid w:val="0010562D"/>
    <w:rsid w:val="00105636"/>
    <w:rsid w:val="00105708"/>
    <w:rsid w:val="0010579A"/>
    <w:rsid w:val="00105AE2"/>
    <w:rsid w:val="001060C6"/>
    <w:rsid w:val="001066AF"/>
    <w:rsid w:val="001069E7"/>
    <w:rsid w:val="00106A3F"/>
    <w:rsid w:val="00106AE4"/>
    <w:rsid w:val="00106B80"/>
    <w:rsid w:val="00106BA4"/>
    <w:rsid w:val="00106F9E"/>
    <w:rsid w:val="00110216"/>
    <w:rsid w:val="001102D9"/>
    <w:rsid w:val="0011032E"/>
    <w:rsid w:val="00110DE4"/>
    <w:rsid w:val="00111123"/>
    <w:rsid w:val="0011153A"/>
    <w:rsid w:val="00111C07"/>
    <w:rsid w:val="0011209D"/>
    <w:rsid w:val="001124D7"/>
    <w:rsid w:val="0011251A"/>
    <w:rsid w:val="00112842"/>
    <w:rsid w:val="00112D13"/>
    <w:rsid w:val="00112E36"/>
    <w:rsid w:val="001132DE"/>
    <w:rsid w:val="00113383"/>
    <w:rsid w:val="0011348B"/>
    <w:rsid w:val="001139DD"/>
    <w:rsid w:val="00113C63"/>
    <w:rsid w:val="001142F4"/>
    <w:rsid w:val="00114B00"/>
    <w:rsid w:val="00114F5E"/>
    <w:rsid w:val="00114FB9"/>
    <w:rsid w:val="00115122"/>
    <w:rsid w:val="001153EB"/>
    <w:rsid w:val="00115982"/>
    <w:rsid w:val="0011622A"/>
    <w:rsid w:val="001165EF"/>
    <w:rsid w:val="00116921"/>
    <w:rsid w:val="001169ED"/>
    <w:rsid w:val="00116A42"/>
    <w:rsid w:val="00116C53"/>
    <w:rsid w:val="00116E4A"/>
    <w:rsid w:val="00116F5B"/>
    <w:rsid w:val="001178FD"/>
    <w:rsid w:val="001201D6"/>
    <w:rsid w:val="00120420"/>
    <w:rsid w:val="00120980"/>
    <w:rsid w:val="00121360"/>
    <w:rsid w:val="00121799"/>
    <w:rsid w:val="001217C0"/>
    <w:rsid w:val="001219ED"/>
    <w:rsid w:val="00121D89"/>
    <w:rsid w:val="00121EF9"/>
    <w:rsid w:val="00121FDE"/>
    <w:rsid w:val="001222FC"/>
    <w:rsid w:val="00122303"/>
    <w:rsid w:val="001223AC"/>
    <w:rsid w:val="001224CD"/>
    <w:rsid w:val="00122A69"/>
    <w:rsid w:val="00122ED7"/>
    <w:rsid w:val="00123119"/>
    <w:rsid w:val="0012324F"/>
    <w:rsid w:val="00123902"/>
    <w:rsid w:val="00123FA7"/>
    <w:rsid w:val="00124A29"/>
    <w:rsid w:val="00124A51"/>
    <w:rsid w:val="00124C1A"/>
    <w:rsid w:val="0012502C"/>
    <w:rsid w:val="0012596D"/>
    <w:rsid w:val="00125B0A"/>
    <w:rsid w:val="00125B47"/>
    <w:rsid w:val="00125C86"/>
    <w:rsid w:val="00126621"/>
    <w:rsid w:val="001267C8"/>
    <w:rsid w:val="00126810"/>
    <w:rsid w:val="00126858"/>
    <w:rsid w:val="00126AEE"/>
    <w:rsid w:val="00126B1D"/>
    <w:rsid w:val="00126F7A"/>
    <w:rsid w:val="00127238"/>
    <w:rsid w:val="00127758"/>
    <w:rsid w:val="00127A1D"/>
    <w:rsid w:val="00127BCB"/>
    <w:rsid w:val="00127C92"/>
    <w:rsid w:val="00127EDE"/>
    <w:rsid w:val="001300EF"/>
    <w:rsid w:val="001301E9"/>
    <w:rsid w:val="00130602"/>
    <w:rsid w:val="00130684"/>
    <w:rsid w:val="00130825"/>
    <w:rsid w:val="00130E53"/>
    <w:rsid w:val="00131037"/>
    <w:rsid w:val="00131D82"/>
    <w:rsid w:val="00131F28"/>
    <w:rsid w:val="00131FB3"/>
    <w:rsid w:val="00131FBB"/>
    <w:rsid w:val="001322C8"/>
    <w:rsid w:val="0013284D"/>
    <w:rsid w:val="00132A35"/>
    <w:rsid w:val="00132B1C"/>
    <w:rsid w:val="00132B22"/>
    <w:rsid w:val="001335F8"/>
    <w:rsid w:val="00133807"/>
    <w:rsid w:val="00133D1A"/>
    <w:rsid w:val="00133D36"/>
    <w:rsid w:val="00133F06"/>
    <w:rsid w:val="00134682"/>
    <w:rsid w:val="0013482F"/>
    <w:rsid w:val="00134A61"/>
    <w:rsid w:val="00134C4B"/>
    <w:rsid w:val="00134E1F"/>
    <w:rsid w:val="0013596F"/>
    <w:rsid w:val="00136141"/>
    <w:rsid w:val="0013632F"/>
    <w:rsid w:val="0013655F"/>
    <w:rsid w:val="00136B24"/>
    <w:rsid w:val="00136C2F"/>
    <w:rsid w:val="00136DCB"/>
    <w:rsid w:val="00136E01"/>
    <w:rsid w:val="00137645"/>
    <w:rsid w:val="001376B8"/>
    <w:rsid w:val="00137783"/>
    <w:rsid w:val="0013787A"/>
    <w:rsid w:val="00137EE6"/>
    <w:rsid w:val="00137FCE"/>
    <w:rsid w:val="0014015A"/>
    <w:rsid w:val="0014023C"/>
    <w:rsid w:val="001406A3"/>
    <w:rsid w:val="0014071C"/>
    <w:rsid w:val="00140AFB"/>
    <w:rsid w:val="00140B5A"/>
    <w:rsid w:val="00140E99"/>
    <w:rsid w:val="001412CC"/>
    <w:rsid w:val="001414D9"/>
    <w:rsid w:val="001418C5"/>
    <w:rsid w:val="00141BF2"/>
    <w:rsid w:val="00141DD0"/>
    <w:rsid w:val="001421AF"/>
    <w:rsid w:val="00142284"/>
    <w:rsid w:val="00142AC9"/>
    <w:rsid w:val="00142E89"/>
    <w:rsid w:val="001431D4"/>
    <w:rsid w:val="001433BE"/>
    <w:rsid w:val="00143B7C"/>
    <w:rsid w:val="00143F37"/>
    <w:rsid w:val="00143F67"/>
    <w:rsid w:val="0014402E"/>
    <w:rsid w:val="00144030"/>
    <w:rsid w:val="001441D0"/>
    <w:rsid w:val="0014429F"/>
    <w:rsid w:val="001446DE"/>
    <w:rsid w:val="00144FDE"/>
    <w:rsid w:val="001451E1"/>
    <w:rsid w:val="00145234"/>
    <w:rsid w:val="00145516"/>
    <w:rsid w:val="00145540"/>
    <w:rsid w:val="00145640"/>
    <w:rsid w:val="001456B0"/>
    <w:rsid w:val="00145738"/>
    <w:rsid w:val="00145798"/>
    <w:rsid w:val="0014598C"/>
    <w:rsid w:val="00145AA3"/>
    <w:rsid w:val="00145EE9"/>
    <w:rsid w:val="00145EFA"/>
    <w:rsid w:val="0014606C"/>
    <w:rsid w:val="00146CE4"/>
    <w:rsid w:val="00146CF3"/>
    <w:rsid w:val="0014717F"/>
    <w:rsid w:val="00147350"/>
    <w:rsid w:val="0014789F"/>
    <w:rsid w:val="001479B1"/>
    <w:rsid w:val="001479F3"/>
    <w:rsid w:val="00147A09"/>
    <w:rsid w:val="00151299"/>
    <w:rsid w:val="00151403"/>
    <w:rsid w:val="00151405"/>
    <w:rsid w:val="001517E6"/>
    <w:rsid w:val="00151880"/>
    <w:rsid w:val="001519C9"/>
    <w:rsid w:val="00151C05"/>
    <w:rsid w:val="00151DE1"/>
    <w:rsid w:val="00151E3E"/>
    <w:rsid w:val="00151FF7"/>
    <w:rsid w:val="0015202D"/>
    <w:rsid w:val="00152138"/>
    <w:rsid w:val="00152154"/>
    <w:rsid w:val="001523D4"/>
    <w:rsid w:val="00152494"/>
    <w:rsid w:val="00152716"/>
    <w:rsid w:val="00152CF7"/>
    <w:rsid w:val="0015314B"/>
    <w:rsid w:val="001536AC"/>
    <w:rsid w:val="001540FF"/>
    <w:rsid w:val="001547AB"/>
    <w:rsid w:val="00154A36"/>
    <w:rsid w:val="00154A87"/>
    <w:rsid w:val="00154D32"/>
    <w:rsid w:val="00154FEB"/>
    <w:rsid w:val="00155517"/>
    <w:rsid w:val="00155AC2"/>
    <w:rsid w:val="00155F00"/>
    <w:rsid w:val="0015690E"/>
    <w:rsid w:val="0015698B"/>
    <w:rsid w:val="00156B03"/>
    <w:rsid w:val="00156F8F"/>
    <w:rsid w:val="00156FEC"/>
    <w:rsid w:val="00157130"/>
    <w:rsid w:val="001576B1"/>
    <w:rsid w:val="0015791A"/>
    <w:rsid w:val="001579FA"/>
    <w:rsid w:val="00157AEE"/>
    <w:rsid w:val="00157B3E"/>
    <w:rsid w:val="00157B78"/>
    <w:rsid w:val="00157B7C"/>
    <w:rsid w:val="0016047B"/>
    <w:rsid w:val="00160867"/>
    <w:rsid w:val="001608EE"/>
    <w:rsid w:val="00160A4C"/>
    <w:rsid w:val="00160ADA"/>
    <w:rsid w:val="00160D3F"/>
    <w:rsid w:val="001615E6"/>
    <w:rsid w:val="00161AE2"/>
    <w:rsid w:val="00161E19"/>
    <w:rsid w:val="001625DF"/>
    <w:rsid w:val="00162913"/>
    <w:rsid w:val="001630F8"/>
    <w:rsid w:val="0016375F"/>
    <w:rsid w:val="00163D3E"/>
    <w:rsid w:val="00163EFF"/>
    <w:rsid w:val="00163F66"/>
    <w:rsid w:val="001645F7"/>
    <w:rsid w:val="001645F8"/>
    <w:rsid w:val="001646DE"/>
    <w:rsid w:val="0016478E"/>
    <w:rsid w:val="00164F1E"/>
    <w:rsid w:val="0016584E"/>
    <w:rsid w:val="00165903"/>
    <w:rsid w:val="00165EC4"/>
    <w:rsid w:val="00165F31"/>
    <w:rsid w:val="00166129"/>
    <w:rsid w:val="001661FB"/>
    <w:rsid w:val="00166224"/>
    <w:rsid w:val="001669FA"/>
    <w:rsid w:val="00166C40"/>
    <w:rsid w:val="00166F40"/>
    <w:rsid w:val="001671A0"/>
    <w:rsid w:val="0016767F"/>
    <w:rsid w:val="001679F0"/>
    <w:rsid w:val="00167FDE"/>
    <w:rsid w:val="001701DC"/>
    <w:rsid w:val="0017020F"/>
    <w:rsid w:val="001704E7"/>
    <w:rsid w:val="00170A1C"/>
    <w:rsid w:val="00170B71"/>
    <w:rsid w:val="00171B04"/>
    <w:rsid w:val="00171D17"/>
    <w:rsid w:val="00171D9E"/>
    <w:rsid w:val="001732F1"/>
    <w:rsid w:val="00173565"/>
    <w:rsid w:val="00173A26"/>
    <w:rsid w:val="00173B07"/>
    <w:rsid w:val="001747C1"/>
    <w:rsid w:val="00174D12"/>
    <w:rsid w:val="00174D98"/>
    <w:rsid w:val="00174FC2"/>
    <w:rsid w:val="001751F3"/>
    <w:rsid w:val="001751FA"/>
    <w:rsid w:val="001753C7"/>
    <w:rsid w:val="00175594"/>
    <w:rsid w:val="0017578D"/>
    <w:rsid w:val="00176731"/>
    <w:rsid w:val="00176F74"/>
    <w:rsid w:val="00177077"/>
    <w:rsid w:val="00177AD4"/>
    <w:rsid w:val="00177F8C"/>
    <w:rsid w:val="001807F8"/>
    <w:rsid w:val="00180A26"/>
    <w:rsid w:val="001815B0"/>
    <w:rsid w:val="00181781"/>
    <w:rsid w:val="001817B5"/>
    <w:rsid w:val="00181C10"/>
    <w:rsid w:val="00181D9C"/>
    <w:rsid w:val="001821F2"/>
    <w:rsid w:val="0018259A"/>
    <w:rsid w:val="0018311A"/>
    <w:rsid w:val="0018371C"/>
    <w:rsid w:val="001837FF"/>
    <w:rsid w:val="00183DD0"/>
    <w:rsid w:val="00183FBB"/>
    <w:rsid w:val="00184312"/>
    <w:rsid w:val="00184B0E"/>
    <w:rsid w:val="00184B62"/>
    <w:rsid w:val="00184F3A"/>
    <w:rsid w:val="0018536D"/>
    <w:rsid w:val="0018536E"/>
    <w:rsid w:val="001854A5"/>
    <w:rsid w:val="001856C5"/>
    <w:rsid w:val="00185F96"/>
    <w:rsid w:val="001860DA"/>
    <w:rsid w:val="001863F5"/>
    <w:rsid w:val="0018655A"/>
    <w:rsid w:val="001867C2"/>
    <w:rsid w:val="001869B9"/>
    <w:rsid w:val="00186B89"/>
    <w:rsid w:val="00186D37"/>
    <w:rsid w:val="00186D9D"/>
    <w:rsid w:val="00186DD5"/>
    <w:rsid w:val="0018752F"/>
    <w:rsid w:val="00187E18"/>
    <w:rsid w:val="00187EDD"/>
    <w:rsid w:val="00190436"/>
    <w:rsid w:val="00190B19"/>
    <w:rsid w:val="00190CE6"/>
    <w:rsid w:val="00190D8B"/>
    <w:rsid w:val="0019178E"/>
    <w:rsid w:val="001917FA"/>
    <w:rsid w:val="001919FE"/>
    <w:rsid w:val="00191AA6"/>
    <w:rsid w:val="00191D39"/>
    <w:rsid w:val="00191E8B"/>
    <w:rsid w:val="00191F90"/>
    <w:rsid w:val="00192198"/>
    <w:rsid w:val="001931D8"/>
    <w:rsid w:val="00193838"/>
    <w:rsid w:val="001938B4"/>
    <w:rsid w:val="00193922"/>
    <w:rsid w:val="0019405E"/>
    <w:rsid w:val="001945D4"/>
    <w:rsid w:val="00194907"/>
    <w:rsid w:val="00194AD8"/>
    <w:rsid w:val="00194B4D"/>
    <w:rsid w:val="00195222"/>
    <w:rsid w:val="00195249"/>
    <w:rsid w:val="00195452"/>
    <w:rsid w:val="00195958"/>
    <w:rsid w:val="0019628F"/>
    <w:rsid w:val="001966C2"/>
    <w:rsid w:val="00196CE8"/>
    <w:rsid w:val="00196DE8"/>
    <w:rsid w:val="00196EBC"/>
    <w:rsid w:val="001975D8"/>
    <w:rsid w:val="001976CC"/>
    <w:rsid w:val="001978A6"/>
    <w:rsid w:val="00197C36"/>
    <w:rsid w:val="00197C96"/>
    <w:rsid w:val="001A04E4"/>
    <w:rsid w:val="001A0903"/>
    <w:rsid w:val="001A0B9D"/>
    <w:rsid w:val="001A0BD8"/>
    <w:rsid w:val="001A0D73"/>
    <w:rsid w:val="001A0D9D"/>
    <w:rsid w:val="001A104D"/>
    <w:rsid w:val="001A11B5"/>
    <w:rsid w:val="001A139F"/>
    <w:rsid w:val="001A178E"/>
    <w:rsid w:val="001A1880"/>
    <w:rsid w:val="001A196D"/>
    <w:rsid w:val="001A1D69"/>
    <w:rsid w:val="001A21B4"/>
    <w:rsid w:val="001A267A"/>
    <w:rsid w:val="001A2B89"/>
    <w:rsid w:val="001A2F82"/>
    <w:rsid w:val="001A3101"/>
    <w:rsid w:val="001A3654"/>
    <w:rsid w:val="001A39CA"/>
    <w:rsid w:val="001A3CCB"/>
    <w:rsid w:val="001A4349"/>
    <w:rsid w:val="001A43FA"/>
    <w:rsid w:val="001A47C5"/>
    <w:rsid w:val="001A4A4D"/>
    <w:rsid w:val="001A4C2B"/>
    <w:rsid w:val="001A59FB"/>
    <w:rsid w:val="001A5E9E"/>
    <w:rsid w:val="001A6354"/>
    <w:rsid w:val="001A6366"/>
    <w:rsid w:val="001A65C5"/>
    <w:rsid w:val="001A67A2"/>
    <w:rsid w:val="001A742D"/>
    <w:rsid w:val="001A769E"/>
    <w:rsid w:val="001A7869"/>
    <w:rsid w:val="001A7AE8"/>
    <w:rsid w:val="001B0379"/>
    <w:rsid w:val="001B0BCB"/>
    <w:rsid w:val="001B10FF"/>
    <w:rsid w:val="001B1243"/>
    <w:rsid w:val="001B1491"/>
    <w:rsid w:val="001B16D5"/>
    <w:rsid w:val="001B1A92"/>
    <w:rsid w:val="001B1C3A"/>
    <w:rsid w:val="001B1F1E"/>
    <w:rsid w:val="001B204E"/>
    <w:rsid w:val="001B20B3"/>
    <w:rsid w:val="001B2372"/>
    <w:rsid w:val="001B282B"/>
    <w:rsid w:val="001B2864"/>
    <w:rsid w:val="001B31E2"/>
    <w:rsid w:val="001B3443"/>
    <w:rsid w:val="001B3743"/>
    <w:rsid w:val="001B38EE"/>
    <w:rsid w:val="001B3C80"/>
    <w:rsid w:val="001B40BD"/>
    <w:rsid w:val="001B45EF"/>
    <w:rsid w:val="001B472D"/>
    <w:rsid w:val="001B4D20"/>
    <w:rsid w:val="001B513D"/>
    <w:rsid w:val="001B5374"/>
    <w:rsid w:val="001B5B7B"/>
    <w:rsid w:val="001B5F3A"/>
    <w:rsid w:val="001B6003"/>
    <w:rsid w:val="001B62C5"/>
    <w:rsid w:val="001B64FA"/>
    <w:rsid w:val="001B6583"/>
    <w:rsid w:val="001B7401"/>
    <w:rsid w:val="001B7534"/>
    <w:rsid w:val="001B770A"/>
    <w:rsid w:val="001B7EC4"/>
    <w:rsid w:val="001B7F84"/>
    <w:rsid w:val="001C0059"/>
    <w:rsid w:val="001C0092"/>
    <w:rsid w:val="001C010A"/>
    <w:rsid w:val="001C03B7"/>
    <w:rsid w:val="001C0916"/>
    <w:rsid w:val="001C1520"/>
    <w:rsid w:val="001C1B11"/>
    <w:rsid w:val="001C1FAA"/>
    <w:rsid w:val="001C1FD4"/>
    <w:rsid w:val="001C211A"/>
    <w:rsid w:val="001C227B"/>
    <w:rsid w:val="001C232F"/>
    <w:rsid w:val="001C2A32"/>
    <w:rsid w:val="001C2A9B"/>
    <w:rsid w:val="001C2F2E"/>
    <w:rsid w:val="001C33C1"/>
    <w:rsid w:val="001C375C"/>
    <w:rsid w:val="001C3DD6"/>
    <w:rsid w:val="001C40C8"/>
    <w:rsid w:val="001C4299"/>
    <w:rsid w:val="001C4499"/>
    <w:rsid w:val="001C44AD"/>
    <w:rsid w:val="001C4586"/>
    <w:rsid w:val="001C47F4"/>
    <w:rsid w:val="001C4874"/>
    <w:rsid w:val="001C4A91"/>
    <w:rsid w:val="001C4CA5"/>
    <w:rsid w:val="001C4E7B"/>
    <w:rsid w:val="001C5171"/>
    <w:rsid w:val="001C5F94"/>
    <w:rsid w:val="001C64FC"/>
    <w:rsid w:val="001C69D7"/>
    <w:rsid w:val="001C69E0"/>
    <w:rsid w:val="001C6E66"/>
    <w:rsid w:val="001C7424"/>
    <w:rsid w:val="001C78FC"/>
    <w:rsid w:val="001C7C65"/>
    <w:rsid w:val="001D02C6"/>
    <w:rsid w:val="001D0345"/>
    <w:rsid w:val="001D0768"/>
    <w:rsid w:val="001D07B0"/>
    <w:rsid w:val="001D0CDA"/>
    <w:rsid w:val="001D1100"/>
    <w:rsid w:val="001D1222"/>
    <w:rsid w:val="001D1391"/>
    <w:rsid w:val="001D1612"/>
    <w:rsid w:val="001D1829"/>
    <w:rsid w:val="001D1DD9"/>
    <w:rsid w:val="001D20BA"/>
    <w:rsid w:val="001D24FB"/>
    <w:rsid w:val="001D25D7"/>
    <w:rsid w:val="001D2CCF"/>
    <w:rsid w:val="001D32BA"/>
    <w:rsid w:val="001D33FC"/>
    <w:rsid w:val="001D37DB"/>
    <w:rsid w:val="001D385F"/>
    <w:rsid w:val="001D3EFC"/>
    <w:rsid w:val="001D4114"/>
    <w:rsid w:val="001D41D4"/>
    <w:rsid w:val="001D4295"/>
    <w:rsid w:val="001D45BA"/>
    <w:rsid w:val="001D472C"/>
    <w:rsid w:val="001D4B76"/>
    <w:rsid w:val="001D4C12"/>
    <w:rsid w:val="001D4EB6"/>
    <w:rsid w:val="001D50A5"/>
    <w:rsid w:val="001D50B2"/>
    <w:rsid w:val="001D5530"/>
    <w:rsid w:val="001D5901"/>
    <w:rsid w:val="001D5963"/>
    <w:rsid w:val="001D5C2A"/>
    <w:rsid w:val="001D6A24"/>
    <w:rsid w:val="001D71F4"/>
    <w:rsid w:val="001D71F9"/>
    <w:rsid w:val="001D7645"/>
    <w:rsid w:val="001D7C57"/>
    <w:rsid w:val="001D7E1C"/>
    <w:rsid w:val="001E0649"/>
    <w:rsid w:val="001E09AD"/>
    <w:rsid w:val="001E0CC9"/>
    <w:rsid w:val="001E0D66"/>
    <w:rsid w:val="001E10E0"/>
    <w:rsid w:val="001E138F"/>
    <w:rsid w:val="001E143C"/>
    <w:rsid w:val="001E1E86"/>
    <w:rsid w:val="001E2082"/>
    <w:rsid w:val="001E238E"/>
    <w:rsid w:val="001E2483"/>
    <w:rsid w:val="001E26D6"/>
    <w:rsid w:val="001E27B5"/>
    <w:rsid w:val="001E2B06"/>
    <w:rsid w:val="001E2B1E"/>
    <w:rsid w:val="001E2C30"/>
    <w:rsid w:val="001E2CFF"/>
    <w:rsid w:val="001E2F24"/>
    <w:rsid w:val="001E3035"/>
    <w:rsid w:val="001E30D4"/>
    <w:rsid w:val="001E316D"/>
    <w:rsid w:val="001E34B5"/>
    <w:rsid w:val="001E34DF"/>
    <w:rsid w:val="001E3684"/>
    <w:rsid w:val="001E3A28"/>
    <w:rsid w:val="001E48DD"/>
    <w:rsid w:val="001E4902"/>
    <w:rsid w:val="001E52EB"/>
    <w:rsid w:val="001E534B"/>
    <w:rsid w:val="001E5988"/>
    <w:rsid w:val="001E5E3E"/>
    <w:rsid w:val="001E60D5"/>
    <w:rsid w:val="001E61D2"/>
    <w:rsid w:val="001E66A2"/>
    <w:rsid w:val="001E6A22"/>
    <w:rsid w:val="001E740C"/>
    <w:rsid w:val="001E7477"/>
    <w:rsid w:val="001E74F9"/>
    <w:rsid w:val="001E7565"/>
    <w:rsid w:val="001E7627"/>
    <w:rsid w:val="001E77FA"/>
    <w:rsid w:val="001E7E64"/>
    <w:rsid w:val="001F0341"/>
    <w:rsid w:val="001F0AB7"/>
    <w:rsid w:val="001F0C32"/>
    <w:rsid w:val="001F0DDE"/>
    <w:rsid w:val="001F0F0A"/>
    <w:rsid w:val="001F1235"/>
    <w:rsid w:val="001F13BE"/>
    <w:rsid w:val="001F168A"/>
    <w:rsid w:val="001F1BCD"/>
    <w:rsid w:val="001F1CB3"/>
    <w:rsid w:val="001F1F27"/>
    <w:rsid w:val="001F1F4D"/>
    <w:rsid w:val="001F2086"/>
    <w:rsid w:val="001F2207"/>
    <w:rsid w:val="001F2212"/>
    <w:rsid w:val="001F24AD"/>
    <w:rsid w:val="001F2758"/>
    <w:rsid w:val="001F2B84"/>
    <w:rsid w:val="001F2C41"/>
    <w:rsid w:val="001F2C8E"/>
    <w:rsid w:val="001F313E"/>
    <w:rsid w:val="001F3696"/>
    <w:rsid w:val="001F371E"/>
    <w:rsid w:val="001F376E"/>
    <w:rsid w:val="001F3802"/>
    <w:rsid w:val="001F38B5"/>
    <w:rsid w:val="001F3976"/>
    <w:rsid w:val="001F3AF9"/>
    <w:rsid w:val="001F3E7F"/>
    <w:rsid w:val="001F4081"/>
    <w:rsid w:val="001F48A2"/>
    <w:rsid w:val="001F49D0"/>
    <w:rsid w:val="001F4C32"/>
    <w:rsid w:val="001F4C5E"/>
    <w:rsid w:val="001F5070"/>
    <w:rsid w:val="001F50FA"/>
    <w:rsid w:val="001F532E"/>
    <w:rsid w:val="001F59F4"/>
    <w:rsid w:val="001F5D85"/>
    <w:rsid w:val="001F63B5"/>
    <w:rsid w:val="001F63F6"/>
    <w:rsid w:val="001F66C9"/>
    <w:rsid w:val="001F6A8A"/>
    <w:rsid w:val="001F7361"/>
    <w:rsid w:val="001F754F"/>
    <w:rsid w:val="001F7B55"/>
    <w:rsid w:val="001F7C6B"/>
    <w:rsid w:val="00200794"/>
    <w:rsid w:val="00200DE9"/>
    <w:rsid w:val="00200E16"/>
    <w:rsid w:val="00200FF7"/>
    <w:rsid w:val="002011B0"/>
    <w:rsid w:val="002012B0"/>
    <w:rsid w:val="00201D1E"/>
    <w:rsid w:val="00202111"/>
    <w:rsid w:val="00202906"/>
    <w:rsid w:val="00202B4F"/>
    <w:rsid w:val="00202C5D"/>
    <w:rsid w:val="00202FA5"/>
    <w:rsid w:val="002030ED"/>
    <w:rsid w:val="00203181"/>
    <w:rsid w:val="002033BA"/>
    <w:rsid w:val="00203783"/>
    <w:rsid w:val="0020385F"/>
    <w:rsid w:val="00203BBA"/>
    <w:rsid w:val="00203DAD"/>
    <w:rsid w:val="002040DC"/>
    <w:rsid w:val="00204128"/>
    <w:rsid w:val="002046F3"/>
    <w:rsid w:val="00204AE0"/>
    <w:rsid w:val="00204C80"/>
    <w:rsid w:val="00204EDB"/>
    <w:rsid w:val="002059E4"/>
    <w:rsid w:val="00205B1E"/>
    <w:rsid w:val="00205D76"/>
    <w:rsid w:val="00205F0D"/>
    <w:rsid w:val="00206515"/>
    <w:rsid w:val="002068A0"/>
    <w:rsid w:val="002068C6"/>
    <w:rsid w:val="00206B00"/>
    <w:rsid w:val="00207021"/>
    <w:rsid w:val="002072F7"/>
    <w:rsid w:val="0020732F"/>
    <w:rsid w:val="00207625"/>
    <w:rsid w:val="00207B57"/>
    <w:rsid w:val="00207D00"/>
    <w:rsid w:val="0021006D"/>
    <w:rsid w:val="00210285"/>
    <w:rsid w:val="002105C1"/>
    <w:rsid w:val="00210C4E"/>
    <w:rsid w:val="00210DF7"/>
    <w:rsid w:val="00210FBA"/>
    <w:rsid w:val="00211005"/>
    <w:rsid w:val="0021117B"/>
    <w:rsid w:val="002111E5"/>
    <w:rsid w:val="002116F9"/>
    <w:rsid w:val="002116FD"/>
    <w:rsid w:val="0021186E"/>
    <w:rsid w:val="00211999"/>
    <w:rsid w:val="00212189"/>
    <w:rsid w:val="002124CA"/>
    <w:rsid w:val="00212C83"/>
    <w:rsid w:val="00212C86"/>
    <w:rsid w:val="00212E1B"/>
    <w:rsid w:val="002131CC"/>
    <w:rsid w:val="002136F9"/>
    <w:rsid w:val="00213EF5"/>
    <w:rsid w:val="0021413B"/>
    <w:rsid w:val="0021428E"/>
    <w:rsid w:val="00214600"/>
    <w:rsid w:val="00214BA3"/>
    <w:rsid w:val="00214CAC"/>
    <w:rsid w:val="002152DC"/>
    <w:rsid w:val="00215333"/>
    <w:rsid w:val="00215746"/>
    <w:rsid w:val="00215792"/>
    <w:rsid w:val="00215843"/>
    <w:rsid w:val="002165F1"/>
    <w:rsid w:val="00216B12"/>
    <w:rsid w:val="00216BF5"/>
    <w:rsid w:val="00216CCF"/>
    <w:rsid w:val="002170D1"/>
    <w:rsid w:val="002172D7"/>
    <w:rsid w:val="0021785D"/>
    <w:rsid w:val="00217CAF"/>
    <w:rsid w:val="00217FC5"/>
    <w:rsid w:val="00220173"/>
    <w:rsid w:val="0022097A"/>
    <w:rsid w:val="00220BFC"/>
    <w:rsid w:val="00220C0C"/>
    <w:rsid w:val="00220C96"/>
    <w:rsid w:val="00221012"/>
    <w:rsid w:val="002211F3"/>
    <w:rsid w:val="0022156B"/>
    <w:rsid w:val="002215DA"/>
    <w:rsid w:val="002218DB"/>
    <w:rsid w:val="00221A13"/>
    <w:rsid w:val="00221B35"/>
    <w:rsid w:val="002222FF"/>
    <w:rsid w:val="00222ABF"/>
    <w:rsid w:val="00222C2D"/>
    <w:rsid w:val="00222D49"/>
    <w:rsid w:val="002230EF"/>
    <w:rsid w:val="002237A7"/>
    <w:rsid w:val="0022388A"/>
    <w:rsid w:val="00223B49"/>
    <w:rsid w:val="00223BA8"/>
    <w:rsid w:val="00223D5A"/>
    <w:rsid w:val="00224AA9"/>
    <w:rsid w:val="00224ABE"/>
    <w:rsid w:val="00224DD4"/>
    <w:rsid w:val="00225039"/>
    <w:rsid w:val="002252B1"/>
    <w:rsid w:val="0022561A"/>
    <w:rsid w:val="00225CEB"/>
    <w:rsid w:val="00225D57"/>
    <w:rsid w:val="0022658C"/>
    <w:rsid w:val="00226876"/>
    <w:rsid w:val="0022719E"/>
    <w:rsid w:val="0022748C"/>
    <w:rsid w:val="002278A0"/>
    <w:rsid w:val="00227959"/>
    <w:rsid w:val="00227B38"/>
    <w:rsid w:val="00227BE8"/>
    <w:rsid w:val="002304CA"/>
    <w:rsid w:val="002305A0"/>
    <w:rsid w:val="00230777"/>
    <w:rsid w:val="002309CC"/>
    <w:rsid w:val="00230C92"/>
    <w:rsid w:val="00230D27"/>
    <w:rsid w:val="002313F5"/>
    <w:rsid w:val="002318B6"/>
    <w:rsid w:val="00231BA9"/>
    <w:rsid w:val="0023209F"/>
    <w:rsid w:val="00232BB4"/>
    <w:rsid w:val="00232CC0"/>
    <w:rsid w:val="00232E9C"/>
    <w:rsid w:val="00233108"/>
    <w:rsid w:val="0023381F"/>
    <w:rsid w:val="00233859"/>
    <w:rsid w:val="00233BFA"/>
    <w:rsid w:val="00233C01"/>
    <w:rsid w:val="0023413C"/>
    <w:rsid w:val="00234189"/>
    <w:rsid w:val="002341CD"/>
    <w:rsid w:val="00234260"/>
    <w:rsid w:val="00234641"/>
    <w:rsid w:val="00234680"/>
    <w:rsid w:val="002346F0"/>
    <w:rsid w:val="00234A01"/>
    <w:rsid w:val="002353AE"/>
    <w:rsid w:val="002354A5"/>
    <w:rsid w:val="00235929"/>
    <w:rsid w:val="00236253"/>
    <w:rsid w:val="0023629D"/>
    <w:rsid w:val="00236811"/>
    <w:rsid w:val="002368CD"/>
    <w:rsid w:val="00236FD5"/>
    <w:rsid w:val="002370FA"/>
    <w:rsid w:val="00237255"/>
    <w:rsid w:val="002374FC"/>
    <w:rsid w:val="002376EA"/>
    <w:rsid w:val="00237FD6"/>
    <w:rsid w:val="00240A6C"/>
    <w:rsid w:val="00240C02"/>
    <w:rsid w:val="00240D20"/>
    <w:rsid w:val="00240E3F"/>
    <w:rsid w:val="00241DE0"/>
    <w:rsid w:val="00241E3D"/>
    <w:rsid w:val="00242129"/>
    <w:rsid w:val="002421E5"/>
    <w:rsid w:val="002422CE"/>
    <w:rsid w:val="002422DB"/>
    <w:rsid w:val="002424AF"/>
    <w:rsid w:val="002427AD"/>
    <w:rsid w:val="00242ADB"/>
    <w:rsid w:val="00242C91"/>
    <w:rsid w:val="0024300F"/>
    <w:rsid w:val="002434D7"/>
    <w:rsid w:val="0024376E"/>
    <w:rsid w:val="002439DC"/>
    <w:rsid w:val="00243C81"/>
    <w:rsid w:val="00243D59"/>
    <w:rsid w:val="002441D2"/>
    <w:rsid w:val="002443B2"/>
    <w:rsid w:val="00244DC8"/>
    <w:rsid w:val="0024540E"/>
    <w:rsid w:val="00245698"/>
    <w:rsid w:val="002458BA"/>
    <w:rsid w:val="00245CE9"/>
    <w:rsid w:val="00246037"/>
    <w:rsid w:val="0024624E"/>
    <w:rsid w:val="0024636C"/>
    <w:rsid w:val="002469AD"/>
    <w:rsid w:val="00246C23"/>
    <w:rsid w:val="00246C45"/>
    <w:rsid w:val="00246F6F"/>
    <w:rsid w:val="002471EB"/>
    <w:rsid w:val="002472E2"/>
    <w:rsid w:val="00247925"/>
    <w:rsid w:val="00247BF4"/>
    <w:rsid w:val="00250291"/>
    <w:rsid w:val="002503EA"/>
    <w:rsid w:val="00250992"/>
    <w:rsid w:val="00250A78"/>
    <w:rsid w:val="00251006"/>
    <w:rsid w:val="002516C4"/>
    <w:rsid w:val="00251939"/>
    <w:rsid w:val="002524D5"/>
    <w:rsid w:val="0025267B"/>
    <w:rsid w:val="00252827"/>
    <w:rsid w:val="00252AFB"/>
    <w:rsid w:val="00252CC7"/>
    <w:rsid w:val="00253B1D"/>
    <w:rsid w:val="00254481"/>
    <w:rsid w:val="002544A6"/>
    <w:rsid w:val="00254AD7"/>
    <w:rsid w:val="00254DCF"/>
    <w:rsid w:val="0025534B"/>
    <w:rsid w:val="002557C8"/>
    <w:rsid w:val="0025584F"/>
    <w:rsid w:val="002558E3"/>
    <w:rsid w:val="00255ABE"/>
    <w:rsid w:val="00255BB7"/>
    <w:rsid w:val="0025721F"/>
    <w:rsid w:val="00257541"/>
    <w:rsid w:val="00257A39"/>
    <w:rsid w:val="00257AC4"/>
    <w:rsid w:val="00257BBE"/>
    <w:rsid w:val="00260385"/>
    <w:rsid w:val="002603C8"/>
    <w:rsid w:val="002606C8"/>
    <w:rsid w:val="0026097F"/>
    <w:rsid w:val="00261673"/>
    <w:rsid w:val="00261EEF"/>
    <w:rsid w:val="002622A2"/>
    <w:rsid w:val="002622E6"/>
    <w:rsid w:val="00262318"/>
    <w:rsid w:val="00262A1A"/>
    <w:rsid w:val="00262A87"/>
    <w:rsid w:val="00262DDA"/>
    <w:rsid w:val="0026322C"/>
    <w:rsid w:val="0026331C"/>
    <w:rsid w:val="0026361B"/>
    <w:rsid w:val="00263C2F"/>
    <w:rsid w:val="00263DB8"/>
    <w:rsid w:val="00263F0E"/>
    <w:rsid w:val="00264355"/>
    <w:rsid w:val="00264390"/>
    <w:rsid w:val="002646FA"/>
    <w:rsid w:val="00264D26"/>
    <w:rsid w:val="0026515C"/>
    <w:rsid w:val="002651D4"/>
    <w:rsid w:val="00265430"/>
    <w:rsid w:val="0026547A"/>
    <w:rsid w:val="002654DB"/>
    <w:rsid w:val="0026595F"/>
    <w:rsid w:val="00265D13"/>
    <w:rsid w:val="00265DFC"/>
    <w:rsid w:val="00266026"/>
    <w:rsid w:val="00267253"/>
    <w:rsid w:val="002672D1"/>
    <w:rsid w:val="002675AB"/>
    <w:rsid w:val="00267642"/>
    <w:rsid w:val="00267AEA"/>
    <w:rsid w:val="00267E50"/>
    <w:rsid w:val="002700E6"/>
    <w:rsid w:val="002709E3"/>
    <w:rsid w:val="00270EA2"/>
    <w:rsid w:val="00272683"/>
    <w:rsid w:val="00272864"/>
    <w:rsid w:val="002728C6"/>
    <w:rsid w:val="002728FD"/>
    <w:rsid w:val="0027294B"/>
    <w:rsid w:val="002731F6"/>
    <w:rsid w:val="0027364E"/>
    <w:rsid w:val="00273849"/>
    <w:rsid w:val="00273B4E"/>
    <w:rsid w:val="00273D72"/>
    <w:rsid w:val="00273EB4"/>
    <w:rsid w:val="0027402A"/>
    <w:rsid w:val="0027423C"/>
    <w:rsid w:val="0027455A"/>
    <w:rsid w:val="0027458C"/>
    <w:rsid w:val="00274682"/>
    <w:rsid w:val="00275158"/>
    <w:rsid w:val="002751B6"/>
    <w:rsid w:val="0027545E"/>
    <w:rsid w:val="0027553B"/>
    <w:rsid w:val="00275C5A"/>
    <w:rsid w:val="0027611B"/>
    <w:rsid w:val="00276156"/>
    <w:rsid w:val="002763DC"/>
    <w:rsid w:val="002764E7"/>
    <w:rsid w:val="002769B1"/>
    <w:rsid w:val="00276A71"/>
    <w:rsid w:val="00277205"/>
    <w:rsid w:val="002772B4"/>
    <w:rsid w:val="0027774C"/>
    <w:rsid w:val="0027786B"/>
    <w:rsid w:val="00277C53"/>
    <w:rsid w:val="002806F2"/>
    <w:rsid w:val="00281014"/>
    <w:rsid w:val="00281048"/>
    <w:rsid w:val="002812DF"/>
    <w:rsid w:val="0028158A"/>
    <w:rsid w:val="0028180E"/>
    <w:rsid w:val="002818B7"/>
    <w:rsid w:val="00281DC8"/>
    <w:rsid w:val="00282156"/>
    <w:rsid w:val="0028228E"/>
    <w:rsid w:val="002825B9"/>
    <w:rsid w:val="00282830"/>
    <w:rsid w:val="00282B63"/>
    <w:rsid w:val="00283057"/>
    <w:rsid w:val="002838E6"/>
    <w:rsid w:val="002839B3"/>
    <w:rsid w:val="00283E0B"/>
    <w:rsid w:val="00283EBD"/>
    <w:rsid w:val="00283F9E"/>
    <w:rsid w:val="0028448F"/>
    <w:rsid w:val="002849BE"/>
    <w:rsid w:val="00284A24"/>
    <w:rsid w:val="0028517E"/>
    <w:rsid w:val="00285774"/>
    <w:rsid w:val="002857CB"/>
    <w:rsid w:val="002859A9"/>
    <w:rsid w:val="00285BCE"/>
    <w:rsid w:val="00285D84"/>
    <w:rsid w:val="00285EE5"/>
    <w:rsid w:val="00285F0D"/>
    <w:rsid w:val="00285F15"/>
    <w:rsid w:val="00285F1A"/>
    <w:rsid w:val="00286403"/>
    <w:rsid w:val="0028665D"/>
    <w:rsid w:val="00286AAE"/>
    <w:rsid w:val="00286CF6"/>
    <w:rsid w:val="00287378"/>
    <w:rsid w:val="002873F1"/>
    <w:rsid w:val="002874D4"/>
    <w:rsid w:val="002877B9"/>
    <w:rsid w:val="0028796C"/>
    <w:rsid w:val="002879E8"/>
    <w:rsid w:val="00287C6A"/>
    <w:rsid w:val="0029019D"/>
    <w:rsid w:val="0029027B"/>
    <w:rsid w:val="00290453"/>
    <w:rsid w:val="0029083F"/>
    <w:rsid w:val="002912B4"/>
    <w:rsid w:val="002916F3"/>
    <w:rsid w:val="002919CB"/>
    <w:rsid w:val="00291AF5"/>
    <w:rsid w:val="00291FCC"/>
    <w:rsid w:val="0029225B"/>
    <w:rsid w:val="0029276E"/>
    <w:rsid w:val="00292890"/>
    <w:rsid w:val="002928AA"/>
    <w:rsid w:val="00292AB9"/>
    <w:rsid w:val="00292C22"/>
    <w:rsid w:val="00292E0B"/>
    <w:rsid w:val="0029314E"/>
    <w:rsid w:val="0029365C"/>
    <w:rsid w:val="00293830"/>
    <w:rsid w:val="00294565"/>
    <w:rsid w:val="0029479F"/>
    <w:rsid w:val="002949D7"/>
    <w:rsid w:val="00295576"/>
    <w:rsid w:val="00295D38"/>
    <w:rsid w:val="00296152"/>
    <w:rsid w:val="002962D3"/>
    <w:rsid w:val="002962E6"/>
    <w:rsid w:val="0029668F"/>
    <w:rsid w:val="00297BAC"/>
    <w:rsid w:val="002A0BD8"/>
    <w:rsid w:val="002A0D22"/>
    <w:rsid w:val="002A13FB"/>
    <w:rsid w:val="002A14AB"/>
    <w:rsid w:val="002A16C2"/>
    <w:rsid w:val="002A180F"/>
    <w:rsid w:val="002A23E7"/>
    <w:rsid w:val="002A2AAC"/>
    <w:rsid w:val="002A2ADE"/>
    <w:rsid w:val="002A2CAA"/>
    <w:rsid w:val="002A2F50"/>
    <w:rsid w:val="002A3327"/>
    <w:rsid w:val="002A33C4"/>
    <w:rsid w:val="002A3575"/>
    <w:rsid w:val="002A35AA"/>
    <w:rsid w:val="002A3AFE"/>
    <w:rsid w:val="002A3F97"/>
    <w:rsid w:val="002A4494"/>
    <w:rsid w:val="002A45D4"/>
    <w:rsid w:val="002A473F"/>
    <w:rsid w:val="002A4EF1"/>
    <w:rsid w:val="002A510D"/>
    <w:rsid w:val="002A534E"/>
    <w:rsid w:val="002A5452"/>
    <w:rsid w:val="002A54B1"/>
    <w:rsid w:val="002A62B9"/>
    <w:rsid w:val="002A646E"/>
    <w:rsid w:val="002A6ADA"/>
    <w:rsid w:val="002A6D60"/>
    <w:rsid w:val="002A6E37"/>
    <w:rsid w:val="002A7102"/>
    <w:rsid w:val="002A7332"/>
    <w:rsid w:val="002A7917"/>
    <w:rsid w:val="002A7943"/>
    <w:rsid w:val="002B0287"/>
    <w:rsid w:val="002B02A0"/>
    <w:rsid w:val="002B04DD"/>
    <w:rsid w:val="002B05A1"/>
    <w:rsid w:val="002B07C4"/>
    <w:rsid w:val="002B086A"/>
    <w:rsid w:val="002B09A4"/>
    <w:rsid w:val="002B0BF8"/>
    <w:rsid w:val="002B108C"/>
    <w:rsid w:val="002B17CF"/>
    <w:rsid w:val="002B1C1F"/>
    <w:rsid w:val="002B1CB7"/>
    <w:rsid w:val="002B1E1D"/>
    <w:rsid w:val="002B2275"/>
    <w:rsid w:val="002B3576"/>
    <w:rsid w:val="002B3992"/>
    <w:rsid w:val="002B3B04"/>
    <w:rsid w:val="002B403B"/>
    <w:rsid w:val="002B432F"/>
    <w:rsid w:val="002B484B"/>
    <w:rsid w:val="002B4855"/>
    <w:rsid w:val="002B4EF3"/>
    <w:rsid w:val="002B5163"/>
    <w:rsid w:val="002B5805"/>
    <w:rsid w:val="002B6060"/>
    <w:rsid w:val="002B62B3"/>
    <w:rsid w:val="002B65AC"/>
    <w:rsid w:val="002B6754"/>
    <w:rsid w:val="002B6938"/>
    <w:rsid w:val="002B6C54"/>
    <w:rsid w:val="002B6CCE"/>
    <w:rsid w:val="002B71A9"/>
    <w:rsid w:val="002B76E2"/>
    <w:rsid w:val="002B7826"/>
    <w:rsid w:val="002B7DBA"/>
    <w:rsid w:val="002C01EC"/>
    <w:rsid w:val="002C0327"/>
    <w:rsid w:val="002C046F"/>
    <w:rsid w:val="002C050E"/>
    <w:rsid w:val="002C0AC4"/>
    <w:rsid w:val="002C0CA8"/>
    <w:rsid w:val="002C0D85"/>
    <w:rsid w:val="002C0E4A"/>
    <w:rsid w:val="002C0E8F"/>
    <w:rsid w:val="002C14C1"/>
    <w:rsid w:val="002C1543"/>
    <w:rsid w:val="002C1E86"/>
    <w:rsid w:val="002C1F6E"/>
    <w:rsid w:val="002C2265"/>
    <w:rsid w:val="002C2510"/>
    <w:rsid w:val="002C257E"/>
    <w:rsid w:val="002C2775"/>
    <w:rsid w:val="002C27C1"/>
    <w:rsid w:val="002C27F0"/>
    <w:rsid w:val="002C2D44"/>
    <w:rsid w:val="002C3037"/>
    <w:rsid w:val="002C344E"/>
    <w:rsid w:val="002C36E3"/>
    <w:rsid w:val="002C3837"/>
    <w:rsid w:val="002C3D1F"/>
    <w:rsid w:val="002C428F"/>
    <w:rsid w:val="002C4834"/>
    <w:rsid w:val="002C4B42"/>
    <w:rsid w:val="002C5099"/>
    <w:rsid w:val="002C5375"/>
    <w:rsid w:val="002C5775"/>
    <w:rsid w:val="002C5889"/>
    <w:rsid w:val="002C5F45"/>
    <w:rsid w:val="002C630F"/>
    <w:rsid w:val="002C650F"/>
    <w:rsid w:val="002C6A33"/>
    <w:rsid w:val="002C6AC3"/>
    <w:rsid w:val="002C7041"/>
    <w:rsid w:val="002C71CE"/>
    <w:rsid w:val="002C72A1"/>
    <w:rsid w:val="002C749A"/>
    <w:rsid w:val="002C74EA"/>
    <w:rsid w:val="002C75D6"/>
    <w:rsid w:val="002C7655"/>
    <w:rsid w:val="002C7BDC"/>
    <w:rsid w:val="002C7DFB"/>
    <w:rsid w:val="002D01B1"/>
    <w:rsid w:val="002D0846"/>
    <w:rsid w:val="002D08F8"/>
    <w:rsid w:val="002D0973"/>
    <w:rsid w:val="002D0B97"/>
    <w:rsid w:val="002D1533"/>
    <w:rsid w:val="002D172F"/>
    <w:rsid w:val="002D17E8"/>
    <w:rsid w:val="002D1D93"/>
    <w:rsid w:val="002D1EA6"/>
    <w:rsid w:val="002D1EC0"/>
    <w:rsid w:val="002D21F1"/>
    <w:rsid w:val="002D255E"/>
    <w:rsid w:val="002D2770"/>
    <w:rsid w:val="002D343D"/>
    <w:rsid w:val="002D3454"/>
    <w:rsid w:val="002D3550"/>
    <w:rsid w:val="002D3C0B"/>
    <w:rsid w:val="002D3C46"/>
    <w:rsid w:val="002D3EB7"/>
    <w:rsid w:val="002D3FD6"/>
    <w:rsid w:val="002D4DFC"/>
    <w:rsid w:val="002D4E91"/>
    <w:rsid w:val="002D5725"/>
    <w:rsid w:val="002D577C"/>
    <w:rsid w:val="002D5927"/>
    <w:rsid w:val="002D5A54"/>
    <w:rsid w:val="002D5DCF"/>
    <w:rsid w:val="002D635A"/>
    <w:rsid w:val="002D6B3B"/>
    <w:rsid w:val="002D6D09"/>
    <w:rsid w:val="002D6DB5"/>
    <w:rsid w:val="002D7832"/>
    <w:rsid w:val="002D7A2F"/>
    <w:rsid w:val="002D7ABA"/>
    <w:rsid w:val="002E046B"/>
    <w:rsid w:val="002E09BA"/>
    <w:rsid w:val="002E100C"/>
    <w:rsid w:val="002E1071"/>
    <w:rsid w:val="002E15B9"/>
    <w:rsid w:val="002E1836"/>
    <w:rsid w:val="002E18A0"/>
    <w:rsid w:val="002E1BDF"/>
    <w:rsid w:val="002E2156"/>
    <w:rsid w:val="002E2158"/>
    <w:rsid w:val="002E23B0"/>
    <w:rsid w:val="002E24F0"/>
    <w:rsid w:val="002E28CA"/>
    <w:rsid w:val="002E29D8"/>
    <w:rsid w:val="002E2A5B"/>
    <w:rsid w:val="002E2C1C"/>
    <w:rsid w:val="002E3268"/>
    <w:rsid w:val="002E3921"/>
    <w:rsid w:val="002E3EC8"/>
    <w:rsid w:val="002E3F4F"/>
    <w:rsid w:val="002E4015"/>
    <w:rsid w:val="002E4107"/>
    <w:rsid w:val="002E42C4"/>
    <w:rsid w:val="002E4642"/>
    <w:rsid w:val="002E46B7"/>
    <w:rsid w:val="002E48A4"/>
    <w:rsid w:val="002E49C4"/>
    <w:rsid w:val="002E4A1B"/>
    <w:rsid w:val="002E4F02"/>
    <w:rsid w:val="002E4FB1"/>
    <w:rsid w:val="002E5565"/>
    <w:rsid w:val="002E5D67"/>
    <w:rsid w:val="002E5DFE"/>
    <w:rsid w:val="002E6258"/>
    <w:rsid w:val="002E65CB"/>
    <w:rsid w:val="002E69A6"/>
    <w:rsid w:val="002E6A23"/>
    <w:rsid w:val="002E7403"/>
    <w:rsid w:val="002E7638"/>
    <w:rsid w:val="002E7722"/>
    <w:rsid w:val="002E77BB"/>
    <w:rsid w:val="002E7BCE"/>
    <w:rsid w:val="002F038C"/>
    <w:rsid w:val="002F052F"/>
    <w:rsid w:val="002F0782"/>
    <w:rsid w:val="002F07BA"/>
    <w:rsid w:val="002F0880"/>
    <w:rsid w:val="002F0DA9"/>
    <w:rsid w:val="002F0E56"/>
    <w:rsid w:val="002F1014"/>
    <w:rsid w:val="002F124A"/>
    <w:rsid w:val="002F12B7"/>
    <w:rsid w:val="002F12F1"/>
    <w:rsid w:val="002F1A34"/>
    <w:rsid w:val="002F1BB1"/>
    <w:rsid w:val="002F1E3B"/>
    <w:rsid w:val="002F2139"/>
    <w:rsid w:val="002F2722"/>
    <w:rsid w:val="002F2836"/>
    <w:rsid w:val="002F326D"/>
    <w:rsid w:val="002F35DF"/>
    <w:rsid w:val="002F3983"/>
    <w:rsid w:val="002F3DF7"/>
    <w:rsid w:val="002F4153"/>
    <w:rsid w:val="002F42C7"/>
    <w:rsid w:val="002F43E4"/>
    <w:rsid w:val="002F49E4"/>
    <w:rsid w:val="002F4C4C"/>
    <w:rsid w:val="002F4FEE"/>
    <w:rsid w:val="002F56B6"/>
    <w:rsid w:val="002F5822"/>
    <w:rsid w:val="002F5998"/>
    <w:rsid w:val="002F59DC"/>
    <w:rsid w:val="002F61C7"/>
    <w:rsid w:val="002F6258"/>
    <w:rsid w:val="002F643C"/>
    <w:rsid w:val="002F6692"/>
    <w:rsid w:val="002F677D"/>
    <w:rsid w:val="002F693B"/>
    <w:rsid w:val="002F6BEE"/>
    <w:rsid w:val="002F71C0"/>
    <w:rsid w:val="002F74F1"/>
    <w:rsid w:val="002F7BFB"/>
    <w:rsid w:val="002F7D3E"/>
    <w:rsid w:val="002F7DC5"/>
    <w:rsid w:val="003003A7"/>
    <w:rsid w:val="00300AFD"/>
    <w:rsid w:val="00300B53"/>
    <w:rsid w:val="00301017"/>
    <w:rsid w:val="003012C6"/>
    <w:rsid w:val="0030155F"/>
    <w:rsid w:val="00301D8F"/>
    <w:rsid w:val="00301DD9"/>
    <w:rsid w:val="00301E5D"/>
    <w:rsid w:val="0030243C"/>
    <w:rsid w:val="003026A9"/>
    <w:rsid w:val="00302914"/>
    <w:rsid w:val="00302C6C"/>
    <w:rsid w:val="00302E7E"/>
    <w:rsid w:val="00302FE0"/>
    <w:rsid w:val="003032FB"/>
    <w:rsid w:val="00303757"/>
    <w:rsid w:val="00303916"/>
    <w:rsid w:val="00303D9F"/>
    <w:rsid w:val="00303E42"/>
    <w:rsid w:val="00303F54"/>
    <w:rsid w:val="003044C0"/>
    <w:rsid w:val="00304616"/>
    <w:rsid w:val="0030479D"/>
    <w:rsid w:val="00305580"/>
    <w:rsid w:val="0030587B"/>
    <w:rsid w:val="00305932"/>
    <w:rsid w:val="00305BE5"/>
    <w:rsid w:val="003067F1"/>
    <w:rsid w:val="003068B1"/>
    <w:rsid w:val="00306D2A"/>
    <w:rsid w:val="00306D98"/>
    <w:rsid w:val="0030711F"/>
    <w:rsid w:val="00307238"/>
    <w:rsid w:val="003072E1"/>
    <w:rsid w:val="0030786C"/>
    <w:rsid w:val="0031027B"/>
    <w:rsid w:val="0031029F"/>
    <w:rsid w:val="0031031A"/>
    <w:rsid w:val="00310981"/>
    <w:rsid w:val="003114AD"/>
    <w:rsid w:val="00311D9B"/>
    <w:rsid w:val="00311E1D"/>
    <w:rsid w:val="0031201D"/>
    <w:rsid w:val="003124D9"/>
    <w:rsid w:val="00312594"/>
    <w:rsid w:val="003126E1"/>
    <w:rsid w:val="00312810"/>
    <w:rsid w:val="00312827"/>
    <w:rsid w:val="00313064"/>
    <w:rsid w:val="00313083"/>
    <w:rsid w:val="003132F4"/>
    <w:rsid w:val="00313678"/>
    <w:rsid w:val="00313DBE"/>
    <w:rsid w:val="0031434A"/>
    <w:rsid w:val="0031436C"/>
    <w:rsid w:val="00314D4D"/>
    <w:rsid w:val="00314F02"/>
    <w:rsid w:val="0031530F"/>
    <w:rsid w:val="00315498"/>
    <w:rsid w:val="00315581"/>
    <w:rsid w:val="00315585"/>
    <w:rsid w:val="00316474"/>
    <w:rsid w:val="003166A2"/>
    <w:rsid w:val="00316E8F"/>
    <w:rsid w:val="00316EB5"/>
    <w:rsid w:val="0031725C"/>
    <w:rsid w:val="00317289"/>
    <w:rsid w:val="0031774F"/>
    <w:rsid w:val="003178CB"/>
    <w:rsid w:val="003202DC"/>
    <w:rsid w:val="00320697"/>
    <w:rsid w:val="00320A26"/>
    <w:rsid w:val="0032119F"/>
    <w:rsid w:val="003214BF"/>
    <w:rsid w:val="00321834"/>
    <w:rsid w:val="003218CF"/>
    <w:rsid w:val="00322107"/>
    <w:rsid w:val="00322355"/>
    <w:rsid w:val="00322846"/>
    <w:rsid w:val="0032292A"/>
    <w:rsid w:val="00322D8E"/>
    <w:rsid w:val="00322E6C"/>
    <w:rsid w:val="00323019"/>
    <w:rsid w:val="003242CD"/>
    <w:rsid w:val="00324E81"/>
    <w:rsid w:val="00324F8F"/>
    <w:rsid w:val="00325418"/>
    <w:rsid w:val="0032608F"/>
    <w:rsid w:val="00326342"/>
    <w:rsid w:val="00326623"/>
    <w:rsid w:val="00326DA7"/>
    <w:rsid w:val="00326DC4"/>
    <w:rsid w:val="003270E4"/>
    <w:rsid w:val="00327624"/>
    <w:rsid w:val="00327BDB"/>
    <w:rsid w:val="00327DE3"/>
    <w:rsid w:val="00330002"/>
    <w:rsid w:val="00330109"/>
    <w:rsid w:val="003303D5"/>
    <w:rsid w:val="0033092F"/>
    <w:rsid w:val="00330978"/>
    <w:rsid w:val="00330DAA"/>
    <w:rsid w:val="00330F08"/>
    <w:rsid w:val="00330F5C"/>
    <w:rsid w:val="0033100C"/>
    <w:rsid w:val="0033145B"/>
    <w:rsid w:val="00331CAD"/>
    <w:rsid w:val="00331DD5"/>
    <w:rsid w:val="00332316"/>
    <w:rsid w:val="00332880"/>
    <w:rsid w:val="00332D4F"/>
    <w:rsid w:val="00333063"/>
    <w:rsid w:val="00333452"/>
    <w:rsid w:val="00333487"/>
    <w:rsid w:val="0033375D"/>
    <w:rsid w:val="00333880"/>
    <w:rsid w:val="0033399A"/>
    <w:rsid w:val="00333B5D"/>
    <w:rsid w:val="0033432D"/>
    <w:rsid w:val="003343B9"/>
    <w:rsid w:val="00334938"/>
    <w:rsid w:val="00334945"/>
    <w:rsid w:val="0033494A"/>
    <w:rsid w:val="00334E80"/>
    <w:rsid w:val="00335212"/>
    <w:rsid w:val="0033591C"/>
    <w:rsid w:val="003359D8"/>
    <w:rsid w:val="00335CB7"/>
    <w:rsid w:val="0033652E"/>
    <w:rsid w:val="003366C9"/>
    <w:rsid w:val="003368B1"/>
    <w:rsid w:val="00336B5A"/>
    <w:rsid w:val="00336E9B"/>
    <w:rsid w:val="003371B0"/>
    <w:rsid w:val="003374CE"/>
    <w:rsid w:val="00337633"/>
    <w:rsid w:val="003378F1"/>
    <w:rsid w:val="00337F18"/>
    <w:rsid w:val="003403D5"/>
    <w:rsid w:val="00340856"/>
    <w:rsid w:val="00340C00"/>
    <w:rsid w:val="00340DF1"/>
    <w:rsid w:val="00340EF2"/>
    <w:rsid w:val="00340F3C"/>
    <w:rsid w:val="003412CC"/>
    <w:rsid w:val="00341D85"/>
    <w:rsid w:val="00342522"/>
    <w:rsid w:val="003426C5"/>
    <w:rsid w:val="0034302C"/>
    <w:rsid w:val="00343246"/>
    <w:rsid w:val="00343422"/>
    <w:rsid w:val="00343793"/>
    <w:rsid w:val="00343E10"/>
    <w:rsid w:val="0034451C"/>
    <w:rsid w:val="00344640"/>
    <w:rsid w:val="00344711"/>
    <w:rsid w:val="003450AC"/>
    <w:rsid w:val="00345833"/>
    <w:rsid w:val="00345BC9"/>
    <w:rsid w:val="00346214"/>
    <w:rsid w:val="003464D1"/>
    <w:rsid w:val="00346C79"/>
    <w:rsid w:val="003471C8"/>
    <w:rsid w:val="00347275"/>
    <w:rsid w:val="00347828"/>
    <w:rsid w:val="00350591"/>
    <w:rsid w:val="003506F0"/>
    <w:rsid w:val="0035080C"/>
    <w:rsid w:val="003509A3"/>
    <w:rsid w:val="00350BFB"/>
    <w:rsid w:val="00350C91"/>
    <w:rsid w:val="00350E6E"/>
    <w:rsid w:val="003517F9"/>
    <w:rsid w:val="00351BA9"/>
    <w:rsid w:val="00351BB5"/>
    <w:rsid w:val="00351FE6"/>
    <w:rsid w:val="003520F6"/>
    <w:rsid w:val="00352D7B"/>
    <w:rsid w:val="00352E7F"/>
    <w:rsid w:val="003532F5"/>
    <w:rsid w:val="003533FD"/>
    <w:rsid w:val="00353418"/>
    <w:rsid w:val="003546A3"/>
    <w:rsid w:val="00354B98"/>
    <w:rsid w:val="00354CDB"/>
    <w:rsid w:val="00354DCC"/>
    <w:rsid w:val="00354F64"/>
    <w:rsid w:val="00354FB2"/>
    <w:rsid w:val="00355080"/>
    <w:rsid w:val="0035548A"/>
    <w:rsid w:val="00355521"/>
    <w:rsid w:val="00355612"/>
    <w:rsid w:val="00355C22"/>
    <w:rsid w:val="00355CDD"/>
    <w:rsid w:val="0035620E"/>
    <w:rsid w:val="00356AE2"/>
    <w:rsid w:val="00356D11"/>
    <w:rsid w:val="00357000"/>
    <w:rsid w:val="00357115"/>
    <w:rsid w:val="003575BE"/>
    <w:rsid w:val="00357B80"/>
    <w:rsid w:val="00357BD4"/>
    <w:rsid w:val="00360345"/>
    <w:rsid w:val="00360372"/>
    <w:rsid w:val="00360648"/>
    <w:rsid w:val="003606BE"/>
    <w:rsid w:val="003607B9"/>
    <w:rsid w:val="0036085F"/>
    <w:rsid w:val="00360FC5"/>
    <w:rsid w:val="00361367"/>
    <w:rsid w:val="00361A05"/>
    <w:rsid w:val="00361B33"/>
    <w:rsid w:val="00361FA8"/>
    <w:rsid w:val="00361FC5"/>
    <w:rsid w:val="00362155"/>
    <w:rsid w:val="00362324"/>
    <w:rsid w:val="003624C4"/>
    <w:rsid w:val="00362B9E"/>
    <w:rsid w:val="003631DB"/>
    <w:rsid w:val="0036379A"/>
    <w:rsid w:val="00363B00"/>
    <w:rsid w:val="00363B09"/>
    <w:rsid w:val="00363B59"/>
    <w:rsid w:val="00364768"/>
    <w:rsid w:val="00364848"/>
    <w:rsid w:val="00364AC9"/>
    <w:rsid w:val="00364B54"/>
    <w:rsid w:val="00364E40"/>
    <w:rsid w:val="00365366"/>
    <w:rsid w:val="00365477"/>
    <w:rsid w:val="003654AC"/>
    <w:rsid w:val="00365736"/>
    <w:rsid w:val="00365A1A"/>
    <w:rsid w:val="003661F5"/>
    <w:rsid w:val="00366342"/>
    <w:rsid w:val="00366A0E"/>
    <w:rsid w:val="0036766F"/>
    <w:rsid w:val="0036778B"/>
    <w:rsid w:val="003701C6"/>
    <w:rsid w:val="003710CF"/>
    <w:rsid w:val="0037166D"/>
    <w:rsid w:val="0037172C"/>
    <w:rsid w:val="00371733"/>
    <w:rsid w:val="00371AE4"/>
    <w:rsid w:val="00371C91"/>
    <w:rsid w:val="0037204B"/>
    <w:rsid w:val="0037242F"/>
    <w:rsid w:val="00372ABD"/>
    <w:rsid w:val="00373074"/>
    <w:rsid w:val="003730EE"/>
    <w:rsid w:val="00373191"/>
    <w:rsid w:val="003731FB"/>
    <w:rsid w:val="0037342F"/>
    <w:rsid w:val="00373521"/>
    <w:rsid w:val="0037358A"/>
    <w:rsid w:val="003742DB"/>
    <w:rsid w:val="003743CA"/>
    <w:rsid w:val="003745A7"/>
    <w:rsid w:val="00374AE9"/>
    <w:rsid w:val="00374B8C"/>
    <w:rsid w:val="00374FC9"/>
    <w:rsid w:val="003750F6"/>
    <w:rsid w:val="00375762"/>
    <w:rsid w:val="00375836"/>
    <w:rsid w:val="00375954"/>
    <w:rsid w:val="00375F80"/>
    <w:rsid w:val="003760FC"/>
    <w:rsid w:val="00376378"/>
    <w:rsid w:val="0037656F"/>
    <w:rsid w:val="0037676F"/>
    <w:rsid w:val="00376E66"/>
    <w:rsid w:val="003773ED"/>
    <w:rsid w:val="003774A8"/>
    <w:rsid w:val="003774E6"/>
    <w:rsid w:val="003777EC"/>
    <w:rsid w:val="00377A93"/>
    <w:rsid w:val="00377D6A"/>
    <w:rsid w:val="00377E67"/>
    <w:rsid w:val="003800C5"/>
    <w:rsid w:val="00380181"/>
    <w:rsid w:val="0038053D"/>
    <w:rsid w:val="003806D8"/>
    <w:rsid w:val="00380C94"/>
    <w:rsid w:val="00380E29"/>
    <w:rsid w:val="00381453"/>
    <w:rsid w:val="00381462"/>
    <w:rsid w:val="0038233B"/>
    <w:rsid w:val="00382DF7"/>
    <w:rsid w:val="0038316B"/>
    <w:rsid w:val="0038365C"/>
    <w:rsid w:val="0038369B"/>
    <w:rsid w:val="00383B78"/>
    <w:rsid w:val="0038422D"/>
    <w:rsid w:val="003843C0"/>
    <w:rsid w:val="00384603"/>
    <w:rsid w:val="00384830"/>
    <w:rsid w:val="00384877"/>
    <w:rsid w:val="00384C72"/>
    <w:rsid w:val="00384E53"/>
    <w:rsid w:val="00384FE3"/>
    <w:rsid w:val="00385A3E"/>
    <w:rsid w:val="00385A9D"/>
    <w:rsid w:val="00385C22"/>
    <w:rsid w:val="00386350"/>
    <w:rsid w:val="00386D7A"/>
    <w:rsid w:val="00386E4A"/>
    <w:rsid w:val="00387088"/>
    <w:rsid w:val="00387121"/>
    <w:rsid w:val="0038744A"/>
    <w:rsid w:val="00387A8D"/>
    <w:rsid w:val="0039026B"/>
    <w:rsid w:val="00390271"/>
    <w:rsid w:val="003902A9"/>
    <w:rsid w:val="003902B1"/>
    <w:rsid w:val="003902DB"/>
    <w:rsid w:val="0039058D"/>
    <w:rsid w:val="00390F79"/>
    <w:rsid w:val="0039179C"/>
    <w:rsid w:val="00391991"/>
    <w:rsid w:val="00391E86"/>
    <w:rsid w:val="0039209B"/>
    <w:rsid w:val="003925FC"/>
    <w:rsid w:val="00392887"/>
    <w:rsid w:val="00393372"/>
    <w:rsid w:val="003933DB"/>
    <w:rsid w:val="0039390B"/>
    <w:rsid w:val="003943DB"/>
    <w:rsid w:val="00394681"/>
    <w:rsid w:val="003947F7"/>
    <w:rsid w:val="00394988"/>
    <w:rsid w:val="00395259"/>
    <w:rsid w:val="003954A2"/>
    <w:rsid w:val="0039580C"/>
    <w:rsid w:val="00395F80"/>
    <w:rsid w:val="003963CA"/>
    <w:rsid w:val="003967FE"/>
    <w:rsid w:val="00396896"/>
    <w:rsid w:val="00396ADE"/>
    <w:rsid w:val="00396C7A"/>
    <w:rsid w:val="00396CA4"/>
    <w:rsid w:val="00396FD0"/>
    <w:rsid w:val="00397013"/>
    <w:rsid w:val="00397296"/>
    <w:rsid w:val="00397946"/>
    <w:rsid w:val="00397AC1"/>
    <w:rsid w:val="00397C0B"/>
    <w:rsid w:val="003A0352"/>
    <w:rsid w:val="003A03CD"/>
    <w:rsid w:val="003A03F2"/>
    <w:rsid w:val="003A080E"/>
    <w:rsid w:val="003A0A94"/>
    <w:rsid w:val="003A0BC5"/>
    <w:rsid w:val="003A0E1B"/>
    <w:rsid w:val="003A0F40"/>
    <w:rsid w:val="003A10D7"/>
    <w:rsid w:val="003A1420"/>
    <w:rsid w:val="003A18A5"/>
    <w:rsid w:val="003A1A7A"/>
    <w:rsid w:val="003A1B11"/>
    <w:rsid w:val="003A2064"/>
    <w:rsid w:val="003A2226"/>
    <w:rsid w:val="003A22D4"/>
    <w:rsid w:val="003A2392"/>
    <w:rsid w:val="003A2831"/>
    <w:rsid w:val="003A31E2"/>
    <w:rsid w:val="003A357E"/>
    <w:rsid w:val="003A3964"/>
    <w:rsid w:val="003A3CB6"/>
    <w:rsid w:val="003A3CEB"/>
    <w:rsid w:val="003A3ED1"/>
    <w:rsid w:val="003A3F83"/>
    <w:rsid w:val="003A40D9"/>
    <w:rsid w:val="003A43CD"/>
    <w:rsid w:val="003A44DB"/>
    <w:rsid w:val="003A4C14"/>
    <w:rsid w:val="003A4CC2"/>
    <w:rsid w:val="003A4D65"/>
    <w:rsid w:val="003A4D78"/>
    <w:rsid w:val="003A5008"/>
    <w:rsid w:val="003A5112"/>
    <w:rsid w:val="003A511C"/>
    <w:rsid w:val="003A520E"/>
    <w:rsid w:val="003A5357"/>
    <w:rsid w:val="003A5361"/>
    <w:rsid w:val="003A545C"/>
    <w:rsid w:val="003A5711"/>
    <w:rsid w:val="003A5A33"/>
    <w:rsid w:val="003A5EC8"/>
    <w:rsid w:val="003A642C"/>
    <w:rsid w:val="003A6737"/>
    <w:rsid w:val="003A67FB"/>
    <w:rsid w:val="003A68DB"/>
    <w:rsid w:val="003A6FFF"/>
    <w:rsid w:val="003A7731"/>
    <w:rsid w:val="003A7A9F"/>
    <w:rsid w:val="003B003B"/>
    <w:rsid w:val="003B028D"/>
    <w:rsid w:val="003B0549"/>
    <w:rsid w:val="003B0693"/>
    <w:rsid w:val="003B098C"/>
    <w:rsid w:val="003B0C90"/>
    <w:rsid w:val="003B18B1"/>
    <w:rsid w:val="003B1D9B"/>
    <w:rsid w:val="003B1EAA"/>
    <w:rsid w:val="003B1F61"/>
    <w:rsid w:val="003B21A2"/>
    <w:rsid w:val="003B23C8"/>
    <w:rsid w:val="003B24FD"/>
    <w:rsid w:val="003B25BC"/>
    <w:rsid w:val="003B278B"/>
    <w:rsid w:val="003B2E38"/>
    <w:rsid w:val="003B2E49"/>
    <w:rsid w:val="003B32ED"/>
    <w:rsid w:val="003B332C"/>
    <w:rsid w:val="003B3439"/>
    <w:rsid w:val="003B354A"/>
    <w:rsid w:val="003B3903"/>
    <w:rsid w:val="003B3971"/>
    <w:rsid w:val="003B3A95"/>
    <w:rsid w:val="003B3E1B"/>
    <w:rsid w:val="003B4050"/>
    <w:rsid w:val="003B406D"/>
    <w:rsid w:val="003B40AF"/>
    <w:rsid w:val="003B40EB"/>
    <w:rsid w:val="003B430D"/>
    <w:rsid w:val="003B443B"/>
    <w:rsid w:val="003B447C"/>
    <w:rsid w:val="003B4881"/>
    <w:rsid w:val="003B4AC0"/>
    <w:rsid w:val="003B4AC4"/>
    <w:rsid w:val="003B4F24"/>
    <w:rsid w:val="003B52B2"/>
    <w:rsid w:val="003B55D1"/>
    <w:rsid w:val="003B5A37"/>
    <w:rsid w:val="003B5B61"/>
    <w:rsid w:val="003B5DB6"/>
    <w:rsid w:val="003B5E4A"/>
    <w:rsid w:val="003B6067"/>
    <w:rsid w:val="003B62FB"/>
    <w:rsid w:val="003B64C3"/>
    <w:rsid w:val="003B69E7"/>
    <w:rsid w:val="003B6DDC"/>
    <w:rsid w:val="003B6EFC"/>
    <w:rsid w:val="003B7011"/>
    <w:rsid w:val="003B7CF6"/>
    <w:rsid w:val="003B7E82"/>
    <w:rsid w:val="003C0110"/>
    <w:rsid w:val="003C01CB"/>
    <w:rsid w:val="003C03A8"/>
    <w:rsid w:val="003C0530"/>
    <w:rsid w:val="003C0547"/>
    <w:rsid w:val="003C0557"/>
    <w:rsid w:val="003C05E1"/>
    <w:rsid w:val="003C0880"/>
    <w:rsid w:val="003C12B3"/>
    <w:rsid w:val="003C1438"/>
    <w:rsid w:val="003C143C"/>
    <w:rsid w:val="003C1476"/>
    <w:rsid w:val="003C1654"/>
    <w:rsid w:val="003C1835"/>
    <w:rsid w:val="003C1EEB"/>
    <w:rsid w:val="003C284C"/>
    <w:rsid w:val="003C304E"/>
    <w:rsid w:val="003C31FC"/>
    <w:rsid w:val="003C3BB3"/>
    <w:rsid w:val="003C3CBA"/>
    <w:rsid w:val="003C417C"/>
    <w:rsid w:val="003C437C"/>
    <w:rsid w:val="003C458A"/>
    <w:rsid w:val="003C49B4"/>
    <w:rsid w:val="003C49CB"/>
    <w:rsid w:val="003C4AD1"/>
    <w:rsid w:val="003C4B03"/>
    <w:rsid w:val="003C4D05"/>
    <w:rsid w:val="003C506D"/>
    <w:rsid w:val="003C5542"/>
    <w:rsid w:val="003C5668"/>
    <w:rsid w:val="003C5BBC"/>
    <w:rsid w:val="003C62A2"/>
    <w:rsid w:val="003C65E5"/>
    <w:rsid w:val="003C68C2"/>
    <w:rsid w:val="003C6B69"/>
    <w:rsid w:val="003C704F"/>
    <w:rsid w:val="003C7526"/>
    <w:rsid w:val="003C75A6"/>
    <w:rsid w:val="003C7B7C"/>
    <w:rsid w:val="003C7BE6"/>
    <w:rsid w:val="003C7C15"/>
    <w:rsid w:val="003C7D19"/>
    <w:rsid w:val="003C7D2F"/>
    <w:rsid w:val="003D0888"/>
    <w:rsid w:val="003D0C5A"/>
    <w:rsid w:val="003D138D"/>
    <w:rsid w:val="003D17F4"/>
    <w:rsid w:val="003D1828"/>
    <w:rsid w:val="003D1DDC"/>
    <w:rsid w:val="003D1DE4"/>
    <w:rsid w:val="003D1E9A"/>
    <w:rsid w:val="003D2159"/>
    <w:rsid w:val="003D2422"/>
    <w:rsid w:val="003D2499"/>
    <w:rsid w:val="003D2E42"/>
    <w:rsid w:val="003D334C"/>
    <w:rsid w:val="003D33A7"/>
    <w:rsid w:val="003D39A1"/>
    <w:rsid w:val="003D3A24"/>
    <w:rsid w:val="003D3ACE"/>
    <w:rsid w:val="003D3FBF"/>
    <w:rsid w:val="003D40AC"/>
    <w:rsid w:val="003D437F"/>
    <w:rsid w:val="003D4420"/>
    <w:rsid w:val="003D4612"/>
    <w:rsid w:val="003D4A30"/>
    <w:rsid w:val="003D5398"/>
    <w:rsid w:val="003D5743"/>
    <w:rsid w:val="003D586B"/>
    <w:rsid w:val="003D5E2C"/>
    <w:rsid w:val="003D6004"/>
    <w:rsid w:val="003D6449"/>
    <w:rsid w:val="003D667C"/>
    <w:rsid w:val="003D6A20"/>
    <w:rsid w:val="003D7452"/>
    <w:rsid w:val="003D79BB"/>
    <w:rsid w:val="003D7C98"/>
    <w:rsid w:val="003D7D9D"/>
    <w:rsid w:val="003D7E42"/>
    <w:rsid w:val="003E04B1"/>
    <w:rsid w:val="003E0543"/>
    <w:rsid w:val="003E05C9"/>
    <w:rsid w:val="003E09BB"/>
    <w:rsid w:val="003E0A71"/>
    <w:rsid w:val="003E0E57"/>
    <w:rsid w:val="003E0E5B"/>
    <w:rsid w:val="003E1356"/>
    <w:rsid w:val="003E1430"/>
    <w:rsid w:val="003E1DBA"/>
    <w:rsid w:val="003E1E77"/>
    <w:rsid w:val="003E1EAD"/>
    <w:rsid w:val="003E21CB"/>
    <w:rsid w:val="003E261E"/>
    <w:rsid w:val="003E2706"/>
    <w:rsid w:val="003E29A9"/>
    <w:rsid w:val="003E2ACD"/>
    <w:rsid w:val="003E2BE6"/>
    <w:rsid w:val="003E3175"/>
    <w:rsid w:val="003E31D4"/>
    <w:rsid w:val="003E3356"/>
    <w:rsid w:val="003E37A2"/>
    <w:rsid w:val="003E37E6"/>
    <w:rsid w:val="003E3D31"/>
    <w:rsid w:val="003E40E4"/>
    <w:rsid w:val="003E4824"/>
    <w:rsid w:val="003E4B0B"/>
    <w:rsid w:val="003E5026"/>
    <w:rsid w:val="003E5264"/>
    <w:rsid w:val="003E52A5"/>
    <w:rsid w:val="003E5603"/>
    <w:rsid w:val="003E562D"/>
    <w:rsid w:val="003E5CAF"/>
    <w:rsid w:val="003E5E7B"/>
    <w:rsid w:val="003E6283"/>
    <w:rsid w:val="003E628B"/>
    <w:rsid w:val="003E6AE4"/>
    <w:rsid w:val="003E6F67"/>
    <w:rsid w:val="003E703A"/>
    <w:rsid w:val="003E70EA"/>
    <w:rsid w:val="003E749E"/>
    <w:rsid w:val="003E7688"/>
    <w:rsid w:val="003E76AB"/>
    <w:rsid w:val="003E7EEB"/>
    <w:rsid w:val="003E7F9A"/>
    <w:rsid w:val="003F09B8"/>
    <w:rsid w:val="003F0C15"/>
    <w:rsid w:val="003F115D"/>
    <w:rsid w:val="003F173A"/>
    <w:rsid w:val="003F1779"/>
    <w:rsid w:val="003F17DA"/>
    <w:rsid w:val="003F195F"/>
    <w:rsid w:val="003F1CEF"/>
    <w:rsid w:val="003F2653"/>
    <w:rsid w:val="003F2C8B"/>
    <w:rsid w:val="003F2E29"/>
    <w:rsid w:val="003F2F8F"/>
    <w:rsid w:val="003F30B3"/>
    <w:rsid w:val="003F32F7"/>
    <w:rsid w:val="003F333B"/>
    <w:rsid w:val="003F35F9"/>
    <w:rsid w:val="003F3657"/>
    <w:rsid w:val="003F36DE"/>
    <w:rsid w:val="003F39A5"/>
    <w:rsid w:val="003F3AEF"/>
    <w:rsid w:val="003F4156"/>
    <w:rsid w:val="003F44F4"/>
    <w:rsid w:val="003F464C"/>
    <w:rsid w:val="003F4804"/>
    <w:rsid w:val="003F553A"/>
    <w:rsid w:val="003F5782"/>
    <w:rsid w:val="003F58D6"/>
    <w:rsid w:val="003F5ADF"/>
    <w:rsid w:val="003F5EF8"/>
    <w:rsid w:val="003F5F2D"/>
    <w:rsid w:val="003F66C3"/>
    <w:rsid w:val="003F6702"/>
    <w:rsid w:val="003F6752"/>
    <w:rsid w:val="003F68A6"/>
    <w:rsid w:val="003F7253"/>
    <w:rsid w:val="003F7B3D"/>
    <w:rsid w:val="003F7CA2"/>
    <w:rsid w:val="003F7D7C"/>
    <w:rsid w:val="0040064A"/>
    <w:rsid w:val="004007D7"/>
    <w:rsid w:val="00400B29"/>
    <w:rsid w:val="00400B73"/>
    <w:rsid w:val="00400CBB"/>
    <w:rsid w:val="00400E86"/>
    <w:rsid w:val="00401510"/>
    <w:rsid w:val="00401847"/>
    <w:rsid w:val="00401AB0"/>
    <w:rsid w:val="00401C55"/>
    <w:rsid w:val="00401EC2"/>
    <w:rsid w:val="00402393"/>
    <w:rsid w:val="00402812"/>
    <w:rsid w:val="00402D0C"/>
    <w:rsid w:val="004030BA"/>
    <w:rsid w:val="004032A1"/>
    <w:rsid w:val="0040397F"/>
    <w:rsid w:val="00403C64"/>
    <w:rsid w:val="00403E21"/>
    <w:rsid w:val="00404058"/>
    <w:rsid w:val="004040EE"/>
    <w:rsid w:val="00404158"/>
    <w:rsid w:val="00404181"/>
    <w:rsid w:val="00404244"/>
    <w:rsid w:val="0040463D"/>
    <w:rsid w:val="00404CD9"/>
    <w:rsid w:val="00404D38"/>
    <w:rsid w:val="0040504B"/>
    <w:rsid w:val="004052E9"/>
    <w:rsid w:val="004056D4"/>
    <w:rsid w:val="004059F4"/>
    <w:rsid w:val="00405D0B"/>
    <w:rsid w:val="00405D30"/>
    <w:rsid w:val="00406227"/>
    <w:rsid w:val="004063F0"/>
    <w:rsid w:val="0040643F"/>
    <w:rsid w:val="00406731"/>
    <w:rsid w:val="004067DB"/>
    <w:rsid w:val="004075B5"/>
    <w:rsid w:val="00407B29"/>
    <w:rsid w:val="00407ED8"/>
    <w:rsid w:val="00407FE5"/>
    <w:rsid w:val="004101B0"/>
    <w:rsid w:val="00410326"/>
    <w:rsid w:val="00410355"/>
    <w:rsid w:val="0041044C"/>
    <w:rsid w:val="00410708"/>
    <w:rsid w:val="00410784"/>
    <w:rsid w:val="00410EC7"/>
    <w:rsid w:val="00411203"/>
    <w:rsid w:val="004117E7"/>
    <w:rsid w:val="00411AB2"/>
    <w:rsid w:val="00411B39"/>
    <w:rsid w:val="00411FE6"/>
    <w:rsid w:val="00412218"/>
    <w:rsid w:val="004127A7"/>
    <w:rsid w:val="00413113"/>
    <w:rsid w:val="0041317C"/>
    <w:rsid w:val="00413209"/>
    <w:rsid w:val="00413219"/>
    <w:rsid w:val="004136A0"/>
    <w:rsid w:val="00413A0C"/>
    <w:rsid w:val="00413A1E"/>
    <w:rsid w:val="00414476"/>
    <w:rsid w:val="00414C20"/>
    <w:rsid w:val="00414C2E"/>
    <w:rsid w:val="00414C65"/>
    <w:rsid w:val="00414E43"/>
    <w:rsid w:val="004151CF"/>
    <w:rsid w:val="0041581F"/>
    <w:rsid w:val="00415988"/>
    <w:rsid w:val="00416364"/>
    <w:rsid w:val="00416833"/>
    <w:rsid w:val="004172EA"/>
    <w:rsid w:val="00417939"/>
    <w:rsid w:val="00417B3B"/>
    <w:rsid w:val="00417BFC"/>
    <w:rsid w:val="004201F6"/>
    <w:rsid w:val="0042034A"/>
    <w:rsid w:val="0042047F"/>
    <w:rsid w:val="00420AA6"/>
    <w:rsid w:val="00420B9F"/>
    <w:rsid w:val="00420BF6"/>
    <w:rsid w:val="0042192C"/>
    <w:rsid w:val="00421E31"/>
    <w:rsid w:val="00422260"/>
    <w:rsid w:val="004229C9"/>
    <w:rsid w:val="00422F4E"/>
    <w:rsid w:val="004236C4"/>
    <w:rsid w:val="00423811"/>
    <w:rsid w:val="00423816"/>
    <w:rsid w:val="00423A27"/>
    <w:rsid w:val="00423DA4"/>
    <w:rsid w:val="00424096"/>
    <w:rsid w:val="0042413F"/>
    <w:rsid w:val="004241A2"/>
    <w:rsid w:val="00424AB5"/>
    <w:rsid w:val="00424CB7"/>
    <w:rsid w:val="004253FA"/>
    <w:rsid w:val="0042596F"/>
    <w:rsid w:val="00425EF8"/>
    <w:rsid w:val="0042646A"/>
    <w:rsid w:val="0042698C"/>
    <w:rsid w:val="00426FAC"/>
    <w:rsid w:val="00427640"/>
    <w:rsid w:val="00427AC6"/>
    <w:rsid w:val="00431195"/>
    <w:rsid w:val="0043173E"/>
    <w:rsid w:val="0043179C"/>
    <w:rsid w:val="00431944"/>
    <w:rsid w:val="004319F8"/>
    <w:rsid w:val="00431AC2"/>
    <w:rsid w:val="00431E55"/>
    <w:rsid w:val="004321F6"/>
    <w:rsid w:val="004323B5"/>
    <w:rsid w:val="0043249F"/>
    <w:rsid w:val="00432B65"/>
    <w:rsid w:val="00432DBB"/>
    <w:rsid w:val="00433044"/>
    <w:rsid w:val="00433098"/>
    <w:rsid w:val="004331AE"/>
    <w:rsid w:val="004335AE"/>
    <w:rsid w:val="00433764"/>
    <w:rsid w:val="004337CC"/>
    <w:rsid w:val="00433AF9"/>
    <w:rsid w:val="00433B61"/>
    <w:rsid w:val="00434088"/>
    <w:rsid w:val="00434531"/>
    <w:rsid w:val="004348D3"/>
    <w:rsid w:val="0043497A"/>
    <w:rsid w:val="00434ADC"/>
    <w:rsid w:val="00434C4E"/>
    <w:rsid w:val="00434CAB"/>
    <w:rsid w:val="00435622"/>
    <w:rsid w:val="00435F66"/>
    <w:rsid w:val="0043614F"/>
    <w:rsid w:val="004363AD"/>
    <w:rsid w:val="00436656"/>
    <w:rsid w:val="004368AC"/>
    <w:rsid w:val="00437072"/>
    <w:rsid w:val="004374C9"/>
    <w:rsid w:val="004375B9"/>
    <w:rsid w:val="004378AA"/>
    <w:rsid w:val="00440014"/>
    <w:rsid w:val="00440945"/>
    <w:rsid w:val="00440AEF"/>
    <w:rsid w:val="00440B44"/>
    <w:rsid w:val="00440F70"/>
    <w:rsid w:val="00441302"/>
    <w:rsid w:val="004417AC"/>
    <w:rsid w:val="00441DFC"/>
    <w:rsid w:val="00442646"/>
    <w:rsid w:val="0044269C"/>
    <w:rsid w:val="004428D0"/>
    <w:rsid w:val="00442936"/>
    <w:rsid w:val="00442B15"/>
    <w:rsid w:val="00442CD3"/>
    <w:rsid w:val="00442D00"/>
    <w:rsid w:val="00442DFF"/>
    <w:rsid w:val="00442F38"/>
    <w:rsid w:val="0044358F"/>
    <w:rsid w:val="004438CB"/>
    <w:rsid w:val="00443A5B"/>
    <w:rsid w:val="00443AAF"/>
    <w:rsid w:val="00444185"/>
    <w:rsid w:val="004443A7"/>
    <w:rsid w:val="0044442C"/>
    <w:rsid w:val="004446FE"/>
    <w:rsid w:val="00444708"/>
    <w:rsid w:val="00444895"/>
    <w:rsid w:val="00444BDF"/>
    <w:rsid w:val="00444BE9"/>
    <w:rsid w:val="00445116"/>
    <w:rsid w:val="00445912"/>
    <w:rsid w:val="00445941"/>
    <w:rsid w:val="00445AEF"/>
    <w:rsid w:val="00445BDC"/>
    <w:rsid w:val="004464EB"/>
    <w:rsid w:val="004469EC"/>
    <w:rsid w:val="00446C5B"/>
    <w:rsid w:val="00446C75"/>
    <w:rsid w:val="00446EFC"/>
    <w:rsid w:val="004471D5"/>
    <w:rsid w:val="00447412"/>
    <w:rsid w:val="00447D26"/>
    <w:rsid w:val="00447DFC"/>
    <w:rsid w:val="00450069"/>
    <w:rsid w:val="004503DF"/>
    <w:rsid w:val="004503E2"/>
    <w:rsid w:val="00450948"/>
    <w:rsid w:val="00450B66"/>
    <w:rsid w:val="00450BFC"/>
    <w:rsid w:val="00450D52"/>
    <w:rsid w:val="00451346"/>
    <w:rsid w:val="00451948"/>
    <w:rsid w:val="00452299"/>
    <w:rsid w:val="004523F6"/>
    <w:rsid w:val="00452594"/>
    <w:rsid w:val="0045284A"/>
    <w:rsid w:val="00452A96"/>
    <w:rsid w:val="00452B3F"/>
    <w:rsid w:val="00452E10"/>
    <w:rsid w:val="00453216"/>
    <w:rsid w:val="00453C90"/>
    <w:rsid w:val="00453CCF"/>
    <w:rsid w:val="00453DD1"/>
    <w:rsid w:val="00453F82"/>
    <w:rsid w:val="00454341"/>
    <w:rsid w:val="00454347"/>
    <w:rsid w:val="004549BE"/>
    <w:rsid w:val="00455CD5"/>
    <w:rsid w:val="00455D45"/>
    <w:rsid w:val="00456710"/>
    <w:rsid w:val="0045698E"/>
    <w:rsid w:val="004570D1"/>
    <w:rsid w:val="0045715A"/>
    <w:rsid w:val="00457E21"/>
    <w:rsid w:val="00457EAE"/>
    <w:rsid w:val="00461126"/>
    <w:rsid w:val="00461A9D"/>
    <w:rsid w:val="004622B6"/>
    <w:rsid w:val="0046275E"/>
    <w:rsid w:val="00462A4E"/>
    <w:rsid w:val="00462E77"/>
    <w:rsid w:val="00462EAF"/>
    <w:rsid w:val="00462F80"/>
    <w:rsid w:val="004635B2"/>
    <w:rsid w:val="004635BE"/>
    <w:rsid w:val="004636C5"/>
    <w:rsid w:val="0046370C"/>
    <w:rsid w:val="004639D9"/>
    <w:rsid w:val="00463D1E"/>
    <w:rsid w:val="004640D4"/>
    <w:rsid w:val="0046432E"/>
    <w:rsid w:val="004644DA"/>
    <w:rsid w:val="00464595"/>
    <w:rsid w:val="00464BC7"/>
    <w:rsid w:val="0046548C"/>
    <w:rsid w:val="004657B7"/>
    <w:rsid w:val="004658B5"/>
    <w:rsid w:val="00465CF4"/>
    <w:rsid w:val="00465E27"/>
    <w:rsid w:val="0046609B"/>
    <w:rsid w:val="00466802"/>
    <w:rsid w:val="00466B81"/>
    <w:rsid w:val="00466FA9"/>
    <w:rsid w:val="00467073"/>
    <w:rsid w:val="004671C1"/>
    <w:rsid w:val="004677A4"/>
    <w:rsid w:val="00470AF8"/>
    <w:rsid w:val="00470B5E"/>
    <w:rsid w:val="00470E60"/>
    <w:rsid w:val="0047183D"/>
    <w:rsid w:val="00471C3C"/>
    <w:rsid w:val="00471D0A"/>
    <w:rsid w:val="00471EA5"/>
    <w:rsid w:val="004722A7"/>
    <w:rsid w:val="004724C2"/>
    <w:rsid w:val="00472A79"/>
    <w:rsid w:val="00472BC7"/>
    <w:rsid w:val="00472C37"/>
    <w:rsid w:val="00472EE2"/>
    <w:rsid w:val="00472EFD"/>
    <w:rsid w:val="0047301A"/>
    <w:rsid w:val="0047305C"/>
    <w:rsid w:val="004737AD"/>
    <w:rsid w:val="00473D86"/>
    <w:rsid w:val="00473E2C"/>
    <w:rsid w:val="00473F19"/>
    <w:rsid w:val="004741CF"/>
    <w:rsid w:val="0047427A"/>
    <w:rsid w:val="004743FE"/>
    <w:rsid w:val="00474954"/>
    <w:rsid w:val="00474A2A"/>
    <w:rsid w:val="00474B42"/>
    <w:rsid w:val="00474D3C"/>
    <w:rsid w:val="00474F09"/>
    <w:rsid w:val="004753BB"/>
    <w:rsid w:val="0047565E"/>
    <w:rsid w:val="00475BA5"/>
    <w:rsid w:val="00475CE4"/>
    <w:rsid w:val="00475E22"/>
    <w:rsid w:val="00475F96"/>
    <w:rsid w:val="0047625D"/>
    <w:rsid w:val="004763F6"/>
    <w:rsid w:val="0047654E"/>
    <w:rsid w:val="00476B37"/>
    <w:rsid w:val="00476B8E"/>
    <w:rsid w:val="0047716D"/>
    <w:rsid w:val="004771CD"/>
    <w:rsid w:val="00477397"/>
    <w:rsid w:val="004774A4"/>
    <w:rsid w:val="004775B1"/>
    <w:rsid w:val="00477957"/>
    <w:rsid w:val="00477C93"/>
    <w:rsid w:val="00477D0E"/>
    <w:rsid w:val="00477D45"/>
    <w:rsid w:val="00477F79"/>
    <w:rsid w:val="00480306"/>
    <w:rsid w:val="004805D7"/>
    <w:rsid w:val="0048088E"/>
    <w:rsid w:val="00480F13"/>
    <w:rsid w:val="00480F2B"/>
    <w:rsid w:val="00480F35"/>
    <w:rsid w:val="00481626"/>
    <w:rsid w:val="004818D5"/>
    <w:rsid w:val="00481A98"/>
    <w:rsid w:val="00481C2B"/>
    <w:rsid w:val="00481D43"/>
    <w:rsid w:val="0048201F"/>
    <w:rsid w:val="00482720"/>
    <w:rsid w:val="0048291F"/>
    <w:rsid w:val="00482AFB"/>
    <w:rsid w:val="00482D40"/>
    <w:rsid w:val="00482DAE"/>
    <w:rsid w:val="004835E7"/>
    <w:rsid w:val="004838D5"/>
    <w:rsid w:val="00483CC1"/>
    <w:rsid w:val="0048474B"/>
    <w:rsid w:val="004849A1"/>
    <w:rsid w:val="00484A9F"/>
    <w:rsid w:val="00484E20"/>
    <w:rsid w:val="00485795"/>
    <w:rsid w:val="004858BE"/>
    <w:rsid w:val="004859E1"/>
    <w:rsid w:val="00485E1D"/>
    <w:rsid w:val="00485F64"/>
    <w:rsid w:val="00486403"/>
    <w:rsid w:val="004867E2"/>
    <w:rsid w:val="00486F82"/>
    <w:rsid w:val="004871BD"/>
    <w:rsid w:val="004873CE"/>
    <w:rsid w:val="00487491"/>
    <w:rsid w:val="00487B42"/>
    <w:rsid w:val="00487CC1"/>
    <w:rsid w:val="00487DC6"/>
    <w:rsid w:val="00487E76"/>
    <w:rsid w:val="004905BB"/>
    <w:rsid w:val="004906A5"/>
    <w:rsid w:val="004909D1"/>
    <w:rsid w:val="00490A31"/>
    <w:rsid w:val="00490B17"/>
    <w:rsid w:val="00490CE3"/>
    <w:rsid w:val="00490D3D"/>
    <w:rsid w:val="00490FB9"/>
    <w:rsid w:val="004914BC"/>
    <w:rsid w:val="00491620"/>
    <w:rsid w:val="00491A61"/>
    <w:rsid w:val="00491B3A"/>
    <w:rsid w:val="00491CEF"/>
    <w:rsid w:val="00491E60"/>
    <w:rsid w:val="00491E72"/>
    <w:rsid w:val="00492765"/>
    <w:rsid w:val="00492CFD"/>
    <w:rsid w:val="00492D7E"/>
    <w:rsid w:val="00492F84"/>
    <w:rsid w:val="00493121"/>
    <w:rsid w:val="0049315C"/>
    <w:rsid w:val="00493A6C"/>
    <w:rsid w:val="00493BCE"/>
    <w:rsid w:val="00494207"/>
    <w:rsid w:val="00494CB5"/>
    <w:rsid w:val="00494DD5"/>
    <w:rsid w:val="0049507C"/>
    <w:rsid w:val="00495533"/>
    <w:rsid w:val="0049566A"/>
    <w:rsid w:val="00495A20"/>
    <w:rsid w:val="00495D19"/>
    <w:rsid w:val="00495E83"/>
    <w:rsid w:val="004962D2"/>
    <w:rsid w:val="004963AD"/>
    <w:rsid w:val="004965E8"/>
    <w:rsid w:val="00496C9E"/>
    <w:rsid w:val="00496FED"/>
    <w:rsid w:val="00497011"/>
    <w:rsid w:val="004972DA"/>
    <w:rsid w:val="004973FD"/>
    <w:rsid w:val="0049753D"/>
    <w:rsid w:val="0049768F"/>
    <w:rsid w:val="00497B17"/>
    <w:rsid w:val="004A0739"/>
    <w:rsid w:val="004A0908"/>
    <w:rsid w:val="004A0DA1"/>
    <w:rsid w:val="004A0E57"/>
    <w:rsid w:val="004A13D6"/>
    <w:rsid w:val="004A175C"/>
    <w:rsid w:val="004A19FD"/>
    <w:rsid w:val="004A1B33"/>
    <w:rsid w:val="004A1CB3"/>
    <w:rsid w:val="004A1DE3"/>
    <w:rsid w:val="004A20AF"/>
    <w:rsid w:val="004A2B09"/>
    <w:rsid w:val="004A3118"/>
    <w:rsid w:val="004A3515"/>
    <w:rsid w:val="004A352B"/>
    <w:rsid w:val="004A3562"/>
    <w:rsid w:val="004A3B48"/>
    <w:rsid w:val="004A3B63"/>
    <w:rsid w:val="004A3C5C"/>
    <w:rsid w:val="004A3E48"/>
    <w:rsid w:val="004A44C6"/>
    <w:rsid w:val="004A52E9"/>
    <w:rsid w:val="004A5BB9"/>
    <w:rsid w:val="004A5C52"/>
    <w:rsid w:val="004A6040"/>
    <w:rsid w:val="004A6597"/>
    <w:rsid w:val="004A7107"/>
    <w:rsid w:val="004A7848"/>
    <w:rsid w:val="004A793B"/>
    <w:rsid w:val="004A7C16"/>
    <w:rsid w:val="004A7E53"/>
    <w:rsid w:val="004B01D0"/>
    <w:rsid w:val="004B03A5"/>
    <w:rsid w:val="004B1479"/>
    <w:rsid w:val="004B16CC"/>
    <w:rsid w:val="004B1CB4"/>
    <w:rsid w:val="004B26D1"/>
    <w:rsid w:val="004B2811"/>
    <w:rsid w:val="004B283F"/>
    <w:rsid w:val="004B29AF"/>
    <w:rsid w:val="004B2F18"/>
    <w:rsid w:val="004B3214"/>
    <w:rsid w:val="004B3444"/>
    <w:rsid w:val="004B355C"/>
    <w:rsid w:val="004B3714"/>
    <w:rsid w:val="004B3CCF"/>
    <w:rsid w:val="004B3D09"/>
    <w:rsid w:val="004B3DDB"/>
    <w:rsid w:val="004B436D"/>
    <w:rsid w:val="004B44FD"/>
    <w:rsid w:val="004B4912"/>
    <w:rsid w:val="004B501D"/>
    <w:rsid w:val="004B5147"/>
    <w:rsid w:val="004B51FE"/>
    <w:rsid w:val="004B556D"/>
    <w:rsid w:val="004B5C64"/>
    <w:rsid w:val="004B5CFC"/>
    <w:rsid w:val="004B679C"/>
    <w:rsid w:val="004B6DFC"/>
    <w:rsid w:val="004B6F79"/>
    <w:rsid w:val="004B70B9"/>
    <w:rsid w:val="004B774D"/>
    <w:rsid w:val="004B78A1"/>
    <w:rsid w:val="004B7B01"/>
    <w:rsid w:val="004C00F2"/>
    <w:rsid w:val="004C0952"/>
    <w:rsid w:val="004C1194"/>
    <w:rsid w:val="004C17B0"/>
    <w:rsid w:val="004C1AA8"/>
    <w:rsid w:val="004C1BD5"/>
    <w:rsid w:val="004C1FEB"/>
    <w:rsid w:val="004C2034"/>
    <w:rsid w:val="004C2054"/>
    <w:rsid w:val="004C2AC2"/>
    <w:rsid w:val="004C2E78"/>
    <w:rsid w:val="004C3287"/>
    <w:rsid w:val="004C358F"/>
    <w:rsid w:val="004C36BC"/>
    <w:rsid w:val="004C3A67"/>
    <w:rsid w:val="004C3AC8"/>
    <w:rsid w:val="004C3B02"/>
    <w:rsid w:val="004C403D"/>
    <w:rsid w:val="004C4815"/>
    <w:rsid w:val="004C4954"/>
    <w:rsid w:val="004C4AED"/>
    <w:rsid w:val="004C4FD2"/>
    <w:rsid w:val="004C5E40"/>
    <w:rsid w:val="004C6199"/>
    <w:rsid w:val="004C640F"/>
    <w:rsid w:val="004C6435"/>
    <w:rsid w:val="004C6AAF"/>
    <w:rsid w:val="004C6E00"/>
    <w:rsid w:val="004C6F36"/>
    <w:rsid w:val="004C7A2B"/>
    <w:rsid w:val="004D0D68"/>
    <w:rsid w:val="004D10FC"/>
    <w:rsid w:val="004D2439"/>
    <w:rsid w:val="004D26D4"/>
    <w:rsid w:val="004D28AB"/>
    <w:rsid w:val="004D2BA3"/>
    <w:rsid w:val="004D2C2D"/>
    <w:rsid w:val="004D3E8F"/>
    <w:rsid w:val="004D420B"/>
    <w:rsid w:val="004D451E"/>
    <w:rsid w:val="004D4671"/>
    <w:rsid w:val="004D477B"/>
    <w:rsid w:val="004D4831"/>
    <w:rsid w:val="004D4934"/>
    <w:rsid w:val="004D4BB1"/>
    <w:rsid w:val="004D4E61"/>
    <w:rsid w:val="004D533A"/>
    <w:rsid w:val="004D54B0"/>
    <w:rsid w:val="004D566C"/>
    <w:rsid w:val="004D5D66"/>
    <w:rsid w:val="004D5D70"/>
    <w:rsid w:val="004D5F65"/>
    <w:rsid w:val="004D6069"/>
    <w:rsid w:val="004D62FD"/>
    <w:rsid w:val="004D65D4"/>
    <w:rsid w:val="004D680E"/>
    <w:rsid w:val="004D687D"/>
    <w:rsid w:val="004D69B5"/>
    <w:rsid w:val="004D7227"/>
    <w:rsid w:val="004D724F"/>
    <w:rsid w:val="004D72B5"/>
    <w:rsid w:val="004D740F"/>
    <w:rsid w:val="004D78E2"/>
    <w:rsid w:val="004D7B3F"/>
    <w:rsid w:val="004D7B5E"/>
    <w:rsid w:val="004D7D46"/>
    <w:rsid w:val="004D7DAD"/>
    <w:rsid w:val="004D7EBE"/>
    <w:rsid w:val="004E016E"/>
    <w:rsid w:val="004E03CE"/>
    <w:rsid w:val="004E0C40"/>
    <w:rsid w:val="004E0E1B"/>
    <w:rsid w:val="004E0E7F"/>
    <w:rsid w:val="004E0EB8"/>
    <w:rsid w:val="004E0F94"/>
    <w:rsid w:val="004E1244"/>
    <w:rsid w:val="004E1773"/>
    <w:rsid w:val="004E17CF"/>
    <w:rsid w:val="004E18E9"/>
    <w:rsid w:val="004E1928"/>
    <w:rsid w:val="004E1D9D"/>
    <w:rsid w:val="004E224B"/>
    <w:rsid w:val="004E2337"/>
    <w:rsid w:val="004E23F4"/>
    <w:rsid w:val="004E26FF"/>
    <w:rsid w:val="004E28F3"/>
    <w:rsid w:val="004E2ADC"/>
    <w:rsid w:val="004E2DF9"/>
    <w:rsid w:val="004E33A1"/>
    <w:rsid w:val="004E33EC"/>
    <w:rsid w:val="004E36CA"/>
    <w:rsid w:val="004E3947"/>
    <w:rsid w:val="004E399A"/>
    <w:rsid w:val="004E39CB"/>
    <w:rsid w:val="004E4184"/>
    <w:rsid w:val="004E4265"/>
    <w:rsid w:val="004E43B2"/>
    <w:rsid w:val="004E475F"/>
    <w:rsid w:val="004E4C39"/>
    <w:rsid w:val="004E546D"/>
    <w:rsid w:val="004E6493"/>
    <w:rsid w:val="004E65DC"/>
    <w:rsid w:val="004E6A8F"/>
    <w:rsid w:val="004E6CC9"/>
    <w:rsid w:val="004E6EF1"/>
    <w:rsid w:val="004E713F"/>
    <w:rsid w:val="004E7679"/>
    <w:rsid w:val="004E7B32"/>
    <w:rsid w:val="004E7B68"/>
    <w:rsid w:val="004E7DA8"/>
    <w:rsid w:val="004E7E44"/>
    <w:rsid w:val="004F011F"/>
    <w:rsid w:val="004F03AF"/>
    <w:rsid w:val="004F041B"/>
    <w:rsid w:val="004F0676"/>
    <w:rsid w:val="004F087B"/>
    <w:rsid w:val="004F0D3B"/>
    <w:rsid w:val="004F1341"/>
    <w:rsid w:val="004F14F4"/>
    <w:rsid w:val="004F197B"/>
    <w:rsid w:val="004F1D02"/>
    <w:rsid w:val="004F1DCB"/>
    <w:rsid w:val="004F1E37"/>
    <w:rsid w:val="004F1E7D"/>
    <w:rsid w:val="004F1EE1"/>
    <w:rsid w:val="004F1F95"/>
    <w:rsid w:val="004F2175"/>
    <w:rsid w:val="004F2211"/>
    <w:rsid w:val="004F2679"/>
    <w:rsid w:val="004F2797"/>
    <w:rsid w:val="004F2A2B"/>
    <w:rsid w:val="004F2F21"/>
    <w:rsid w:val="004F370B"/>
    <w:rsid w:val="004F3C79"/>
    <w:rsid w:val="004F3DE5"/>
    <w:rsid w:val="004F3F14"/>
    <w:rsid w:val="004F4C9C"/>
    <w:rsid w:val="004F4CAA"/>
    <w:rsid w:val="004F5519"/>
    <w:rsid w:val="004F5544"/>
    <w:rsid w:val="004F5B98"/>
    <w:rsid w:val="004F5BFE"/>
    <w:rsid w:val="004F5FCB"/>
    <w:rsid w:val="004F62A3"/>
    <w:rsid w:val="004F63DB"/>
    <w:rsid w:val="004F6913"/>
    <w:rsid w:val="004F6930"/>
    <w:rsid w:val="004F6C56"/>
    <w:rsid w:val="004F6CC2"/>
    <w:rsid w:val="004F70D2"/>
    <w:rsid w:val="004F71CC"/>
    <w:rsid w:val="004F7354"/>
    <w:rsid w:val="004F77EF"/>
    <w:rsid w:val="004F7865"/>
    <w:rsid w:val="004F7B17"/>
    <w:rsid w:val="00500043"/>
    <w:rsid w:val="0050038C"/>
    <w:rsid w:val="00500841"/>
    <w:rsid w:val="0050092B"/>
    <w:rsid w:val="005009F0"/>
    <w:rsid w:val="005009F4"/>
    <w:rsid w:val="00500CF6"/>
    <w:rsid w:val="00500D02"/>
    <w:rsid w:val="005012DA"/>
    <w:rsid w:val="005015A4"/>
    <w:rsid w:val="0050174E"/>
    <w:rsid w:val="00501854"/>
    <w:rsid w:val="00501974"/>
    <w:rsid w:val="00501AF1"/>
    <w:rsid w:val="00501CA5"/>
    <w:rsid w:val="0050210C"/>
    <w:rsid w:val="0050211C"/>
    <w:rsid w:val="0050219B"/>
    <w:rsid w:val="0050252B"/>
    <w:rsid w:val="00502DBA"/>
    <w:rsid w:val="00503384"/>
    <w:rsid w:val="005033F6"/>
    <w:rsid w:val="005037EF"/>
    <w:rsid w:val="00503B86"/>
    <w:rsid w:val="00503F17"/>
    <w:rsid w:val="00503F3A"/>
    <w:rsid w:val="00504481"/>
    <w:rsid w:val="00504922"/>
    <w:rsid w:val="00504D12"/>
    <w:rsid w:val="00504E35"/>
    <w:rsid w:val="00505F60"/>
    <w:rsid w:val="00506928"/>
    <w:rsid w:val="00506F44"/>
    <w:rsid w:val="00506FB7"/>
    <w:rsid w:val="0050704D"/>
    <w:rsid w:val="005070E8"/>
    <w:rsid w:val="00507436"/>
    <w:rsid w:val="00507523"/>
    <w:rsid w:val="00507640"/>
    <w:rsid w:val="005077EF"/>
    <w:rsid w:val="00510C47"/>
    <w:rsid w:val="0051114D"/>
    <w:rsid w:val="005112B9"/>
    <w:rsid w:val="00511977"/>
    <w:rsid w:val="00511987"/>
    <w:rsid w:val="00511AD5"/>
    <w:rsid w:val="00511DC7"/>
    <w:rsid w:val="0051215C"/>
    <w:rsid w:val="00512439"/>
    <w:rsid w:val="005124D2"/>
    <w:rsid w:val="00512656"/>
    <w:rsid w:val="00512E2C"/>
    <w:rsid w:val="005137D5"/>
    <w:rsid w:val="005142C5"/>
    <w:rsid w:val="00514590"/>
    <w:rsid w:val="0051463F"/>
    <w:rsid w:val="00514B5D"/>
    <w:rsid w:val="00514F45"/>
    <w:rsid w:val="0051501B"/>
    <w:rsid w:val="005152B5"/>
    <w:rsid w:val="0051563B"/>
    <w:rsid w:val="0051563D"/>
    <w:rsid w:val="00515886"/>
    <w:rsid w:val="005159B0"/>
    <w:rsid w:val="00515CAB"/>
    <w:rsid w:val="00515F5A"/>
    <w:rsid w:val="00516067"/>
    <w:rsid w:val="005160D8"/>
    <w:rsid w:val="005161F4"/>
    <w:rsid w:val="005167DA"/>
    <w:rsid w:val="005167FA"/>
    <w:rsid w:val="00517A1C"/>
    <w:rsid w:val="005207F6"/>
    <w:rsid w:val="00520B8C"/>
    <w:rsid w:val="00520D77"/>
    <w:rsid w:val="00520F4F"/>
    <w:rsid w:val="0052117A"/>
    <w:rsid w:val="0052123C"/>
    <w:rsid w:val="00521319"/>
    <w:rsid w:val="0052173E"/>
    <w:rsid w:val="005217F0"/>
    <w:rsid w:val="00521900"/>
    <w:rsid w:val="00521D1D"/>
    <w:rsid w:val="00521E37"/>
    <w:rsid w:val="0052214B"/>
    <w:rsid w:val="00522328"/>
    <w:rsid w:val="005225D0"/>
    <w:rsid w:val="00522BC8"/>
    <w:rsid w:val="00523107"/>
    <w:rsid w:val="0052323D"/>
    <w:rsid w:val="0052366D"/>
    <w:rsid w:val="0052367C"/>
    <w:rsid w:val="005237B6"/>
    <w:rsid w:val="00523B38"/>
    <w:rsid w:val="00523C28"/>
    <w:rsid w:val="005240C8"/>
    <w:rsid w:val="00524321"/>
    <w:rsid w:val="005244BA"/>
    <w:rsid w:val="00524871"/>
    <w:rsid w:val="005249C9"/>
    <w:rsid w:val="00525372"/>
    <w:rsid w:val="005256FB"/>
    <w:rsid w:val="00525BF1"/>
    <w:rsid w:val="005264C0"/>
    <w:rsid w:val="0052650F"/>
    <w:rsid w:val="00526599"/>
    <w:rsid w:val="005271F3"/>
    <w:rsid w:val="00527429"/>
    <w:rsid w:val="0052771A"/>
    <w:rsid w:val="00527813"/>
    <w:rsid w:val="00527F09"/>
    <w:rsid w:val="00530261"/>
    <w:rsid w:val="005302DD"/>
    <w:rsid w:val="00530356"/>
    <w:rsid w:val="00530696"/>
    <w:rsid w:val="00530955"/>
    <w:rsid w:val="00530CEC"/>
    <w:rsid w:val="00530D98"/>
    <w:rsid w:val="005313B2"/>
    <w:rsid w:val="0053176B"/>
    <w:rsid w:val="00531C1B"/>
    <w:rsid w:val="00531F4B"/>
    <w:rsid w:val="005323DB"/>
    <w:rsid w:val="005325D4"/>
    <w:rsid w:val="00532978"/>
    <w:rsid w:val="005329C6"/>
    <w:rsid w:val="00533330"/>
    <w:rsid w:val="0053374F"/>
    <w:rsid w:val="00533CE2"/>
    <w:rsid w:val="00533F5B"/>
    <w:rsid w:val="005341B3"/>
    <w:rsid w:val="0053448B"/>
    <w:rsid w:val="00534EE1"/>
    <w:rsid w:val="00535C1D"/>
    <w:rsid w:val="00535D00"/>
    <w:rsid w:val="00535DB5"/>
    <w:rsid w:val="00536078"/>
    <w:rsid w:val="005360BC"/>
    <w:rsid w:val="0053615D"/>
    <w:rsid w:val="00536339"/>
    <w:rsid w:val="00536652"/>
    <w:rsid w:val="005368F4"/>
    <w:rsid w:val="00536A65"/>
    <w:rsid w:val="00536D8E"/>
    <w:rsid w:val="00536F42"/>
    <w:rsid w:val="00537182"/>
    <w:rsid w:val="0053778C"/>
    <w:rsid w:val="0053794D"/>
    <w:rsid w:val="00537C04"/>
    <w:rsid w:val="005401C7"/>
    <w:rsid w:val="0054137E"/>
    <w:rsid w:val="00541550"/>
    <w:rsid w:val="005419CF"/>
    <w:rsid w:val="00541DB1"/>
    <w:rsid w:val="00541DEC"/>
    <w:rsid w:val="00541EDD"/>
    <w:rsid w:val="0054200E"/>
    <w:rsid w:val="00542743"/>
    <w:rsid w:val="00542C2D"/>
    <w:rsid w:val="00542F6B"/>
    <w:rsid w:val="00543283"/>
    <w:rsid w:val="00543374"/>
    <w:rsid w:val="00543484"/>
    <w:rsid w:val="00543643"/>
    <w:rsid w:val="00544037"/>
    <w:rsid w:val="005443D0"/>
    <w:rsid w:val="0054452E"/>
    <w:rsid w:val="005446B8"/>
    <w:rsid w:val="00544982"/>
    <w:rsid w:val="005460E3"/>
    <w:rsid w:val="00546C5F"/>
    <w:rsid w:val="00546FD2"/>
    <w:rsid w:val="00547263"/>
    <w:rsid w:val="00547546"/>
    <w:rsid w:val="005478BD"/>
    <w:rsid w:val="005479E3"/>
    <w:rsid w:val="00547AB7"/>
    <w:rsid w:val="00547BD1"/>
    <w:rsid w:val="00547FE9"/>
    <w:rsid w:val="005500B7"/>
    <w:rsid w:val="0055018E"/>
    <w:rsid w:val="00550447"/>
    <w:rsid w:val="005504ED"/>
    <w:rsid w:val="00550782"/>
    <w:rsid w:val="0055097B"/>
    <w:rsid w:val="00550BB1"/>
    <w:rsid w:val="00550D95"/>
    <w:rsid w:val="0055102A"/>
    <w:rsid w:val="0055103C"/>
    <w:rsid w:val="00551590"/>
    <w:rsid w:val="00551985"/>
    <w:rsid w:val="00551BDF"/>
    <w:rsid w:val="00551CC7"/>
    <w:rsid w:val="00551FE6"/>
    <w:rsid w:val="00552BD3"/>
    <w:rsid w:val="00552DB6"/>
    <w:rsid w:val="00552F30"/>
    <w:rsid w:val="005532A0"/>
    <w:rsid w:val="00553A6F"/>
    <w:rsid w:val="00553AD8"/>
    <w:rsid w:val="00553CCC"/>
    <w:rsid w:val="00553D27"/>
    <w:rsid w:val="00553EB3"/>
    <w:rsid w:val="00553F26"/>
    <w:rsid w:val="00553F8B"/>
    <w:rsid w:val="00554C7A"/>
    <w:rsid w:val="00555109"/>
    <w:rsid w:val="005558CC"/>
    <w:rsid w:val="00556012"/>
    <w:rsid w:val="0055602C"/>
    <w:rsid w:val="00556127"/>
    <w:rsid w:val="00556B35"/>
    <w:rsid w:val="00557062"/>
    <w:rsid w:val="0055725A"/>
    <w:rsid w:val="0055741A"/>
    <w:rsid w:val="00557597"/>
    <w:rsid w:val="0055799F"/>
    <w:rsid w:val="00560221"/>
    <w:rsid w:val="0056040F"/>
    <w:rsid w:val="0056072E"/>
    <w:rsid w:val="00560AC9"/>
    <w:rsid w:val="00560EF3"/>
    <w:rsid w:val="005610E7"/>
    <w:rsid w:val="005611B7"/>
    <w:rsid w:val="0056129C"/>
    <w:rsid w:val="00561567"/>
    <w:rsid w:val="005618D4"/>
    <w:rsid w:val="00561EEF"/>
    <w:rsid w:val="00562248"/>
    <w:rsid w:val="005624E2"/>
    <w:rsid w:val="005629A4"/>
    <w:rsid w:val="00562AE1"/>
    <w:rsid w:val="00562F7D"/>
    <w:rsid w:val="005638C1"/>
    <w:rsid w:val="005639D4"/>
    <w:rsid w:val="00563FEA"/>
    <w:rsid w:val="00564867"/>
    <w:rsid w:val="005648CF"/>
    <w:rsid w:val="00564F82"/>
    <w:rsid w:val="0056508D"/>
    <w:rsid w:val="0056511F"/>
    <w:rsid w:val="00565250"/>
    <w:rsid w:val="00565C79"/>
    <w:rsid w:val="00565DF0"/>
    <w:rsid w:val="00565FF4"/>
    <w:rsid w:val="0056612C"/>
    <w:rsid w:val="00566472"/>
    <w:rsid w:val="005664C3"/>
    <w:rsid w:val="0056696F"/>
    <w:rsid w:val="0056734B"/>
    <w:rsid w:val="0056739B"/>
    <w:rsid w:val="00567A70"/>
    <w:rsid w:val="00567CB4"/>
    <w:rsid w:val="00567D60"/>
    <w:rsid w:val="00570C34"/>
    <w:rsid w:val="00571039"/>
    <w:rsid w:val="00571522"/>
    <w:rsid w:val="00571DF3"/>
    <w:rsid w:val="00571F1D"/>
    <w:rsid w:val="00572269"/>
    <w:rsid w:val="0057240B"/>
    <w:rsid w:val="0057244A"/>
    <w:rsid w:val="00572A03"/>
    <w:rsid w:val="00572A29"/>
    <w:rsid w:val="00572AEA"/>
    <w:rsid w:val="00572DC1"/>
    <w:rsid w:val="00572E18"/>
    <w:rsid w:val="00572F26"/>
    <w:rsid w:val="0057386A"/>
    <w:rsid w:val="00574953"/>
    <w:rsid w:val="00574FAA"/>
    <w:rsid w:val="005750C5"/>
    <w:rsid w:val="00575114"/>
    <w:rsid w:val="00575235"/>
    <w:rsid w:val="00575297"/>
    <w:rsid w:val="005752DE"/>
    <w:rsid w:val="00575609"/>
    <w:rsid w:val="00575638"/>
    <w:rsid w:val="0057599B"/>
    <w:rsid w:val="00575D0D"/>
    <w:rsid w:val="00575D5E"/>
    <w:rsid w:val="00575D60"/>
    <w:rsid w:val="00575D8D"/>
    <w:rsid w:val="00575E22"/>
    <w:rsid w:val="00575E8C"/>
    <w:rsid w:val="0057616C"/>
    <w:rsid w:val="005764D3"/>
    <w:rsid w:val="00576972"/>
    <w:rsid w:val="00576988"/>
    <w:rsid w:val="00576D4B"/>
    <w:rsid w:val="00576EE5"/>
    <w:rsid w:val="00576FA9"/>
    <w:rsid w:val="00576FBD"/>
    <w:rsid w:val="00577188"/>
    <w:rsid w:val="00577248"/>
    <w:rsid w:val="00577492"/>
    <w:rsid w:val="00577AA5"/>
    <w:rsid w:val="00577BEC"/>
    <w:rsid w:val="00577DED"/>
    <w:rsid w:val="00580C63"/>
    <w:rsid w:val="00580CDA"/>
    <w:rsid w:val="00580D03"/>
    <w:rsid w:val="005814F5"/>
    <w:rsid w:val="00581751"/>
    <w:rsid w:val="00581CFE"/>
    <w:rsid w:val="00581EEA"/>
    <w:rsid w:val="00581FD2"/>
    <w:rsid w:val="005820C5"/>
    <w:rsid w:val="00582471"/>
    <w:rsid w:val="00582937"/>
    <w:rsid w:val="005829E0"/>
    <w:rsid w:val="00582AC7"/>
    <w:rsid w:val="00582B4E"/>
    <w:rsid w:val="00582E71"/>
    <w:rsid w:val="00583068"/>
    <w:rsid w:val="00583699"/>
    <w:rsid w:val="00583907"/>
    <w:rsid w:val="00583F9B"/>
    <w:rsid w:val="0058423D"/>
    <w:rsid w:val="00584399"/>
    <w:rsid w:val="00584834"/>
    <w:rsid w:val="005849A4"/>
    <w:rsid w:val="00585491"/>
    <w:rsid w:val="00585624"/>
    <w:rsid w:val="00585673"/>
    <w:rsid w:val="00585789"/>
    <w:rsid w:val="005858BC"/>
    <w:rsid w:val="00585963"/>
    <w:rsid w:val="00585A64"/>
    <w:rsid w:val="00585CDD"/>
    <w:rsid w:val="00587058"/>
    <w:rsid w:val="00587340"/>
    <w:rsid w:val="00587773"/>
    <w:rsid w:val="00587AA0"/>
    <w:rsid w:val="00587DC7"/>
    <w:rsid w:val="00587F5D"/>
    <w:rsid w:val="00590008"/>
    <w:rsid w:val="0059007C"/>
    <w:rsid w:val="005907C9"/>
    <w:rsid w:val="00590F22"/>
    <w:rsid w:val="005918A0"/>
    <w:rsid w:val="00591957"/>
    <w:rsid w:val="00591EA0"/>
    <w:rsid w:val="00592972"/>
    <w:rsid w:val="00592E52"/>
    <w:rsid w:val="0059382F"/>
    <w:rsid w:val="00593E01"/>
    <w:rsid w:val="00593ED9"/>
    <w:rsid w:val="00593FFF"/>
    <w:rsid w:val="00594554"/>
    <w:rsid w:val="00594639"/>
    <w:rsid w:val="00594948"/>
    <w:rsid w:val="00595359"/>
    <w:rsid w:val="00595680"/>
    <w:rsid w:val="00595B2C"/>
    <w:rsid w:val="00595E7E"/>
    <w:rsid w:val="005960AD"/>
    <w:rsid w:val="00596DF6"/>
    <w:rsid w:val="005974B3"/>
    <w:rsid w:val="00597BF9"/>
    <w:rsid w:val="00597F02"/>
    <w:rsid w:val="005A044D"/>
    <w:rsid w:val="005A048D"/>
    <w:rsid w:val="005A076D"/>
    <w:rsid w:val="005A079E"/>
    <w:rsid w:val="005A0B59"/>
    <w:rsid w:val="005A0C11"/>
    <w:rsid w:val="005A1C34"/>
    <w:rsid w:val="005A2C11"/>
    <w:rsid w:val="005A2C95"/>
    <w:rsid w:val="005A309A"/>
    <w:rsid w:val="005A334A"/>
    <w:rsid w:val="005A373D"/>
    <w:rsid w:val="005A3A2B"/>
    <w:rsid w:val="005A450E"/>
    <w:rsid w:val="005A452C"/>
    <w:rsid w:val="005A46CE"/>
    <w:rsid w:val="005A4E87"/>
    <w:rsid w:val="005A565F"/>
    <w:rsid w:val="005A5679"/>
    <w:rsid w:val="005A623F"/>
    <w:rsid w:val="005A6D03"/>
    <w:rsid w:val="005A703B"/>
    <w:rsid w:val="005A76C3"/>
    <w:rsid w:val="005A79D5"/>
    <w:rsid w:val="005A7E1D"/>
    <w:rsid w:val="005A7FE7"/>
    <w:rsid w:val="005B0196"/>
    <w:rsid w:val="005B05DD"/>
    <w:rsid w:val="005B0647"/>
    <w:rsid w:val="005B0753"/>
    <w:rsid w:val="005B095F"/>
    <w:rsid w:val="005B09A9"/>
    <w:rsid w:val="005B0B58"/>
    <w:rsid w:val="005B0C61"/>
    <w:rsid w:val="005B0E2D"/>
    <w:rsid w:val="005B11FF"/>
    <w:rsid w:val="005B1B5E"/>
    <w:rsid w:val="005B2203"/>
    <w:rsid w:val="005B22E5"/>
    <w:rsid w:val="005B2727"/>
    <w:rsid w:val="005B2812"/>
    <w:rsid w:val="005B2A09"/>
    <w:rsid w:val="005B2FC3"/>
    <w:rsid w:val="005B3326"/>
    <w:rsid w:val="005B35A2"/>
    <w:rsid w:val="005B3610"/>
    <w:rsid w:val="005B3ABF"/>
    <w:rsid w:val="005B3D96"/>
    <w:rsid w:val="005B4028"/>
    <w:rsid w:val="005B40FD"/>
    <w:rsid w:val="005B43A8"/>
    <w:rsid w:val="005B4693"/>
    <w:rsid w:val="005B46AE"/>
    <w:rsid w:val="005B4E53"/>
    <w:rsid w:val="005B505B"/>
    <w:rsid w:val="005B5857"/>
    <w:rsid w:val="005B5AA7"/>
    <w:rsid w:val="005B5AC3"/>
    <w:rsid w:val="005B61E6"/>
    <w:rsid w:val="005B63AF"/>
    <w:rsid w:val="005B64C5"/>
    <w:rsid w:val="005B6D64"/>
    <w:rsid w:val="005B6EF1"/>
    <w:rsid w:val="005B7010"/>
    <w:rsid w:val="005B704F"/>
    <w:rsid w:val="005B7955"/>
    <w:rsid w:val="005B7B3F"/>
    <w:rsid w:val="005B7BE0"/>
    <w:rsid w:val="005B7E45"/>
    <w:rsid w:val="005C0190"/>
    <w:rsid w:val="005C0256"/>
    <w:rsid w:val="005C0927"/>
    <w:rsid w:val="005C0DBC"/>
    <w:rsid w:val="005C0E09"/>
    <w:rsid w:val="005C19C4"/>
    <w:rsid w:val="005C1B83"/>
    <w:rsid w:val="005C1C92"/>
    <w:rsid w:val="005C1CA2"/>
    <w:rsid w:val="005C1FB9"/>
    <w:rsid w:val="005C1FD6"/>
    <w:rsid w:val="005C25FF"/>
    <w:rsid w:val="005C2D55"/>
    <w:rsid w:val="005C2ED8"/>
    <w:rsid w:val="005C31BA"/>
    <w:rsid w:val="005C346B"/>
    <w:rsid w:val="005C3F13"/>
    <w:rsid w:val="005C3F35"/>
    <w:rsid w:val="005C4220"/>
    <w:rsid w:val="005C42B4"/>
    <w:rsid w:val="005C42DA"/>
    <w:rsid w:val="005C499F"/>
    <w:rsid w:val="005C4C1E"/>
    <w:rsid w:val="005C4CA2"/>
    <w:rsid w:val="005C4E7F"/>
    <w:rsid w:val="005C533B"/>
    <w:rsid w:val="005C57EE"/>
    <w:rsid w:val="005C5A12"/>
    <w:rsid w:val="005C5ABC"/>
    <w:rsid w:val="005C5CAD"/>
    <w:rsid w:val="005C5E07"/>
    <w:rsid w:val="005C60A6"/>
    <w:rsid w:val="005C6165"/>
    <w:rsid w:val="005C61E2"/>
    <w:rsid w:val="005C63F7"/>
    <w:rsid w:val="005C6BBC"/>
    <w:rsid w:val="005C730D"/>
    <w:rsid w:val="005C76B9"/>
    <w:rsid w:val="005C7755"/>
    <w:rsid w:val="005C7A5F"/>
    <w:rsid w:val="005C7B75"/>
    <w:rsid w:val="005C7CAD"/>
    <w:rsid w:val="005C7F84"/>
    <w:rsid w:val="005D0081"/>
    <w:rsid w:val="005D016F"/>
    <w:rsid w:val="005D0219"/>
    <w:rsid w:val="005D0282"/>
    <w:rsid w:val="005D02FE"/>
    <w:rsid w:val="005D044D"/>
    <w:rsid w:val="005D08DA"/>
    <w:rsid w:val="005D090C"/>
    <w:rsid w:val="005D0AA3"/>
    <w:rsid w:val="005D0ABD"/>
    <w:rsid w:val="005D149E"/>
    <w:rsid w:val="005D18AD"/>
    <w:rsid w:val="005D1A05"/>
    <w:rsid w:val="005D26B4"/>
    <w:rsid w:val="005D27A1"/>
    <w:rsid w:val="005D29A0"/>
    <w:rsid w:val="005D2C99"/>
    <w:rsid w:val="005D2D4A"/>
    <w:rsid w:val="005D331A"/>
    <w:rsid w:val="005D3418"/>
    <w:rsid w:val="005D3B75"/>
    <w:rsid w:val="005D4593"/>
    <w:rsid w:val="005D4A79"/>
    <w:rsid w:val="005D5104"/>
    <w:rsid w:val="005D5234"/>
    <w:rsid w:val="005D54D1"/>
    <w:rsid w:val="005D5D0C"/>
    <w:rsid w:val="005D656F"/>
    <w:rsid w:val="005D6A7F"/>
    <w:rsid w:val="005D6F3E"/>
    <w:rsid w:val="005D71D3"/>
    <w:rsid w:val="005D7237"/>
    <w:rsid w:val="005D73F2"/>
    <w:rsid w:val="005D74E7"/>
    <w:rsid w:val="005D75CF"/>
    <w:rsid w:val="005D7BD4"/>
    <w:rsid w:val="005E0057"/>
    <w:rsid w:val="005E035B"/>
    <w:rsid w:val="005E0B8E"/>
    <w:rsid w:val="005E104A"/>
    <w:rsid w:val="005E1217"/>
    <w:rsid w:val="005E1874"/>
    <w:rsid w:val="005E1995"/>
    <w:rsid w:val="005E1A7B"/>
    <w:rsid w:val="005E1AA3"/>
    <w:rsid w:val="005E1DE0"/>
    <w:rsid w:val="005E2176"/>
    <w:rsid w:val="005E2203"/>
    <w:rsid w:val="005E22AC"/>
    <w:rsid w:val="005E2413"/>
    <w:rsid w:val="005E2504"/>
    <w:rsid w:val="005E2979"/>
    <w:rsid w:val="005E2AAB"/>
    <w:rsid w:val="005E2D94"/>
    <w:rsid w:val="005E2F65"/>
    <w:rsid w:val="005E3567"/>
    <w:rsid w:val="005E3681"/>
    <w:rsid w:val="005E3987"/>
    <w:rsid w:val="005E39CC"/>
    <w:rsid w:val="005E3FA0"/>
    <w:rsid w:val="005E402C"/>
    <w:rsid w:val="005E405F"/>
    <w:rsid w:val="005E4531"/>
    <w:rsid w:val="005E4700"/>
    <w:rsid w:val="005E49CA"/>
    <w:rsid w:val="005E4BF7"/>
    <w:rsid w:val="005E523E"/>
    <w:rsid w:val="005E5491"/>
    <w:rsid w:val="005E56D4"/>
    <w:rsid w:val="005E585A"/>
    <w:rsid w:val="005E59DC"/>
    <w:rsid w:val="005E6759"/>
    <w:rsid w:val="005E6BD4"/>
    <w:rsid w:val="005E6C17"/>
    <w:rsid w:val="005E6CBC"/>
    <w:rsid w:val="005E708D"/>
    <w:rsid w:val="005E72FF"/>
    <w:rsid w:val="005E7397"/>
    <w:rsid w:val="005E73C0"/>
    <w:rsid w:val="005E7867"/>
    <w:rsid w:val="005F07ED"/>
    <w:rsid w:val="005F0945"/>
    <w:rsid w:val="005F13B0"/>
    <w:rsid w:val="005F23C7"/>
    <w:rsid w:val="005F2556"/>
    <w:rsid w:val="005F2706"/>
    <w:rsid w:val="005F2C3C"/>
    <w:rsid w:val="005F2C7F"/>
    <w:rsid w:val="005F3A1C"/>
    <w:rsid w:val="005F3E6A"/>
    <w:rsid w:val="005F48F1"/>
    <w:rsid w:val="005F4E1F"/>
    <w:rsid w:val="005F5089"/>
    <w:rsid w:val="005F55B6"/>
    <w:rsid w:val="005F5994"/>
    <w:rsid w:val="005F5A2A"/>
    <w:rsid w:val="005F5B09"/>
    <w:rsid w:val="005F5CFA"/>
    <w:rsid w:val="005F64A4"/>
    <w:rsid w:val="005F6775"/>
    <w:rsid w:val="005F680D"/>
    <w:rsid w:val="005F68B8"/>
    <w:rsid w:val="005F6A8F"/>
    <w:rsid w:val="005F6BB7"/>
    <w:rsid w:val="005F6EE4"/>
    <w:rsid w:val="005F7588"/>
    <w:rsid w:val="005F777D"/>
    <w:rsid w:val="005F7916"/>
    <w:rsid w:val="005F79E5"/>
    <w:rsid w:val="005F7F06"/>
    <w:rsid w:val="006009B9"/>
    <w:rsid w:val="00600A1B"/>
    <w:rsid w:val="00600CBD"/>
    <w:rsid w:val="00600EBB"/>
    <w:rsid w:val="00601560"/>
    <w:rsid w:val="00601B43"/>
    <w:rsid w:val="00601E0E"/>
    <w:rsid w:val="00602054"/>
    <w:rsid w:val="006022D3"/>
    <w:rsid w:val="00602787"/>
    <w:rsid w:val="006028D3"/>
    <w:rsid w:val="00602964"/>
    <w:rsid w:val="006033FC"/>
    <w:rsid w:val="006034B8"/>
    <w:rsid w:val="00603556"/>
    <w:rsid w:val="006037C5"/>
    <w:rsid w:val="00603B5A"/>
    <w:rsid w:val="00603CA3"/>
    <w:rsid w:val="00603DB9"/>
    <w:rsid w:val="00604771"/>
    <w:rsid w:val="00604C0F"/>
    <w:rsid w:val="00605240"/>
    <w:rsid w:val="00605523"/>
    <w:rsid w:val="006061B4"/>
    <w:rsid w:val="0060644E"/>
    <w:rsid w:val="0060677B"/>
    <w:rsid w:val="006068EA"/>
    <w:rsid w:val="006069AA"/>
    <w:rsid w:val="00606DD3"/>
    <w:rsid w:val="00606FBA"/>
    <w:rsid w:val="00607407"/>
    <w:rsid w:val="00607669"/>
    <w:rsid w:val="006076F4"/>
    <w:rsid w:val="006079D7"/>
    <w:rsid w:val="00607AEC"/>
    <w:rsid w:val="00607AFD"/>
    <w:rsid w:val="00607BA0"/>
    <w:rsid w:val="00607DA0"/>
    <w:rsid w:val="00610090"/>
    <w:rsid w:val="0061124D"/>
    <w:rsid w:val="006112AE"/>
    <w:rsid w:val="006115B2"/>
    <w:rsid w:val="006116A3"/>
    <w:rsid w:val="00611A30"/>
    <w:rsid w:val="00611B12"/>
    <w:rsid w:val="00611E07"/>
    <w:rsid w:val="006121FA"/>
    <w:rsid w:val="0061235E"/>
    <w:rsid w:val="0061264D"/>
    <w:rsid w:val="00612F97"/>
    <w:rsid w:val="0061345D"/>
    <w:rsid w:val="00613CE9"/>
    <w:rsid w:val="006143A6"/>
    <w:rsid w:val="00614E4E"/>
    <w:rsid w:val="00614F09"/>
    <w:rsid w:val="0061540B"/>
    <w:rsid w:val="00615487"/>
    <w:rsid w:val="0061549B"/>
    <w:rsid w:val="00615E4D"/>
    <w:rsid w:val="0061614C"/>
    <w:rsid w:val="00616178"/>
    <w:rsid w:val="006163B9"/>
    <w:rsid w:val="00616576"/>
    <w:rsid w:val="00616630"/>
    <w:rsid w:val="00616802"/>
    <w:rsid w:val="00616AE3"/>
    <w:rsid w:val="00616C1E"/>
    <w:rsid w:val="00617166"/>
    <w:rsid w:val="00617203"/>
    <w:rsid w:val="00617246"/>
    <w:rsid w:val="0061741C"/>
    <w:rsid w:val="006174F5"/>
    <w:rsid w:val="00617E12"/>
    <w:rsid w:val="00617EEE"/>
    <w:rsid w:val="00620340"/>
    <w:rsid w:val="0062074E"/>
    <w:rsid w:val="006208E2"/>
    <w:rsid w:val="00620A01"/>
    <w:rsid w:val="00620C25"/>
    <w:rsid w:val="00620C47"/>
    <w:rsid w:val="00620F08"/>
    <w:rsid w:val="006210E7"/>
    <w:rsid w:val="006211FE"/>
    <w:rsid w:val="00621477"/>
    <w:rsid w:val="0062185B"/>
    <w:rsid w:val="00621ADA"/>
    <w:rsid w:val="00621C37"/>
    <w:rsid w:val="00621CCA"/>
    <w:rsid w:val="00621D25"/>
    <w:rsid w:val="00622289"/>
    <w:rsid w:val="006229DF"/>
    <w:rsid w:val="00622B88"/>
    <w:rsid w:val="00622B99"/>
    <w:rsid w:val="00622E67"/>
    <w:rsid w:val="006231C1"/>
    <w:rsid w:val="006239EC"/>
    <w:rsid w:val="00623AAB"/>
    <w:rsid w:val="00623C79"/>
    <w:rsid w:val="00623EC3"/>
    <w:rsid w:val="00623F7B"/>
    <w:rsid w:val="0062406B"/>
    <w:rsid w:val="0062429C"/>
    <w:rsid w:val="006246A6"/>
    <w:rsid w:val="00624AA7"/>
    <w:rsid w:val="00624BD4"/>
    <w:rsid w:val="00624D15"/>
    <w:rsid w:val="00624EFA"/>
    <w:rsid w:val="00624F35"/>
    <w:rsid w:val="00624FAE"/>
    <w:rsid w:val="006253B1"/>
    <w:rsid w:val="006254D3"/>
    <w:rsid w:val="006254F6"/>
    <w:rsid w:val="00625707"/>
    <w:rsid w:val="006258E7"/>
    <w:rsid w:val="00625A97"/>
    <w:rsid w:val="00625C41"/>
    <w:rsid w:val="00626265"/>
    <w:rsid w:val="006262F8"/>
    <w:rsid w:val="006266F5"/>
    <w:rsid w:val="0062680E"/>
    <w:rsid w:val="00626CB8"/>
    <w:rsid w:val="00626DA1"/>
    <w:rsid w:val="00626E7E"/>
    <w:rsid w:val="006272CB"/>
    <w:rsid w:val="00627621"/>
    <w:rsid w:val="00627671"/>
    <w:rsid w:val="006276A3"/>
    <w:rsid w:val="006277AF"/>
    <w:rsid w:val="00627AE8"/>
    <w:rsid w:val="00627B32"/>
    <w:rsid w:val="00627C29"/>
    <w:rsid w:val="00627D16"/>
    <w:rsid w:val="0063015A"/>
    <w:rsid w:val="006305E5"/>
    <w:rsid w:val="0063074D"/>
    <w:rsid w:val="00630952"/>
    <w:rsid w:val="00630976"/>
    <w:rsid w:val="00630A63"/>
    <w:rsid w:val="00630FB4"/>
    <w:rsid w:val="00631507"/>
    <w:rsid w:val="0063158F"/>
    <w:rsid w:val="00631729"/>
    <w:rsid w:val="00631A19"/>
    <w:rsid w:val="00631C13"/>
    <w:rsid w:val="00631C28"/>
    <w:rsid w:val="00631CEC"/>
    <w:rsid w:val="00631D6B"/>
    <w:rsid w:val="00631DB7"/>
    <w:rsid w:val="00632171"/>
    <w:rsid w:val="00632183"/>
    <w:rsid w:val="00632188"/>
    <w:rsid w:val="006322A5"/>
    <w:rsid w:val="00632450"/>
    <w:rsid w:val="00632741"/>
    <w:rsid w:val="00632E1B"/>
    <w:rsid w:val="00632FC7"/>
    <w:rsid w:val="006330A1"/>
    <w:rsid w:val="00633EC4"/>
    <w:rsid w:val="006340A7"/>
    <w:rsid w:val="00634202"/>
    <w:rsid w:val="00634638"/>
    <w:rsid w:val="0063479F"/>
    <w:rsid w:val="006347DF"/>
    <w:rsid w:val="00634CCE"/>
    <w:rsid w:val="00635279"/>
    <w:rsid w:val="006353F0"/>
    <w:rsid w:val="006354FB"/>
    <w:rsid w:val="006357B5"/>
    <w:rsid w:val="00636328"/>
    <w:rsid w:val="006364A1"/>
    <w:rsid w:val="0063678E"/>
    <w:rsid w:val="00636855"/>
    <w:rsid w:val="00636AEA"/>
    <w:rsid w:val="0063703A"/>
    <w:rsid w:val="006370CD"/>
    <w:rsid w:val="0063747E"/>
    <w:rsid w:val="0063758A"/>
    <w:rsid w:val="00637651"/>
    <w:rsid w:val="00637995"/>
    <w:rsid w:val="00637BFD"/>
    <w:rsid w:val="00637C5C"/>
    <w:rsid w:val="00637FD0"/>
    <w:rsid w:val="00640111"/>
    <w:rsid w:val="00640B22"/>
    <w:rsid w:val="00640C59"/>
    <w:rsid w:val="00640F2D"/>
    <w:rsid w:val="0064103F"/>
    <w:rsid w:val="006410B8"/>
    <w:rsid w:val="00641119"/>
    <w:rsid w:val="00641443"/>
    <w:rsid w:val="00641999"/>
    <w:rsid w:val="00641A50"/>
    <w:rsid w:val="00641C4E"/>
    <w:rsid w:val="00641E82"/>
    <w:rsid w:val="00641FB3"/>
    <w:rsid w:val="00642016"/>
    <w:rsid w:val="00642637"/>
    <w:rsid w:val="00642ABA"/>
    <w:rsid w:val="00642D24"/>
    <w:rsid w:val="00642E47"/>
    <w:rsid w:val="00643149"/>
    <w:rsid w:val="006432F1"/>
    <w:rsid w:val="00643785"/>
    <w:rsid w:val="00643891"/>
    <w:rsid w:val="00644123"/>
    <w:rsid w:val="0064434C"/>
    <w:rsid w:val="00644603"/>
    <w:rsid w:val="006448A9"/>
    <w:rsid w:val="00644CBA"/>
    <w:rsid w:val="00645097"/>
    <w:rsid w:val="006455F5"/>
    <w:rsid w:val="00645AC6"/>
    <w:rsid w:val="00645D73"/>
    <w:rsid w:val="00646043"/>
    <w:rsid w:val="006462F9"/>
    <w:rsid w:val="006467E7"/>
    <w:rsid w:val="006471CC"/>
    <w:rsid w:val="006472FE"/>
    <w:rsid w:val="00647308"/>
    <w:rsid w:val="0064752D"/>
    <w:rsid w:val="0064760E"/>
    <w:rsid w:val="00647A29"/>
    <w:rsid w:val="00647ACD"/>
    <w:rsid w:val="00647F46"/>
    <w:rsid w:val="00647F5F"/>
    <w:rsid w:val="0065000D"/>
    <w:rsid w:val="006501F1"/>
    <w:rsid w:val="0065079F"/>
    <w:rsid w:val="0065089A"/>
    <w:rsid w:val="00651428"/>
    <w:rsid w:val="00651461"/>
    <w:rsid w:val="0065249E"/>
    <w:rsid w:val="006525C4"/>
    <w:rsid w:val="00652605"/>
    <w:rsid w:val="00652A28"/>
    <w:rsid w:val="0065379F"/>
    <w:rsid w:val="00653970"/>
    <w:rsid w:val="00653C1B"/>
    <w:rsid w:val="00653CA9"/>
    <w:rsid w:val="00654007"/>
    <w:rsid w:val="00654C8B"/>
    <w:rsid w:val="00655123"/>
    <w:rsid w:val="00655385"/>
    <w:rsid w:val="00655795"/>
    <w:rsid w:val="0065579B"/>
    <w:rsid w:val="00655E39"/>
    <w:rsid w:val="00656188"/>
    <w:rsid w:val="006561A0"/>
    <w:rsid w:val="0065632D"/>
    <w:rsid w:val="00656996"/>
    <w:rsid w:val="00656C0B"/>
    <w:rsid w:val="0065715A"/>
    <w:rsid w:val="006571AA"/>
    <w:rsid w:val="00657672"/>
    <w:rsid w:val="00657735"/>
    <w:rsid w:val="0065778C"/>
    <w:rsid w:val="006579F5"/>
    <w:rsid w:val="00657EE8"/>
    <w:rsid w:val="00660070"/>
    <w:rsid w:val="006600C4"/>
    <w:rsid w:val="0066012F"/>
    <w:rsid w:val="00660995"/>
    <w:rsid w:val="006610F1"/>
    <w:rsid w:val="0066152B"/>
    <w:rsid w:val="0066186D"/>
    <w:rsid w:val="00661C6B"/>
    <w:rsid w:val="00662485"/>
    <w:rsid w:val="0066281F"/>
    <w:rsid w:val="00662AEB"/>
    <w:rsid w:val="00662AF3"/>
    <w:rsid w:val="00662D3E"/>
    <w:rsid w:val="006633B5"/>
    <w:rsid w:val="00663965"/>
    <w:rsid w:val="00663A15"/>
    <w:rsid w:val="00663FC7"/>
    <w:rsid w:val="006640FD"/>
    <w:rsid w:val="006642D4"/>
    <w:rsid w:val="00664377"/>
    <w:rsid w:val="0066483D"/>
    <w:rsid w:val="00664849"/>
    <w:rsid w:val="006649AF"/>
    <w:rsid w:val="00665237"/>
    <w:rsid w:val="006653A0"/>
    <w:rsid w:val="006654D2"/>
    <w:rsid w:val="006655AE"/>
    <w:rsid w:val="006657B5"/>
    <w:rsid w:val="00665A36"/>
    <w:rsid w:val="006665AA"/>
    <w:rsid w:val="00666621"/>
    <w:rsid w:val="00666A36"/>
    <w:rsid w:val="00667095"/>
    <w:rsid w:val="006670DD"/>
    <w:rsid w:val="0066729F"/>
    <w:rsid w:val="00667362"/>
    <w:rsid w:val="00667549"/>
    <w:rsid w:val="006675E0"/>
    <w:rsid w:val="00667AA3"/>
    <w:rsid w:val="00667ADB"/>
    <w:rsid w:val="00667BE3"/>
    <w:rsid w:val="00667D41"/>
    <w:rsid w:val="006704AC"/>
    <w:rsid w:val="006704EE"/>
    <w:rsid w:val="0067084E"/>
    <w:rsid w:val="00670F63"/>
    <w:rsid w:val="00671004"/>
    <w:rsid w:val="006711CA"/>
    <w:rsid w:val="006712CF"/>
    <w:rsid w:val="00671415"/>
    <w:rsid w:val="006715E7"/>
    <w:rsid w:val="00672646"/>
    <w:rsid w:val="00672779"/>
    <w:rsid w:val="006727BA"/>
    <w:rsid w:val="00672CF1"/>
    <w:rsid w:val="00672E31"/>
    <w:rsid w:val="00672EBC"/>
    <w:rsid w:val="00672FD1"/>
    <w:rsid w:val="0067300C"/>
    <w:rsid w:val="006734D5"/>
    <w:rsid w:val="00674065"/>
    <w:rsid w:val="0067424E"/>
    <w:rsid w:val="00674484"/>
    <w:rsid w:val="00674492"/>
    <w:rsid w:val="00674525"/>
    <w:rsid w:val="00674913"/>
    <w:rsid w:val="00674E42"/>
    <w:rsid w:val="00675F47"/>
    <w:rsid w:val="00676563"/>
    <w:rsid w:val="00676698"/>
    <w:rsid w:val="006766C0"/>
    <w:rsid w:val="006767A8"/>
    <w:rsid w:val="006767F9"/>
    <w:rsid w:val="00676808"/>
    <w:rsid w:val="00676B5A"/>
    <w:rsid w:val="00676D2C"/>
    <w:rsid w:val="00676DEC"/>
    <w:rsid w:val="00677431"/>
    <w:rsid w:val="006776DD"/>
    <w:rsid w:val="006777F8"/>
    <w:rsid w:val="0067793E"/>
    <w:rsid w:val="00677A75"/>
    <w:rsid w:val="00677EF3"/>
    <w:rsid w:val="006804DB"/>
    <w:rsid w:val="00680591"/>
    <w:rsid w:val="00680BCD"/>
    <w:rsid w:val="00680CCF"/>
    <w:rsid w:val="00680F14"/>
    <w:rsid w:val="00680FB9"/>
    <w:rsid w:val="006810CE"/>
    <w:rsid w:val="006813F8"/>
    <w:rsid w:val="00681D03"/>
    <w:rsid w:val="00681DE6"/>
    <w:rsid w:val="00682024"/>
    <w:rsid w:val="006820C4"/>
    <w:rsid w:val="00682112"/>
    <w:rsid w:val="00682528"/>
    <w:rsid w:val="00682988"/>
    <w:rsid w:val="006829D3"/>
    <w:rsid w:val="00682BA6"/>
    <w:rsid w:val="00682D9D"/>
    <w:rsid w:val="00682E09"/>
    <w:rsid w:val="0068300B"/>
    <w:rsid w:val="006836B9"/>
    <w:rsid w:val="00683AA5"/>
    <w:rsid w:val="00683C44"/>
    <w:rsid w:val="00683D2A"/>
    <w:rsid w:val="00685A97"/>
    <w:rsid w:val="00685E04"/>
    <w:rsid w:val="00685EB8"/>
    <w:rsid w:val="006862D2"/>
    <w:rsid w:val="00686450"/>
    <w:rsid w:val="006864A2"/>
    <w:rsid w:val="00686957"/>
    <w:rsid w:val="006869D4"/>
    <w:rsid w:val="00686D2B"/>
    <w:rsid w:val="00686D99"/>
    <w:rsid w:val="00687041"/>
    <w:rsid w:val="006872BA"/>
    <w:rsid w:val="00687384"/>
    <w:rsid w:val="00687A32"/>
    <w:rsid w:val="00687A92"/>
    <w:rsid w:val="00687BE6"/>
    <w:rsid w:val="00687C77"/>
    <w:rsid w:val="006901C3"/>
    <w:rsid w:val="006902F6"/>
    <w:rsid w:val="0069057D"/>
    <w:rsid w:val="00690743"/>
    <w:rsid w:val="00690795"/>
    <w:rsid w:val="006907E7"/>
    <w:rsid w:val="00691064"/>
    <w:rsid w:val="0069139F"/>
    <w:rsid w:val="00691648"/>
    <w:rsid w:val="006917D7"/>
    <w:rsid w:val="00692124"/>
    <w:rsid w:val="00692340"/>
    <w:rsid w:val="0069288A"/>
    <w:rsid w:val="006929AB"/>
    <w:rsid w:val="006934B7"/>
    <w:rsid w:val="00693997"/>
    <w:rsid w:val="00693B3B"/>
    <w:rsid w:val="00693B53"/>
    <w:rsid w:val="0069434C"/>
    <w:rsid w:val="006948FF"/>
    <w:rsid w:val="0069491A"/>
    <w:rsid w:val="00694996"/>
    <w:rsid w:val="00694E21"/>
    <w:rsid w:val="00694F44"/>
    <w:rsid w:val="00694FC2"/>
    <w:rsid w:val="006955C5"/>
    <w:rsid w:val="00695DB5"/>
    <w:rsid w:val="00695F03"/>
    <w:rsid w:val="00695F70"/>
    <w:rsid w:val="00696068"/>
    <w:rsid w:val="0069638C"/>
    <w:rsid w:val="006964DB"/>
    <w:rsid w:val="0069688C"/>
    <w:rsid w:val="00696EF9"/>
    <w:rsid w:val="00696F51"/>
    <w:rsid w:val="00697128"/>
    <w:rsid w:val="006974EA"/>
    <w:rsid w:val="006979A5"/>
    <w:rsid w:val="006A011E"/>
    <w:rsid w:val="006A016F"/>
    <w:rsid w:val="006A0352"/>
    <w:rsid w:val="006A03CD"/>
    <w:rsid w:val="006A047A"/>
    <w:rsid w:val="006A052D"/>
    <w:rsid w:val="006A0714"/>
    <w:rsid w:val="006A0AAC"/>
    <w:rsid w:val="006A0C61"/>
    <w:rsid w:val="006A0DF7"/>
    <w:rsid w:val="006A0F54"/>
    <w:rsid w:val="006A1091"/>
    <w:rsid w:val="006A10A7"/>
    <w:rsid w:val="006A112E"/>
    <w:rsid w:val="006A12FD"/>
    <w:rsid w:val="006A1AF7"/>
    <w:rsid w:val="006A1D58"/>
    <w:rsid w:val="006A1EDA"/>
    <w:rsid w:val="006A1F58"/>
    <w:rsid w:val="006A2323"/>
    <w:rsid w:val="006A234D"/>
    <w:rsid w:val="006A278C"/>
    <w:rsid w:val="006A2809"/>
    <w:rsid w:val="006A358E"/>
    <w:rsid w:val="006A393A"/>
    <w:rsid w:val="006A3A66"/>
    <w:rsid w:val="006A3C12"/>
    <w:rsid w:val="006A3C70"/>
    <w:rsid w:val="006A40DD"/>
    <w:rsid w:val="006A4191"/>
    <w:rsid w:val="006A4321"/>
    <w:rsid w:val="006A43D9"/>
    <w:rsid w:val="006A448D"/>
    <w:rsid w:val="006A4D94"/>
    <w:rsid w:val="006A54C7"/>
    <w:rsid w:val="006A5BB1"/>
    <w:rsid w:val="006A60A0"/>
    <w:rsid w:val="006A665F"/>
    <w:rsid w:val="006A6734"/>
    <w:rsid w:val="006A6B99"/>
    <w:rsid w:val="006A7117"/>
    <w:rsid w:val="006A72DC"/>
    <w:rsid w:val="006A7614"/>
    <w:rsid w:val="006A785E"/>
    <w:rsid w:val="006A79D6"/>
    <w:rsid w:val="006A7E5F"/>
    <w:rsid w:val="006A7EAB"/>
    <w:rsid w:val="006B02BD"/>
    <w:rsid w:val="006B03CA"/>
    <w:rsid w:val="006B09DE"/>
    <w:rsid w:val="006B0A0E"/>
    <w:rsid w:val="006B0C6D"/>
    <w:rsid w:val="006B1181"/>
    <w:rsid w:val="006B181D"/>
    <w:rsid w:val="006B1BBA"/>
    <w:rsid w:val="006B220A"/>
    <w:rsid w:val="006B261B"/>
    <w:rsid w:val="006B2A5A"/>
    <w:rsid w:val="006B2C90"/>
    <w:rsid w:val="006B33A8"/>
    <w:rsid w:val="006B3541"/>
    <w:rsid w:val="006B35E6"/>
    <w:rsid w:val="006B465A"/>
    <w:rsid w:val="006B4859"/>
    <w:rsid w:val="006B5454"/>
    <w:rsid w:val="006B554B"/>
    <w:rsid w:val="006B5895"/>
    <w:rsid w:val="006B59D7"/>
    <w:rsid w:val="006B5D49"/>
    <w:rsid w:val="006B64BD"/>
    <w:rsid w:val="006B64DB"/>
    <w:rsid w:val="006B6699"/>
    <w:rsid w:val="006B6DD0"/>
    <w:rsid w:val="006B6F65"/>
    <w:rsid w:val="006B727A"/>
    <w:rsid w:val="006B74CD"/>
    <w:rsid w:val="006B764D"/>
    <w:rsid w:val="006B77E1"/>
    <w:rsid w:val="006B7A87"/>
    <w:rsid w:val="006B7AB6"/>
    <w:rsid w:val="006C008B"/>
    <w:rsid w:val="006C0399"/>
    <w:rsid w:val="006C0411"/>
    <w:rsid w:val="006C052F"/>
    <w:rsid w:val="006C1088"/>
    <w:rsid w:val="006C14C4"/>
    <w:rsid w:val="006C152E"/>
    <w:rsid w:val="006C1BAC"/>
    <w:rsid w:val="006C1D1A"/>
    <w:rsid w:val="006C1E3E"/>
    <w:rsid w:val="006C1F3D"/>
    <w:rsid w:val="006C220A"/>
    <w:rsid w:val="006C2A1D"/>
    <w:rsid w:val="006C2A8E"/>
    <w:rsid w:val="006C2DAD"/>
    <w:rsid w:val="006C310F"/>
    <w:rsid w:val="006C3246"/>
    <w:rsid w:val="006C3255"/>
    <w:rsid w:val="006C34F3"/>
    <w:rsid w:val="006C39D5"/>
    <w:rsid w:val="006C3BF9"/>
    <w:rsid w:val="006C3F26"/>
    <w:rsid w:val="006C4374"/>
    <w:rsid w:val="006C4464"/>
    <w:rsid w:val="006C489D"/>
    <w:rsid w:val="006C4A6D"/>
    <w:rsid w:val="006C4D3C"/>
    <w:rsid w:val="006C4E30"/>
    <w:rsid w:val="006C4F8B"/>
    <w:rsid w:val="006C5544"/>
    <w:rsid w:val="006C5D35"/>
    <w:rsid w:val="006C6303"/>
    <w:rsid w:val="006C6560"/>
    <w:rsid w:val="006C673A"/>
    <w:rsid w:val="006C68EF"/>
    <w:rsid w:val="006C69CA"/>
    <w:rsid w:val="006C6C0C"/>
    <w:rsid w:val="006C6F5D"/>
    <w:rsid w:val="006C779E"/>
    <w:rsid w:val="006C7A0E"/>
    <w:rsid w:val="006C7D61"/>
    <w:rsid w:val="006D019E"/>
    <w:rsid w:val="006D0659"/>
    <w:rsid w:val="006D0D17"/>
    <w:rsid w:val="006D0FD2"/>
    <w:rsid w:val="006D12E2"/>
    <w:rsid w:val="006D1331"/>
    <w:rsid w:val="006D1502"/>
    <w:rsid w:val="006D153D"/>
    <w:rsid w:val="006D18A1"/>
    <w:rsid w:val="006D19B6"/>
    <w:rsid w:val="006D2426"/>
    <w:rsid w:val="006D25F5"/>
    <w:rsid w:val="006D2A24"/>
    <w:rsid w:val="006D302E"/>
    <w:rsid w:val="006D3C7D"/>
    <w:rsid w:val="006D3DAB"/>
    <w:rsid w:val="006D3EB9"/>
    <w:rsid w:val="006D4286"/>
    <w:rsid w:val="006D4422"/>
    <w:rsid w:val="006D4659"/>
    <w:rsid w:val="006D4F3A"/>
    <w:rsid w:val="006D54EE"/>
    <w:rsid w:val="006D5599"/>
    <w:rsid w:val="006D55D2"/>
    <w:rsid w:val="006D5D5F"/>
    <w:rsid w:val="006D5DEF"/>
    <w:rsid w:val="006D5DFA"/>
    <w:rsid w:val="006D5EBB"/>
    <w:rsid w:val="006D5FF0"/>
    <w:rsid w:val="006D6121"/>
    <w:rsid w:val="006D61A3"/>
    <w:rsid w:val="006D652C"/>
    <w:rsid w:val="006D665B"/>
    <w:rsid w:val="006D676E"/>
    <w:rsid w:val="006D6863"/>
    <w:rsid w:val="006D68FB"/>
    <w:rsid w:val="006D70B2"/>
    <w:rsid w:val="006D71FD"/>
    <w:rsid w:val="006D720D"/>
    <w:rsid w:val="006D7434"/>
    <w:rsid w:val="006D74A2"/>
    <w:rsid w:val="006D7C49"/>
    <w:rsid w:val="006D7CAA"/>
    <w:rsid w:val="006D7DA5"/>
    <w:rsid w:val="006E0069"/>
    <w:rsid w:val="006E03C4"/>
    <w:rsid w:val="006E07EF"/>
    <w:rsid w:val="006E0A56"/>
    <w:rsid w:val="006E0B6E"/>
    <w:rsid w:val="006E0C48"/>
    <w:rsid w:val="006E125B"/>
    <w:rsid w:val="006E139A"/>
    <w:rsid w:val="006E21B7"/>
    <w:rsid w:val="006E23A5"/>
    <w:rsid w:val="006E242B"/>
    <w:rsid w:val="006E2868"/>
    <w:rsid w:val="006E2891"/>
    <w:rsid w:val="006E28FC"/>
    <w:rsid w:val="006E2A11"/>
    <w:rsid w:val="006E3136"/>
    <w:rsid w:val="006E338D"/>
    <w:rsid w:val="006E36D4"/>
    <w:rsid w:val="006E3ACE"/>
    <w:rsid w:val="006E4ADD"/>
    <w:rsid w:val="006E57A4"/>
    <w:rsid w:val="006E62C8"/>
    <w:rsid w:val="006E6B4F"/>
    <w:rsid w:val="006E7113"/>
    <w:rsid w:val="006E72C1"/>
    <w:rsid w:val="006E771D"/>
    <w:rsid w:val="006E7793"/>
    <w:rsid w:val="006E78E3"/>
    <w:rsid w:val="006E7B95"/>
    <w:rsid w:val="006E7DCF"/>
    <w:rsid w:val="006E7EFC"/>
    <w:rsid w:val="006F02E1"/>
    <w:rsid w:val="006F0456"/>
    <w:rsid w:val="006F0751"/>
    <w:rsid w:val="006F0B69"/>
    <w:rsid w:val="006F0DDE"/>
    <w:rsid w:val="006F0EB7"/>
    <w:rsid w:val="006F10F0"/>
    <w:rsid w:val="006F1A41"/>
    <w:rsid w:val="006F2090"/>
    <w:rsid w:val="006F20D8"/>
    <w:rsid w:val="006F24CA"/>
    <w:rsid w:val="006F2817"/>
    <w:rsid w:val="006F2C2F"/>
    <w:rsid w:val="006F306C"/>
    <w:rsid w:val="006F31ED"/>
    <w:rsid w:val="006F329B"/>
    <w:rsid w:val="006F3B72"/>
    <w:rsid w:val="006F3D75"/>
    <w:rsid w:val="006F3D9E"/>
    <w:rsid w:val="006F46FA"/>
    <w:rsid w:val="006F474B"/>
    <w:rsid w:val="006F4D90"/>
    <w:rsid w:val="006F522C"/>
    <w:rsid w:val="006F529A"/>
    <w:rsid w:val="006F5C2A"/>
    <w:rsid w:val="006F61D5"/>
    <w:rsid w:val="006F63A5"/>
    <w:rsid w:val="006F63C3"/>
    <w:rsid w:val="006F66C8"/>
    <w:rsid w:val="006F6709"/>
    <w:rsid w:val="006F6791"/>
    <w:rsid w:val="006F6AFE"/>
    <w:rsid w:val="006F6B1A"/>
    <w:rsid w:val="006F6EBA"/>
    <w:rsid w:val="006F7021"/>
    <w:rsid w:val="006F708D"/>
    <w:rsid w:val="006F7658"/>
    <w:rsid w:val="006F78C8"/>
    <w:rsid w:val="006F7D9A"/>
    <w:rsid w:val="006F7F5C"/>
    <w:rsid w:val="0070011A"/>
    <w:rsid w:val="0070031C"/>
    <w:rsid w:val="007009BC"/>
    <w:rsid w:val="0070142B"/>
    <w:rsid w:val="00701D19"/>
    <w:rsid w:val="00702406"/>
    <w:rsid w:val="0070276E"/>
    <w:rsid w:val="00702A9E"/>
    <w:rsid w:val="00702C49"/>
    <w:rsid w:val="00702CFE"/>
    <w:rsid w:val="00702F8F"/>
    <w:rsid w:val="00703152"/>
    <w:rsid w:val="007031E8"/>
    <w:rsid w:val="00703340"/>
    <w:rsid w:val="00703E15"/>
    <w:rsid w:val="007047AF"/>
    <w:rsid w:val="00704E41"/>
    <w:rsid w:val="00705541"/>
    <w:rsid w:val="0070581C"/>
    <w:rsid w:val="00705A14"/>
    <w:rsid w:val="0070647A"/>
    <w:rsid w:val="00706A45"/>
    <w:rsid w:val="00706E1B"/>
    <w:rsid w:val="007074E7"/>
    <w:rsid w:val="00707591"/>
    <w:rsid w:val="007078DE"/>
    <w:rsid w:val="0070791C"/>
    <w:rsid w:val="007079FC"/>
    <w:rsid w:val="00707BF4"/>
    <w:rsid w:val="00710360"/>
    <w:rsid w:val="007104B6"/>
    <w:rsid w:val="0071065C"/>
    <w:rsid w:val="00710695"/>
    <w:rsid w:val="007106B2"/>
    <w:rsid w:val="00710780"/>
    <w:rsid w:val="00710B22"/>
    <w:rsid w:val="00711A36"/>
    <w:rsid w:val="00711EBD"/>
    <w:rsid w:val="00711F82"/>
    <w:rsid w:val="00712011"/>
    <w:rsid w:val="00712237"/>
    <w:rsid w:val="007125D3"/>
    <w:rsid w:val="00712A3F"/>
    <w:rsid w:val="00712B26"/>
    <w:rsid w:val="0071307F"/>
    <w:rsid w:val="007133AD"/>
    <w:rsid w:val="007133E6"/>
    <w:rsid w:val="00713519"/>
    <w:rsid w:val="00713B45"/>
    <w:rsid w:val="00713CEB"/>
    <w:rsid w:val="00713F37"/>
    <w:rsid w:val="00713F42"/>
    <w:rsid w:val="0071438C"/>
    <w:rsid w:val="00714C26"/>
    <w:rsid w:val="0071505F"/>
    <w:rsid w:val="0071514E"/>
    <w:rsid w:val="007151AD"/>
    <w:rsid w:val="0071529C"/>
    <w:rsid w:val="00715534"/>
    <w:rsid w:val="007156FD"/>
    <w:rsid w:val="00715710"/>
    <w:rsid w:val="00715FF7"/>
    <w:rsid w:val="0071617D"/>
    <w:rsid w:val="007161D5"/>
    <w:rsid w:val="00716306"/>
    <w:rsid w:val="00716473"/>
    <w:rsid w:val="00716CAC"/>
    <w:rsid w:val="00716F13"/>
    <w:rsid w:val="007170DA"/>
    <w:rsid w:val="007172AD"/>
    <w:rsid w:val="0071733D"/>
    <w:rsid w:val="007173DA"/>
    <w:rsid w:val="00717546"/>
    <w:rsid w:val="0071758E"/>
    <w:rsid w:val="007176FE"/>
    <w:rsid w:val="00717793"/>
    <w:rsid w:val="007179D9"/>
    <w:rsid w:val="00720053"/>
    <w:rsid w:val="007204C3"/>
    <w:rsid w:val="00720801"/>
    <w:rsid w:val="00720870"/>
    <w:rsid w:val="00720963"/>
    <w:rsid w:val="007212E1"/>
    <w:rsid w:val="007218A9"/>
    <w:rsid w:val="00721D3C"/>
    <w:rsid w:val="00722205"/>
    <w:rsid w:val="007222A6"/>
    <w:rsid w:val="007222C8"/>
    <w:rsid w:val="00722521"/>
    <w:rsid w:val="00722B1B"/>
    <w:rsid w:val="00722F33"/>
    <w:rsid w:val="007231EC"/>
    <w:rsid w:val="007232E5"/>
    <w:rsid w:val="007235D4"/>
    <w:rsid w:val="0072416F"/>
    <w:rsid w:val="007244A9"/>
    <w:rsid w:val="00724D25"/>
    <w:rsid w:val="00725961"/>
    <w:rsid w:val="00725AF4"/>
    <w:rsid w:val="00725C56"/>
    <w:rsid w:val="00725D5C"/>
    <w:rsid w:val="00726280"/>
    <w:rsid w:val="00726410"/>
    <w:rsid w:val="00726621"/>
    <w:rsid w:val="0072684C"/>
    <w:rsid w:val="00726954"/>
    <w:rsid w:val="00726D6C"/>
    <w:rsid w:val="00726F98"/>
    <w:rsid w:val="00727110"/>
    <w:rsid w:val="0072721B"/>
    <w:rsid w:val="007274A4"/>
    <w:rsid w:val="007278E2"/>
    <w:rsid w:val="00727C45"/>
    <w:rsid w:val="00727C94"/>
    <w:rsid w:val="00730185"/>
    <w:rsid w:val="007303BF"/>
    <w:rsid w:val="0073040B"/>
    <w:rsid w:val="0073086C"/>
    <w:rsid w:val="00730A45"/>
    <w:rsid w:val="00730AEB"/>
    <w:rsid w:val="00730B8F"/>
    <w:rsid w:val="00730C58"/>
    <w:rsid w:val="007311AC"/>
    <w:rsid w:val="00731681"/>
    <w:rsid w:val="00731837"/>
    <w:rsid w:val="0073192B"/>
    <w:rsid w:val="00731B0A"/>
    <w:rsid w:val="00731CA0"/>
    <w:rsid w:val="00731D81"/>
    <w:rsid w:val="00731EAE"/>
    <w:rsid w:val="00731F1B"/>
    <w:rsid w:val="00732039"/>
    <w:rsid w:val="007324AD"/>
    <w:rsid w:val="0073261F"/>
    <w:rsid w:val="00732790"/>
    <w:rsid w:val="007328AD"/>
    <w:rsid w:val="00732B5D"/>
    <w:rsid w:val="00732FCD"/>
    <w:rsid w:val="00733073"/>
    <w:rsid w:val="0073335F"/>
    <w:rsid w:val="007333F2"/>
    <w:rsid w:val="00733DEC"/>
    <w:rsid w:val="0073464D"/>
    <w:rsid w:val="0073487F"/>
    <w:rsid w:val="00734B8C"/>
    <w:rsid w:val="00734E92"/>
    <w:rsid w:val="00735033"/>
    <w:rsid w:val="0073512C"/>
    <w:rsid w:val="00735281"/>
    <w:rsid w:val="00735328"/>
    <w:rsid w:val="007353EE"/>
    <w:rsid w:val="00735506"/>
    <w:rsid w:val="0073552F"/>
    <w:rsid w:val="007357B4"/>
    <w:rsid w:val="00735A67"/>
    <w:rsid w:val="00736293"/>
    <w:rsid w:val="0073685B"/>
    <w:rsid w:val="00736C9E"/>
    <w:rsid w:val="00736EFF"/>
    <w:rsid w:val="00736F54"/>
    <w:rsid w:val="007373E7"/>
    <w:rsid w:val="00737630"/>
    <w:rsid w:val="0074017E"/>
    <w:rsid w:val="00740802"/>
    <w:rsid w:val="007408A8"/>
    <w:rsid w:val="00740C15"/>
    <w:rsid w:val="00740D1F"/>
    <w:rsid w:val="00740D63"/>
    <w:rsid w:val="00741511"/>
    <w:rsid w:val="00741C35"/>
    <w:rsid w:val="00741D6C"/>
    <w:rsid w:val="0074288A"/>
    <w:rsid w:val="00742DAA"/>
    <w:rsid w:val="007439B7"/>
    <w:rsid w:val="00743ADB"/>
    <w:rsid w:val="007443ED"/>
    <w:rsid w:val="00744502"/>
    <w:rsid w:val="0074455B"/>
    <w:rsid w:val="007447DD"/>
    <w:rsid w:val="0074481F"/>
    <w:rsid w:val="007449BF"/>
    <w:rsid w:val="00744A73"/>
    <w:rsid w:val="00744C59"/>
    <w:rsid w:val="0074579B"/>
    <w:rsid w:val="00745990"/>
    <w:rsid w:val="00745CB6"/>
    <w:rsid w:val="00745EEE"/>
    <w:rsid w:val="00746263"/>
    <w:rsid w:val="007463FE"/>
    <w:rsid w:val="0074673E"/>
    <w:rsid w:val="00746856"/>
    <w:rsid w:val="007469CC"/>
    <w:rsid w:val="00746A43"/>
    <w:rsid w:val="00746BC0"/>
    <w:rsid w:val="00746D7C"/>
    <w:rsid w:val="007477C4"/>
    <w:rsid w:val="0074793A"/>
    <w:rsid w:val="00747A3A"/>
    <w:rsid w:val="00747C1B"/>
    <w:rsid w:val="00747E51"/>
    <w:rsid w:val="0075057B"/>
    <w:rsid w:val="00750835"/>
    <w:rsid w:val="00750897"/>
    <w:rsid w:val="00750A7B"/>
    <w:rsid w:val="00751099"/>
    <w:rsid w:val="007510B4"/>
    <w:rsid w:val="00751628"/>
    <w:rsid w:val="0075197A"/>
    <w:rsid w:val="00752142"/>
    <w:rsid w:val="007523F9"/>
    <w:rsid w:val="007526AE"/>
    <w:rsid w:val="00752975"/>
    <w:rsid w:val="0075311D"/>
    <w:rsid w:val="00753331"/>
    <w:rsid w:val="0075334E"/>
    <w:rsid w:val="0075335C"/>
    <w:rsid w:val="0075344C"/>
    <w:rsid w:val="00753528"/>
    <w:rsid w:val="0075357E"/>
    <w:rsid w:val="00753B29"/>
    <w:rsid w:val="00753E5B"/>
    <w:rsid w:val="007540A1"/>
    <w:rsid w:val="007541A0"/>
    <w:rsid w:val="007543BA"/>
    <w:rsid w:val="007546F5"/>
    <w:rsid w:val="00754AAD"/>
    <w:rsid w:val="00754DA1"/>
    <w:rsid w:val="0075575F"/>
    <w:rsid w:val="00755F64"/>
    <w:rsid w:val="00755F9B"/>
    <w:rsid w:val="00756150"/>
    <w:rsid w:val="00756492"/>
    <w:rsid w:val="0075677E"/>
    <w:rsid w:val="00756834"/>
    <w:rsid w:val="0075686F"/>
    <w:rsid w:val="00756DAB"/>
    <w:rsid w:val="0075724A"/>
    <w:rsid w:val="00757303"/>
    <w:rsid w:val="007573E8"/>
    <w:rsid w:val="00757F7C"/>
    <w:rsid w:val="007600F8"/>
    <w:rsid w:val="0076067E"/>
    <w:rsid w:val="007608C3"/>
    <w:rsid w:val="0076097E"/>
    <w:rsid w:val="00760C12"/>
    <w:rsid w:val="00760C4E"/>
    <w:rsid w:val="00760F9E"/>
    <w:rsid w:val="00761440"/>
    <w:rsid w:val="007616E6"/>
    <w:rsid w:val="0076173A"/>
    <w:rsid w:val="00761842"/>
    <w:rsid w:val="00761E78"/>
    <w:rsid w:val="00761F76"/>
    <w:rsid w:val="00761FCA"/>
    <w:rsid w:val="0076278B"/>
    <w:rsid w:val="007627BE"/>
    <w:rsid w:val="00762DAB"/>
    <w:rsid w:val="00763130"/>
    <w:rsid w:val="00763139"/>
    <w:rsid w:val="0076319D"/>
    <w:rsid w:val="007634B2"/>
    <w:rsid w:val="00763ABD"/>
    <w:rsid w:val="00763C96"/>
    <w:rsid w:val="00763F8A"/>
    <w:rsid w:val="0076464A"/>
    <w:rsid w:val="0076484F"/>
    <w:rsid w:val="00764C4E"/>
    <w:rsid w:val="00764F03"/>
    <w:rsid w:val="00764F3C"/>
    <w:rsid w:val="00764FBB"/>
    <w:rsid w:val="0076519F"/>
    <w:rsid w:val="007652C2"/>
    <w:rsid w:val="00765585"/>
    <w:rsid w:val="00765B1A"/>
    <w:rsid w:val="00765BEE"/>
    <w:rsid w:val="00765DC1"/>
    <w:rsid w:val="00765EB2"/>
    <w:rsid w:val="00766EB5"/>
    <w:rsid w:val="0076704E"/>
    <w:rsid w:val="007673D0"/>
    <w:rsid w:val="00767765"/>
    <w:rsid w:val="00767AC6"/>
    <w:rsid w:val="00767B8B"/>
    <w:rsid w:val="00767EA0"/>
    <w:rsid w:val="00767FDD"/>
    <w:rsid w:val="007702F4"/>
    <w:rsid w:val="0077050D"/>
    <w:rsid w:val="007708C8"/>
    <w:rsid w:val="00771AAA"/>
    <w:rsid w:val="00771C14"/>
    <w:rsid w:val="00771CCD"/>
    <w:rsid w:val="00771D1C"/>
    <w:rsid w:val="00771D88"/>
    <w:rsid w:val="00772964"/>
    <w:rsid w:val="00772A4B"/>
    <w:rsid w:val="00772C84"/>
    <w:rsid w:val="00772C94"/>
    <w:rsid w:val="00772E40"/>
    <w:rsid w:val="00772FA1"/>
    <w:rsid w:val="0077321A"/>
    <w:rsid w:val="007735D7"/>
    <w:rsid w:val="00773BB3"/>
    <w:rsid w:val="0077464C"/>
    <w:rsid w:val="00774679"/>
    <w:rsid w:val="00774ADD"/>
    <w:rsid w:val="00774C80"/>
    <w:rsid w:val="00774FDF"/>
    <w:rsid w:val="0077534D"/>
    <w:rsid w:val="007759FF"/>
    <w:rsid w:val="00775EE7"/>
    <w:rsid w:val="00775FD5"/>
    <w:rsid w:val="00776196"/>
    <w:rsid w:val="00776209"/>
    <w:rsid w:val="007764A9"/>
    <w:rsid w:val="00776A29"/>
    <w:rsid w:val="00776BE0"/>
    <w:rsid w:val="00776CA7"/>
    <w:rsid w:val="007770B9"/>
    <w:rsid w:val="007771F1"/>
    <w:rsid w:val="00777335"/>
    <w:rsid w:val="00777413"/>
    <w:rsid w:val="00777493"/>
    <w:rsid w:val="00777636"/>
    <w:rsid w:val="00777679"/>
    <w:rsid w:val="007779E3"/>
    <w:rsid w:val="00780206"/>
    <w:rsid w:val="00780307"/>
    <w:rsid w:val="0078033A"/>
    <w:rsid w:val="00780EDC"/>
    <w:rsid w:val="007810BE"/>
    <w:rsid w:val="007817D5"/>
    <w:rsid w:val="00781839"/>
    <w:rsid w:val="00781BB2"/>
    <w:rsid w:val="00781BB5"/>
    <w:rsid w:val="00781E51"/>
    <w:rsid w:val="00781EE0"/>
    <w:rsid w:val="00781F6E"/>
    <w:rsid w:val="007821EB"/>
    <w:rsid w:val="00782269"/>
    <w:rsid w:val="007828AC"/>
    <w:rsid w:val="00782999"/>
    <w:rsid w:val="007832AB"/>
    <w:rsid w:val="0078330C"/>
    <w:rsid w:val="00784200"/>
    <w:rsid w:val="007843F2"/>
    <w:rsid w:val="007846EF"/>
    <w:rsid w:val="007846FA"/>
    <w:rsid w:val="007847FD"/>
    <w:rsid w:val="007849E7"/>
    <w:rsid w:val="00784F51"/>
    <w:rsid w:val="0078573D"/>
    <w:rsid w:val="00785A9F"/>
    <w:rsid w:val="00785D2D"/>
    <w:rsid w:val="00786118"/>
    <w:rsid w:val="00786922"/>
    <w:rsid w:val="00786C49"/>
    <w:rsid w:val="0078710C"/>
    <w:rsid w:val="0078752A"/>
    <w:rsid w:val="00787547"/>
    <w:rsid w:val="0078774D"/>
    <w:rsid w:val="0078786E"/>
    <w:rsid w:val="00787C27"/>
    <w:rsid w:val="00787C2A"/>
    <w:rsid w:val="00790263"/>
    <w:rsid w:val="007902ED"/>
    <w:rsid w:val="00790C00"/>
    <w:rsid w:val="00790DDC"/>
    <w:rsid w:val="007912FC"/>
    <w:rsid w:val="007916BA"/>
    <w:rsid w:val="007919F3"/>
    <w:rsid w:val="00791FCC"/>
    <w:rsid w:val="00792501"/>
    <w:rsid w:val="007925DF"/>
    <w:rsid w:val="00792C0F"/>
    <w:rsid w:val="00792EC7"/>
    <w:rsid w:val="00792F74"/>
    <w:rsid w:val="0079319A"/>
    <w:rsid w:val="007931CA"/>
    <w:rsid w:val="00793332"/>
    <w:rsid w:val="00793447"/>
    <w:rsid w:val="00793547"/>
    <w:rsid w:val="00793554"/>
    <w:rsid w:val="007939CD"/>
    <w:rsid w:val="00793CFC"/>
    <w:rsid w:val="007948F5"/>
    <w:rsid w:val="00794ED7"/>
    <w:rsid w:val="007950E5"/>
    <w:rsid w:val="007952F4"/>
    <w:rsid w:val="00795631"/>
    <w:rsid w:val="007959F2"/>
    <w:rsid w:val="00795B9E"/>
    <w:rsid w:val="00795C1A"/>
    <w:rsid w:val="00795CC5"/>
    <w:rsid w:val="007968C1"/>
    <w:rsid w:val="00796ADB"/>
    <w:rsid w:val="00796F6B"/>
    <w:rsid w:val="0079734E"/>
    <w:rsid w:val="00797427"/>
    <w:rsid w:val="007974E5"/>
    <w:rsid w:val="00797A2E"/>
    <w:rsid w:val="00797EDA"/>
    <w:rsid w:val="007A08AA"/>
    <w:rsid w:val="007A0A12"/>
    <w:rsid w:val="007A1191"/>
    <w:rsid w:val="007A11B3"/>
    <w:rsid w:val="007A1258"/>
    <w:rsid w:val="007A132D"/>
    <w:rsid w:val="007A1345"/>
    <w:rsid w:val="007A1A75"/>
    <w:rsid w:val="007A2804"/>
    <w:rsid w:val="007A2CA5"/>
    <w:rsid w:val="007A2DDB"/>
    <w:rsid w:val="007A2E11"/>
    <w:rsid w:val="007A2E2B"/>
    <w:rsid w:val="007A3328"/>
    <w:rsid w:val="007A3521"/>
    <w:rsid w:val="007A3CE8"/>
    <w:rsid w:val="007A4B69"/>
    <w:rsid w:val="007A51BC"/>
    <w:rsid w:val="007A5827"/>
    <w:rsid w:val="007A5BC9"/>
    <w:rsid w:val="007A5EB2"/>
    <w:rsid w:val="007A61FC"/>
    <w:rsid w:val="007A64E2"/>
    <w:rsid w:val="007A68C9"/>
    <w:rsid w:val="007A6D23"/>
    <w:rsid w:val="007A70BA"/>
    <w:rsid w:val="007A716B"/>
    <w:rsid w:val="007A7628"/>
    <w:rsid w:val="007A778D"/>
    <w:rsid w:val="007A77AA"/>
    <w:rsid w:val="007B0CAA"/>
    <w:rsid w:val="007B0D68"/>
    <w:rsid w:val="007B0E59"/>
    <w:rsid w:val="007B107F"/>
    <w:rsid w:val="007B12B4"/>
    <w:rsid w:val="007B1E2B"/>
    <w:rsid w:val="007B1F65"/>
    <w:rsid w:val="007B2195"/>
    <w:rsid w:val="007B251D"/>
    <w:rsid w:val="007B286B"/>
    <w:rsid w:val="007B2A86"/>
    <w:rsid w:val="007B2E3E"/>
    <w:rsid w:val="007B3533"/>
    <w:rsid w:val="007B3C71"/>
    <w:rsid w:val="007B3E1B"/>
    <w:rsid w:val="007B43F9"/>
    <w:rsid w:val="007B4A18"/>
    <w:rsid w:val="007B4E5A"/>
    <w:rsid w:val="007B4F58"/>
    <w:rsid w:val="007B528D"/>
    <w:rsid w:val="007B53C8"/>
    <w:rsid w:val="007B567F"/>
    <w:rsid w:val="007B5916"/>
    <w:rsid w:val="007B6167"/>
    <w:rsid w:val="007B63CA"/>
    <w:rsid w:val="007B6692"/>
    <w:rsid w:val="007B6A9B"/>
    <w:rsid w:val="007B6B96"/>
    <w:rsid w:val="007B6F30"/>
    <w:rsid w:val="007B71F5"/>
    <w:rsid w:val="007B75AA"/>
    <w:rsid w:val="007B7637"/>
    <w:rsid w:val="007B7703"/>
    <w:rsid w:val="007B77D1"/>
    <w:rsid w:val="007B79A6"/>
    <w:rsid w:val="007B7A89"/>
    <w:rsid w:val="007C004F"/>
    <w:rsid w:val="007C07C7"/>
    <w:rsid w:val="007C0840"/>
    <w:rsid w:val="007C09C8"/>
    <w:rsid w:val="007C1043"/>
    <w:rsid w:val="007C1417"/>
    <w:rsid w:val="007C14A5"/>
    <w:rsid w:val="007C14FC"/>
    <w:rsid w:val="007C1A56"/>
    <w:rsid w:val="007C1BE6"/>
    <w:rsid w:val="007C1CD9"/>
    <w:rsid w:val="007C1F14"/>
    <w:rsid w:val="007C2369"/>
    <w:rsid w:val="007C2455"/>
    <w:rsid w:val="007C2471"/>
    <w:rsid w:val="007C26B3"/>
    <w:rsid w:val="007C2D76"/>
    <w:rsid w:val="007C2DE7"/>
    <w:rsid w:val="007C32EF"/>
    <w:rsid w:val="007C3500"/>
    <w:rsid w:val="007C361D"/>
    <w:rsid w:val="007C4424"/>
    <w:rsid w:val="007C4893"/>
    <w:rsid w:val="007C4B84"/>
    <w:rsid w:val="007C4B8A"/>
    <w:rsid w:val="007C4BFB"/>
    <w:rsid w:val="007C554D"/>
    <w:rsid w:val="007C577C"/>
    <w:rsid w:val="007C59B4"/>
    <w:rsid w:val="007C5B96"/>
    <w:rsid w:val="007C5EDF"/>
    <w:rsid w:val="007C6702"/>
    <w:rsid w:val="007C699C"/>
    <w:rsid w:val="007C70FF"/>
    <w:rsid w:val="007C7C25"/>
    <w:rsid w:val="007C7E70"/>
    <w:rsid w:val="007C7FA5"/>
    <w:rsid w:val="007D004F"/>
    <w:rsid w:val="007D01F5"/>
    <w:rsid w:val="007D035F"/>
    <w:rsid w:val="007D06B2"/>
    <w:rsid w:val="007D0ADA"/>
    <w:rsid w:val="007D0B38"/>
    <w:rsid w:val="007D0C2B"/>
    <w:rsid w:val="007D0E76"/>
    <w:rsid w:val="007D0F8D"/>
    <w:rsid w:val="007D0FE6"/>
    <w:rsid w:val="007D14EF"/>
    <w:rsid w:val="007D1924"/>
    <w:rsid w:val="007D1A1C"/>
    <w:rsid w:val="007D1B40"/>
    <w:rsid w:val="007D217E"/>
    <w:rsid w:val="007D24E3"/>
    <w:rsid w:val="007D253B"/>
    <w:rsid w:val="007D2614"/>
    <w:rsid w:val="007D274A"/>
    <w:rsid w:val="007D313E"/>
    <w:rsid w:val="007D327B"/>
    <w:rsid w:val="007D3300"/>
    <w:rsid w:val="007D3568"/>
    <w:rsid w:val="007D35F7"/>
    <w:rsid w:val="007D3868"/>
    <w:rsid w:val="007D3C58"/>
    <w:rsid w:val="007D3DC9"/>
    <w:rsid w:val="007D4176"/>
    <w:rsid w:val="007D44F7"/>
    <w:rsid w:val="007D46B7"/>
    <w:rsid w:val="007D4C5F"/>
    <w:rsid w:val="007D4CAA"/>
    <w:rsid w:val="007D4ED9"/>
    <w:rsid w:val="007D5440"/>
    <w:rsid w:val="007D58BC"/>
    <w:rsid w:val="007D5D52"/>
    <w:rsid w:val="007D6111"/>
    <w:rsid w:val="007D649B"/>
    <w:rsid w:val="007D649E"/>
    <w:rsid w:val="007D69EB"/>
    <w:rsid w:val="007D6A14"/>
    <w:rsid w:val="007D73C0"/>
    <w:rsid w:val="007D7683"/>
    <w:rsid w:val="007D78CD"/>
    <w:rsid w:val="007D7BE3"/>
    <w:rsid w:val="007D7E00"/>
    <w:rsid w:val="007E03BC"/>
    <w:rsid w:val="007E09D3"/>
    <w:rsid w:val="007E0C7E"/>
    <w:rsid w:val="007E128F"/>
    <w:rsid w:val="007E1404"/>
    <w:rsid w:val="007E166A"/>
    <w:rsid w:val="007E1A47"/>
    <w:rsid w:val="007E1AD9"/>
    <w:rsid w:val="007E1ADD"/>
    <w:rsid w:val="007E1FB3"/>
    <w:rsid w:val="007E2565"/>
    <w:rsid w:val="007E27DC"/>
    <w:rsid w:val="007E2881"/>
    <w:rsid w:val="007E3009"/>
    <w:rsid w:val="007E31FA"/>
    <w:rsid w:val="007E32B9"/>
    <w:rsid w:val="007E34AE"/>
    <w:rsid w:val="007E34F0"/>
    <w:rsid w:val="007E380C"/>
    <w:rsid w:val="007E3A03"/>
    <w:rsid w:val="007E3CD9"/>
    <w:rsid w:val="007E3D9A"/>
    <w:rsid w:val="007E3FBC"/>
    <w:rsid w:val="007E44F8"/>
    <w:rsid w:val="007E4B36"/>
    <w:rsid w:val="007E523D"/>
    <w:rsid w:val="007E5E87"/>
    <w:rsid w:val="007E67C7"/>
    <w:rsid w:val="007E6A7F"/>
    <w:rsid w:val="007E7021"/>
    <w:rsid w:val="007E7087"/>
    <w:rsid w:val="007E7233"/>
    <w:rsid w:val="007E72F2"/>
    <w:rsid w:val="007E7311"/>
    <w:rsid w:val="007E7664"/>
    <w:rsid w:val="007E7674"/>
    <w:rsid w:val="007E7756"/>
    <w:rsid w:val="007E7963"/>
    <w:rsid w:val="007E7C80"/>
    <w:rsid w:val="007E7C9A"/>
    <w:rsid w:val="007E7E49"/>
    <w:rsid w:val="007F0037"/>
    <w:rsid w:val="007F0654"/>
    <w:rsid w:val="007F0AA7"/>
    <w:rsid w:val="007F0B5B"/>
    <w:rsid w:val="007F0BA9"/>
    <w:rsid w:val="007F0BE4"/>
    <w:rsid w:val="007F0CFD"/>
    <w:rsid w:val="007F0F5A"/>
    <w:rsid w:val="007F1017"/>
    <w:rsid w:val="007F1481"/>
    <w:rsid w:val="007F1952"/>
    <w:rsid w:val="007F19F8"/>
    <w:rsid w:val="007F1BAD"/>
    <w:rsid w:val="007F1E48"/>
    <w:rsid w:val="007F1E90"/>
    <w:rsid w:val="007F2169"/>
    <w:rsid w:val="007F2A9B"/>
    <w:rsid w:val="007F30D9"/>
    <w:rsid w:val="007F31EC"/>
    <w:rsid w:val="007F343E"/>
    <w:rsid w:val="007F3893"/>
    <w:rsid w:val="007F412C"/>
    <w:rsid w:val="007F428D"/>
    <w:rsid w:val="007F4A3F"/>
    <w:rsid w:val="007F4A61"/>
    <w:rsid w:val="007F4BCA"/>
    <w:rsid w:val="007F4D08"/>
    <w:rsid w:val="007F5255"/>
    <w:rsid w:val="007F56CC"/>
    <w:rsid w:val="007F57E6"/>
    <w:rsid w:val="007F6089"/>
    <w:rsid w:val="007F61C2"/>
    <w:rsid w:val="007F69BC"/>
    <w:rsid w:val="007F6FF9"/>
    <w:rsid w:val="007F72C9"/>
    <w:rsid w:val="007F73F3"/>
    <w:rsid w:val="007F7523"/>
    <w:rsid w:val="007F7E03"/>
    <w:rsid w:val="007F7FE5"/>
    <w:rsid w:val="007F7FFC"/>
    <w:rsid w:val="00800193"/>
    <w:rsid w:val="008003F5"/>
    <w:rsid w:val="008012F4"/>
    <w:rsid w:val="008015D9"/>
    <w:rsid w:val="00801736"/>
    <w:rsid w:val="00802266"/>
    <w:rsid w:val="008029F2"/>
    <w:rsid w:val="00802ACA"/>
    <w:rsid w:val="00802C9C"/>
    <w:rsid w:val="00802E40"/>
    <w:rsid w:val="00802FA3"/>
    <w:rsid w:val="008032DD"/>
    <w:rsid w:val="0080363A"/>
    <w:rsid w:val="0080392C"/>
    <w:rsid w:val="00803DBF"/>
    <w:rsid w:val="008045B0"/>
    <w:rsid w:val="008046BF"/>
    <w:rsid w:val="00804908"/>
    <w:rsid w:val="008049E7"/>
    <w:rsid w:val="00804D50"/>
    <w:rsid w:val="00804EE5"/>
    <w:rsid w:val="00805093"/>
    <w:rsid w:val="008050C8"/>
    <w:rsid w:val="00805142"/>
    <w:rsid w:val="0080566B"/>
    <w:rsid w:val="008056E3"/>
    <w:rsid w:val="00805FCE"/>
    <w:rsid w:val="00806282"/>
    <w:rsid w:val="00806AFE"/>
    <w:rsid w:val="00806D4F"/>
    <w:rsid w:val="00807526"/>
    <w:rsid w:val="00807939"/>
    <w:rsid w:val="00807A8B"/>
    <w:rsid w:val="00807CAC"/>
    <w:rsid w:val="008101BB"/>
    <w:rsid w:val="00810296"/>
    <w:rsid w:val="00811383"/>
    <w:rsid w:val="008117A4"/>
    <w:rsid w:val="00812149"/>
    <w:rsid w:val="00812322"/>
    <w:rsid w:val="0081280E"/>
    <w:rsid w:val="00812B26"/>
    <w:rsid w:val="00812CAC"/>
    <w:rsid w:val="00812E58"/>
    <w:rsid w:val="00813509"/>
    <w:rsid w:val="008135DE"/>
    <w:rsid w:val="00813B24"/>
    <w:rsid w:val="00813E7E"/>
    <w:rsid w:val="008142C5"/>
    <w:rsid w:val="00814694"/>
    <w:rsid w:val="0081485D"/>
    <w:rsid w:val="00814CC1"/>
    <w:rsid w:val="00814D86"/>
    <w:rsid w:val="00814DD7"/>
    <w:rsid w:val="00814EA2"/>
    <w:rsid w:val="00814F29"/>
    <w:rsid w:val="00814FE9"/>
    <w:rsid w:val="008151CF"/>
    <w:rsid w:val="00816361"/>
    <w:rsid w:val="0081660E"/>
    <w:rsid w:val="008166EF"/>
    <w:rsid w:val="00816DFF"/>
    <w:rsid w:val="00816F29"/>
    <w:rsid w:val="00816FAB"/>
    <w:rsid w:val="00816FEF"/>
    <w:rsid w:val="0081713C"/>
    <w:rsid w:val="00817262"/>
    <w:rsid w:val="008174DE"/>
    <w:rsid w:val="0081766F"/>
    <w:rsid w:val="0082049B"/>
    <w:rsid w:val="0082069A"/>
    <w:rsid w:val="00820949"/>
    <w:rsid w:val="00820A8C"/>
    <w:rsid w:val="00821338"/>
    <w:rsid w:val="008215FB"/>
    <w:rsid w:val="008217EE"/>
    <w:rsid w:val="00821983"/>
    <w:rsid w:val="008219A4"/>
    <w:rsid w:val="008220CC"/>
    <w:rsid w:val="00823174"/>
    <w:rsid w:val="008239DF"/>
    <w:rsid w:val="008242AE"/>
    <w:rsid w:val="008242BB"/>
    <w:rsid w:val="00824541"/>
    <w:rsid w:val="00824A7D"/>
    <w:rsid w:val="00824B8D"/>
    <w:rsid w:val="00824C4A"/>
    <w:rsid w:val="00824D79"/>
    <w:rsid w:val="00824EF3"/>
    <w:rsid w:val="008250E9"/>
    <w:rsid w:val="008256C3"/>
    <w:rsid w:val="00825751"/>
    <w:rsid w:val="00825944"/>
    <w:rsid w:val="008259CC"/>
    <w:rsid w:val="00825DE5"/>
    <w:rsid w:val="008264EB"/>
    <w:rsid w:val="008265A6"/>
    <w:rsid w:val="00826839"/>
    <w:rsid w:val="008268CE"/>
    <w:rsid w:val="0082768E"/>
    <w:rsid w:val="008277EE"/>
    <w:rsid w:val="00827AE1"/>
    <w:rsid w:val="00827C23"/>
    <w:rsid w:val="00827DDB"/>
    <w:rsid w:val="00830B10"/>
    <w:rsid w:val="00830D9B"/>
    <w:rsid w:val="0083135B"/>
    <w:rsid w:val="00831416"/>
    <w:rsid w:val="00831868"/>
    <w:rsid w:val="0083190F"/>
    <w:rsid w:val="00831BB4"/>
    <w:rsid w:val="00831DA0"/>
    <w:rsid w:val="00832015"/>
    <w:rsid w:val="00832246"/>
    <w:rsid w:val="008323B4"/>
    <w:rsid w:val="008324E0"/>
    <w:rsid w:val="0083289B"/>
    <w:rsid w:val="00832BAB"/>
    <w:rsid w:val="00833066"/>
    <w:rsid w:val="00833067"/>
    <w:rsid w:val="008331A0"/>
    <w:rsid w:val="00833B05"/>
    <w:rsid w:val="00833E3F"/>
    <w:rsid w:val="00834312"/>
    <w:rsid w:val="008347E2"/>
    <w:rsid w:val="0083487F"/>
    <w:rsid w:val="00834890"/>
    <w:rsid w:val="00834A30"/>
    <w:rsid w:val="00834C59"/>
    <w:rsid w:val="00834C91"/>
    <w:rsid w:val="00835018"/>
    <w:rsid w:val="00835066"/>
    <w:rsid w:val="008351D3"/>
    <w:rsid w:val="008355BC"/>
    <w:rsid w:val="008355DA"/>
    <w:rsid w:val="008358ED"/>
    <w:rsid w:val="00835FC0"/>
    <w:rsid w:val="008362B4"/>
    <w:rsid w:val="008363DA"/>
    <w:rsid w:val="00836AFB"/>
    <w:rsid w:val="00836D05"/>
    <w:rsid w:val="00836F5D"/>
    <w:rsid w:val="0083733B"/>
    <w:rsid w:val="00837460"/>
    <w:rsid w:val="008375DF"/>
    <w:rsid w:val="008375FD"/>
    <w:rsid w:val="008377E8"/>
    <w:rsid w:val="00837955"/>
    <w:rsid w:val="00837B01"/>
    <w:rsid w:val="00837E89"/>
    <w:rsid w:val="0084040F"/>
    <w:rsid w:val="008406E7"/>
    <w:rsid w:val="00840850"/>
    <w:rsid w:val="008408A5"/>
    <w:rsid w:val="00840B82"/>
    <w:rsid w:val="00840CA2"/>
    <w:rsid w:val="00840CC8"/>
    <w:rsid w:val="00840F40"/>
    <w:rsid w:val="00840FC2"/>
    <w:rsid w:val="008412BE"/>
    <w:rsid w:val="00841442"/>
    <w:rsid w:val="00842168"/>
    <w:rsid w:val="00842290"/>
    <w:rsid w:val="00842298"/>
    <w:rsid w:val="008423FA"/>
    <w:rsid w:val="00842467"/>
    <w:rsid w:val="0084374F"/>
    <w:rsid w:val="0084390E"/>
    <w:rsid w:val="00843E61"/>
    <w:rsid w:val="00844004"/>
    <w:rsid w:val="00844725"/>
    <w:rsid w:val="00844A22"/>
    <w:rsid w:val="00844ACA"/>
    <w:rsid w:val="00844C41"/>
    <w:rsid w:val="00844C8D"/>
    <w:rsid w:val="00844EFC"/>
    <w:rsid w:val="00846591"/>
    <w:rsid w:val="00846735"/>
    <w:rsid w:val="008468D3"/>
    <w:rsid w:val="00846A65"/>
    <w:rsid w:val="00846F8A"/>
    <w:rsid w:val="00847703"/>
    <w:rsid w:val="00847888"/>
    <w:rsid w:val="00847B73"/>
    <w:rsid w:val="00847BFA"/>
    <w:rsid w:val="00847DF5"/>
    <w:rsid w:val="0085035D"/>
    <w:rsid w:val="0085072D"/>
    <w:rsid w:val="008511AF"/>
    <w:rsid w:val="0085195C"/>
    <w:rsid w:val="00851C49"/>
    <w:rsid w:val="00852117"/>
    <w:rsid w:val="0085214B"/>
    <w:rsid w:val="008523AC"/>
    <w:rsid w:val="008527B2"/>
    <w:rsid w:val="00852860"/>
    <w:rsid w:val="0085305E"/>
    <w:rsid w:val="0085309D"/>
    <w:rsid w:val="0085331C"/>
    <w:rsid w:val="00853A32"/>
    <w:rsid w:val="00853D52"/>
    <w:rsid w:val="00853E18"/>
    <w:rsid w:val="00853E92"/>
    <w:rsid w:val="00854055"/>
    <w:rsid w:val="0085408B"/>
    <w:rsid w:val="008544D0"/>
    <w:rsid w:val="0085458E"/>
    <w:rsid w:val="0085482C"/>
    <w:rsid w:val="0085488F"/>
    <w:rsid w:val="00854C54"/>
    <w:rsid w:val="00855160"/>
    <w:rsid w:val="0085518D"/>
    <w:rsid w:val="00855BC0"/>
    <w:rsid w:val="00855C74"/>
    <w:rsid w:val="00855F5C"/>
    <w:rsid w:val="00856855"/>
    <w:rsid w:val="00856897"/>
    <w:rsid w:val="00856C65"/>
    <w:rsid w:val="00856DBE"/>
    <w:rsid w:val="00856E6D"/>
    <w:rsid w:val="00856E9A"/>
    <w:rsid w:val="008577B8"/>
    <w:rsid w:val="008600A8"/>
    <w:rsid w:val="00860141"/>
    <w:rsid w:val="00860171"/>
    <w:rsid w:val="008603DE"/>
    <w:rsid w:val="0086046C"/>
    <w:rsid w:val="0086072A"/>
    <w:rsid w:val="0086075D"/>
    <w:rsid w:val="00860790"/>
    <w:rsid w:val="00860857"/>
    <w:rsid w:val="00860C36"/>
    <w:rsid w:val="00860CCA"/>
    <w:rsid w:val="008612CD"/>
    <w:rsid w:val="008616B7"/>
    <w:rsid w:val="008618EC"/>
    <w:rsid w:val="0086192C"/>
    <w:rsid w:val="00862196"/>
    <w:rsid w:val="00862263"/>
    <w:rsid w:val="00862502"/>
    <w:rsid w:val="00862886"/>
    <w:rsid w:val="00862B19"/>
    <w:rsid w:val="00862CC1"/>
    <w:rsid w:val="0086343F"/>
    <w:rsid w:val="0086378C"/>
    <w:rsid w:val="00863E0F"/>
    <w:rsid w:val="008640C4"/>
    <w:rsid w:val="008642A7"/>
    <w:rsid w:val="008643A5"/>
    <w:rsid w:val="0086463C"/>
    <w:rsid w:val="008646A5"/>
    <w:rsid w:val="00864B85"/>
    <w:rsid w:val="00864CEF"/>
    <w:rsid w:val="0086503D"/>
    <w:rsid w:val="0086506A"/>
    <w:rsid w:val="008653F6"/>
    <w:rsid w:val="008654C6"/>
    <w:rsid w:val="008657F6"/>
    <w:rsid w:val="008659F1"/>
    <w:rsid w:val="00865BE2"/>
    <w:rsid w:val="008660D4"/>
    <w:rsid w:val="0086627D"/>
    <w:rsid w:val="0086683F"/>
    <w:rsid w:val="00866953"/>
    <w:rsid w:val="00867319"/>
    <w:rsid w:val="0086753B"/>
    <w:rsid w:val="00867AC8"/>
    <w:rsid w:val="008700A2"/>
    <w:rsid w:val="00870EA4"/>
    <w:rsid w:val="00871868"/>
    <w:rsid w:val="00871AA7"/>
    <w:rsid w:val="00871B53"/>
    <w:rsid w:val="00871BDB"/>
    <w:rsid w:val="00871C61"/>
    <w:rsid w:val="00871FA9"/>
    <w:rsid w:val="0087253F"/>
    <w:rsid w:val="008726B4"/>
    <w:rsid w:val="008728E9"/>
    <w:rsid w:val="0087317E"/>
    <w:rsid w:val="008733F0"/>
    <w:rsid w:val="00873684"/>
    <w:rsid w:val="00873813"/>
    <w:rsid w:val="00873C09"/>
    <w:rsid w:val="00874488"/>
    <w:rsid w:val="0087508A"/>
    <w:rsid w:val="00875864"/>
    <w:rsid w:val="00875B8D"/>
    <w:rsid w:val="00876050"/>
    <w:rsid w:val="0087615F"/>
    <w:rsid w:val="008763BC"/>
    <w:rsid w:val="008764C4"/>
    <w:rsid w:val="008765D0"/>
    <w:rsid w:val="00876858"/>
    <w:rsid w:val="00876D44"/>
    <w:rsid w:val="00877060"/>
    <w:rsid w:val="008773D7"/>
    <w:rsid w:val="008774DC"/>
    <w:rsid w:val="008775A2"/>
    <w:rsid w:val="008775DF"/>
    <w:rsid w:val="00877A36"/>
    <w:rsid w:val="00877AB1"/>
    <w:rsid w:val="008801F8"/>
    <w:rsid w:val="00881A80"/>
    <w:rsid w:val="00881D63"/>
    <w:rsid w:val="00881FBD"/>
    <w:rsid w:val="008820E6"/>
    <w:rsid w:val="00882579"/>
    <w:rsid w:val="00882874"/>
    <w:rsid w:val="00882DAE"/>
    <w:rsid w:val="00882E3C"/>
    <w:rsid w:val="0088308A"/>
    <w:rsid w:val="00883787"/>
    <w:rsid w:val="00883874"/>
    <w:rsid w:val="0088454D"/>
    <w:rsid w:val="0088490D"/>
    <w:rsid w:val="00884D5B"/>
    <w:rsid w:val="00884F18"/>
    <w:rsid w:val="00885004"/>
    <w:rsid w:val="00885191"/>
    <w:rsid w:val="008855E4"/>
    <w:rsid w:val="00885994"/>
    <w:rsid w:val="008859F5"/>
    <w:rsid w:val="00885B3B"/>
    <w:rsid w:val="00885FAE"/>
    <w:rsid w:val="00886282"/>
    <w:rsid w:val="00886969"/>
    <w:rsid w:val="00886CD2"/>
    <w:rsid w:val="00886FD8"/>
    <w:rsid w:val="008873F1"/>
    <w:rsid w:val="008875C9"/>
    <w:rsid w:val="00887991"/>
    <w:rsid w:val="00887CED"/>
    <w:rsid w:val="008901C0"/>
    <w:rsid w:val="008906C8"/>
    <w:rsid w:val="008909B1"/>
    <w:rsid w:val="00890AA7"/>
    <w:rsid w:val="008916A7"/>
    <w:rsid w:val="00891B22"/>
    <w:rsid w:val="00891C26"/>
    <w:rsid w:val="00891E6F"/>
    <w:rsid w:val="00892479"/>
    <w:rsid w:val="0089275D"/>
    <w:rsid w:val="00892A36"/>
    <w:rsid w:val="00892C66"/>
    <w:rsid w:val="00892C85"/>
    <w:rsid w:val="00892FE3"/>
    <w:rsid w:val="008930F0"/>
    <w:rsid w:val="00893239"/>
    <w:rsid w:val="00893B17"/>
    <w:rsid w:val="0089420E"/>
    <w:rsid w:val="00894489"/>
    <w:rsid w:val="00894577"/>
    <w:rsid w:val="008946EA"/>
    <w:rsid w:val="008949C0"/>
    <w:rsid w:val="00894B63"/>
    <w:rsid w:val="00894CD6"/>
    <w:rsid w:val="008956CB"/>
    <w:rsid w:val="00895BC1"/>
    <w:rsid w:val="0089627D"/>
    <w:rsid w:val="008963A5"/>
    <w:rsid w:val="008969E4"/>
    <w:rsid w:val="00896A43"/>
    <w:rsid w:val="00896CD3"/>
    <w:rsid w:val="00896D5D"/>
    <w:rsid w:val="00896F8A"/>
    <w:rsid w:val="008972FB"/>
    <w:rsid w:val="008978FD"/>
    <w:rsid w:val="00897BC2"/>
    <w:rsid w:val="00897C9A"/>
    <w:rsid w:val="00897F2D"/>
    <w:rsid w:val="00897F37"/>
    <w:rsid w:val="008A0AC4"/>
    <w:rsid w:val="008A0BC9"/>
    <w:rsid w:val="008A0CF5"/>
    <w:rsid w:val="008A0ED9"/>
    <w:rsid w:val="008A104D"/>
    <w:rsid w:val="008A1883"/>
    <w:rsid w:val="008A20A0"/>
    <w:rsid w:val="008A24B9"/>
    <w:rsid w:val="008A2CA7"/>
    <w:rsid w:val="008A3158"/>
    <w:rsid w:val="008A3363"/>
    <w:rsid w:val="008A3371"/>
    <w:rsid w:val="008A351A"/>
    <w:rsid w:val="008A36BE"/>
    <w:rsid w:val="008A3AAD"/>
    <w:rsid w:val="008A3C3E"/>
    <w:rsid w:val="008A40BA"/>
    <w:rsid w:val="008A4542"/>
    <w:rsid w:val="008A58E2"/>
    <w:rsid w:val="008A594A"/>
    <w:rsid w:val="008A62AB"/>
    <w:rsid w:val="008A68E7"/>
    <w:rsid w:val="008A6E4A"/>
    <w:rsid w:val="008A6E9C"/>
    <w:rsid w:val="008A6EBF"/>
    <w:rsid w:val="008A7776"/>
    <w:rsid w:val="008A79DE"/>
    <w:rsid w:val="008A7DA2"/>
    <w:rsid w:val="008B0091"/>
    <w:rsid w:val="008B0283"/>
    <w:rsid w:val="008B0DAC"/>
    <w:rsid w:val="008B1180"/>
    <w:rsid w:val="008B1757"/>
    <w:rsid w:val="008B1987"/>
    <w:rsid w:val="008B19C1"/>
    <w:rsid w:val="008B1C33"/>
    <w:rsid w:val="008B1DE0"/>
    <w:rsid w:val="008B200F"/>
    <w:rsid w:val="008B23F7"/>
    <w:rsid w:val="008B29FD"/>
    <w:rsid w:val="008B2DAA"/>
    <w:rsid w:val="008B2E0F"/>
    <w:rsid w:val="008B3DE4"/>
    <w:rsid w:val="008B40C0"/>
    <w:rsid w:val="008B418B"/>
    <w:rsid w:val="008B4B6F"/>
    <w:rsid w:val="008B4D71"/>
    <w:rsid w:val="008B4DF9"/>
    <w:rsid w:val="008B4F07"/>
    <w:rsid w:val="008B5CA5"/>
    <w:rsid w:val="008B699F"/>
    <w:rsid w:val="008B6D01"/>
    <w:rsid w:val="008B718E"/>
    <w:rsid w:val="008B735F"/>
    <w:rsid w:val="008B74E2"/>
    <w:rsid w:val="008B75FE"/>
    <w:rsid w:val="008B77BD"/>
    <w:rsid w:val="008B7992"/>
    <w:rsid w:val="008B7A53"/>
    <w:rsid w:val="008B7D7E"/>
    <w:rsid w:val="008B7E77"/>
    <w:rsid w:val="008B7E83"/>
    <w:rsid w:val="008C0211"/>
    <w:rsid w:val="008C0291"/>
    <w:rsid w:val="008C0405"/>
    <w:rsid w:val="008C0423"/>
    <w:rsid w:val="008C04B9"/>
    <w:rsid w:val="008C055F"/>
    <w:rsid w:val="008C09A0"/>
    <w:rsid w:val="008C0A79"/>
    <w:rsid w:val="008C0E49"/>
    <w:rsid w:val="008C1012"/>
    <w:rsid w:val="008C10E3"/>
    <w:rsid w:val="008C1574"/>
    <w:rsid w:val="008C1729"/>
    <w:rsid w:val="008C1851"/>
    <w:rsid w:val="008C202D"/>
    <w:rsid w:val="008C23AB"/>
    <w:rsid w:val="008C2464"/>
    <w:rsid w:val="008C256D"/>
    <w:rsid w:val="008C2835"/>
    <w:rsid w:val="008C2BC9"/>
    <w:rsid w:val="008C2C56"/>
    <w:rsid w:val="008C32E3"/>
    <w:rsid w:val="008C3C5E"/>
    <w:rsid w:val="008C3D9C"/>
    <w:rsid w:val="008C43A2"/>
    <w:rsid w:val="008C46C3"/>
    <w:rsid w:val="008C49CB"/>
    <w:rsid w:val="008C51B0"/>
    <w:rsid w:val="008C54DE"/>
    <w:rsid w:val="008C5610"/>
    <w:rsid w:val="008C5739"/>
    <w:rsid w:val="008C5A6D"/>
    <w:rsid w:val="008C5B8A"/>
    <w:rsid w:val="008C5E61"/>
    <w:rsid w:val="008C62DD"/>
    <w:rsid w:val="008C640B"/>
    <w:rsid w:val="008C68F7"/>
    <w:rsid w:val="008C69B5"/>
    <w:rsid w:val="008C6B25"/>
    <w:rsid w:val="008C6BF5"/>
    <w:rsid w:val="008C6D81"/>
    <w:rsid w:val="008C6FD4"/>
    <w:rsid w:val="008C7282"/>
    <w:rsid w:val="008C75F6"/>
    <w:rsid w:val="008C769A"/>
    <w:rsid w:val="008C76F3"/>
    <w:rsid w:val="008C77F7"/>
    <w:rsid w:val="008C7BBF"/>
    <w:rsid w:val="008C7ECB"/>
    <w:rsid w:val="008C7F59"/>
    <w:rsid w:val="008D06DB"/>
    <w:rsid w:val="008D076C"/>
    <w:rsid w:val="008D0F7C"/>
    <w:rsid w:val="008D20AE"/>
    <w:rsid w:val="008D21EE"/>
    <w:rsid w:val="008D2238"/>
    <w:rsid w:val="008D2926"/>
    <w:rsid w:val="008D34A7"/>
    <w:rsid w:val="008D3B86"/>
    <w:rsid w:val="008D41C1"/>
    <w:rsid w:val="008D43FD"/>
    <w:rsid w:val="008D44BB"/>
    <w:rsid w:val="008D4755"/>
    <w:rsid w:val="008D47B6"/>
    <w:rsid w:val="008D47F3"/>
    <w:rsid w:val="008D4C3D"/>
    <w:rsid w:val="008D4E1F"/>
    <w:rsid w:val="008D522B"/>
    <w:rsid w:val="008D523A"/>
    <w:rsid w:val="008D58EC"/>
    <w:rsid w:val="008D5921"/>
    <w:rsid w:val="008D630C"/>
    <w:rsid w:val="008D660C"/>
    <w:rsid w:val="008D7297"/>
    <w:rsid w:val="008D743C"/>
    <w:rsid w:val="008D7C44"/>
    <w:rsid w:val="008E05FE"/>
    <w:rsid w:val="008E0686"/>
    <w:rsid w:val="008E0A58"/>
    <w:rsid w:val="008E0D3C"/>
    <w:rsid w:val="008E0F19"/>
    <w:rsid w:val="008E11AC"/>
    <w:rsid w:val="008E1219"/>
    <w:rsid w:val="008E1228"/>
    <w:rsid w:val="008E1944"/>
    <w:rsid w:val="008E1B9E"/>
    <w:rsid w:val="008E1DCD"/>
    <w:rsid w:val="008E1E01"/>
    <w:rsid w:val="008E2623"/>
    <w:rsid w:val="008E2E4D"/>
    <w:rsid w:val="008E3282"/>
    <w:rsid w:val="008E35D0"/>
    <w:rsid w:val="008E3E3B"/>
    <w:rsid w:val="008E407B"/>
    <w:rsid w:val="008E42CA"/>
    <w:rsid w:val="008E4655"/>
    <w:rsid w:val="008E4887"/>
    <w:rsid w:val="008E4B47"/>
    <w:rsid w:val="008E4DDA"/>
    <w:rsid w:val="008E51EA"/>
    <w:rsid w:val="008E55AB"/>
    <w:rsid w:val="008E61B2"/>
    <w:rsid w:val="008E6292"/>
    <w:rsid w:val="008E6871"/>
    <w:rsid w:val="008E6ACC"/>
    <w:rsid w:val="008E6BE5"/>
    <w:rsid w:val="008E6D3E"/>
    <w:rsid w:val="008E70F4"/>
    <w:rsid w:val="008E74E3"/>
    <w:rsid w:val="008E7544"/>
    <w:rsid w:val="008E79AD"/>
    <w:rsid w:val="008F00F6"/>
    <w:rsid w:val="008F0960"/>
    <w:rsid w:val="008F0BE1"/>
    <w:rsid w:val="008F1082"/>
    <w:rsid w:val="008F120A"/>
    <w:rsid w:val="008F130F"/>
    <w:rsid w:val="008F180D"/>
    <w:rsid w:val="008F1FB6"/>
    <w:rsid w:val="008F27E0"/>
    <w:rsid w:val="008F2A60"/>
    <w:rsid w:val="008F2FB0"/>
    <w:rsid w:val="008F30C4"/>
    <w:rsid w:val="008F331A"/>
    <w:rsid w:val="008F3359"/>
    <w:rsid w:val="008F33DA"/>
    <w:rsid w:val="008F3555"/>
    <w:rsid w:val="008F37F6"/>
    <w:rsid w:val="008F3D50"/>
    <w:rsid w:val="008F3DF0"/>
    <w:rsid w:val="008F3FEB"/>
    <w:rsid w:val="008F4266"/>
    <w:rsid w:val="008F45F4"/>
    <w:rsid w:val="008F48EB"/>
    <w:rsid w:val="008F49C5"/>
    <w:rsid w:val="008F4BA9"/>
    <w:rsid w:val="008F4BE1"/>
    <w:rsid w:val="008F4F0B"/>
    <w:rsid w:val="008F4F25"/>
    <w:rsid w:val="008F543E"/>
    <w:rsid w:val="008F59A4"/>
    <w:rsid w:val="008F5C0C"/>
    <w:rsid w:val="008F5F3B"/>
    <w:rsid w:val="008F5F97"/>
    <w:rsid w:val="008F6332"/>
    <w:rsid w:val="008F6439"/>
    <w:rsid w:val="008F6D98"/>
    <w:rsid w:val="008F7099"/>
    <w:rsid w:val="008F72EF"/>
    <w:rsid w:val="008F79C1"/>
    <w:rsid w:val="008F7C0A"/>
    <w:rsid w:val="008F7C26"/>
    <w:rsid w:val="00900163"/>
    <w:rsid w:val="00900198"/>
    <w:rsid w:val="009010FE"/>
    <w:rsid w:val="0090158A"/>
    <w:rsid w:val="00901DC7"/>
    <w:rsid w:val="00901E81"/>
    <w:rsid w:val="00902366"/>
    <w:rsid w:val="0090254B"/>
    <w:rsid w:val="0090268E"/>
    <w:rsid w:val="00903165"/>
    <w:rsid w:val="0090329D"/>
    <w:rsid w:val="00903362"/>
    <w:rsid w:val="0090397B"/>
    <w:rsid w:val="00903CCF"/>
    <w:rsid w:val="00903DF7"/>
    <w:rsid w:val="00904163"/>
    <w:rsid w:val="00904652"/>
    <w:rsid w:val="009046C4"/>
    <w:rsid w:val="009049A3"/>
    <w:rsid w:val="00905276"/>
    <w:rsid w:val="009055B7"/>
    <w:rsid w:val="009055CF"/>
    <w:rsid w:val="009056D8"/>
    <w:rsid w:val="00905751"/>
    <w:rsid w:val="00905D53"/>
    <w:rsid w:val="00905D9E"/>
    <w:rsid w:val="00905FD6"/>
    <w:rsid w:val="0090607D"/>
    <w:rsid w:val="00906225"/>
    <w:rsid w:val="009062A5"/>
    <w:rsid w:val="009063EB"/>
    <w:rsid w:val="0090642D"/>
    <w:rsid w:val="00906437"/>
    <w:rsid w:val="009064EB"/>
    <w:rsid w:val="009073C9"/>
    <w:rsid w:val="00907699"/>
    <w:rsid w:val="00910FA7"/>
    <w:rsid w:val="00911272"/>
    <w:rsid w:val="009112EE"/>
    <w:rsid w:val="00911339"/>
    <w:rsid w:val="009119B5"/>
    <w:rsid w:val="009119CE"/>
    <w:rsid w:val="00911B0C"/>
    <w:rsid w:val="00911DE9"/>
    <w:rsid w:val="00911FB5"/>
    <w:rsid w:val="00912377"/>
    <w:rsid w:val="009125C0"/>
    <w:rsid w:val="00913209"/>
    <w:rsid w:val="009135D6"/>
    <w:rsid w:val="00913B22"/>
    <w:rsid w:val="00913B5A"/>
    <w:rsid w:val="00913CCD"/>
    <w:rsid w:val="00914102"/>
    <w:rsid w:val="00914309"/>
    <w:rsid w:val="0091440D"/>
    <w:rsid w:val="0091477E"/>
    <w:rsid w:val="00914A1B"/>
    <w:rsid w:val="00914B84"/>
    <w:rsid w:val="00914C77"/>
    <w:rsid w:val="00914C84"/>
    <w:rsid w:val="00914EAE"/>
    <w:rsid w:val="00915AAF"/>
    <w:rsid w:val="00915B1A"/>
    <w:rsid w:val="00915CEE"/>
    <w:rsid w:val="00915F9D"/>
    <w:rsid w:val="00915FD3"/>
    <w:rsid w:val="00916292"/>
    <w:rsid w:val="00916EFB"/>
    <w:rsid w:val="00916F02"/>
    <w:rsid w:val="009171D9"/>
    <w:rsid w:val="0091729C"/>
    <w:rsid w:val="00917D07"/>
    <w:rsid w:val="00917E9C"/>
    <w:rsid w:val="009204AD"/>
    <w:rsid w:val="009206F0"/>
    <w:rsid w:val="00920DE8"/>
    <w:rsid w:val="00921813"/>
    <w:rsid w:val="009219BC"/>
    <w:rsid w:val="00921ACB"/>
    <w:rsid w:val="00921CE5"/>
    <w:rsid w:val="00921D23"/>
    <w:rsid w:val="00922CFF"/>
    <w:rsid w:val="0092369B"/>
    <w:rsid w:val="00923967"/>
    <w:rsid w:val="00923B75"/>
    <w:rsid w:val="00923C57"/>
    <w:rsid w:val="00923E58"/>
    <w:rsid w:val="009244CD"/>
    <w:rsid w:val="00924F03"/>
    <w:rsid w:val="00924FE5"/>
    <w:rsid w:val="00925635"/>
    <w:rsid w:val="00925AFB"/>
    <w:rsid w:val="00925D9D"/>
    <w:rsid w:val="00925E5B"/>
    <w:rsid w:val="00925EF3"/>
    <w:rsid w:val="00925EFD"/>
    <w:rsid w:val="00926107"/>
    <w:rsid w:val="00926598"/>
    <w:rsid w:val="00926C86"/>
    <w:rsid w:val="00926DD2"/>
    <w:rsid w:val="0092782E"/>
    <w:rsid w:val="00927A83"/>
    <w:rsid w:val="00927E19"/>
    <w:rsid w:val="00930194"/>
    <w:rsid w:val="00930615"/>
    <w:rsid w:val="00930A41"/>
    <w:rsid w:val="00930B91"/>
    <w:rsid w:val="00930EAA"/>
    <w:rsid w:val="00930F61"/>
    <w:rsid w:val="009318D1"/>
    <w:rsid w:val="0093238B"/>
    <w:rsid w:val="00932481"/>
    <w:rsid w:val="009324EF"/>
    <w:rsid w:val="0093251C"/>
    <w:rsid w:val="009327EA"/>
    <w:rsid w:val="00932911"/>
    <w:rsid w:val="00932AB7"/>
    <w:rsid w:val="00932C3A"/>
    <w:rsid w:val="00932CAD"/>
    <w:rsid w:val="009333A2"/>
    <w:rsid w:val="00933D32"/>
    <w:rsid w:val="00933D96"/>
    <w:rsid w:val="00934743"/>
    <w:rsid w:val="00934837"/>
    <w:rsid w:val="00934988"/>
    <w:rsid w:val="009351EE"/>
    <w:rsid w:val="0093557F"/>
    <w:rsid w:val="00935A67"/>
    <w:rsid w:val="00936891"/>
    <w:rsid w:val="00936E08"/>
    <w:rsid w:val="00936E2B"/>
    <w:rsid w:val="00936E53"/>
    <w:rsid w:val="00936FC9"/>
    <w:rsid w:val="00937089"/>
    <w:rsid w:val="00937658"/>
    <w:rsid w:val="009379BD"/>
    <w:rsid w:val="00937EC5"/>
    <w:rsid w:val="00937FF8"/>
    <w:rsid w:val="0094022A"/>
    <w:rsid w:val="00940444"/>
    <w:rsid w:val="0094073A"/>
    <w:rsid w:val="00940C65"/>
    <w:rsid w:val="00940DE2"/>
    <w:rsid w:val="0094102B"/>
    <w:rsid w:val="0094112D"/>
    <w:rsid w:val="00941665"/>
    <w:rsid w:val="00941B95"/>
    <w:rsid w:val="00942DE7"/>
    <w:rsid w:val="00942FE3"/>
    <w:rsid w:val="0094316D"/>
    <w:rsid w:val="009431EF"/>
    <w:rsid w:val="00943409"/>
    <w:rsid w:val="00943CF4"/>
    <w:rsid w:val="009445CE"/>
    <w:rsid w:val="00944767"/>
    <w:rsid w:val="00944770"/>
    <w:rsid w:val="009448B7"/>
    <w:rsid w:val="00944F64"/>
    <w:rsid w:val="00944F8A"/>
    <w:rsid w:val="00944F9E"/>
    <w:rsid w:val="009452BE"/>
    <w:rsid w:val="00945657"/>
    <w:rsid w:val="009458E6"/>
    <w:rsid w:val="009459BF"/>
    <w:rsid w:val="00945DFF"/>
    <w:rsid w:val="00946322"/>
    <w:rsid w:val="00946409"/>
    <w:rsid w:val="0094667B"/>
    <w:rsid w:val="0094688A"/>
    <w:rsid w:val="00947395"/>
    <w:rsid w:val="00947F47"/>
    <w:rsid w:val="0095009A"/>
    <w:rsid w:val="00950269"/>
    <w:rsid w:val="0095052A"/>
    <w:rsid w:val="0095065F"/>
    <w:rsid w:val="0095088C"/>
    <w:rsid w:val="009508C1"/>
    <w:rsid w:val="00950A15"/>
    <w:rsid w:val="009510A2"/>
    <w:rsid w:val="009514B8"/>
    <w:rsid w:val="00951695"/>
    <w:rsid w:val="00951AB1"/>
    <w:rsid w:val="00951C6F"/>
    <w:rsid w:val="00951E95"/>
    <w:rsid w:val="00951FF8"/>
    <w:rsid w:val="00952E50"/>
    <w:rsid w:val="009531C3"/>
    <w:rsid w:val="009531C4"/>
    <w:rsid w:val="00953257"/>
    <w:rsid w:val="0095340C"/>
    <w:rsid w:val="00953609"/>
    <w:rsid w:val="00953FD5"/>
    <w:rsid w:val="0095438A"/>
    <w:rsid w:val="0095474C"/>
    <w:rsid w:val="00954AE2"/>
    <w:rsid w:val="00954F4F"/>
    <w:rsid w:val="009552E6"/>
    <w:rsid w:val="009558DC"/>
    <w:rsid w:val="00955A88"/>
    <w:rsid w:val="00955F5D"/>
    <w:rsid w:val="00955FC2"/>
    <w:rsid w:val="009560A5"/>
    <w:rsid w:val="0095617F"/>
    <w:rsid w:val="00956252"/>
    <w:rsid w:val="00956FD1"/>
    <w:rsid w:val="00957271"/>
    <w:rsid w:val="009572A7"/>
    <w:rsid w:val="0095765D"/>
    <w:rsid w:val="00957741"/>
    <w:rsid w:val="00957D92"/>
    <w:rsid w:val="0096099C"/>
    <w:rsid w:val="00960BF8"/>
    <w:rsid w:val="00960D8A"/>
    <w:rsid w:val="00960DDE"/>
    <w:rsid w:val="00960F52"/>
    <w:rsid w:val="00960FA0"/>
    <w:rsid w:val="0096131B"/>
    <w:rsid w:val="00961388"/>
    <w:rsid w:val="00961DF3"/>
    <w:rsid w:val="00962458"/>
    <w:rsid w:val="00962494"/>
    <w:rsid w:val="0096283D"/>
    <w:rsid w:val="00962A3A"/>
    <w:rsid w:val="00962CB9"/>
    <w:rsid w:val="009632C5"/>
    <w:rsid w:val="00963595"/>
    <w:rsid w:val="009636E3"/>
    <w:rsid w:val="00963AB7"/>
    <w:rsid w:val="00963CA8"/>
    <w:rsid w:val="00963D52"/>
    <w:rsid w:val="00963DE5"/>
    <w:rsid w:val="009642AE"/>
    <w:rsid w:val="00964312"/>
    <w:rsid w:val="009646A9"/>
    <w:rsid w:val="00964C1B"/>
    <w:rsid w:val="00965194"/>
    <w:rsid w:val="009653FA"/>
    <w:rsid w:val="009655B0"/>
    <w:rsid w:val="009659A6"/>
    <w:rsid w:val="00965B36"/>
    <w:rsid w:val="00965B8A"/>
    <w:rsid w:val="00965E20"/>
    <w:rsid w:val="009662B4"/>
    <w:rsid w:val="00966384"/>
    <w:rsid w:val="009663A1"/>
    <w:rsid w:val="00966B07"/>
    <w:rsid w:val="00966CB7"/>
    <w:rsid w:val="00966E03"/>
    <w:rsid w:val="009672BE"/>
    <w:rsid w:val="00967359"/>
    <w:rsid w:val="0097022D"/>
    <w:rsid w:val="0097071F"/>
    <w:rsid w:val="00970C72"/>
    <w:rsid w:val="00970D88"/>
    <w:rsid w:val="009712DF"/>
    <w:rsid w:val="009717AC"/>
    <w:rsid w:val="0097284B"/>
    <w:rsid w:val="00972913"/>
    <w:rsid w:val="00972E84"/>
    <w:rsid w:val="00973276"/>
    <w:rsid w:val="009733B9"/>
    <w:rsid w:val="00973688"/>
    <w:rsid w:val="0097372F"/>
    <w:rsid w:val="00973768"/>
    <w:rsid w:val="009738C4"/>
    <w:rsid w:val="00973B05"/>
    <w:rsid w:val="00973E1B"/>
    <w:rsid w:val="00974321"/>
    <w:rsid w:val="00974356"/>
    <w:rsid w:val="00974BF6"/>
    <w:rsid w:val="00974F0B"/>
    <w:rsid w:val="0097509B"/>
    <w:rsid w:val="009751C1"/>
    <w:rsid w:val="00975233"/>
    <w:rsid w:val="00975488"/>
    <w:rsid w:val="0097569D"/>
    <w:rsid w:val="009757D5"/>
    <w:rsid w:val="00975E69"/>
    <w:rsid w:val="00975F3A"/>
    <w:rsid w:val="00976133"/>
    <w:rsid w:val="00976408"/>
    <w:rsid w:val="00976C5A"/>
    <w:rsid w:val="00976F62"/>
    <w:rsid w:val="00977228"/>
    <w:rsid w:val="00977491"/>
    <w:rsid w:val="009776D6"/>
    <w:rsid w:val="00977814"/>
    <w:rsid w:val="00980DA6"/>
    <w:rsid w:val="009811F1"/>
    <w:rsid w:val="00981A82"/>
    <w:rsid w:val="00981F33"/>
    <w:rsid w:val="009820B8"/>
    <w:rsid w:val="009820BE"/>
    <w:rsid w:val="009820EB"/>
    <w:rsid w:val="00982184"/>
    <w:rsid w:val="009822D1"/>
    <w:rsid w:val="0098262F"/>
    <w:rsid w:val="009828F8"/>
    <w:rsid w:val="00982999"/>
    <w:rsid w:val="00982B58"/>
    <w:rsid w:val="00982C8C"/>
    <w:rsid w:val="009831AB"/>
    <w:rsid w:val="009833C7"/>
    <w:rsid w:val="009837C7"/>
    <w:rsid w:val="00983835"/>
    <w:rsid w:val="00983E57"/>
    <w:rsid w:val="00984999"/>
    <w:rsid w:val="00984AF7"/>
    <w:rsid w:val="0098523A"/>
    <w:rsid w:val="0098586D"/>
    <w:rsid w:val="0098587C"/>
    <w:rsid w:val="00985940"/>
    <w:rsid w:val="00985981"/>
    <w:rsid w:val="00985AF7"/>
    <w:rsid w:val="00985D2C"/>
    <w:rsid w:val="00985DE2"/>
    <w:rsid w:val="00985F53"/>
    <w:rsid w:val="0098675D"/>
    <w:rsid w:val="0098681E"/>
    <w:rsid w:val="00986A3E"/>
    <w:rsid w:val="00986FAC"/>
    <w:rsid w:val="00987128"/>
    <w:rsid w:val="009871A5"/>
    <w:rsid w:val="009872AE"/>
    <w:rsid w:val="0098762C"/>
    <w:rsid w:val="00987866"/>
    <w:rsid w:val="009879B1"/>
    <w:rsid w:val="00987BA4"/>
    <w:rsid w:val="00987CCD"/>
    <w:rsid w:val="00987E4F"/>
    <w:rsid w:val="009901BC"/>
    <w:rsid w:val="009901EE"/>
    <w:rsid w:val="0099023F"/>
    <w:rsid w:val="00990581"/>
    <w:rsid w:val="00990B45"/>
    <w:rsid w:val="00990C36"/>
    <w:rsid w:val="00990F3E"/>
    <w:rsid w:val="009926E0"/>
    <w:rsid w:val="009927AB"/>
    <w:rsid w:val="00992908"/>
    <w:rsid w:val="00992EB3"/>
    <w:rsid w:val="009930A1"/>
    <w:rsid w:val="009936F5"/>
    <w:rsid w:val="00993B1D"/>
    <w:rsid w:val="00994389"/>
    <w:rsid w:val="0099451E"/>
    <w:rsid w:val="00994C53"/>
    <w:rsid w:val="00994E3B"/>
    <w:rsid w:val="00994ECA"/>
    <w:rsid w:val="0099539E"/>
    <w:rsid w:val="0099576B"/>
    <w:rsid w:val="00995881"/>
    <w:rsid w:val="00995ACA"/>
    <w:rsid w:val="00995B64"/>
    <w:rsid w:val="00995F30"/>
    <w:rsid w:val="009963CE"/>
    <w:rsid w:val="0099673C"/>
    <w:rsid w:val="0099687F"/>
    <w:rsid w:val="00996B1A"/>
    <w:rsid w:val="00996BE1"/>
    <w:rsid w:val="0099700F"/>
    <w:rsid w:val="00997437"/>
    <w:rsid w:val="009974E9"/>
    <w:rsid w:val="00997719"/>
    <w:rsid w:val="0099771A"/>
    <w:rsid w:val="00997790"/>
    <w:rsid w:val="009977EB"/>
    <w:rsid w:val="0099784D"/>
    <w:rsid w:val="00997D1B"/>
    <w:rsid w:val="00997E3D"/>
    <w:rsid w:val="00997EDF"/>
    <w:rsid w:val="009A0217"/>
    <w:rsid w:val="009A07A6"/>
    <w:rsid w:val="009A0841"/>
    <w:rsid w:val="009A090E"/>
    <w:rsid w:val="009A0B67"/>
    <w:rsid w:val="009A0BBA"/>
    <w:rsid w:val="009A0D71"/>
    <w:rsid w:val="009A0F84"/>
    <w:rsid w:val="009A142F"/>
    <w:rsid w:val="009A18F6"/>
    <w:rsid w:val="009A1996"/>
    <w:rsid w:val="009A1A4E"/>
    <w:rsid w:val="009A22B1"/>
    <w:rsid w:val="009A2DCC"/>
    <w:rsid w:val="009A2F4B"/>
    <w:rsid w:val="009A308C"/>
    <w:rsid w:val="009A3296"/>
    <w:rsid w:val="009A35A3"/>
    <w:rsid w:val="009A3636"/>
    <w:rsid w:val="009A37E9"/>
    <w:rsid w:val="009A3868"/>
    <w:rsid w:val="009A38AC"/>
    <w:rsid w:val="009A4667"/>
    <w:rsid w:val="009A47A7"/>
    <w:rsid w:val="009A4810"/>
    <w:rsid w:val="009A4ECB"/>
    <w:rsid w:val="009A511C"/>
    <w:rsid w:val="009A560D"/>
    <w:rsid w:val="009A564C"/>
    <w:rsid w:val="009A57AF"/>
    <w:rsid w:val="009A57BA"/>
    <w:rsid w:val="009A5995"/>
    <w:rsid w:val="009A5ABC"/>
    <w:rsid w:val="009A5D47"/>
    <w:rsid w:val="009A6092"/>
    <w:rsid w:val="009A6208"/>
    <w:rsid w:val="009A660B"/>
    <w:rsid w:val="009A6861"/>
    <w:rsid w:val="009A6889"/>
    <w:rsid w:val="009A68F5"/>
    <w:rsid w:val="009A6BF1"/>
    <w:rsid w:val="009A6F0D"/>
    <w:rsid w:val="009A7034"/>
    <w:rsid w:val="009A7110"/>
    <w:rsid w:val="009A7979"/>
    <w:rsid w:val="009A7A73"/>
    <w:rsid w:val="009A7F10"/>
    <w:rsid w:val="009B0815"/>
    <w:rsid w:val="009B1058"/>
    <w:rsid w:val="009B12DD"/>
    <w:rsid w:val="009B1B00"/>
    <w:rsid w:val="009B1BC9"/>
    <w:rsid w:val="009B1D35"/>
    <w:rsid w:val="009B23C0"/>
    <w:rsid w:val="009B2455"/>
    <w:rsid w:val="009B2CF9"/>
    <w:rsid w:val="009B3BA9"/>
    <w:rsid w:val="009B3CB3"/>
    <w:rsid w:val="009B3DF2"/>
    <w:rsid w:val="009B3E26"/>
    <w:rsid w:val="009B3E4D"/>
    <w:rsid w:val="009B49C9"/>
    <w:rsid w:val="009B4A9C"/>
    <w:rsid w:val="009B4D3F"/>
    <w:rsid w:val="009B4F5D"/>
    <w:rsid w:val="009B5058"/>
    <w:rsid w:val="009B52AE"/>
    <w:rsid w:val="009B55D6"/>
    <w:rsid w:val="009B5F06"/>
    <w:rsid w:val="009B5F2F"/>
    <w:rsid w:val="009B5F98"/>
    <w:rsid w:val="009B63DF"/>
    <w:rsid w:val="009B64B5"/>
    <w:rsid w:val="009B6866"/>
    <w:rsid w:val="009B6B00"/>
    <w:rsid w:val="009B6C49"/>
    <w:rsid w:val="009B700A"/>
    <w:rsid w:val="009B72F5"/>
    <w:rsid w:val="009B737E"/>
    <w:rsid w:val="009B75EA"/>
    <w:rsid w:val="009C02AA"/>
    <w:rsid w:val="009C0457"/>
    <w:rsid w:val="009C0594"/>
    <w:rsid w:val="009C0897"/>
    <w:rsid w:val="009C08C0"/>
    <w:rsid w:val="009C0A12"/>
    <w:rsid w:val="009C0DBF"/>
    <w:rsid w:val="009C102C"/>
    <w:rsid w:val="009C1271"/>
    <w:rsid w:val="009C1285"/>
    <w:rsid w:val="009C14EB"/>
    <w:rsid w:val="009C1747"/>
    <w:rsid w:val="009C1ECF"/>
    <w:rsid w:val="009C1EE7"/>
    <w:rsid w:val="009C2043"/>
    <w:rsid w:val="009C207E"/>
    <w:rsid w:val="009C2115"/>
    <w:rsid w:val="009C267C"/>
    <w:rsid w:val="009C29B6"/>
    <w:rsid w:val="009C30EA"/>
    <w:rsid w:val="009C333C"/>
    <w:rsid w:val="009C36AC"/>
    <w:rsid w:val="009C3706"/>
    <w:rsid w:val="009C3A3A"/>
    <w:rsid w:val="009C3CBB"/>
    <w:rsid w:val="009C40DE"/>
    <w:rsid w:val="009C4228"/>
    <w:rsid w:val="009C426B"/>
    <w:rsid w:val="009C4674"/>
    <w:rsid w:val="009C4706"/>
    <w:rsid w:val="009C4906"/>
    <w:rsid w:val="009C4968"/>
    <w:rsid w:val="009C4A07"/>
    <w:rsid w:val="009C4AB0"/>
    <w:rsid w:val="009C51E3"/>
    <w:rsid w:val="009C5532"/>
    <w:rsid w:val="009C558A"/>
    <w:rsid w:val="009C5652"/>
    <w:rsid w:val="009C5A08"/>
    <w:rsid w:val="009C5BE4"/>
    <w:rsid w:val="009C5C37"/>
    <w:rsid w:val="009C6024"/>
    <w:rsid w:val="009C6345"/>
    <w:rsid w:val="009C641A"/>
    <w:rsid w:val="009C6667"/>
    <w:rsid w:val="009C6BEF"/>
    <w:rsid w:val="009C6CEA"/>
    <w:rsid w:val="009C6F13"/>
    <w:rsid w:val="009C6FC8"/>
    <w:rsid w:val="009C73E3"/>
    <w:rsid w:val="009C7B85"/>
    <w:rsid w:val="009C7EFF"/>
    <w:rsid w:val="009D0254"/>
    <w:rsid w:val="009D04D1"/>
    <w:rsid w:val="009D0990"/>
    <w:rsid w:val="009D0AD2"/>
    <w:rsid w:val="009D0D5E"/>
    <w:rsid w:val="009D10D8"/>
    <w:rsid w:val="009D14F7"/>
    <w:rsid w:val="009D1631"/>
    <w:rsid w:val="009D1701"/>
    <w:rsid w:val="009D18C3"/>
    <w:rsid w:val="009D1A64"/>
    <w:rsid w:val="009D1BBD"/>
    <w:rsid w:val="009D1E87"/>
    <w:rsid w:val="009D1F77"/>
    <w:rsid w:val="009D22A6"/>
    <w:rsid w:val="009D23CF"/>
    <w:rsid w:val="009D25A5"/>
    <w:rsid w:val="009D2DE9"/>
    <w:rsid w:val="009D30AE"/>
    <w:rsid w:val="009D3316"/>
    <w:rsid w:val="009D4B22"/>
    <w:rsid w:val="009D541C"/>
    <w:rsid w:val="009D57A8"/>
    <w:rsid w:val="009D5B91"/>
    <w:rsid w:val="009D639C"/>
    <w:rsid w:val="009D6691"/>
    <w:rsid w:val="009D6888"/>
    <w:rsid w:val="009D68A2"/>
    <w:rsid w:val="009D7170"/>
    <w:rsid w:val="009D7572"/>
    <w:rsid w:val="009D7690"/>
    <w:rsid w:val="009D792E"/>
    <w:rsid w:val="009D7D8E"/>
    <w:rsid w:val="009E0360"/>
    <w:rsid w:val="009E0B0B"/>
    <w:rsid w:val="009E0DFE"/>
    <w:rsid w:val="009E1167"/>
    <w:rsid w:val="009E1756"/>
    <w:rsid w:val="009E1F02"/>
    <w:rsid w:val="009E2429"/>
    <w:rsid w:val="009E2987"/>
    <w:rsid w:val="009E2DB5"/>
    <w:rsid w:val="009E305B"/>
    <w:rsid w:val="009E31F6"/>
    <w:rsid w:val="009E35E5"/>
    <w:rsid w:val="009E3635"/>
    <w:rsid w:val="009E3C70"/>
    <w:rsid w:val="009E402A"/>
    <w:rsid w:val="009E426B"/>
    <w:rsid w:val="009E42BF"/>
    <w:rsid w:val="009E443F"/>
    <w:rsid w:val="009E4C07"/>
    <w:rsid w:val="009E4F42"/>
    <w:rsid w:val="009E545A"/>
    <w:rsid w:val="009E55B0"/>
    <w:rsid w:val="009E57BD"/>
    <w:rsid w:val="009E58AB"/>
    <w:rsid w:val="009E5CBC"/>
    <w:rsid w:val="009E6420"/>
    <w:rsid w:val="009E6C44"/>
    <w:rsid w:val="009E6D4E"/>
    <w:rsid w:val="009E6EBB"/>
    <w:rsid w:val="009E6F06"/>
    <w:rsid w:val="009E6F83"/>
    <w:rsid w:val="009E72EF"/>
    <w:rsid w:val="009E7321"/>
    <w:rsid w:val="009E777F"/>
    <w:rsid w:val="009F00D1"/>
    <w:rsid w:val="009F06A4"/>
    <w:rsid w:val="009F08A9"/>
    <w:rsid w:val="009F0CDA"/>
    <w:rsid w:val="009F10C5"/>
    <w:rsid w:val="009F12AD"/>
    <w:rsid w:val="009F1679"/>
    <w:rsid w:val="009F1885"/>
    <w:rsid w:val="009F1DDF"/>
    <w:rsid w:val="009F2539"/>
    <w:rsid w:val="009F25A9"/>
    <w:rsid w:val="009F2B17"/>
    <w:rsid w:val="009F2BBE"/>
    <w:rsid w:val="009F2E99"/>
    <w:rsid w:val="009F2FC2"/>
    <w:rsid w:val="009F338B"/>
    <w:rsid w:val="009F349E"/>
    <w:rsid w:val="009F35E5"/>
    <w:rsid w:val="009F36D4"/>
    <w:rsid w:val="009F3959"/>
    <w:rsid w:val="009F3F0A"/>
    <w:rsid w:val="009F4368"/>
    <w:rsid w:val="009F4462"/>
    <w:rsid w:val="009F4727"/>
    <w:rsid w:val="009F4A2F"/>
    <w:rsid w:val="009F4B0D"/>
    <w:rsid w:val="009F4C24"/>
    <w:rsid w:val="009F51AD"/>
    <w:rsid w:val="009F524A"/>
    <w:rsid w:val="009F54C1"/>
    <w:rsid w:val="009F58B8"/>
    <w:rsid w:val="009F6017"/>
    <w:rsid w:val="009F6021"/>
    <w:rsid w:val="009F6120"/>
    <w:rsid w:val="009F6541"/>
    <w:rsid w:val="009F6588"/>
    <w:rsid w:val="00A0042A"/>
    <w:rsid w:val="00A00B51"/>
    <w:rsid w:val="00A00D76"/>
    <w:rsid w:val="00A00FF4"/>
    <w:rsid w:val="00A01184"/>
    <w:rsid w:val="00A01449"/>
    <w:rsid w:val="00A014F6"/>
    <w:rsid w:val="00A01529"/>
    <w:rsid w:val="00A01792"/>
    <w:rsid w:val="00A01B8F"/>
    <w:rsid w:val="00A01C1E"/>
    <w:rsid w:val="00A01C56"/>
    <w:rsid w:val="00A01DB7"/>
    <w:rsid w:val="00A020D5"/>
    <w:rsid w:val="00A02381"/>
    <w:rsid w:val="00A028E8"/>
    <w:rsid w:val="00A037C2"/>
    <w:rsid w:val="00A03C81"/>
    <w:rsid w:val="00A03D43"/>
    <w:rsid w:val="00A0430B"/>
    <w:rsid w:val="00A04380"/>
    <w:rsid w:val="00A04786"/>
    <w:rsid w:val="00A04BF5"/>
    <w:rsid w:val="00A04D5E"/>
    <w:rsid w:val="00A04EAC"/>
    <w:rsid w:val="00A050EB"/>
    <w:rsid w:val="00A05205"/>
    <w:rsid w:val="00A05472"/>
    <w:rsid w:val="00A05475"/>
    <w:rsid w:val="00A055D0"/>
    <w:rsid w:val="00A05815"/>
    <w:rsid w:val="00A05A5B"/>
    <w:rsid w:val="00A05AE2"/>
    <w:rsid w:val="00A05C32"/>
    <w:rsid w:val="00A05C7C"/>
    <w:rsid w:val="00A05D80"/>
    <w:rsid w:val="00A06283"/>
    <w:rsid w:val="00A0653F"/>
    <w:rsid w:val="00A06B44"/>
    <w:rsid w:val="00A10023"/>
    <w:rsid w:val="00A100E0"/>
    <w:rsid w:val="00A10466"/>
    <w:rsid w:val="00A10483"/>
    <w:rsid w:val="00A10C22"/>
    <w:rsid w:val="00A10CAC"/>
    <w:rsid w:val="00A11423"/>
    <w:rsid w:val="00A11A36"/>
    <w:rsid w:val="00A11AFC"/>
    <w:rsid w:val="00A11B14"/>
    <w:rsid w:val="00A11CD0"/>
    <w:rsid w:val="00A11D2B"/>
    <w:rsid w:val="00A11FA0"/>
    <w:rsid w:val="00A12679"/>
    <w:rsid w:val="00A132CE"/>
    <w:rsid w:val="00A13792"/>
    <w:rsid w:val="00A13948"/>
    <w:rsid w:val="00A13AE8"/>
    <w:rsid w:val="00A14D98"/>
    <w:rsid w:val="00A1513D"/>
    <w:rsid w:val="00A15186"/>
    <w:rsid w:val="00A154F6"/>
    <w:rsid w:val="00A1555B"/>
    <w:rsid w:val="00A155C5"/>
    <w:rsid w:val="00A156D8"/>
    <w:rsid w:val="00A15791"/>
    <w:rsid w:val="00A15950"/>
    <w:rsid w:val="00A15AD6"/>
    <w:rsid w:val="00A16415"/>
    <w:rsid w:val="00A169B5"/>
    <w:rsid w:val="00A16AC9"/>
    <w:rsid w:val="00A16AD8"/>
    <w:rsid w:val="00A16B80"/>
    <w:rsid w:val="00A16CB1"/>
    <w:rsid w:val="00A16E15"/>
    <w:rsid w:val="00A16F66"/>
    <w:rsid w:val="00A17060"/>
    <w:rsid w:val="00A171C1"/>
    <w:rsid w:val="00A173BD"/>
    <w:rsid w:val="00A17596"/>
    <w:rsid w:val="00A17884"/>
    <w:rsid w:val="00A17912"/>
    <w:rsid w:val="00A17999"/>
    <w:rsid w:val="00A17C97"/>
    <w:rsid w:val="00A2021E"/>
    <w:rsid w:val="00A2028F"/>
    <w:rsid w:val="00A2034E"/>
    <w:rsid w:val="00A20822"/>
    <w:rsid w:val="00A20A05"/>
    <w:rsid w:val="00A20A40"/>
    <w:rsid w:val="00A2101B"/>
    <w:rsid w:val="00A21A5A"/>
    <w:rsid w:val="00A21C06"/>
    <w:rsid w:val="00A21C3E"/>
    <w:rsid w:val="00A21C95"/>
    <w:rsid w:val="00A21CF3"/>
    <w:rsid w:val="00A21F4F"/>
    <w:rsid w:val="00A21F9E"/>
    <w:rsid w:val="00A222A2"/>
    <w:rsid w:val="00A22EC0"/>
    <w:rsid w:val="00A2313C"/>
    <w:rsid w:val="00A23142"/>
    <w:rsid w:val="00A23210"/>
    <w:rsid w:val="00A235FF"/>
    <w:rsid w:val="00A236BE"/>
    <w:rsid w:val="00A23904"/>
    <w:rsid w:val="00A23BA6"/>
    <w:rsid w:val="00A23BB7"/>
    <w:rsid w:val="00A23BE8"/>
    <w:rsid w:val="00A23EFC"/>
    <w:rsid w:val="00A24015"/>
    <w:rsid w:val="00A2463D"/>
    <w:rsid w:val="00A24813"/>
    <w:rsid w:val="00A24B37"/>
    <w:rsid w:val="00A24E5D"/>
    <w:rsid w:val="00A253C0"/>
    <w:rsid w:val="00A255C7"/>
    <w:rsid w:val="00A259A1"/>
    <w:rsid w:val="00A25DEF"/>
    <w:rsid w:val="00A261D4"/>
    <w:rsid w:val="00A2642A"/>
    <w:rsid w:val="00A2650A"/>
    <w:rsid w:val="00A26B94"/>
    <w:rsid w:val="00A26E9F"/>
    <w:rsid w:val="00A26ECB"/>
    <w:rsid w:val="00A26F65"/>
    <w:rsid w:val="00A26FBC"/>
    <w:rsid w:val="00A27147"/>
    <w:rsid w:val="00A271EC"/>
    <w:rsid w:val="00A27AEC"/>
    <w:rsid w:val="00A301DA"/>
    <w:rsid w:val="00A30371"/>
    <w:rsid w:val="00A30A90"/>
    <w:rsid w:val="00A30F23"/>
    <w:rsid w:val="00A3131A"/>
    <w:rsid w:val="00A31830"/>
    <w:rsid w:val="00A31840"/>
    <w:rsid w:val="00A319B6"/>
    <w:rsid w:val="00A320DB"/>
    <w:rsid w:val="00A32D01"/>
    <w:rsid w:val="00A33233"/>
    <w:rsid w:val="00A332CF"/>
    <w:rsid w:val="00A336FF"/>
    <w:rsid w:val="00A3395F"/>
    <w:rsid w:val="00A33969"/>
    <w:rsid w:val="00A33DDB"/>
    <w:rsid w:val="00A344F6"/>
    <w:rsid w:val="00A34D65"/>
    <w:rsid w:val="00A35A77"/>
    <w:rsid w:val="00A35D16"/>
    <w:rsid w:val="00A36FA6"/>
    <w:rsid w:val="00A37849"/>
    <w:rsid w:val="00A37BCD"/>
    <w:rsid w:val="00A37CBC"/>
    <w:rsid w:val="00A37E4B"/>
    <w:rsid w:val="00A37EE3"/>
    <w:rsid w:val="00A37FC1"/>
    <w:rsid w:val="00A402F3"/>
    <w:rsid w:val="00A403D2"/>
    <w:rsid w:val="00A40808"/>
    <w:rsid w:val="00A40A1A"/>
    <w:rsid w:val="00A410D1"/>
    <w:rsid w:val="00A4165D"/>
    <w:rsid w:val="00A41689"/>
    <w:rsid w:val="00A418BC"/>
    <w:rsid w:val="00A41EB3"/>
    <w:rsid w:val="00A42592"/>
    <w:rsid w:val="00A42998"/>
    <w:rsid w:val="00A433CD"/>
    <w:rsid w:val="00A4394C"/>
    <w:rsid w:val="00A43B27"/>
    <w:rsid w:val="00A43C59"/>
    <w:rsid w:val="00A43E10"/>
    <w:rsid w:val="00A4409A"/>
    <w:rsid w:val="00A442F9"/>
    <w:rsid w:val="00A446BD"/>
    <w:rsid w:val="00A44F4E"/>
    <w:rsid w:val="00A45C33"/>
    <w:rsid w:val="00A45E7E"/>
    <w:rsid w:val="00A4621D"/>
    <w:rsid w:val="00A46357"/>
    <w:rsid w:val="00A46769"/>
    <w:rsid w:val="00A4692B"/>
    <w:rsid w:val="00A471D8"/>
    <w:rsid w:val="00A473BA"/>
    <w:rsid w:val="00A47D5D"/>
    <w:rsid w:val="00A47E10"/>
    <w:rsid w:val="00A50226"/>
    <w:rsid w:val="00A5022B"/>
    <w:rsid w:val="00A50266"/>
    <w:rsid w:val="00A5034B"/>
    <w:rsid w:val="00A5057F"/>
    <w:rsid w:val="00A50598"/>
    <w:rsid w:val="00A505F1"/>
    <w:rsid w:val="00A50720"/>
    <w:rsid w:val="00A5077D"/>
    <w:rsid w:val="00A507E1"/>
    <w:rsid w:val="00A508A2"/>
    <w:rsid w:val="00A50AFA"/>
    <w:rsid w:val="00A50ECD"/>
    <w:rsid w:val="00A513C7"/>
    <w:rsid w:val="00A515FE"/>
    <w:rsid w:val="00A518F3"/>
    <w:rsid w:val="00A519BB"/>
    <w:rsid w:val="00A51D66"/>
    <w:rsid w:val="00A52463"/>
    <w:rsid w:val="00A52729"/>
    <w:rsid w:val="00A529A5"/>
    <w:rsid w:val="00A530E0"/>
    <w:rsid w:val="00A53675"/>
    <w:rsid w:val="00A536C0"/>
    <w:rsid w:val="00A537B2"/>
    <w:rsid w:val="00A53872"/>
    <w:rsid w:val="00A544DB"/>
    <w:rsid w:val="00A54674"/>
    <w:rsid w:val="00A54768"/>
    <w:rsid w:val="00A550B2"/>
    <w:rsid w:val="00A5514F"/>
    <w:rsid w:val="00A552FC"/>
    <w:rsid w:val="00A55B15"/>
    <w:rsid w:val="00A561A6"/>
    <w:rsid w:val="00A5620A"/>
    <w:rsid w:val="00A564D7"/>
    <w:rsid w:val="00A56B6A"/>
    <w:rsid w:val="00A56B9E"/>
    <w:rsid w:val="00A5706A"/>
    <w:rsid w:val="00A57105"/>
    <w:rsid w:val="00A57289"/>
    <w:rsid w:val="00A577A3"/>
    <w:rsid w:val="00A578DC"/>
    <w:rsid w:val="00A57B82"/>
    <w:rsid w:val="00A57D8E"/>
    <w:rsid w:val="00A604ED"/>
    <w:rsid w:val="00A60731"/>
    <w:rsid w:val="00A60775"/>
    <w:rsid w:val="00A608EB"/>
    <w:rsid w:val="00A60C38"/>
    <w:rsid w:val="00A61BCA"/>
    <w:rsid w:val="00A61E4A"/>
    <w:rsid w:val="00A62249"/>
    <w:rsid w:val="00A622B8"/>
    <w:rsid w:val="00A624C5"/>
    <w:rsid w:val="00A6296A"/>
    <w:rsid w:val="00A62B5C"/>
    <w:rsid w:val="00A62F18"/>
    <w:rsid w:val="00A631C7"/>
    <w:rsid w:val="00A63B68"/>
    <w:rsid w:val="00A63B8E"/>
    <w:rsid w:val="00A63BFD"/>
    <w:rsid w:val="00A640A2"/>
    <w:rsid w:val="00A640E2"/>
    <w:rsid w:val="00A648C7"/>
    <w:rsid w:val="00A648D5"/>
    <w:rsid w:val="00A64D65"/>
    <w:rsid w:val="00A64EDC"/>
    <w:rsid w:val="00A6510F"/>
    <w:rsid w:val="00A6523A"/>
    <w:rsid w:val="00A652A3"/>
    <w:rsid w:val="00A6576D"/>
    <w:rsid w:val="00A65B95"/>
    <w:rsid w:val="00A66244"/>
    <w:rsid w:val="00A66283"/>
    <w:rsid w:val="00A6631E"/>
    <w:rsid w:val="00A66424"/>
    <w:rsid w:val="00A666C5"/>
    <w:rsid w:val="00A671C1"/>
    <w:rsid w:val="00A671FA"/>
    <w:rsid w:val="00A6725B"/>
    <w:rsid w:val="00A672AA"/>
    <w:rsid w:val="00A672C9"/>
    <w:rsid w:val="00A674F6"/>
    <w:rsid w:val="00A677E2"/>
    <w:rsid w:val="00A67931"/>
    <w:rsid w:val="00A70249"/>
    <w:rsid w:val="00A70605"/>
    <w:rsid w:val="00A7075B"/>
    <w:rsid w:val="00A70CC6"/>
    <w:rsid w:val="00A70F2A"/>
    <w:rsid w:val="00A71639"/>
    <w:rsid w:val="00A719C9"/>
    <w:rsid w:val="00A71DEE"/>
    <w:rsid w:val="00A720C1"/>
    <w:rsid w:val="00A72776"/>
    <w:rsid w:val="00A73057"/>
    <w:rsid w:val="00A73134"/>
    <w:rsid w:val="00A734A4"/>
    <w:rsid w:val="00A7365A"/>
    <w:rsid w:val="00A7369E"/>
    <w:rsid w:val="00A738B9"/>
    <w:rsid w:val="00A739A1"/>
    <w:rsid w:val="00A73B55"/>
    <w:rsid w:val="00A73DCD"/>
    <w:rsid w:val="00A73E15"/>
    <w:rsid w:val="00A74A1D"/>
    <w:rsid w:val="00A74B61"/>
    <w:rsid w:val="00A74BBF"/>
    <w:rsid w:val="00A74D40"/>
    <w:rsid w:val="00A75030"/>
    <w:rsid w:val="00A75302"/>
    <w:rsid w:val="00A75427"/>
    <w:rsid w:val="00A75746"/>
    <w:rsid w:val="00A75812"/>
    <w:rsid w:val="00A75AAC"/>
    <w:rsid w:val="00A75ED6"/>
    <w:rsid w:val="00A76001"/>
    <w:rsid w:val="00A7603B"/>
    <w:rsid w:val="00A76262"/>
    <w:rsid w:val="00A76606"/>
    <w:rsid w:val="00A766BD"/>
    <w:rsid w:val="00A76A76"/>
    <w:rsid w:val="00A76EF5"/>
    <w:rsid w:val="00A76F45"/>
    <w:rsid w:val="00A77584"/>
    <w:rsid w:val="00A777B2"/>
    <w:rsid w:val="00A77DD6"/>
    <w:rsid w:val="00A800C8"/>
    <w:rsid w:val="00A80596"/>
    <w:rsid w:val="00A80862"/>
    <w:rsid w:val="00A8162D"/>
    <w:rsid w:val="00A82241"/>
    <w:rsid w:val="00A822CE"/>
    <w:rsid w:val="00A824E2"/>
    <w:rsid w:val="00A825D4"/>
    <w:rsid w:val="00A828D7"/>
    <w:rsid w:val="00A828F6"/>
    <w:rsid w:val="00A8297E"/>
    <w:rsid w:val="00A82B73"/>
    <w:rsid w:val="00A82E01"/>
    <w:rsid w:val="00A82F84"/>
    <w:rsid w:val="00A831DA"/>
    <w:rsid w:val="00A836B3"/>
    <w:rsid w:val="00A83719"/>
    <w:rsid w:val="00A83984"/>
    <w:rsid w:val="00A83A51"/>
    <w:rsid w:val="00A83A52"/>
    <w:rsid w:val="00A83D88"/>
    <w:rsid w:val="00A8417D"/>
    <w:rsid w:val="00A84295"/>
    <w:rsid w:val="00A84BEA"/>
    <w:rsid w:val="00A84C7B"/>
    <w:rsid w:val="00A84E59"/>
    <w:rsid w:val="00A85316"/>
    <w:rsid w:val="00A8568E"/>
    <w:rsid w:val="00A8588D"/>
    <w:rsid w:val="00A85908"/>
    <w:rsid w:val="00A85F69"/>
    <w:rsid w:val="00A861F7"/>
    <w:rsid w:val="00A86335"/>
    <w:rsid w:val="00A866C2"/>
    <w:rsid w:val="00A86833"/>
    <w:rsid w:val="00A86A19"/>
    <w:rsid w:val="00A86B1B"/>
    <w:rsid w:val="00A86E8B"/>
    <w:rsid w:val="00A87164"/>
    <w:rsid w:val="00A871A9"/>
    <w:rsid w:val="00A87413"/>
    <w:rsid w:val="00A8797D"/>
    <w:rsid w:val="00A87AE0"/>
    <w:rsid w:val="00A87BFB"/>
    <w:rsid w:val="00A87DF8"/>
    <w:rsid w:val="00A87E0F"/>
    <w:rsid w:val="00A87E25"/>
    <w:rsid w:val="00A90110"/>
    <w:rsid w:val="00A90439"/>
    <w:rsid w:val="00A909F0"/>
    <w:rsid w:val="00A90BD9"/>
    <w:rsid w:val="00A91132"/>
    <w:rsid w:val="00A91562"/>
    <w:rsid w:val="00A91573"/>
    <w:rsid w:val="00A91A07"/>
    <w:rsid w:val="00A92021"/>
    <w:rsid w:val="00A9217E"/>
    <w:rsid w:val="00A92209"/>
    <w:rsid w:val="00A923CB"/>
    <w:rsid w:val="00A92588"/>
    <w:rsid w:val="00A927E7"/>
    <w:rsid w:val="00A927F4"/>
    <w:rsid w:val="00A92DE9"/>
    <w:rsid w:val="00A93072"/>
    <w:rsid w:val="00A93139"/>
    <w:rsid w:val="00A934AB"/>
    <w:rsid w:val="00A938BD"/>
    <w:rsid w:val="00A93953"/>
    <w:rsid w:val="00A94450"/>
    <w:rsid w:val="00A946CE"/>
    <w:rsid w:val="00A94840"/>
    <w:rsid w:val="00A94C48"/>
    <w:rsid w:val="00A9534D"/>
    <w:rsid w:val="00A959D8"/>
    <w:rsid w:val="00A961C6"/>
    <w:rsid w:val="00A96A63"/>
    <w:rsid w:val="00A96C2D"/>
    <w:rsid w:val="00A96CAC"/>
    <w:rsid w:val="00A96E4D"/>
    <w:rsid w:val="00A97698"/>
    <w:rsid w:val="00A978B0"/>
    <w:rsid w:val="00A978E5"/>
    <w:rsid w:val="00A9796E"/>
    <w:rsid w:val="00A97CCC"/>
    <w:rsid w:val="00A97EE3"/>
    <w:rsid w:val="00AA0B1E"/>
    <w:rsid w:val="00AA1078"/>
    <w:rsid w:val="00AA113D"/>
    <w:rsid w:val="00AA1510"/>
    <w:rsid w:val="00AA17A0"/>
    <w:rsid w:val="00AA17D5"/>
    <w:rsid w:val="00AA1B71"/>
    <w:rsid w:val="00AA1BD2"/>
    <w:rsid w:val="00AA1D44"/>
    <w:rsid w:val="00AA2500"/>
    <w:rsid w:val="00AA27D1"/>
    <w:rsid w:val="00AA2BA4"/>
    <w:rsid w:val="00AA2E44"/>
    <w:rsid w:val="00AA2F15"/>
    <w:rsid w:val="00AA34C0"/>
    <w:rsid w:val="00AA3AD3"/>
    <w:rsid w:val="00AA3C37"/>
    <w:rsid w:val="00AA3EB6"/>
    <w:rsid w:val="00AA4323"/>
    <w:rsid w:val="00AA4D6D"/>
    <w:rsid w:val="00AA4F41"/>
    <w:rsid w:val="00AA5403"/>
    <w:rsid w:val="00AA57AC"/>
    <w:rsid w:val="00AA58A0"/>
    <w:rsid w:val="00AA5ACC"/>
    <w:rsid w:val="00AA5C86"/>
    <w:rsid w:val="00AA69A1"/>
    <w:rsid w:val="00AA6BD5"/>
    <w:rsid w:val="00AA6BD8"/>
    <w:rsid w:val="00AA6C7D"/>
    <w:rsid w:val="00AA6FEC"/>
    <w:rsid w:val="00AA7C8E"/>
    <w:rsid w:val="00AA7F73"/>
    <w:rsid w:val="00AA7FD6"/>
    <w:rsid w:val="00AB042A"/>
    <w:rsid w:val="00AB0432"/>
    <w:rsid w:val="00AB0447"/>
    <w:rsid w:val="00AB06D5"/>
    <w:rsid w:val="00AB0DA3"/>
    <w:rsid w:val="00AB11AD"/>
    <w:rsid w:val="00AB11C7"/>
    <w:rsid w:val="00AB19EF"/>
    <w:rsid w:val="00AB2495"/>
    <w:rsid w:val="00AB2D34"/>
    <w:rsid w:val="00AB3427"/>
    <w:rsid w:val="00AB3430"/>
    <w:rsid w:val="00AB361C"/>
    <w:rsid w:val="00AB3763"/>
    <w:rsid w:val="00AB37B9"/>
    <w:rsid w:val="00AB38B2"/>
    <w:rsid w:val="00AB4AD1"/>
    <w:rsid w:val="00AB515B"/>
    <w:rsid w:val="00AB51D4"/>
    <w:rsid w:val="00AB530E"/>
    <w:rsid w:val="00AB5E07"/>
    <w:rsid w:val="00AB5F6E"/>
    <w:rsid w:val="00AB658C"/>
    <w:rsid w:val="00AB68F5"/>
    <w:rsid w:val="00AB69E7"/>
    <w:rsid w:val="00AB6AF5"/>
    <w:rsid w:val="00AB7067"/>
    <w:rsid w:val="00AB7678"/>
    <w:rsid w:val="00AB783D"/>
    <w:rsid w:val="00AB7878"/>
    <w:rsid w:val="00AB7989"/>
    <w:rsid w:val="00AB7CFA"/>
    <w:rsid w:val="00AC086F"/>
    <w:rsid w:val="00AC090F"/>
    <w:rsid w:val="00AC0C53"/>
    <w:rsid w:val="00AC1751"/>
    <w:rsid w:val="00AC17B8"/>
    <w:rsid w:val="00AC17F9"/>
    <w:rsid w:val="00AC18C7"/>
    <w:rsid w:val="00AC1AC5"/>
    <w:rsid w:val="00AC1CEE"/>
    <w:rsid w:val="00AC239C"/>
    <w:rsid w:val="00AC262D"/>
    <w:rsid w:val="00AC2E77"/>
    <w:rsid w:val="00AC370E"/>
    <w:rsid w:val="00AC3E7A"/>
    <w:rsid w:val="00AC3F0D"/>
    <w:rsid w:val="00AC4149"/>
    <w:rsid w:val="00AC4BCB"/>
    <w:rsid w:val="00AC5486"/>
    <w:rsid w:val="00AC56CE"/>
    <w:rsid w:val="00AC5B42"/>
    <w:rsid w:val="00AC5B48"/>
    <w:rsid w:val="00AC5CA4"/>
    <w:rsid w:val="00AC6D43"/>
    <w:rsid w:val="00AC6DCF"/>
    <w:rsid w:val="00AC6E91"/>
    <w:rsid w:val="00AC70CB"/>
    <w:rsid w:val="00AC74D1"/>
    <w:rsid w:val="00AC7770"/>
    <w:rsid w:val="00AC77C7"/>
    <w:rsid w:val="00AC782C"/>
    <w:rsid w:val="00AC7AC3"/>
    <w:rsid w:val="00AD0475"/>
    <w:rsid w:val="00AD0982"/>
    <w:rsid w:val="00AD1450"/>
    <w:rsid w:val="00AD15E8"/>
    <w:rsid w:val="00AD1DA0"/>
    <w:rsid w:val="00AD1E44"/>
    <w:rsid w:val="00AD1FD5"/>
    <w:rsid w:val="00AD238B"/>
    <w:rsid w:val="00AD286F"/>
    <w:rsid w:val="00AD31E1"/>
    <w:rsid w:val="00AD3438"/>
    <w:rsid w:val="00AD355B"/>
    <w:rsid w:val="00AD356D"/>
    <w:rsid w:val="00AD3A24"/>
    <w:rsid w:val="00AD3AC1"/>
    <w:rsid w:val="00AD3BFA"/>
    <w:rsid w:val="00AD3CD4"/>
    <w:rsid w:val="00AD46DB"/>
    <w:rsid w:val="00AD4A3C"/>
    <w:rsid w:val="00AD4A48"/>
    <w:rsid w:val="00AD5B28"/>
    <w:rsid w:val="00AD5F54"/>
    <w:rsid w:val="00AD5FB0"/>
    <w:rsid w:val="00AD602B"/>
    <w:rsid w:val="00AD649B"/>
    <w:rsid w:val="00AD64E4"/>
    <w:rsid w:val="00AD6502"/>
    <w:rsid w:val="00AD6520"/>
    <w:rsid w:val="00AD6932"/>
    <w:rsid w:val="00AD6A31"/>
    <w:rsid w:val="00AD6AAD"/>
    <w:rsid w:val="00AD720B"/>
    <w:rsid w:val="00AD7310"/>
    <w:rsid w:val="00AD748D"/>
    <w:rsid w:val="00AD74E3"/>
    <w:rsid w:val="00AD757A"/>
    <w:rsid w:val="00AD7867"/>
    <w:rsid w:val="00AD7A7A"/>
    <w:rsid w:val="00AE0136"/>
    <w:rsid w:val="00AE0284"/>
    <w:rsid w:val="00AE0695"/>
    <w:rsid w:val="00AE08A0"/>
    <w:rsid w:val="00AE0A7C"/>
    <w:rsid w:val="00AE0CA2"/>
    <w:rsid w:val="00AE0F05"/>
    <w:rsid w:val="00AE169D"/>
    <w:rsid w:val="00AE186E"/>
    <w:rsid w:val="00AE19DD"/>
    <w:rsid w:val="00AE1A93"/>
    <w:rsid w:val="00AE1C50"/>
    <w:rsid w:val="00AE1CF5"/>
    <w:rsid w:val="00AE1D61"/>
    <w:rsid w:val="00AE24D3"/>
    <w:rsid w:val="00AE2801"/>
    <w:rsid w:val="00AE2837"/>
    <w:rsid w:val="00AE28A1"/>
    <w:rsid w:val="00AE28FB"/>
    <w:rsid w:val="00AE2A02"/>
    <w:rsid w:val="00AE380F"/>
    <w:rsid w:val="00AE38E7"/>
    <w:rsid w:val="00AE3C58"/>
    <w:rsid w:val="00AE3DCF"/>
    <w:rsid w:val="00AE3E7E"/>
    <w:rsid w:val="00AE3F5D"/>
    <w:rsid w:val="00AE443B"/>
    <w:rsid w:val="00AE44F3"/>
    <w:rsid w:val="00AE52C4"/>
    <w:rsid w:val="00AE5764"/>
    <w:rsid w:val="00AE5E8B"/>
    <w:rsid w:val="00AE6543"/>
    <w:rsid w:val="00AE65F7"/>
    <w:rsid w:val="00AE6765"/>
    <w:rsid w:val="00AE67AF"/>
    <w:rsid w:val="00AE6933"/>
    <w:rsid w:val="00AE6C05"/>
    <w:rsid w:val="00AE6CF7"/>
    <w:rsid w:val="00AE70B7"/>
    <w:rsid w:val="00AE745F"/>
    <w:rsid w:val="00AE75E5"/>
    <w:rsid w:val="00AE780D"/>
    <w:rsid w:val="00AE7AB2"/>
    <w:rsid w:val="00AE7E53"/>
    <w:rsid w:val="00AE7E5D"/>
    <w:rsid w:val="00AE7E9E"/>
    <w:rsid w:val="00AF05F3"/>
    <w:rsid w:val="00AF0986"/>
    <w:rsid w:val="00AF099D"/>
    <w:rsid w:val="00AF0B64"/>
    <w:rsid w:val="00AF0D68"/>
    <w:rsid w:val="00AF1315"/>
    <w:rsid w:val="00AF1564"/>
    <w:rsid w:val="00AF18D5"/>
    <w:rsid w:val="00AF19BF"/>
    <w:rsid w:val="00AF1F86"/>
    <w:rsid w:val="00AF1F91"/>
    <w:rsid w:val="00AF246D"/>
    <w:rsid w:val="00AF247F"/>
    <w:rsid w:val="00AF278A"/>
    <w:rsid w:val="00AF29BC"/>
    <w:rsid w:val="00AF2B48"/>
    <w:rsid w:val="00AF2D8E"/>
    <w:rsid w:val="00AF2DC3"/>
    <w:rsid w:val="00AF2F6A"/>
    <w:rsid w:val="00AF2F7E"/>
    <w:rsid w:val="00AF314B"/>
    <w:rsid w:val="00AF31B3"/>
    <w:rsid w:val="00AF336B"/>
    <w:rsid w:val="00AF34F2"/>
    <w:rsid w:val="00AF3509"/>
    <w:rsid w:val="00AF3FFA"/>
    <w:rsid w:val="00AF41E8"/>
    <w:rsid w:val="00AF45B7"/>
    <w:rsid w:val="00AF47B1"/>
    <w:rsid w:val="00AF48A9"/>
    <w:rsid w:val="00AF497B"/>
    <w:rsid w:val="00AF4B04"/>
    <w:rsid w:val="00AF4FE8"/>
    <w:rsid w:val="00AF5114"/>
    <w:rsid w:val="00AF516E"/>
    <w:rsid w:val="00AF517C"/>
    <w:rsid w:val="00AF5277"/>
    <w:rsid w:val="00AF5525"/>
    <w:rsid w:val="00AF55AC"/>
    <w:rsid w:val="00AF588A"/>
    <w:rsid w:val="00AF6154"/>
    <w:rsid w:val="00AF6443"/>
    <w:rsid w:val="00AF6BF2"/>
    <w:rsid w:val="00AF6C31"/>
    <w:rsid w:val="00AF6C9B"/>
    <w:rsid w:val="00AF6DD3"/>
    <w:rsid w:val="00AF7189"/>
    <w:rsid w:val="00AF72D9"/>
    <w:rsid w:val="00AF75DD"/>
    <w:rsid w:val="00B002B8"/>
    <w:rsid w:val="00B0045A"/>
    <w:rsid w:val="00B00A85"/>
    <w:rsid w:val="00B00D0A"/>
    <w:rsid w:val="00B01627"/>
    <w:rsid w:val="00B0268E"/>
    <w:rsid w:val="00B02721"/>
    <w:rsid w:val="00B027D0"/>
    <w:rsid w:val="00B02B0A"/>
    <w:rsid w:val="00B03028"/>
    <w:rsid w:val="00B0312E"/>
    <w:rsid w:val="00B033E5"/>
    <w:rsid w:val="00B038D6"/>
    <w:rsid w:val="00B03A63"/>
    <w:rsid w:val="00B04A2E"/>
    <w:rsid w:val="00B04E0E"/>
    <w:rsid w:val="00B051C5"/>
    <w:rsid w:val="00B05B7B"/>
    <w:rsid w:val="00B06DB8"/>
    <w:rsid w:val="00B06F9B"/>
    <w:rsid w:val="00B0712F"/>
    <w:rsid w:val="00B0748A"/>
    <w:rsid w:val="00B074E3"/>
    <w:rsid w:val="00B07621"/>
    <w:rsid w:val="00B10545"/>
    <w:rsid w:val="00B10737"/>
    <w:rsid w:val="00B10D23"/>
    <w:rsid w:val="00B11DBB"/>
    <w:rsid w:val="00B12476"/>
    <w:rsid w:val="00B1248D"/>
    <w:rsid w:val="00B125E4"/>
    <w:rsid w:val="00B125F9"/>
    <w:rsid w:val="00B12638"/>
    <w:rsid w:val="00B1285C"/>
    <w:rsid w:val="00B129A4"/>
    <w:rsid w:val="00B12C60"/>
    <w:rsid w:val="00B1375D"/>
    <w:rsid w:val="00B13C29"/>
    <w:rsid w:val="00B13DAE"/>
    <w:rsid w:val="00B141F2"/>
    <w:rsid w:val="00B142A0"/>
    <w:rsid w:val="00B14336"/>
    <w:rsid w:val="00B14946"/>
    <w:rsid w:val="00B15A06"/>
    <w:rsid w:val="00B15AE3"/>
    <w:rsid w:val="00B15E79"/>
    <w:rsid w:val="00B161FF"/>
    <w:rsid w:val="00B162A3"/>
    <w:rsid w:val="00B1633F"/>
    <w:rsid w:val="00B16578"/>
    <w:rsid w:val="00B16671"/>
    <w:rsid w:val="00B16B00"/>
    <w:rsid w:val="00B16FA4"/>
    <w:rsid w:val="00B17076"/>
    <w:rsid w:val="00B173CB"/>
    <w:rsid w:val="00B175F7"/>
    <w:rsid w:val="00B176F6"/>
    <w:rsid w:val="00B17733"/>
    <w:rsid w:val="00B17C03"/>
    <w:rsid w:val="00B17F15"/>
    <w:rsid w:val="00B201A4"/>
    <w:rsid w:val="00B201D1"/>
    <w:rsid w:val="00B20450"/>
    <w:rsid w:val="00B20E9D"/>
    <w:rsid w:val="00B213A6"/>
    <w:rsid w:val="00B2148D"/>
    <w:rsid w:val="00B214C4"/>
    <w:rsid w:val="00B21919"/>
    <w:rsid w:val="00B21A8C"/>
    <w:rsid w:val="00B21D04"/>
    <w:rsid w:val="00B22168"/>
    <w:rsid w:val="00B22216"/>
    <w:rsid w:val="00B229FF"/>
    <w:rsid w:val="00B22F34"/>
    <w:rsid w:val="00B235B0"/>
    <w:rsid w:val="00B23670"/>
    <w:rsid w:val="00B23B2D"/>
    <w:rsid w:val="00B241D4"/>
    <w:rsid w:val="00B245DD"/>
    <w:rsid w:val="00B246C7"/>
    <w:rsid w:val="00B249C2"/>
    <w:rsid w:val="00B24DF6"/>
    <w:rsid w:val="00B25287"/>
    <w:rsid w:val="00B25433"/>
    <w:rsid w:val="00B25B96"/>
    <w:rsid w:val="00B25BA3"/>
    <w:rsid w:val="00B25CC6"/>
    <w:rsid w:val="00B25D07"/>
    <w:rsid w:val="00B25E71"/>
    <w:rsid w:val="00B26466"/>
    <w:rsid w:val="00B269DD"/>
    <w:rsid w:val="00B26AE8"/>
    <w:rsid w:val="00B26E37"/>
    <w:rsid w:val="00B2714D"/>
    <w:rsid w:val="00B2781B"/>
    <w:rsid w:val="00B27A61"/>
    <w:rsid w:val="00B27BD2"/>
    <w:rsid w:val="00B27C1E"/>
    <w:rsid w:val="00B27CB6"/>
    <w:rsid w:val="00B30175"/>
    <w:rsid w:val="00B30C33"/>
    <w:rsid w:val="00B30F09"/>
    <w:rsid w:val="00B31367"/>
    <w:rsid w:val="00B31645"/>
    <w:rsid w:val="00B316F4"/>
    <w:rsid w:val="00B31AE9"/>
    <w:rsid w:val="00B31D9E"/>
    <w:rsid w:val="00B32103"/>
    <w:rsid w:val="00B3233E"/>
    <w:rsid w:val="00B3237A"/>
    <w:rsid w:val="00B32420"/>
    <w:rsid w:val="00B32B31"/>
    <w:rsid w:val="00B32C61"/>
    <w:rsid w:val="00B33A0D"/>
    <w:rsid w:val="00B341BA"/>
    <w:rsid w:val="00B348A1"/>
    <w:rsid w:val="00B34FE2"/>
    <w:rsid w:val="00B35166"/>
    <w:rsid w:val="00B3525A"/>
    <w:rsid w:val="00B3530F"/>
    <w:rsid w:val="00B35373"/>
    <w:rsid w:val="00B357D8"/>
    <w:rsid w:val="00B35BF4"/>
    <w:rsid w:val="00B360F4"/>
    <w:rsid w:val="00B36280"/>
    <w:rsid w:val="00B36354"/>
    <w:rsid w:val="00B36A00"/>
    <w:rsid w:val="00B36C7F"/>
    <w:rsid w:val="00B36F07"/>
    <w:rsid w:val="00B3792B"/>
    <w:rsid w:val="00B37BFC"/>
    <w:rsid w:val="00B37D96"/>
    <w:rsid w:val="00B40353"/>
    <w:rsid w:val="00B40358"/>
    <w:rsid w:val="00B405D5"/>
    <w:rsid w:val="00B407BB"/>
    <w:rsid w:val="00B408C3"/>
    <w:rsid w:val="00B40978"/>
    <w:rsid w:val="00B40B2C"/>
    <w:rsid w:val="00B40C84"/>
    <w:rsid w:val="00B4119B"/>
    <w:rsid w:val="00B41614"/>
    <w:rsid w:val="00B41846"/>
    <w:rsid w:val="00B41AAE"/>
    <w:rsid w:val="00B41D97"/>
    <w:rsid w:val="00B423A1"/>
    <w:rsid w:val="00B42465"/>
    <w:rsid w:val="00B425EF"/>
    <w:rsid w:val="00B4270C"/>
    <w:rsid w:val="00B42851"/>
    <w:rsid w:val="00B42DBC"/>
    <w:rsid w:val="00B42F80"/>
    <w:rsid w:val="00B43090"/>
    <w:rsid w:val="00B435CB"/>
    <w:rsid w:val="00B437B9"/>
    <w:rsid w:val="00B43889"/>
    <w:rsid w:val="00B439CA"/>
    <w:rsid w:val="00B43B81"/>
    <w:rsid w:val="00B43B9A"/>
    <w:rsid w:val="00B43F7F"/>
    <w:rsid w:val="00B4443E"/>
    <w:rsid w:val="00B44714"/>
    <w:rsid w:val="00B44883"/>
    <w:rsid w:val="00B44CB0"/>
    <w:rsid w:val="00B45056"/>
    <w:rsid w:val="00B453A2"/>
    <w:rsid w:val="00B45E97"/>
    <w:rsid w:val="00B4607D"/>
    <w:rsid w:val="00B463BF"/>
    <w:rsid w:val="00B465EC"/>
    <w:rsid w:val="00B46874"/>
    <w:rsid w:val="00B46A14"/>
    <w:rsid w:val="00B46C41"/>
    <w:rsid w:val="00B474EC"/>
    <w:rsid w:val="00B47503"/>
    <w:rsid w:val="00B4772D"/>
    <w:rsid w:val="00B501FF"/>
    <w:rsid w:val="00B505C8"/>
    <w:rsid w:val="00B50871"/>
    <w:rsid w:val="00B508CD"/>
    <w:rsid w:val="00B50DB8"/>
    <w:rsid w:val="00B5108F"/>
    <w:rsid w:val="00B5128E"/>
    <w:rsid w:val="00B514AD"/>
    <w:rsid w:val="00B51CC2"/>
    <w:rsid w:val="00B51DF1"/>
    <w:rsid w:val="00B51F14"/>
    <w:rsid w:val="00B52786"/>
    <w:rsid w:val="00B531A4"/>
    <w:rsid w:val="00B53219"/>
    <w:rsid w:val="00B53654"/>
    <w:rsid w:val="00B53905"/>
    <w:rsid w:val="00B53990"/>
    <w:rsid w:val="00B53CCC"/>
    <w:rsid w:val="00B541E2"/>
    <w:rsid w:val="00B543F2"/>
    <w:rsid w:val="00B5454D"/>
    <w:rsid w:val="00B5458F"/>
    <w:rsid w:val="00B546DB"/>
    <w:rsid w:val="00B54A15"/>
    <w:rsid w:val="00B54B5B"/>
    <w:rsid w:val="00B5562E"/>
    <w:rsid w:val="00B5571A"/>
    <w:rsid w:val="00B55862"/>
    <w:rsid w:val="00B5599C"/>
    <w:rsid w:val="00B55B83"/>
    <w:rsid w:val="00B55B8E"/>
    <w:rsid w:val="00B55D65"/>
    <w:rsid w:val="00B561BC"/>
    <w:rsid w:val="00B56305"/>
    <w:rsid w:val="00B568C5"/>
    <w:rsid w:val="00B56B12"/>
    <w:rsid w:val="00B56C2F"/>
    <w:rsid w:val="00B57000"/>
    <w:rsid w:val="00B57572"/>
    <w:rsid w:val="00B5781F"/>
    <w:rsid w:val="00B57976"/>
    <w:rsid w:val="00B57F1D"/>
    <w:rsid w:val="00B6037E"/>
    <w:rsid w:val="00B60560"/>
    <w:rsid w:val="00B60939"/>
    <w:rsid w:val="00B60AFD"/>
    <w:rsid w:val="00B60B0D"/>
    <w:rsid w:val="00B60C39"/>
    <w:rsid w:val="00B60E1B"/>
    <w:rsid w:val="00B6110E"/>
    <w:rsid w:val="00B613BB"/>
    <w:rsid w:val="00B6160B"/>
    <w:rsid w:val="00B616B9"/>
    <w:rsid w:val="00B618BC"/>
    <w:rsid w:val="00B62334"/>
    <w:rsid w:val="00B62715"/>
    <w:rsid w:val="00B62BB7"/>
    <w:rsid w:val="00B631A5"/>
    <w:rsid w:val="00B632F4"/>
    <w:rsid w:val="00B63485"/>
    <w:rsid w:val="00B6351F"/>
    <w:rsid w:val="00B6391C"/>
    <w:rsid w:val="00B639CA"/>
    <w:rsid w:val="00B64014"/>
    <w:rsid w:val="00B64248"/>
    <w:rsid w:val="00B642D0"/>
    <w:rsid w:val="00B65228"/>
    <w:rsid w:val="00B65304"/>
    <w:rsid w:val="00B6531F"/>
    <w:rsid w:val="00B65611"/>
    <w:rsid w:val="00B65FDF"/>
    <w:rsid w:val="00B6647A"/>
    <w:rsid w:val="00B66701"/>
    <w:rsid w:val="00B66D6E"/>
    <w:rsid w:val="00B6703B"/>
    <w:rsid w:val="00B67286"/>
    <w:rsid w:val="00B67E17"/>
    <w:rsid w:val="00B701D8"/>
    <w:rsid w:val="00B70784"/>
    <w:rsid w:val="00B708E1"/>
    <w:rsid w:val="00B70B7A"/>
    <w:rsid w:val="00B70D04"/>
    <w:rsid w:val="00B70D82"/>
    <w:rsid w:val="00B70E8E"/>
    <w:rsid w:val="00B70FE2"/>
    <w:rsid w:val="00B714F6"/>
    <w:rsid w:val="00B7176D"/>
    <w:rsid w:val="00B71B3D"/>
    <w:rsid w:val="00B71EA8"/>
    <w:rsid w:val="00B71F4D"/>
    <w:rsid w:val="00B72256"/>
    <w:rsid w:val="00B72433"/>
    <w:rsid w:val="00B72832"/>
    <w:rsid w:val="00B739E1"/>
    <w:rsid w:val="00B73AF0"/>
    <w:rsid w:val="00B73DDF"/>
    <w:rsid w:val="00B746F6"/>
    <w:rsid w:val="00B74E84"/>
    <w:rsid w:val="00B750A7"/>
    <w:rsid w:val="00B750AD"/>
    <w:rsid w:val="00B7512E"/>
    <w:rsid w:val="00B756B4"/>
    <w:rsid w:val="00B757A3"/>
    <w:rsid w:val="00B759B7"/>
    <w:rsid w:val="00B75D1B"/>
    <w:rsid w:val="00B75D5D"/>
    <w:rsid w:val="00B76414"/>
    <w:rsid w:val="00B76C92"/>
    <w:rsid w:val="00B76DA7"/>
    <w:rsid w:val="00B76DA8"/>
    <w:rsid w:val="00B76F0F"/>
    <w:rsid w:val="00B774C7"/>
    <w:rsid w:val="00B77706"/>
    <w:rsid w:val="00B77ED1"/>
    <w:rsid w:val="00B80D15"/>
    <w:rsid w:val="00B80EFD"/>
    <w:rsid w:val="00B810B8"/>
    <w:rsid w:val="00B81313"/>
    <w:rsid w:val="00B818A4"/>
    <w:rsid w:val="00B81B09"/>
    <w:rsid w:val="00B81F2B"/>
    <w:rsid w:val="00B824B1"/>
    <w:rsid w:val="00B829C4"/>
    <w:rsid w:val="00B82A8E"/>
    <w:rsid w:val="00B82CB8"/>
    <w:rsid w:val="00B830C7"/>
    <w:rsid w:val="00B830FF"/>
    <w:rsid w:val="00B83739"/>
    <w:rsid w:val="00B839CB"/>
    <w:rsid w:val="00B83E29"/>
    <w:rsid w:val="00B83EDE"/>
    <w:rsid w:val="00B84117"/>
    <w:rsid w:val="00B847AB"/>
    <w:rsid w:val="00B84831"/>
    <w:rsid w:val="00B84832"/>
    <w:rsid w:val="00B84881"/>
    <w:rsid w:val="00B84C41"/>
    <w:rsid w:val="00B84C4F"/>
    <w:rsid w:val="00B84CF6"/>
    <w:rsid w:val="00B84E8F"/>
    <w:rsid w:val="00B85268"/>
    <w:rsid w:val="00B8589D"/>
    <w:rsid w:val="00B858F0"/>
    <w:rsid w:val="00B8592C"/>
    <w:rsid w:val="00B85AA2"/>
    <w:rsid w:val="00B85B91"/>
    <w:rsid w:val="00B85BFA"/>
    <w:rsid w:val="00B861E2"/>
    <w:rsid w:val="00B8649C"/>
    <w:rsid w:val="00B86623"/>
    <w:rsid w:val="00B8695D"/>
    <w:rsid w:val="00B87021"/>
    <w:rsid w:val="00B87379"/>
    <w:rsid w:val="00B87F0A"/>
    <w:rsid w:val="00B87FEB"/>
    <w:rsid w:val="00B904DB"/>
    <w:rsid w:val="00B9085D"/>
    <w:rsid w:val="00B90890"/>
    <w:rsid w:val="00B90B3A"/>
    <w:rsid w:val="00B90BE5"/>
    <w:rsid w:val="00B90C7F"/>
    <w:rsid w:val="00B90CB5"/>
    <w:rsid w:val="00B90E8C"/>
    <w:rsid w:val="00B90EF9"/>
    <w:rsid w:val="00B910A0"/>
    <w:rsid w:val="00B91832"/>
    <w:rsid w:val="00B918A2"/>
    <w:rsid w:val="00B9234A"/>
    <w:rsid w:val="00B92D0B"/>
    <w:rsid w:val="00B92F67"/>
    <w:rsid w:val="00B93105"/>
    <w:rsid w:val="00B9382D"/>
    <w:rsid w:val="00B94945"/>
    <w:rsid w:val="00B94B2D"/>
    <w:rsid w:val="00B94DD6"/>
    <w:rsid w:val="00B95139"/>
    <w:rsid w:val="00B955DE"/>
    <w:rsid w:val="00B955ED"/>
    <w:rsid w:val="00B9590A"/>
    <w:rsid w:val="00B9608D"/>
    <w:rsid w:val="00B96219"/>
    <w:rsid w:val="00B9629B"/>
    <w:rsid w:val="00B9729C"/>
    <w:rsid w:val="00B97440"/>
    <w:rsid w:val="00B97B43"/>
    <w:rsid w:val="00BA0147"/>
    <w:rsid w:val="00BA0400"/>
    <w:rsid w:val="00BA043A"/>
    <w:rsid w:val="00BA0E8D"/>
    <w:rsid w:val="00BA10CF"/>
    <w:rsid w:val="00BA166D"/>
    <w:rsid w:val="00BA1CC8"/>
    <w:rsid w:val="00BA1FBA"/>
    <w:rsid w:val="00BA2129"/>
    <w:rsid w:val="00BA25BE"/>
    <w:rsid w:val="00BA26AB"/>
    <w:rsid w:val="00BA2D2F"/>
    <w:rsid w:val="00BA322D"/>
    <w:rsid w:val="00BA3232"/>
    <w:rsid w:val="00BA3A0D"/>
    <w:rsid w:val="00BA3BFF"/>
    <w:rsid w:val="00BA3CFA"/>
    <w:rsid w:val="00BA42C7"/>
    <w:rsid w:val="00BA4464"/>
    <w:rsid w:val="00BA46E0"/>
    <w:rsid w:val="00BA4E82"/>
    <w:rsid w:val="00BA51F6"/>
    <w:rsid w:val="00BA5508"/>
    <w:rsid w:val="00BA55BA"/>
    <w:rsid w:val="00BA564C"/>
    <w:rsid w:val="00BA5CB6"/>
    <w:rsid w:val="00BA5DA0"/>
    <w:rsid w:val="00BA63FA"/>
    <w:rsid w:val="00BA6486"/>
    <w:rsid w:val="00BA650A"/>
    <w:rsid w:val="00BA6644"/>
    <w:rsid w:val="00BA6A38"/>
    <w:rsid w:val="00BA6DC8"/>
    <w:rsid w:val="00BA6DF8"/>
    <w:rsid w:val="00BA70C1"/>
    <w:rsid w:val="00BA7265"/>
    <w:rsid w:val="00BA7822"/>
    <w:rsid w:val="00BA7A02"/>
    <w:rsid w:val="00BB00B3"/>
    <w:rsid w:val="00BB09EC"/>
    <w:rsid w:val="00BB0BDD"/>
    <w:rsid w:val="00BB141D"/>
    <w:rsid w:val="00BB176C"/>
    <w:rsid w:val="00BB1CB2"/>
    <w:rsid w:val="00BB23CA"/>
    <w:rsid w:val="00BB2945"/>
    <w:rsid w:val="00BB29DB"/>
    <w:rsid w:val="00BB2A5A"/>
    <w:rsid w:val="00BB2A73"/>
    <w:rsid w:val="00BB2F7C"/>
    <w:rsid w:val="00BB307B"/>
    <w:rsid w:val="00BB310A"/>
    <w:rsid w:val="00BB32DD"/>
    <w:rsid w:val="00BB3348"/>
    <w:rsid w:val="00BB3A45"/>
    <w:rsid w:val="00BB3FCD"/>
    <w:rsid w:val="00BB402E"/>
    <w:rsid w:val="00BB444E"/>
    <w:rsid w:val="00BB48D3"/>
    <w:rsid w:val="00BB4A6A"/>
    <w:rsid w:val="00BB4ACC"/>
    <w:rsid w:val="00BB4F27"/>
    <w:rsid w:val="00BB5414"/>
    <w:rsid w:val="00BB54B3"/>
    <w:rsid w:val="00BB5698"/>
    <w:rsid w:val="00BB596C"/>
    <w:rsid w:val="00BB5E09"/>
    <w:rsid w:val="00BB5E57"/>
    <w:rsid w:val="00BB619A"/>
    <w:rsid w:val="00BB6780"/>
    <w:rsid w:val="00BB6AEC"/>
    <w:rsid w:val="00BB6B88"/>
    <w:rsid w:val="00BB703E"/>
    <w:rsid w:val="00BB724D"/>
    <w:rsid w:val="00BB732D"/>
    <w:rsid w:val="00BB7405"/>
    <w:rsid w:val="00BB759F"/>
    <w:rsid w:val="00BC07A4"/>
    <w:rsid w:val="00BC0930"/>
    <w:rsid w:val="00BC0E3A"/>
    <w:rsid w:val="00BC1317"/>
    <w:rsid w:val="00BC21BF"/>
    <w:rsid w:val="00BC2FFE"/>
    <w:rsid w:val="00BC334D"/>
    <w:rsid w:val="00BC34C7"/>
    <w:rsid w:val="00BC3631"/>
    <w:rsid w:val="00BC370F"/>
    <w:rsid w:val="00BC3DB0"/>
    <w:rsid w:val="00BC4806"/>
    <w:rsid w:val="00BC4ACD"/>
    <w:rsid w:val="00BC4C51"/>
    <w:rsid w:val="00BC4C8A"/>
    <w:rsid w:val="00BC4E7D"/>
    <w:rsid w:val="00BC55E0"/>
    <w:rsid w:val="00BC591F"/>
    <w:rsid w:val="00BC5A77"/>
    <w:rsid w:val="00BC5CA9"/>
    <w:rsid w:val="00BC5E4E"/>
    <w:rsid w:val="00BC62AB"/>
    <w:rsid w:val="00BC6355"/>
    <w:rsid w:val="00BC6539"/>
    <w:rsid w:val="00BC6995"/>
    <w:rsid w:val="00BC787C"/>
    <w:rsid w:val="00BC79C1"/>
    <w:rsid w:val="00BC7D6D"/>
    <w:rsid w:val="00BC7F7E"/>
    <w:rsid w:val="00BD0DA9"/>
    <w:rsid w:val="00BD135C"/>
    <w:rsid w:val="00BD13BD"/>
    <w:rsid w:val="00BD1794"/>
    <w:rsid w:val="00BD1822"/>
    <w:rsid w:val="00BD2108"/>
    <w:rsid w:val="00BD23AE"/>
    <w:rsid w:val="00BD2D67"/>
    <w:rsid w:val="00BD2E28"/>
    <w:rsid w:val="00BD3C4F"/>
    <w:rsid w:val="00BD3E80"/>
    <w:rsid w:val="00BD4670"/>
    <w:rsid w:val="00BD4BD8"/>
    <w:rsid w:val="00BD4CDC"/>
    <w:rsid w:val="00BD4F87"/>
    <w:rsid w:val="00BD5116"/>
    <w:rsid w:val="00BD51C5"/>
    <w:rsid w:val="00BD53D1"/>
    <w:rsid w:val="00BD5A28"/>
    <w:rsid w:val="00BD5A46"/>
    <w:rsid w:val="00BD6553"/>
    <w:rsid w:val="00BD68A3"/>
    <w:rsid w:val="00BD6938"/>
    <w:rsid w:val="00BD6CF3"/>
    <w:rsid w:val="00BD6D8E"/>
    <w:rsid w:val="00BD7880"/>
    <w:rsid w:val="00BD7D28"/>
    <w:rsid w:val="00BD7DED"/>
    <w:rsid w:val="00BD7F72"/>
    <w:rsid w:val="00BE0245"/>
    <w:rsid w:val="00BE0C36"/>
    <w:rsid w:val="00BE0CA7"/>
    <w:rsid w:val="00BE0ECA"/>
    <w:rsid w:val="00BE0FCD"/>
    <w:rsid w:val="00BE10EA"/>
    <w:rsid w:val="00BE124C"/>
    <w:rsid w:val="00BE17DD"/>
    <w:rsid w:val="00BE195E"/>
    <w:rsid w:val="00BE19D5"/>
    <w:rsid w:val="00BE1B1D"/>
    <w:rsid w:val="00BE2180"/>
    <w:rsid w:val="00BE21F2"/>
    <w:rsid w:val="00BE24F1"/>
    <w:rsid w:val="00BE2570"/>
    <w:rsid w:val="00BE31D7"/>
    <w:rsid w:val="00BE33C4"/>
    <w:rsid w:val="00BE3517"/>
    <w:rsid w:val="00BE3A0E"/>
    <w:rsid w:val="00BE3AE6"/>
    <w:rsid w:val="00BE3C98"/>
    <w:rsid w:val="00BE3D91"/>
    <w:rsid w:val="00BE3F19"/>
    <w:rsid w:val="00BE4231"/>
    <w:rsid w:val="00BE4275"/>
    <w:rsid w:val="00BE4946"/>
    <w:rsid w:val="00BE4C44"/>
    <w:rsid w:val="00BE4DD2"/>
    <w:rsid w:val="00BE510C"/>
    <w:rsid w:val="00BE5B45"/>
    <w:rsid w:val="00BE5EBC"/>
    <w:rsid w:val="00BE630C"/>
    <w:rsid w:val="00BE64A1"/>
    <w:rsid w:val="00BE6655"/>
    <w:rsid w:val="00BE6C0F"/>
    <w:rsid w:val="00BE6CF0"/>
    <w:rsid w:val="00BE702C"/>
    <w:rsid w:val="00BE7194"/>
    <w:rsid w:val="00BE7292"/>
    <w:rsid w:val="00BE77D0"/>
    <w:rsid w:val="00BE7D38"/>
    <w:rsid w:val="00BF02B0"/>
    <w:rsid w:val="00BF06AE"/>
    <w:rsid w:val="00BF085E"/>
    <w:rsid w:val="00BF0DA7"/>
    <w:rsid w:val="00BF0F95"/>
    <w:rsid w:val="00BF1152"/>
    <w:rsid w:val="00BF1286"/>
    <w:rsid w:val="00BF12A8"/>
    <w:rsid w:val="00BF140A"/>
    <w:rsid w:val="00BF146F"/>
    <w:rsid w:val="00BF15AB"/>
    <w:rsid w:val="00BF18B1"/>
    <w:rsid w:val="00BF1C34"/>
    <w:rsid w:val="00BF1CBA"/>
    <w:rsid w:val="00BF216D"/>
    <w:rsid w:val="00BF22DE"/>
    <w:rsid w:val="00BF2433"/>
    <w:rsid w:val="00BF2794"/>
    <w:rsid w:val="00BF2C53"/>
    <w:rsid w:val="00BF2E6E"/>
    <w:rsid w:val="00BF337F"/>
    <w:rsid w:val="00BF3413"/>
    <w:rsid w:val="00BF421D"/>
    <w:rsid w:val="00BF472B"/>
    <w:rsid w:val="00BF4C2D"/>
    <w:rsid w:val="00BF5144"/>
    <w:rsid w:val="00BF5232"/>
    <w:rsid w:val="00BF525F"/>
    <w:rsid w:val="00BF53E8"/>
    <w:rsid w:val="00BF57D9"/>
    <w:rsid w:val="00BF5A61"/>
    <w:rsid w:val="00BF5A8D"/>
    <w:rsid w:val="00BF61C9"/>
    <w:rsid w:val="00BF6259"/>
    <w:rsid w:val="00BF651A"/>
    <w:rsid w:val="00BF6607"/>
    <w:rsid w:val="00BF6AC9"/>
    <w:rsid w:val="00BF6C94"/>
    <w:rsid w:val="00BF7FB9"/>
    <w:rsid w:val="00C000AD"/>
    <w:rsid w:val="00C00424"/>
    <w:rsid w:val="00C00BB0"/>
    <w:rsid w:val="00C01064"/>
    <w:rsid w:val="00C010B3"/>
    <w:rsid w:val="00C017E0"/>
    <w:rsid w:val="00C01BEE"/>
    <w:rsid w:val="00C01CBB"/>
    <w:rsid w:val="00C01E4D"/>
    <w:rsid w:val="00C02202"/>
    <w:rsid w:val="00C02225"/>
    <w:rsid w:val="00C02499"/>
    <w:rsid w:val="00C02839"/>
    <w:rsid w:val="00C028B0"/>
    <w:rsid w:val="00C030FB"/>
    <w:rsid w:val="00C031A4"/>
    <w:rsid w:val="00C03A23"/>
    <w:rsid w:val="00C03A91"/>
    <w:rsid w:val="00C03BEF"/>
    <w:rsid w:val="00C03C03"/>
    <w:rsid w:val="00C04D81"/>
    <w:rsid w:val="00C0512D"/>
    <w:rsid w:val="00C05364"/>
    <w:rsid w:val="00C056CF"/>
    <w:rsid w:val="00C05CBB"/>
    <w:rsid w:val="00C06036"/>
    <w:rsid w:val="00C062AE"/>
    <w:rsid w:val="00C0666B"/>
    <w:rsid w:val="00C06865"/>
    <w:rsid w:val="00C06B0B"/>
    <w:rsid w:val="00C06BF2"/>
    <w:rsid w:val="00C06D29"/>
    <w:rsid w:val="00C06F57"/>
    <w:rsid w:val="00C06F91"/>
    <w:rsid w:val="00C07307"/>
    <w:rsid w:val="00C0731C"/>
    <w:rsid w:val="00C07B68"/>
    <w:rsid w:val="00C102B1"/>
    <w:rsid w:val="00C105FE"/>
    <w:rsid w:val="00C10C23"/>
    <w:rsid w:val="00C114B1"/>
    <w:rsid w:val="00C1179F"/>
    <w:rsid w:val="00C11E6F"/>
    <w:rsid w:val="00C120A4"/>
    <w:rsid w:val="00C123BF"/>
    <w:rsid w:val="00C127B9"/>
    <w:rsid w:val="00C12833"/>
    <w:rsid w:val="00C128FA"/>
    <w:rsid w:val="00C12970"/>
    <w:rsid w:val="00C12C14"/>
    <w:rsid w:val="00C12DE7"/>
    <w:rsid w:val="00C13184"/>
    <w:rsid w:val="00C1354F"/>
    <w:rsid w:val="00C137B3"/>
    <w:rsid w:val="00C13A1B"/>
    <w:rsid w:val="00C13E1C"/>
    <w:rsid w:val="00C13EE4"/>
    <w:rsid w:val="00C13F59"/>
    <w:rsid w:val="00C13FE6"/>
    <w:rsid w:val="00C140B1"/>
    <w:rsid w:val="00C1419F"/>
    <w:rsid w:val="00C145B5"/>
    <w:rsid w:val="00C1496D"/>
    <w:rsid w:val="00C14DFC"/>
    <w:rsid w:val="00C1580B"/>
    <w:rsid w:val="00C15BAB"/>
    <w:rsid w:val="00C15CF5"/>
    <w:rsid w:val="00C15F04"/>
    <w:rsid w:val="00C16223"/>
    <w:rsid w:val="00C16271"/>
    <w:rsid w:val="00C164CC"/>
    <w:rsid w:val="00C1756F"/>
    <w:rsid w:val="00C179B3"/>
    <w:rsid w:val="00C17A20"/>
    <w:rsid w:val="00C17A8A"/>
    <w:rsid w:val="00C17B6F"/>
    <w:rsid w:val="00C17E3F"/>
    <w:rsid w:val="00C17F16"/>
    <w:rsid w:val="00C200AA"/>
    <w:rsid w:val="00C20185"/>
    <w:rsid w:val="00C20799"/>
    <w:rsid w:val="00C2102B"/>
    <w:rsid w:val="00C21376"/>
    <w:rsid w:val="00C21DF2"/>
    <w:rsid w:val="00C225B4"/>
    <w:rsid w:val="00C23010"/>
    <w:rsid w:val="00C233A0"/>
    <w:rsid w:val="00C233E8"/>
    <w:rsid w:val="00C2341D"/>
    <w:rsid w:val="00C237ED"/>
    <w:rsid w:val="00C24141"/>
    <w:rsid w:val="00C242A9"/>
    <w:rsid w:val="00C24632"/>
    <w:rsid w:val="00C24A50"/>
    <w:rsid w:val="00C24D23"/>
    <w:rsid w:val="00C25066"/>
    <w:rsid w:val="00C25418"/>
    <w:rsid w:val="00C254F6"/>
    <w:rsid w:val="00C25815"/>
    <w:rsid w:val="00C25CD8"/>
    <w:rsid w:val="00C25D8D"/>
    <w:rsid w:val="00C25D9C"/>
    <w:rsid w:val="00C26207"/>
    <w:rsid w:val="00C26228"/>
    <w:rsid w:val="00C26272"/>
    <w:rsid w:val="00C265B9"/>
    <w:rsid w:val="00C26900"/>
    <w:rsid w:val="00C27149"/>
    <w:rsid w:val="00C2778B"/>
    <w:rsid w:val="00C279A4"/>
    <w:rsid w:val="00C300D1"/>
    <w:rsid w:val="00C307B1"/>
    <w:rsid w:val="00C30AB9"/>
    <w:rsid w:val="00C31432"/>
    <w:rsid w:val="00C31649"/>
    <w:rsid w:val="00C3180A"/>
    <w:rsid w:val="00C318F7"/>
    <w:rsid w:val="00C31BD9"/>
    <w:rsid w:val="00C3248F"/>
    <w:rsid w:val="00C32828"/>
    <w:rsid w:val="00C32BEA"/>
    <w:rsid w:val="00C33117"/>
    <w:rsid w:val="00C333CD"/>
    <w:rsid w:val="00C333EC"/>
    <w:rsid w:val="00C3356C"/>
    <w:rsid w:val="00C33F13"/>
    <w:rsid w:val="00C34096"/>
    <w:rsid w:val="00C3434C"/>
    <w:rsid w:val="00C34619"/>
    <w:rsid w:val="00C3475F"/>
    <w:rsid w:val="00C34E7F"/>
    <w:rsid w:val="00C34F8F"/>
    <w:rsid w:val="00C358F2"/>
    <w:rsid w:val="00C359AF"/>
    <w:rsid w:val="00C35A48"/>
    <w:rsid w:val="00C35A83"/>
    <w:rsid w:val="00C35DA6"/>
    <w:rsid w:val="00C35EA7"/>
    <w:rsid w:val="00C362B5"/>
    <w:rsid w:val="00C363E8"/>
    <w:rsid w:val="00C36727"/>
    <w:rsid w:val="00C3687F"/>
    <w:rsid w:val="00C36C8A"/>
    <w:rsid w:val="00C36FCD"/>
    <w:rsid w:val="00C36FEE"/>
    <w:rsid w:val="00C3743B"/>
    <w:rsid w:val="00C376CD"/>
    <w:rsid w:val="00C3794D"/>
    <w:rsid w:val="00C37999"/>
    <w:rsid w:val="00C37B4D"/>
    <w:rsid w:val="00C37D2D"/>
    <w:rsid w:val="00C40385"/>
    <w:rsid w:val="00C407B3"/>
    <w:rsid w:val="00C408F3"/>
    <w:rsid w:val="00C4099D"/>
    <w:rsid w:val="00C40BF9"/>
    <w:rsid w:val="00C4164E"/>
    <w:rsid w:val="00C41768"/>
    <w:rsid w:val="00C42005"/>
    <w:rsid w:val="00C425BA"/>
    <w:rsid w:val="00C42615"/>
    <w:rsid w:val="00C426D8"/>
    <w:rsid w:val="00C42B77"/>
    <w:rsid w:val="00C42BC6"/>
    <w:rsid w:val="00C433CE"/>
    <w:rsid w:val="00C4393E"/>
    <w:rsid w:val="00C43ECF"/>
    <w:rsid w:val="00C4483F"/>
    <w:rsid w:val="00C44970"/>
    <w:rsid w:val="00C44EC0"/>
    <w:rsid w:val="00C4543F"/>
    <w:rsid w:val="00C459DB"/>
    <w:rsid w:val="00C45EE4"/>
    <w:rsid w:val="00C45FF1"/>
    <w:rsid w:val="00C4622F"/>
    <w:rsid w:val="00C469DB"/>
    <w:rsid w:val="00C475AA"/>
    <w:rsid w:val="00C479D4"/>
    <w:rsid w:val="00C47CBB"/>
    <w:rsid w:val="00C47CD9"/>
    <w:rsid w:val="00C47FF5"/>
    <w:rsid w:val="00C50522"/>
    <w:rsid w:val="00C516B1"/>
    <w:rsid w:val="00C51829"/>
    <w:rsid w:val="00C51C90"/>
    <w:rsid w:val="00C526C1"/>
    <w:rsid w:val="00C527C7"/>
    <w:rsid w:val="00C52E1A"/>
    <w:rsid w:val="00C52E81"/>
    <w:rsid w:val="00C53476"/>
    <w:rsid w:val="00C53715"/>
    <w:rsid w:val="00C53743"/>
    <w:rsid w:val="00C53C98"/>
    <w:rsid w:val="00C53E23"/>
    <w:rsid w:val="00C53F2E"/>
    <w:rsid w:val="00C548C0"/>
    <w:rsid w:val="00C54A04"/>
    <w:rsid w:val="00C55066"/>
    <w:rsid w:val="00C550FB"/>
    <w:rsid w:val="00C551D9"/>
    <w:rsid w:val="00C55FA4"/>
    <w:rsid w:val="00C562D5"/>
    <w:rsid w:val="00C5658A"/>
    <w:rsid w:val="00C569BD"/>
    <w:rsid w:val="00C569FA"/>
    <w:rsid w:val="00C56FCF"/>
    <w:rsid w:val="00C5720C"/>
    <w:rsid w:val="00C572F6"/>
    <w:rsid w:val="00C57828"/>
    <w:rsid w:val="00C57850"/>
    <w:rsid w:val="00C57B6C"/>
    <w:rsid w:val="00C57CED"/>
    <w:rsid w:val="00C609F1"/>
    <w:rsid w:val="00C60C40"/>
    <w:rsid w:val="00C61359"/>
    <w:rsid w:val="00C61561"/>
    <w:rsid w:val="00C61635"/>
    <w:rsid w:val="00C617F8"/>
    <w:rsid w:val="00C61A59"/>
    <w:rsid w:val="00C61EF9"/>
    <w:rsid w:val="00C62058"/>
    <w:rsid w:val="00C621EA"/>
    <w:rsid w:val="00C623C2"/>
    <w:rsid w:val="00C628A6"/>
    <w:rsid w:val="00C628DD"/>
    <w:rsid w:val="00C62CDA"/>
    <w:rsid w:val="00C62E46"/>
    <w:rsid w:val="00C62EC0"/>
    <w:rsid w:val="00C62EC6"/>
    <w:rsid w:val="00C62EE3"/>
    <w:rsid w:val="00C632FF"/>
    <w:rsid w:val="00C6375F"/>
    <w:rsid w:val="00C63FB1"/>
    <w:rsid w:val="00C64344"/>
    <w:rsid w:val="00C6437F"/>
    <w:rsid w:val="00C646D1"/>
    <w:rsid w:val="00C64731"/>
    <w:rsid w:val="00C6478C"/>
    <w:rsid w:val="00C65091"/>
    <w:rsid w:val="00C65108"/>
    <w:rsid w:val="00C65320"/>
    <w:rsid w:val="00C65576"/>
    <w:rsid w:val="00C65D9A"/>
    <w:rsid w:val="00C66165"/>
    <w:rsid w:val="00C66872"/>
    <w:rsid w:val="00C66A71"/>
    <w:rsid w:val="00C67077"/>
    <w:rsid w:val="00C672B2"/>
    <w:rsid w:val="00C67329"/>
    <w:rsid w:val="00C67662"/>
    <w:rsid w:val="00C678B0"/>
    <w:rsid w:val="00C67C1E"/>
    <w:rsid w:val="00C67F05"/>
    <w:rsid w:val="00C7057D"/>
    <w:rsid w:val="00C7060A"/>
    <w:rsid w:val="00C70CF1"/>
    <w:rsid w:val="00C712B1"/>
    <w:rsid w:val="00C7151A"/>
    <w:rsid w:val="00C71548"/>
    <w:rsid w:val="00C71606"/>
    <w:rsid w:val="00C717E3"/>
    <w:rsid w:val="00C71C96"/>
    <w:rsid w:val="00C71F11"/>
    <w:rsid w:val="00C71F60"/>
    <w:rsid w:val="00C72241"/>
    <w:rsid w:val="00C72A44"/>
    <w:rsid w:val="00C72B3D"/>
    <w:rsid w:val="00C7364F"/>
    <w:rsid w:val="00C739BF"/>
    <w:rsid w:val="00C73BDA"/>
    <w:rsid w:val="00C74058"/>
    <w:rsid w:val="00C743A7"/>
    <w:rsid w:val="00C74627"/>
    <w:rsid w:val="00C750C8"/>
    <w:rsid w:val="00C75183"/>
    <w:rsid w:val="00C752C1"/>
    <w:rsid w:val="00C75301"/>
    <w:rsid w:val="00C7560F"/>
    <w:rsid w:val="00C75B9D"/>
    <w:rsid w:val="00C75CE7"/>
    <w:rsid w:val="00C7602F"/>
    <w:rsid w:val="00C76266"/>
    <w:rsid w:val="00C7642D"/>
    <w:rsid w:val="00C7662E"/>
    <w:rsid w:val="00C76E64"/>
    <w:rsid w:val="00C77453"/>
    <w:rsid w:val="00C774FB"/>
    <w:rsid w:val="00C77C56"/>
    <w:rsid w:val="00C77C82"/>
    <w:rsid w:val="00C77F52"/>
    <w:rsid w:val="00C80A0E"/>
    <w:rsid w:val="00C80DA9"/>
    <w:rsid w:val="00C80EE0"/>
    <w:rsid w:val="00C81DE5"/>
    <w:rsid w:val="00C81DFF"/>
    <w:rsid w:val="00C81FC4"/>
    <w:rsid w:val="00C8213F"/>
    <w:rsid w:val="00C8250C"/>
    <w:rsid w:val="00C8252B"/>
    <w:rsid w:val="00C82DF0"/>
    <w:rsid w:val="00C82EAF"/>
    <w:rsid w:val="00C82F1A"/>
    <w:rsid w:val="00C8303F"/>
    <w:rsid w:val="00C836F0"/>
    <w:rsid w:val="00C8371C"/>
    <w:rsid w:val="00C83BFD"/>
    <w:rsid w:val="00C83D2A"/>
    <w:rsid w:val="00C841A2"/>
    <w:rsid w:val="00C84599"/>
    <w:rsid w:val="00C84D3A"/>
    <w:rsid w:val="00C85154"/>
    <w:rsid w:val="00C85328"/>
    <w:rsid w:val="00C85334"/>
    <w:rsid w:val="00C85500"/>
    <w:rsid w:val="00C85657"/>
    <w:rsid w:val="00C85A70"/>
    <w:rsid w:val="00C85D45"/>
    <w:rsid w:val="00C862E9"/>
    <w:rsid w:val="00C8680E"/>
    <w:rsid w:val="00C86AFD"/>
    <w:rsid w:val="00C86FCE"/>
    <w:rsid w:val="00C8729B"/>
    <w:rsid w:val="00C87476"/>
    <w:rsid w:val="00C877D6"/>
    <w:rsid w:val="00C8797A"/>
    <w:rsid w:val="00C87D1B"/>
    <w:rsid w:val="00C87E75"/>
    <w:rsid w:val="00C900B8"/>
    <w:rsid w:val="00C90197"/>
    <w:rsid w:val="00C90878"/>
    <w:rsid w:val="00C90C71"/>
    <w:rsid w:val="00C9139D"/>
    <w:rsid w:val="00C916F8"/>
    <w:rsid w:val="00C91CEC"/>
    <w:rsid w:val="00C91FD1"/>
    <w:rsid w:val="00C92AAB"/>
    <w:rsid w:val="00C92AB1"/>
    <w:rsid w:val="00C92BCF"/>
    <w:rsid w:val="00C92D75"/>
    <w:rsid w:val="00C92F15"/>
    <w:rsid w:val="00C931CF"/>
    <w:rsid w:val="00C936FD"/>
    <w:rsid w:val="00C93735"/>
    <w:rsid w:val="00C93788"/>
    <w:rsid w:val="00C938CF"/>
    <w:rsid w:val="00C93CCD"/>
    <w:rsid w:val="00C94053"/>
    <w:rsid w:val="00C947AF"/>
    <w:rsid w:val="00C94CE5"/>
    <w:rsid w:val="00C95424"/>
    <w:rsid w:val="00C95462"/>
    <w:rsid w:val="00C956A6"/>
    <w:rsid w:val="00C95783"/>
    <w:rsid w:val="00C95B97"/>
    <w:rsid w:val="00C95CF9"/>
    <w:rsid w:val="00C95CFC"/>
    <w:rsid w:val="00C961EA"/>
    <w:rsid w:val="00C9624D"/>
    <w:rsid w:val="00C9653F"/>
    <w:rsid w:val="00C969DA"/>
    <w:rsid w:val="00C96A80"/>
    <w:rsid w:val="00C97505"/>
    <w:rsid w:val="00C9753B"/>
    <w:rsid w:val="00C97B09"/>
    <w:rsid w:val="00C97B4E"/>
    <w:rsid w:val="00C97F47"/>
    <w:rsid w:val="00CA0075"/>
    <w:rsid w:val="00CA0CE0"/>
    <w:rsid w:val="00CA1258"/>
    <w:rsid w:val="00CA149D"/>
    <w:rsid w:val="00CA14F0"/>
    <w:rsid w:val="00CA177A"/>
    <w:rsid w:val="00CA1B92"/>
    <w:rsid w:val="00CA1BCB"/>
    <w:rsid w:val="00CA1FB1"/>
    <w:rsid w:val="00CA243F"/>
    <w:rsid w:val="00CA259A"/>
    <w:rsid w:val="00CA269A"/>
    <w:rsid w:val="00CA2C77"/>
    <w:rsid w:val="00CA3127"/>
    <w:rsid w:val="00CA32AC"/>
    <w:rsid w:val="00CA3A2A"/>
    <w:rsid w:val="00CA42C2"/>
    <w:rsid w:val="00CA444F"/>
    <w:rsid w:val="00CA48CA"/>
    <w:rsid w:val="00CA4AD9"/>
    <w:rsid w:val="00CA4B58"/>
    <w:rsid w:val="00CA4D0C"/>
    <w:rsid w:val="00CA4E85"/>
    <w:rsid w:val="00CA4F8C"/>
    <w:rsid w:val="00CA51B5"/>
    <w:rsid w:val="00CA5245"/>
    <w:rsid w:val="00CA526A"/>
    <w:rsid w:val="00CA53EE"/>
    <w:rsid w:val="00CA5649"/>
    <w:rsid w:val="00CA57C8"/>
    <w:rsid w:val="00CA59DC"/>
    <w:rsid w:val="00CA5BC9"/>
    <w:rsid w:val="00CA5D73"/>
    <w:rsid w:val="00CA5DF8"/>
    <w:rsid w:val="00CA60F3"/>
    <w:rsid w:val="00CA63EF"/>
    <w:rsid w:val="00CA6847"/>
    <w:rsid w:val="00CA6867"/>
    <w:rsid w:val="00CA6EC4"/>
    <w:rsid w:val="00CA6F52"/>
    <w:rsid w:val="00CA71F4"/>
    <w:rsid w:val="00CA7565"/>
    <w:rsid w:val="00CA7586"/>
    <w:rsid w:val="00CA7B09"/>
    <w:rsid w:val="00CA7E26"/>
    <w:rsid w:val="00CA7FFE"/>
    <w:rsid w:val="00CB02CD"/>
    <w:rsid w:val="00CB09BF"/>
    <w:rsid w:val="00CB0E5E"/>
    <w:rsid w:val="00CB0F4E"/>
    <w:rsid w:val="00CB12A5"/>
    <w:rsid w:val="00CB1CAC"/>
    <w:rsid w:val="00CB1CBE"/>
    <w:rsid w:val="00CB1D15"/>
    <w:rsid w:val="00CB1E33"/>
    <w:rsid w:val="00CB2190"/>
    <w:rsid w:val="00CB23B9"/>
    <w:rsid w:val="00CB266A"/>
    <w:rsid w:val="00CB2E33"/>
    <w:rsid w:val="00CB2F2A"/>
    <w:rsid w:val="00CB3409"/>
    <w:rsid w:val="00CB36D2"/>
    <w:rsid w:val="00CB385B"/>
    <w:rsid w:val="00CB3EC5"/>
    <w:rsid w:val="00CB475B"/>
    <w:rsid w:val="00CB47C0"/>
    <w:rsid w:val="00CB489F"/>
    <w:rsid w:val="00CB5072"/>
    <w:rsid w:val="00CB5156"/>
    <w:rsid w:val="00CB53A9"/>
    <w:rsid w:val="00CB54D7"/>
    <w:rsid w:val="00CB5B1A"/>
    <w:rsid w:val="00CB5E54"/>
    <w:rsid w:val="00CB5F13"/>
    <w:rsid w:val="00CB61E3"/>
    <w:rsid w:val="00CB69D0"/>
    <w:rsid w:val="00CB6B22"/>
    <w:rsid w:val="00CB6D96"/>
    <w:rsid w:val="00CB70F4"/>
    <w:rsid w:val="00CB7149"/>
    <w:rsid w:val="00CB71D9"/>
    <w:rsid w:val="00CB790A"/>
    <w:rsid w:val="00CB7B31"/>
    <w:rsid w:val="00CB7D0F"/>
    <w:rsid w:val="00CB7F5F"/>
    <w:rsid w:val="00CB7F7D"/>
    <w:rsid w:val="00CC0987"/>
    <w:rsid w:val="00CC0E5C"/>
    <w:rsid w:val="00CC0F82"/>
    <w:rsid w:val="00CC0FA8"/>
    <w:rsid w:val="00CC124F"/>
    <w:rsid w:val="00CC16B5"/>
    <w:rsid w:val="00CC1821"/>
    <w:rsid w:val="00CC1847"/>
    <w:rsid w:val="00CC1B39"/>
    <w:rsid w:val="00CC1BFA"/>
    <w:rsid w:val="00CC1D8F"/>
    <w:rsid w:val="00CC21B6"/>
    <w:rsid w:val="00CC234C"/>
    <w:rsid w:val="00CC2B29"/>
    <w:rsid w:val="00CC2E9F"/>
    <w:rsid w:val="00CC2F04"/>
    <w:rsid w:val="00CC3018"/>
    <w:rsid w:val="00CC3306"/>
    <w:rsid w:val="00CC3408"/>
    <w:rsid w:val="00CC35EA"/>
    <w:rsid w:val="00CC361B"/>
    <w:rsid w:val="00CC3848"/>
    <w:rsid w:val="00CC39CE"/>
    <w:rsid w:val="00CC3CA3"/>
    <w:rsid w:val="00CC41DE"/>
    <w:rsid w:val="00CC424A"/>
    <w:rsid w:val="00CC5A6B"/>
    <w:rsid w:val="00CC5C55"/>
    <w:rsid w:val="00CC615C"/>
    <w:rsid w:val="00CC61B2"/>
    <w:rsid w:val="00CC6267"/>
    <w:rsid w:val="00CC6317"/>
    <w:rsid w:val="00CC6667"/>
    <w:rsid w:val="00CC67EF"/>
    <w:rsid w:val="00CC6CAC"/>
    <w:rsid w:val="00CC6D5E"/>
    <w:rsid w:val="00CC7184"/>
    <w:rsid w:val="00CC7697"/>
    <w:rsid w:val="00CC7716"/>
    <w:rsid w:val="00CC791A"/>
    <w:rsid w:val="00CC7DCD"/>
    <w:rsid w:val="00CC7F96"/>
    <w:rsid w:val="00CD00D7"/>
    <w:rsid w:val="00CD0200"/>
    <w:rsid w:val="00CD0233"/>
    <w:rsid w:val="00CD0300"/>
    <w:rsid w:val="00CD04CF"/>
    <w:rsid w:val="00CD0694"/>
    <w:rsid w:val="00CD083F"/>
    <w:rsid w:val="00CD0E42"/>
    <w:rsid w:val="00CD10A1"/>
    <w:rsid w:val="00CD11AF"/>
    <w:rsid w:val="00CD1292"/>
    <w:rsid w:val="00CD1A2E"/>
    <w:rsid w:val="00CD1ABA"/>
    <w:rsid w:val="00CD1C86"/>
    <w:rsid w:val="00CD233C"/>
    <w:rsid w:val="00CD23DF"/>
    <w:rsid w:val="00CD2B3F"/>
    <w:rsid w:val="00CD2F26"/>
    <w:rsid w:val="00CD39C3"/>
    <w:rsid w:val="00CD3B92"/>
    <w:rsid w:val="00CD3E15"/>
    <w:rsid w:val="00CD3F77"/>
    <w:rsid w:val="00CD4180"/>
    <w:rsid w:val="00CD41C2"/>
    <w:rsid w:val="00CD425D"/>
    <w:rsid w:val="00CD4265"/>
    <w:rsid w:val="00CD430D"/>
    <w:rsid w:val="00CD441F"/>
    <w:rsid w:val="00CD48B7"/>
    <w:rsid w:val="00CD4DBD"/>
    <w:rsid w:val="00CD4EB2"/>
    <w:rsid w:val="00CD50A9"/>
    <w:rsid w:val="00CD514C"/>
    <w:rsid w:val="00CD5F89"/>
    <w:rsid w:val="00CD664E"/>
    <w:rsid w:val="00CD6835"/>
    <w:rsid w:val="00CD6ADC"/>
    <w:rsid w:val="00CD6C7A"/>
    <w:rsid w:val="00CD6CF0"/>
    <w:rsid w:val="00CD6F0B"/>
    <w:rsid w:val="00CD7193"/>
    <w:rsid w:val="00CE0200"/>
    <w:rsid w:val="00CE0389"/>
    <w:rsid w:val="00CE0A8B"/>
    <w:rsid w:val="00CE0B13"/>
    <w:rsid w:val="00CE0DEC"/>
    <w:rsid w:val="00CE1737"/>
    <w:rsid w:val="00CE17A7"/>
    <w:rsid w:val="00CE1934"/>
    <w:rsid w:val="00CE19A3"/>
    <w:rsid w:val="00CE26A6"/>
    <w:rsid w:val="00CE2A50"/>
    <w:rsid w:val="00CE2C06"/>
    <w:rsid w:val="00CE31BB"/>
    <w:rsid w:val="00CE31F0"/>
    <w:rsid w:val="00CE3649"/>
    <w:rsid w:val="00CE38C8"/>
    <w:rsid w:val="00CE3C78"/>
    <w:rsid w:val="00CE3FBB"/>
    <w:rsid w:val="00CE450B"/>
    <w:rsid w:val="00CE462D"/>
    <w:rsid w:val="00CE495B"/>
    <w:rsid w:val="00CE4C3A"/>
    <w:rsid w:val="00CE5057"/>
    <w:rsid w:val="00CE51D3"/>
    <w:rsid w:val="00CE524F"/>
    <w:rsid w:val="00CE546A"/>
    <w:rsid w:val="00CE5787"/>
    <w:rsid w:val="00CE58CC"/>
    <w:rsid w:val="00CE5CA9"/>
    <w:rsid w:val="00CE5CEC"/>
    <w:rsid w:val="00CE6274"/>
    <w:rsid w:val="00CE6345"/>
    <w:rsid w:val="00CE66A1"/>
    <w:rsid w:val="00CE68DA"/>
    <w:rsid w:val="00CE6B06"/>
    <w:rsid w:val="00CE6C70"/>
    <w:rsid w:val="00CE6F78"/>
    <w:rsid w:val="00CE6F91"/>
    <w:rsid w:val="00CE7096"/>
    <w:rsid w:val="00CE71C8"/>
    <w:rsid w:val="00CE732D"/>
    <w:rsid w:val="00CE741D"/>
    <w:rsid w:val="00CE77B6"/>
    <w:rsid w:val="00CF0124"/>
    <w:rsid w:val="00CF120E"/>
    <w:rsid w:val="00CF150C"/>
    <w:rsid w:val="00CF1862"/>
    <w:rsid w:val="00CF1978"/>
    <w:rsid w:val="00CF1BC0"/>
    <w:rsid w:val="00CF1CDF"/>
    <w:rsid w:val="00CF1F83"/>
    <w:rsid w:val="00CF2792"/>
    <w:rsid w:val="00CF2906"/>
    <w:rsid w:val="00CF2B21"/>
    <w:rsid w:val="00CF2B8D"/>
    <w:rsid w:val="00CF2F13"/>
    <w:rsid w:val="00CF3185"/>
    <w:rsid w:val="00CF32C8"/>
    <w:rsid w:val="00CF3A1B"/>
    <w:rsid w:val="00CF4100"/>
    <w:rsid w:val="00CF456B"/>
    <w:rsid w:val="00CF4C8F"/>
    <w:rsid w:val="00CF4EA7"/>
    <w:rsid w:val="00CF55EF"/>
    <w:rsid w:val="00CF59BC"/>
    <w:rsid w:val="00CF5A22"/>
    <w:rsid w:val="00CF736A"/>
    <w:rsid w:val="00CF7A87"/>
    <w:rsid w:val="00CF7BB0"/>
    <w:rsid w:val="00D00050"/>
    <w:rsid w:val="00D006B6"/>
    <w:rsid w:val="00D00A39"/>
    <w:rsid w:val="00D00EE6"/>
    <w:rsid w:val="00D012C4"/>
    <w:rsid w:val="00D01D91"/>
    <w:rsid w:val="00D020C5"/>
    <w:rsid w:val="00D02133"/>
    <w:rsid w:val="00D021DC"/>
    <w:rsid w:val="00D0262E"/>
    <w:rsid w:val="00D02759"/>
    <w:rsid w:val="00D029D4"/>
    <w:rsid w:val="00D02B6F"/>
    <w:rsid w:val="00D02D54"/>
    <w:rsid w:val="00D02EFD"/>
    <w:rsid w:val="00D03516"/>
    <w:rsid w:val="00D03679"/>
    <w:rsid w:val="00D036A8"/>
    <w:rsid w:val="00D036FB"/>
    <w:rsid w:val="00D0372C"/>
    <w:rsid w:val="00D03977"/>
    <w:rsid w:val="00D0471A"/>
    <w:rsid w:val="00D048F0"/>
    <w:rsid w:val="00D04CD3"/>
    <w:rsid w:val="00D05000"/>
    <w:rsid w:val="00D0500B"/>
    <w:rsid w:val="00D05667"/>
    <w:rsid w:val="00D05738"/>
    <w:rsid w:val="00D05E3D"/>
    <w:rsid w:val="00D05F67"/>
    <w:rsid w:val="00D06139"/>
    <w:rsid w:val="00D06312"/>
    <w:rsid w:val="00D06753"/>
    <w:rsid w:val="00D069BF"/>
    <w:rsid w:val="00D069E4"/>
    <w:rsid w:val="00D070FF"/>
    <w:rsid w:val="00D07A57"/>
    <w:rsid w:val="00D07C24"/>
    <w:rsid w:val="00D10218"/>
    <w:rsid w:val="00D1025B"/>
    <w:rsid w:val="00D10685"/>
    <w:rsid w:val="00D10749"/>
    <w:rsid w:val="00D10948"/>
    <w:rsid w:val="00D10ECC"/>
    <w:rsid w:val="00D110BD"/>
    <w:rsid w:val="00D113EA"/>
    <w:rsid w:val="00D1147A"/>
    <w:rsid w:val="00D116C2"/>
    <w:rsid w:val="00D1177E"/>
    <w:rsid w:val="00D11B40"/>
    <w:rsid w:val="00D11F5A"/>
    <w:rsid w:val="00D12316"/>
    <w:rsid w:val="00D124FE"/>
    <w:rsid w:val="00D125B8"/>
    <w:rsid w:val="00D12EB8"/>
    <w:rsid w:val="00D13329"/>
    <w:rsid w:val="00D13675"/>
    <w:rsid w:val="00D140AB"/>
    <w:rsid w:val="00D1416E"/>
    <w:rsid w:val="00D141E1"/>
    <w:rsid w:val="00D14399"/>
    <w:rsid w:val="00D14745"/>
    <w:rsid w:val="00D147B2"/>
    <w:rsid w:val="00D14A3C"/>
    <w:rsid w:val="00D14C40"/>
    <w:rsid w:val="00D1501C"/>
    <w:rsid w:val="00D15314"/>
    <w:rsid w:val="00D153CA"/>
    <w:rsid w:val="00D1560B"/>
    <w:rsid w:val="00D15B48"/>
    <w:rsid w:val="00D16007"/>
    <w:rsid w:val="00D16735"/>
    <w:rsid w:val="00D16881"/>
    <w:rsid w:val="00D16A8C"/>
    <w:rsid w:val="00D16B90"/>
    <w:rsid w:val="00D17835"/>
    <w:rsid w:val="00D178AA"/>
    <w:rsid w:val="00D17D07"/>
    <w:rsid w:val="00D17D6C"/>
    <w:rsid w:val="00D17EC0"/>
    <w:rsid w:val="00D2007D"/>
    <w:rsid w:val="00D20220"/>
    <w:rsid w:val="00D204A7"/>
    <w:rsid w:val="00D20569"/>
    <w:rsid w:val="00D20AF7"/>
    <w:rsid w:val="00D21435"/>
    <w:rsid w:val="00D2155B"/>
    <w:rsid w:val="00D21B68"/>
    <w:rsid w:val="00D22A22"/>
    <w:rsid w:val="00D22E67"/>
    <w:rsid w:val="00D23D11"/>
    <w:rsid w:val="00D23D52"/>
    <w:rsid w:val="00D23E9F"/>
    <w:rsid w:val="00D23F1B"/>
    <w:rsid w:val="00D23F7B"/>
    <w:rsid w:val="00D241B0"/>
    <w:rsid w:val="00D244B6"/>
    <w:rsid w:val="00D2461C"/>
    <w:rsid w:val="00D24B8C"/>
    <w:rsid w:val="00D25265"/>
    <w:rsid w:val="00D2534E"/>
    <w:rsid w:val="00D25516"/>
    <w:rsid w:val="00D25A24"/>
    <w:rsid w:val="00D25B82"/>
    <w:rsid w:val="00D262B0"/>
    <w:rsid w:val="00D26821"/>
    <w:rsid w:val="00D27425"/>
    <w:rsid w:val="00D2754D"/>
    <w:rsid w:val="00D27B27"/>
    <w:rsid w:val="00D27D08"/>
    <w:rsid w:val="00D306FE"/>
    <w:rsid w:val="00D30C40"/>
    <w:rsid w:val="00D30D5B"/>
    <w:rsid w:val="00D311A2"/>
    <w:rsid w:val="00D31E65"/>
    <w:rsid w:val="00D31ED4"/>
    <w:rsid w:val="00D31FFD"/>
    <w:rsid w:val="00D3224C"/>
    <w:rsid w:val="00D3227C"/>
    <w:rsid w:val="00D3295A"/>
    <w:rsid w:val="00D329A1"/>
    <w:rsid w:val="00D329CD"/>
    <w:rsid w:val="00D32C32"/>
    <w:rsid w:val="00D33428"/>
    <w:rsid w:val="00D3385B"/>
    <w:rsid w:val="00D33BE9"/>
    <w:rsid w:val="00D33DD5"/>
    <w:rsid w:val="00D33F93"/>
    <w:rsid w:val="00D346EB"/>
    <w:rsid w:val="00D3511F"/>
    <w:rsid w:val="00D35274"/>
    <w:rsid w:val="00D3563A"/>
    <w:rsid w:val="00D357FF"/>
    <w:rsid w:val="00D35DDF"/>
    <w:rsid w:val="00D362EA"/>
    <w:rsid w:val="00D364C2"/>
    <w:rsid w:val="00D3657A"/>
    <w:rsid w:val="00D370BE"/>
    <w:rsid w:val="00D37292"/>
    <w:rsid w:val="00D37E32"/>
    <w:rsid w:val="00D37FCD"/>
    <w:rsid w:val="00D400C9"/>
    <w:rsid w:val="00D40353"/>
    <w:rsid w:val="00D4042D"/>
    <w:rsid w:val="00D406A6"/>
    <w:rsid w:val="00D40874"/>
    <w:rsid w:val="00D40C06"/>
    <w:rsid w:val="00D40E98"/>
    <w:rsid w:val="00D413B8"/>
    <w:rsid w:val="00D415A6"/>
    <w:rsid w:val="00D41B44"/>
    <w:rsid w:val="00D424C7"/>
    <w:rsid w:val="00D4266D"/>
    <w:rsid w:val="00D42998"/>
    <w:rsid w:val="00D4356E"/>
    <w:rsid w:val="00D43B2A"/>
    <w:rsid w:val="00D43CF1"/>
    <w:rsid w:val="00D43D83"/>
    <w:rsid w:val="00D43FE6"/>
    <w:rsid w:val="00D44032"/>
    <w:rsid w:val="00D44478"/>
    <w:rsid w:val="00D44633"/>
    <w:rsid w:val="00D4491E"/>
    <w:rsid w:val="00D44D26"/>
    <w:rsid w:val="00D44E3A"/>
    <w:rsid w:val="00D450BC"/>
    <w:rsid w:val="00D4595D"/>
    <w:rsid w:val="00D45B63"/>
    <w:rsid w:val="00D46110"/>
    <w:rsid w:val="00D46232"/>
    <w:rsid w:val="00D46406"/>
    <w:rsid w:val="00D46706"/>
    <w:rsid w:val="00D46BFB"/>
    <w:rsid w:val="00D46CB6"/>
    <w:rsid w:val="00D4729E"/>
    <w:rsid w:val="00D47575"/>
    <w:rsid w:val="00D47B8F"/>
    <w:rsid w:val="00D47E15"/>
    <w:rsid w:val="00D47F89"/>
    <w:rsid w:val="00D5042A"/>
    <w:rsid w:val="00D5052D"/>
    <w:rsid w:val="00D50B90"/>
    <w:rsid w:val="00D50C40"/>
    <w:rsid w:val="00D514E9"/>
    <w:rsid w:val="00D51876"/>
    <w:rsid w:val="00D5192B"/>
    <w:rsid w:val="00D51BC1"/>
    <w:rsid w:val="00D51CB6"/>
    <w:rsid w:val="00D52317"/>
    <w:rsid w:val="00D5243B"/>
    <w:rsid w:val="00D52647"/>
    <w:rsid w:val="00D52B8E"/>
    <w:rsid w:val="00D5335D"/>
    <w:rsid w:val="00D533EC"/>
    <w:rsid w:val="00D53556"/>
    <w:rsid w:val="00D5370E"/>
    <w:rsid w:val="00D53A9F"/>
    <w:rsid w:val="00D53D08"/>
    <w:rsid w:val="00D53DDF"/>
    <w:rsid w:val="00D53E19"/>
    <w:rsid w:val="00D53EF0"/>
    <w:rsid w:val="00D543E0"/>
    <w:rsid w:val="00D54AFE"/>
    <w:rsid w:val="00D54CCA"/>
    <w:rsid w:val="00D54D5B"/>
    <w:rsid w:val="00D5565F"/>
    <w:rsid w:val="00D558AA"/>
    <w:rsid w:val="00D55E6F"/>
    <w:rsid w:val="00D5628B"/>
    <w:rsid w:val="00D565CC"/>
    <w:rsid w:val="00D569B4"/>
    <w:rsid w:val="00D56A95"/>
    <w:rsid w:val="00D56D15"/>
    <w:rsid w:val="00D56D73"/>
    <w:rsid w:val="00D57259"/>
    <w:rsid w:val="00D578E2"/>
    <w:rsid w:val="00D579D3"/>
    <w:rsid w:val="00D57B2A"/>
    <w:rsid w:val="00D57B3B"/>
    <w:rsid w:val="00D57C16"/>
    <w:rsid w:val="00D57D27"/>
    <w:rsid w:val="00D57EF3"/>
    <w:rsid w:val="00D6016F"/>
    <w:rsid w:val="00D601C4"/>
    <w:rsid w:val="00D6076E"/>
    <w:rsid w:val="00D61176"/>
    <w:rsid w:val="00D61D6B"/>
    <w:rsid w:val="00D61EAF"/>
    <w:rsid w:val="00D62449"/>
    <w:rsid w:val="00D62780"/>
    <w:rsid w:val="00D6284E"/>
    <w:rsid w:val="00D62DC7"/>
    <w:rsid w:val="00D62F59"/>
    <w:rsid w:val="00D633C0"/>
    <w:rsid w:val="00D6344F"/>
    <w:rsid w:val="00D635EF"/>
    <w:rsid w:val="00D63F15"/>
    <w:rsid w:val="00D640BD"/>
    <w:rsid w:val="00D64935"/>
    <w:rsid w:val="00D64B4F"/>
    <w:rsid w:val="00D65166"/>
    <w:rsid w:val="00D65606"/>
    <w:rsid w:val="00D658F5"/>
    <w:rsid w:val="00D65E42"/>
    <w:rsid w:val="00D65E93"/>
    <w:rsid w:val="00D662D5"/>
    <w:rsid w:val="00D66774"/>
    <w:rsid w:val="00D6754C"/>
    <w:rsid w:val="00D6794A"/>
    <w:rsid w:val="00D67A91"/>
    <w:rsid w:val="00D70041"/>
    <w:rsid w:val="00D70225"/>
    <w:rsid w:val="00D70616"/>
    <w:rsid w:val="00D70706"/>
    <w:rsid w:val="00D70B18"/>
    <w:rsid w:val="00D70F16"/>
    <w:rsid w:val="00D70F98"/>
    <w:rsid w:val="00D712CF"/>
    <w:rsid w:val="00D7165B"/>
    <w:rsid w:val="00D72139"/>
    <w:rsid w:val="00D723FC"/>
    <w:rsid w:val="00D72617"/>
    <w:rsid w:val="00D7289B"/>
    <w:rsid w:val="00D728D3"/>
    <w:rsid w:val="00D72A7C"/>
    <w:rsid w:val="00D72AB1"/>
    <w:rsid w:val="00D72C16"/>
    <w:rsid w:val="00D72F57"/>
    <w:rsid w:val="00D73170"/>
    <w:rsid w:val="00D73495"/>
    <w:rsid w:val="00D7390B"/>
    <w:rsid w:val="00D73A1C"/>
    <w:rsid w:val="00D740E7"/>
    <w:rsid w:val="00D74389"/>
    <w:rsid w:val="00D743CB"/>
    <w:rsid w:val="00D74AF6"/>
    <w:rsid w:val="00D74CB6"/>
    <w:rsid w:val="00D751E5"/>
    <w:rsid w:val="00D75643"/>
    <w:rsid w:val="00D75787"/>
    <w:rsid w:val="00D75890"/>
    <w:rsid w:val="00D75B91"/>
    <w:rsid w:val="00D75CBA"/>
    <w:rsid w:val="00D75DBA"/>
    <w:rsid w:val="00D76A44"/>
    <w:rsid w:val="00D76EB2"/>
    <w:rsid w:val="00D80494"/>
    <w:rsid w:val="00D8100B"/>
    <w:rsid w:val="00D81084"/>
    <w:rsid w:val="00D81141"/>
    <w:rsid w:val="00D81582"/>
    <w:rsid w:val="00D815EF"/>
    <w:rsid w:val="00D81949"/>
    <w:rsid w:val="00D81C7A"/>
    <w:rsid w:val="00D81F26"/>
    <w:rsid w:val="00D82109"/>
    <w:rsid w:val="00D822E2"/>
    <w:rsid w:val="00D826D9"/>
    <w:rsid w:val="00D82EAE"/>
    <w:rsid w:val="00D82F0C"/>
    <w:rsid w:val="00D843F2"/>
    <w:rsid w:val="00D844FB"/>
    <w:rsid w:val="00D845AF"/>
    <w:rsid w:val="00D84FE0"/>
    <w:rsid w:val="00D8547B"/>
    <w:rsid w:val="00D85A92"/>
    <w:rsid w:val="00D85D9C"/>
    <w:rsid w:val="00D85E8A"/>
    <w:rsid w:val="00D86231"/>
    <w:rsid w:val="00D8655D"/>
    <w:rsid w:val="00D86859"/>
    <w:rsid w:val="00D871E0"/>
    <w:rsid w:val="00D87539"/>
    <w:rsid w:val="00D876BA"/>
    <w:rsid w:val="00D87F62"/>
    <w:rsid w:val="00D900F2"/>
    <w:rsid w:val="00D901A0"/>
    <w:rsid w:val="00D9025E"/>
    <w:rsid w:val="00D9034E"/>
    <w:rsid w:val="00D9038B"/>
    <w:rsid w:val="00D903D0"/>
    <w:rsid w:val="00D907EA"/>
    <w:rsid w:val="00D907FB"/>
    <w:rsid w:val="00D91245"/>
    <w:rsid w:val="00D912AB"/>
    <w:rsid w:val="00D917C7"/>
    <w:rsid w:val="00D91923"/>
    <w:rsid w:val="00D91B67"/>
    <w:rsid w:val="00D91DE1"/>
    <w:rsid w:val="00D92431"/>
    <w:rsid w:val="00D92994"/>
    <w:rsid w:val="00D92D9D"/>
    <w:rsid w:val="00D92E10"/>
    <w:rsid w:val="00D92FBA"/>
    <w:rsid w:val="00D9304B"/>
    <w:rsid w:val="00D934B7"/>
    <w:rsid w:val="00D93753"/>
    <w:rsid w:val="00D9381B"/>
    <w:rsid w:val="00D938FA"/>
    <w:rsid w:val="00D93A1F"/>
    <w:rsid w:val="00D93D74"/>
    <w:rsid w:val="00D93E60"/>
    <w:rsid w:val="00D947BD"/>
    <w:rsid w:val="00D94EBD"/>
    <w:rsid w:val="00D95131"/>
    <w:rsid w:val="00D95443"/>
    <w:rsid w:val="00D958CB"/>
    <w:rsid w:val="00D95DB4"/>
    <w:rsid w:val="00D96187"/>
    <w:rsid w:val="00D9646C"/>
    <w:rsid w:val="00D9652D"/>
    <w:rsid w:val="00D96574"/>
    <w:rsid w:val="00D96886"/>
    <w:rsid w:val="00D96B96"/>
    <w:rsid w:val="00D96CFF"/>
    <w:rsid w:val="00D971A4"/>
    <w:rsid w:val="00D97234"/>
    <w:rsid w:val="00D97372"/>
    <w:rsid w:val="00D9769D"/>
    <w:rsid w:val="00D97C71"/>
    <w:rsid w:val="00D97CDC"/>
    <w:rsid w:val="00D97EE0"/>
    <w:rsid w:val="00D97F07"/>
    <w:rsid w:val="00DA055B"/>
    <w:rsid w:val="00DA09C6"/>
    <w:rsid w:val="00DA0A23"/>
    <w:rsid w:val="00DA0BD8"/>
    <w:rsid w:val="00DA0CD5"/>
    <w:rsid w:val="00DA0F91"/>
    <w:rsid w:val="00DA130F"/>
    <w:rsid w:val="00DA142A"/>
    <w:rsid w:val="00DA1E20"/>
    <w:rsid w:val="00DA2053"/>
    <w:rsid w:val="00DA217D"/>
    <w:rsid w:val="00DA229B"/>
    <w:rsid w:val="00DA2371"/>
    <w:rsid w:val="00DA2659"/>
    <w:rsid w:val="00DA2AD3"/>
    <w:rsid w:val="00DA2CF5"/>
    <w:rsid w:val="00DA2F8A"/>
    <w:rsid w:val="00DA2FFD"/>
    <w:rsid w:val="00DA3167"/>
    <w:rsid w:val="00DA3459"/>
    <w:rsid w:val="00DA3516"/>
    <w:rsid w:val="00DA4077"/>
    <w:rsid w:val="00DA41F7"/>
    <w:rsid w:val="00DA4499"/>
    <w:rsid w:val="00DA4DC3"/>
    <w:rsid w:val="00DA4F8C"/>
    <w:rsid w:val="00DA5117"/>
    <w:rsid w:val="00DA5227"/>
    <w:rsid w:val="00DA5592"/>
    <w:rsid w:val="00DA5E1B"/>
    <w:rsid w:val="00DA617D"/>
    <w:rsid w:val="00DA62CC"/>
    <w:rsid w:val="00DA65E7"/>
    <w:rsid w:val="00DA66D7"/>
    <w:rsid w:val="00DA6A09"/>
    <w:rsid w:val="00DA6A91"/>
    <w:rsid w:val="00DA6CFC"/>
    <w:rsid w:val="00DA6DF8"/>
    <w:rsid w:val="00DA6EAF"/>
    <w:rsid w:val="00DA7059"/>
    <w:rsid w:val="00DA73EB"/>
    <w:rsid w:val="00DA7668"/>
    <w:rsid w:val="00DA76D4"/>
    <w:rsid w:val="00DA77A5"/>
    <w:rsid w:val="00DB01E6"/>
    <w:rsid w:val="00DB0576"/>
    <w:rsid w:val="00DB0689"/>
    <w:rsid w:val="00DB08AC"/>
    <w:rsid w:val="00DB0C84"/>
    <w:rsid w:val="00DB0E36"/>
    <w:rsid w:val="00DB122E"/>
    <w:rsid w:val="00DB1721"/>
    <w:rsid w:val="00DB1887"/>
    <w:rsid w:val="00DB1D42"/>
    <w:rsid w:val="00DB1D7B"/>
    <w:rsid w:val="00DB1EB0"/>
    <w:rsid w:val="00DB1FAE"/>
    <w:rsid w:val="00DB20A2"/>
    <w:rsid w:val="00DB231F"/>
    <w:rsid w:val="00DB2418"/>
    <w:rsid w:val="00DB2723"/>
    <w:rsid w:val="00DB2EF6"/>
    <w:rsid w:val="00DB3268"/>
    <w:rsid w:val="00DB3AC9"/>
    <w:rsid w:val="00DB3C07"/>
    <w:rsid w:val="00DB3DBF"/>
    <w:rsid w:val="00DB3FB7"/>
    <w:rsid w:val="00DB4569"/>
    <w:rsid w:val="00DB484F"/>
    <w:rsid w:val="00DB4C9B"/>
    <w:rsid w:val="00DB4EFA"/>
    <w:rsid w:val="00DB4F11"/>
    <w:rsid w:val="00DB5126"/>
    <w:rsid w:val="00DB53EC"/>
    <w:rsid w:val="00DB56EB"/>
    <w:rsid w:val="00DB6F7B"/>
    <w:rsid w:val="00DB7281"/>
    <w:rsid w:val="00DB7BD9"/>
    <w:rsid w:val="00DC0422"/>
    <w:rsid w:val="00DC04F6"/>
    <w:rsid w:val="00DC0690"/>
    <w:rsid w:val="00DC0BBD"/>
    <w:rsid w:val="00DC12C5"/>
    <w:rsid w:val="00DC1338"/>
    <w:rsid w:val="00DC1A6E"/>
    <w:rsid w:val="00DC1D65"/>
    <w:rsid w:val="00DC1E08"/>
    <w:rsid w:val="00DC2333"/>
    <w:rsid w:val="00DC2F79"/>
    <w:rsid w:val="00DC3032"/>
    <w:rsid w:val="00DC3073"/>
    <w:rsid w:val="00DC382A"/>
    <w:rsid w:val="00DC3AAB"/>
    <w:rsid w:val="00DC3C57"/>
    <w:rsid w:val="00DC3D7B"/>
    <w:rsid w:val="00DC4645"/>
    <w:rsid w:val="00DC4CA3"/>
    <w:rsid w:val="00DC5448"/>
    <w:rsid w:val="00DC544A"/>
    <w:rsid w:val="00DC5501"/>
    <w:rsid w:val="00DC5743"/>
    <w:rsid w:val="00DC5DE4"/>
    <w:rsid w:val="00DC5F0F"/>
    <w:rsid w:val="00DC5F7F"/>
    <w:rsid w:val="00DC6024"/>
    <w:rsid w:val="00DC6929"/>
    <w:rsid w:val="00DC6E74"/>
    <w:rsid w:val="00DC7154"/>
    <w:rsid w:val="00DC7170"/>
    <w:rsid w:val="00DC7673"/>
    <w:rsid w:val="00DC769C"/>
    <w:rsid w:val="00DC787A"/>
    <w:rsid w:val="00DC7CDE"/>
    <w:rsid w:val="00DC7E8A"/>
    <w:rsid w:val="00DC7F0C"/>
    <w:rsid w:val="00DD018A"/>
    <w:rsid w:val="00DD0296"/>
    <w:rsid w:val="00DD0926"/>
    <w:rsid w:val="00DD0983"/>
    <w:rsid w:val="00DD0A06"/>
    <w:rsid w:val="00DD0BD6"/>
    <w:rsid w:val="00DD0E81"/>
    <w:rsid w:val="00DD0F78"/>
    <w:rsid w:val="00DD12B9"/>
    <w:rsid w:val="00DD163A"/>
    <w:rsid w:val="00DD179D"/>
    <w:rsid w:val="00DD1967"/>
    <w:rsid w:val="00DD1CEE"/>
    <w:rsid w:val="00DD237D"/>
    <w:rsid w:val="00DD23DA"/>
    <w:rsid w:val="00DD273C"/>
    <w:rsid w:val="00DD2D6E"/>
    <w:rsid w:val="00DD2FEA"/>
    <w:rsid w:val="00DD3666"/>
    <w:rsid w:val="00DD3BC6"/>
    <w:rsid w:val="00DD3F0E"/>
    <w:rsid w:val="00DD3F28"/>
    <w:rsid w:val="00DD4446"/>
    <w:rsid w:val="00DD4537"/>
    <w:rsid w:val="00DD4880"/>
    <w:rsid w:val="00DD4991"/>
    <w:rsid w:val="00DD4E15"/>
    <w:rsid w:val="00DD52AC"/>
    <w:rsid w:val="00DD570A"/>
    <w:rsid w:val="00DD57E9"/>
    <w:rsid w:val="00DD5AD2"/>
    <w:rsid w:val="00DD651E"/>
    <w:rsid w:val="00DD6536"/>
    <w:rsid w:val="00DD6591"/>
    <w:rsid w:val="00DD6936"/>
    <w:rsid w:val="00DD6B7D"/>
    <w:rsid w:val="00DD6BD7"/>
    <w:rsid w:val="00DD70E2"/>
    <w:rsid w:val="00DD739D"/>
    <w:rsid w:val="00DD76EC"/>
    <w:rsid w:val="00DD7B34"/>
    <w:rsid w:val="00DD7C1E"/>
    <w:rsid w:val="00DD7ED1"/>
    <w:rsid w:val="00DE040D"/>
    <w:rsid w:val="00DE06FB"/>
    <w:rsid w:val="00DE078E"/>
    <w:rsid w:val="00DE0D5F"/>
    <w:rsid w:val="00DE0FC4"/>
    <w:rsid w:val="00DE1DB7"/>
    <w:rsid w:val="00DE20E6"/>
    <w:rsid w:val="00DE2225"/>
    <w:rsid w:val="00DE22E3"/>
    <w:rsid w:val="00DE2304"/>
    <w:rsid w:val="00DE237E"/>
    <w:rsid w:val="00DE255D"/>
    <w:rsid w:val="00DE3059"/>
    <w:rsid w:val="00DE3138"/>
    <w:rsid w:val="00DE3294"/>
    <w:rsid w:val="00DE32A5"/>
    <w:rsid w:val="00DE32EF"/>
    <w:rsid w:val="00DE3691"/>
    <w:rsid w:val="00DE37F8"/>
    <w:rsid w:val="00DE3803"/>
    <w:rsid w:val="00DE4273"/>
    <w:rsid w:val="00DE4740"/>
    <w:rsid w:val="00DE48A5"/>
    <w:rsid w:val="00DE4F26"/>
    <w:rsid w:val="00DE4FCB"/>
    <w:rsid w:val="00DE5093"/>
    <w:rsid w:val="00DE5D07"/>
    <w:rsid w:val="00DE629C"/>
    <w:rsid w:val="00DE652A"/>
    <w:rsid w:val="00DE654D"/>
    <w:rsid w:val="00DE6820"/>
    <w:rsid w:val="00DE686A"/>
    <w:rsid w:val="00DE695E"/>
    <w:rsid w:val="00DE7139"/>
    <w:rsid w:val="00DE72A7"/>
    <w:rsid w:val="00DE7724"/>
    <w:rsid w:val="00DE7756"/>
    <w:rsid w:val="00DE7832"/>
    <w:rsid w:val="00DF0013"/>
    <w:rsid w:val="00DF041C"/>
    <w:rsid w:val="00DF0456"/>
    <w:rsid w:val="00DF0564"/>
    <w:rsid w:val="00DF0872"/>
    <w:rsid w:val="00DF0AA4"/>
    <w:rsid w:val="00DF0C5B"/>
    <w:rsid w:val="00DF0D39"/>
    <w:rsid w:val="00DF0D63"/>
    <w:rsid w:val="00DF0D92"/>
    <w:rsid w:val="00DF0DDA"/>
    <w:rsid w:val="00DF0EFD"/>
    <w:rsid w:val="00DF123F"/>
    <w:rsid w:val="00DF1497"/>
    <w:rsid w:val="00DF1622"/>
    <w:rsid w:val="00DF18FC"/>
    <w:rsid w:val="00DF1A06"/>
    <w:rsid w:val="00DF1F66"/>
    <w:rsid w:val="00DF251B"/>
    <w:rsid w:val="00DF25D7"/>
    <w:rsid w:val="00DF29B6"/>
    <w:rsid w:val="00DF2B33"/>
    <w:rsid w:val="00DF2B36"/>
    <w:rsid w:val="00DF2E32"/>
    <w:rsid w:val="00DF2E51"/>
    <w:rsid w:val="00DF32D0"/>
    <w:rsid w:val="00DF335E"/>
    <w:rsid w:val="00DF3493"/>
    <w:rsid w:val="00DF3635"/>
    <w:rsid w:val="00DF3C3E"/>
    <w:rsid w:val="00DF40CE"/>
    <w:rsid w:val="00DF43D7"/>
    <w:rsid w:val="00DF4865"/>
    <w:rsid w:val="00DF4DF3"/>
    <w:rsid w:val="00DF4E4F"/>
    <w:rsid w:val="00DF5833"/>
    <w:rsid w:val="00DF5B10"/>
    <w:rsid w:val="00DF5D2B"/>
    <w:rsid w:val="00DF620A"/>
    <w:rsid w:val="00DF6263"/>
    <w:rsid w:val="00DF6341"/>
    <w:rsid w:val="00DF6641"/>
    <w:rsid w:val="00DF6772"/>
    <w:rsid w:val="00DF6D55"/>
    <w:rsid w:val="00DF6EB9"/>
    <w:rsid w:val="00DF6EBE"/>
    <w:rsid w:val="00DF6F11"/>
    <w:rsid w:val="00DF6F3F"/>
    <w:rsid w:val="00DF6F53"/>
    <w:rsid w:val="00DF7194"/>
    <w:rsid w:val="00DF7252"/>
    <w:rsid w:val="00DF7621"/>
    <w:rsid w:val="00DF77B1"/>
    <w:rsid w:val="00E00594"/>
    <w:rsid w:val="00E00A8B"/>
    <w:rsid w:val="00E00B3E"/>
    <w:rsid w:val="00E00E8E"/>
    <w:rsid w:val="00E01040"/>
    <w:rsid w:val="00E01CA1"/>
    <w:rsid w:val="00E020EA"/>
    <w:rsid w:val="00E02244"/>
    <w:rsid w:val="00E0231C"/>
    <w:rsid w:val="00E02733"/>
    <w:rsid w:val="00E02857"/>
    <w:rsid w:val="00E02986"/>
    <w:rsid w:val="00E02D0B"/>
    <w:rsid w:val="00E02D33"/>
    <w:rsid w:val="00E02F55"/>
    <w:rsid w:val="00E03236"/>
    <w:rsid w:val="00E03257"/>
    <w:rsid w:val="00E03458"/>
    <w:rsid w:val="00E03512"/>
    <w:rsid w:val="00E03573"/>
    <w:rsid w:val="00E03F78"/>
    <w:rsid w:val="00E03FA4"/>
    <w:rsid w:val="00E04432"/>
    <w:rsid w:val="00E046E7"/>
    <w:rsid w:val="00E04D4E"/>
    <w:rsid w:val="00E04EBD"/>
    <w:rsid w:val="00E052A5"/>
    <w:rsid w:val="00E05458"/>
    <w:rsid w:val="00E05630"/>
    <w:rsid w:val="00E0578D"/>
    <w:rsid w:val="00E059A5"/>
    <w:rsid w:val="00E05BC8"/>
    <w:rsid w:val="00E0637E"/>
    <w:rsid w:val="00E06398"/>
    <w:rsid w:val="00E06466"/>
    <w:rsid w:val="00E067F2"/>
    <w:rsid w:val="00E06AF4"/>
    <w:rsid w:val="00E06DBB"/>
    <w:rsid w:val="00E075C0"/>
    <w:rsid w:val="00E10149"/>
    <w:rsid w:val="00E104D2"/>
    <w:rsid w:val="00E10696"/>
    <w:rsid w:val="00E108B5"/>
    <w:rsid w:val="00E10F4D"/>
    <w:rsid w:val="00E11075"/>
    <w:rsid w:val="00E11257"/>
    <w:rsid w:val="00E11340"/>
    <w:rsid w:val="00E122A1"/>
    <w:rsid w:val="00E12B49"/>
    <w:rsid w:val="00E12C48"/>
    <w:rsid w:val="00E12EEF"/>
    <w:rsid w:val="00E13F4B"/>
    <w:rsid w:val="00E1424F"/>
    <w:rsid w:val="00E150D8"/>
    <w:rsid w:val="00E15A49"/>
    <w:rsid w:val="00E16356"/>
    <w:rsid w:val="00E16372"/>
    <w:rsid w:val="00E16AD8"/>
    <w:rsid w:val="00E16B6B"/>
    <w:rsid w:val="00E175E3"/>
    <w:rsid w:val="00E17810"/>
    <w:rsid w:val="00E17FFA"/>
    <w:rsid w:val="00E20397"/>
    <w:rsid w:val="00E20E4D"/>
    <w:rsid w:val="00E20ED6"/>
    <w:rsid w:val="00E20EE3"/>
    <w:rsid w:val="00E21358"/>
    <w:rsid w:val="00E2152A"/>
    <w:rsid w:val="00E2249B"/>
    <w:rsid w:val="00E22883"/>
    <w:rsid w:val="00E22A02"/>
    <w:rsid w:val="00E22A0D"/>
    <w:rsid w:val="00E22A46"/>
    <w:rsid w:val="00E230F1"/>
    <w:rsid w:val="00E233EF"/>
    <w:rsid w:val="00E23BD0"/>
    <w:rsid w:val="00E23E15"/>
    <w:rsid w:val="00E244CB"/>
    <w:rsid w:val="00E244F6"/>
    <w:rsid w:val="00E25110"/>
    <w:rsid w:val="00E25575"/>
    <w:rsid w:val="00E2572C"/>
    <w:rsid w:val="00E258DB"/>
    <w:rsid w:val="00E259E8"/>
    <w:rsid w:val="00E25A58"/>
    <w:rsid w:val="00E25CFE"/>
    <w:rsid w:val="00E25F15"/>
    <w:rsid w:val="00E261E4"/>
    <w:rsid w:val="00E26301"/>
    <w:rsid w:val="00E2635B"/>
    <w:rsid w:val="00E26416"/>
    <w:rsid w:val="00E26AB5"/>
    <w:rsid w:val="00E26D73"/>
    <w:rsid w:val="00E26DFE"/>
    <w:rsid w:val="00E26E7B"/>
    <w:rsid w:val="00E26F06"/>
    <w:rsid w:val="00E26FAC"/>
    <w:rsid w:val="00E2771E"/>
    <w:rsid w:val="00E27C5F"/>
    <w:rsid w:val="00E30096"/>
    <w:rsid w:val="00E302B8"/>
    <w:rsid w:val="00E3047E"/>
    <w:rsid w:val="00E30DDA"/>
    <w:rsid w:val="00E311EF"/>
    <w:rsid w:val="00E31323"/>
    <w:rsid w:val="00E3160C"/>
    <w:rsid w:val="00E32180"/>
    <w:rsid w:val="00E321F6"/>
    <w:rsid w:val="00E32B6F"/>
    <w:rsid w:val="00E3383A"/>
    <w:rsid w:val="00E33B2F"/>
    <w:rsid w:val="00E33CDB"/>
    <w:rsid w:val="00E34402"/>
    <w:rsid w:val="00E34887"/>
    <w:rsid w:val="00E34948"/>
    <w:rsid w:val="00E34A44"/>
    <w:rsid w:val="00E34D08"/>
    <w:rsid w:val="00E34E5C"/>
    <w:rsid w:val="00E3504B"/>
    <w:rsid w:val="00E35087"/>
    <w:rsid w:val="00E35204"/>
    <w:rsid w:val="00E35921"/>
    <w:rsid w:val="00E359B7"/>
    <w:rsid w:val="00E35B50"/>
    <w:rsid w:val="00E35DF3"/>
    <w:rsid w:val="00E35F0E"/>
    <w:rsid w:val="00E3693D"/>
    <w:rsid w:val="00E36A33"/>
    <w:rsid w:val="00E36CE9"/>
    <w:rsid w:val="00E37323"/>
    <w:rsid w:val="00E37569"/>
    <w:rsid w:val="00E37E5A"/>
    <w:rsid w:val="00E401B2"/>
    <w:rsid w:val="00E40342"/>
    <w:rsid w:val="00E4074E"/>
    <w:rsid w:val="00E40988"/>
    <w:rsid w:val="00E40B9F"/>
    <w:rsid w:val="00E410FC"/>
    <w:rsid w:val="00E4155F"/>
    <w:rsid w:val="00E41A2A"/>
    <w:rsid w:val="00E41E30"/>
    <w:rsid w:val="00E41F1D"/>
    <w:rsid w:val="00E42164"/>
    <w:rsid w:val="00E42367"/>
    <w:rsid w:val="00E425EF"/>
    <w:rsid w:val="00E42C98"/>
    <w:rsid w:val="00E42F73"/>
    <w:rsid w:val="00E4332F"/>
    <w:rsid w:val="00E43A73"/>
    <w:rsid w:val="00E43D41"/>
    <w:rsid w:val="00E43D70"/>
    <w:rsid w:val="00E43E2D"/>
    <w:rsid w:val="00E44030"/>
    <w:rsid w:val="00E446F0"/>
    <w:rsid w:val="00E44CA4"/>
    <w:rsid w:val="00E452F5"/>
    <w:rsid w:val="00E45416"/>
    <w:rsid w:val="00E45A2A"/>
    <w:rsid w:val="00E45DBD"/>
    <w:rsid w:val="00E45ECC"/>
    <w:rsid w:val="00E45F2B"/>
    <w:rsid w:val="00E46354"/>
    <w:rsid w:val="00E466F3"/>
    <w:rsid w:val="00E4690D"/>
    <w:rsid w:val="00E469C7"/>
    <w:rsid w:val="00E46DA0"/>
    <w:rsid w:val="00E46E67"/>
    <w:rsid w:val="00E47011"/>
    <w:rsid w:val="00E47101"/>
    <w:rsid w:val="00E47AD7"/>
    <w:rsid w:val="00E47B2C"/>
    <w:rsid w:val="00E500C6"/>
    <w:rsid w:val="00E500F2"/>
    <w:rsid w:val="00E50EE2"/>
    <w:rsid w:val="00E512B7"/>
    <w:rsid w:val="00E51560"/>
    <w:rsid w:val="00E51821"/>
    <w:rsid w:val="00E5192F"/>
    <w:rsid w:val="00E51B3D"/>
    <w:rsid w:val="00E52043"/>
    <w:rsid w:val="00E522D9"/>
    <w:rsid w:val="00E52C85"/>
    <w:rsid w:val="00E52FB1"/>
    <w:rsid w:val="00E53339"/>
    <w:rsid w:val="00E53479"/>
    <w:rsid w:val="00E53B2A"/>
    <w:rsid w:val="00E53FC8"/>
    <w:rsid w:val="00E542A3"/>
    <w:rsid w:val="00E54347"/>
    <w:rsid w:val="00E5475E"/>
    <w:rsid w:val="00E550AB"/>
    <w:rsid w:val="00E552E4"/>
    <w:rsid w:val="00E55424"/>
    <w:rsid w:val="00E557A5"/>
    <w:rsid w:val="00E55915"/>
    <w:rsid w:val="00E55BB5"/>
    <w:rsid w:val="00E55DD3"/>
    <w:rsid w:val="00E56CFA"/>
    <w:rsid w:val="00E56ED9"/>
    <w:rsid w:val="00E56EF9"/>
    <w:rsid w:val="00E5746C"/>
    <w:rsid w:val="00E57AFF"/>
    <w:rsid w:val="00E57CE9"/>
    <w:rsid w:val="00E57FA5"/>
    <w:rsid w:val="00E60D5F"/>
    <w:rsid w:val="00E60E72"/>
    <w:rsid w:val="00E60F0D"/>
    <w:rsid w:val="00E610C8"/>
    <w:rsid w:val="00E611DF"/>
    <w:rsid w:val="00E616B4"/>
    <w:rsid w:val="00E61B27"/>
    <w:rsid w:val="00E61F6E"/>
    <w:rsid w:val="00E622D9"/>
    <w:rsid w:val="00E6249C"/>
    <w:rsid w:val="00E625D9"/>
    <w:rsid w:val="00E62625"/>
    <w:rsid w:val="00E62A3D"/>
    <w:rsid w:val="00E62B67"/>
    <w:rsid w:val="00E62EC0"/>
    <w:rsid w:val="00E63553"/>
    <w:rsid w:val="00E6367A"/>
    <w:rsid w:val="00E63836"/>
    <w:rsid w:val="00E63DD7"/>
    <w:rsid w:val="00E63F7C"/>
    <w:rsid w:val="00E6429B"/>
    <w:rsid w:val="00E64343"/>
    <w:rsid w:val="00E64425"/>
    <w:rsid w:val="00E647DD"/>
    <w:rsid w:val="00E6484B"/>
    <w:rsid w:val="00E64BC7"/>
    <w:rsid w:val="00E64C86"/>
    <w:rsid w:val="00E64D0B"/>
    <w:rsid w:val="00E64E7A"/>
    <w:rsid w:val="00E64F46"/>
    <w:rsid w:val="00E652BA"/>
    <w:rsid w:val="00E654A9"/>
    <w:rsid w:val="00E6584F"/>
    <w:rsid w:val="00E65E79"/>
    <w:rsid w:val="00E661E9"/>
    <w:rsid w:val="00E6642C"/>
    <w:rsid w:val="00E66434"/>
    <w:rsid w:val="00E66510"/>
    <w:rsid w:val="00E66528"/>
    <w:rsid w:val="00E66BA2"/>
    <w:rsid w:val="00E66CDD"/>
    <w:rsid w:val="00E66E09"/>
    <w:rsid w:val="00E672CD"/>
    <w:rsid w:val="00E67416"/>
    <w:rsid w:val="00E674C2"/>
    <w:rsid w:val="00E67687"/>
    <w:rsid w:val="00E67DD5"/>
    <w:rsid w:val="00E70747"/>
    <w:rsid w:val="00E70969"/>
    <w:rsid w:val="00E70D21"/>
    <w:rsid w:val="00E70DF7"/>
    <w:rsid w:val="00E7117F"/>
    <w:rsid w:val="00E713FC"/>
    <w:rsid w:val="00E71491"/>
    <w:rsid w:val="00E718B6"/>
    <w:rsid w:val="00E71BFA"/>
    <w:rsid w:val="00E721C7"/>
    <w:rsid w:val="00E721F2"/>
    <w:rsid w:val="00E723BA"/>
    <w:rsid w:val="00E725CA"/>
    <w:rsid w:val="00E72968"/>
    <w:rsid w:val="00E72C4F"/>
    <w:rsid w:val="00E72EB4"/>
    <w:rsid w:val="00E730D2"/>
    <w:rsid w:val="00E73581"/>
    <w:rsid w:val="00E73C7F"/>
    <w:rsid w:val="00E742CC"/>
    <w:rsid w:val="00E7469B"/>
    <w:rsid w:val="00E74B69"/>
    <w:rsid w:val="00E74E72"/>
    <w:rsid w:val="00E7517C"/>
    <w:rsid w:val="00E75196"/>
    <w:rsid w:val="00E75515"/>
    <w:rsid w:val="00E755C4"/>
    <w:rsid w:val="00E75C17"/>
    <w:rsid w:val="00E76647"/>
    <w:rsid w:val="00E76810"/>
    <w:rsid w:val="00E778C1"/>
    <w:rsid w:val="00E778C6"/>
    <w:rsid w:val="00E77987"/>
    <w:rsid w:val="00E8006A"/>
    <w:rsid w:val="00E80309"/>
    <w:rsid w:val="00E806C6"/>
    <w:rsid w:val="00E809C3"/>
    <w:rsid w:val="00E81169"/>
    <w:rsid w:val="00E814E1"/>
    <w:rsid w:val="00E81B16"/>
    <w:rsid w:val="00E81DBB"/>
    <w:rsid w:val="00E81EE2"/>
    <w:rsid w:val="00E82339"/>
    <w:rsid w:val="00E82AF4"/>
    <w:rsid w:val="00E830D1"/>
    <w:rsid w:val="00E83284"/>
    <w:rsid w:val="00E833F7"/>
    <w:rsid w:val="00E8365C"/>
    <w:rsid w:val="00E8385B"/>
    <w:rsid w:val="00E83BDF"/>
    <w:rsid w:val="00E83F2A"/>
    <w:rsid w:val="00E840EA"/>
    <w:rsid w:val="00E84754"/>
    <w:rsid w:val="00E847DB"/>
    <w:rsid w:val="00E8499E"/>
    <w:rsid w:val="00E84F70"/>
    <w:rsid w:val="00E85027"/>
    <w:rsid w:val="00E852E7"/>
    <w:rsid w:val="00E85D8E"/>
    <w:rsid w:val="00E85E30"/>
    <w:rsid w:val="00E85F6F"/>
    <w:rsid w:val="00E863C4"/>
    <w:rsid w:val="00E86902"/>
    <w:rsid w:val="00E8699D"/>
    <w:rsid w:val="00E86C14"/>
    <w:rsid w:val="00E86FCC"/>
    <w:rsid w:val="00E87284"/>
    <w:rsid w:val="00E87441"/>
    <w:rsid w:val="00E87A1D"/>
    <w:rsid w:val="00E87B89"/>
    <w:rsid w:val="00E87CDE"/>
    <w:rsid w:val="00E9014E"/>
    <w:rsid w:val="00E9094A"/>
    <w:rsid w:val="00E910DD"/>
    <w:rsid w:val="00E911E3"/>
    <w:rsid w:val="00E91C3C"/>
    <w:rsid w:val="00E91C4A"/>
    <w:rsid w:val="00E91D35"/>
    <w:rsid w:val="00E91E9C"/>
    <w:rsid w:val="00E921DB"/>
    <w:rsid w:val="00E926A5"/>
    <w:rsid w:val="00E930E7"/>
    <w:rsid w:val="00E93800"/>
    <w:rsid w:val="00E938CB"/>
    <w:rsid w:val="00E94243"/>
    <w:rsid w:val="00E943ED"/>
    <w:rsid w:val="00E9448D"/>
    <w:rsid w:val="00E94506"/>
    <w:rsid w:val="00E948F2"/>
    <w:rsid w:val="00E94BAC"/>
    <w:rsid w:val="00E94C82"/>
    <w:rsid w:val="00E94CAD"/>
    <w:rsid w:val="00E9593E"/>
    <w:rsid w:val="00E95AB6"/>
    <w:rsid w:val="00E95F6F"/>
    <w:rsid w:val="00E960E8"/>
    <w:rsid w:val="00E962CC"/>
    <w:rsid w:val="00E9682A"/>
    <w:rsid w:val="00E97CFF"/>
    <w:rsid w:val="00EA0F34"/>
    <w:rsid w:val="00EA1066"/>
    <w:rsid w:val="00EA1320"/>
    <w:rsid w:val="00EA13F5"/>
    <w:rsid w:val="00EA1578"/>
    <w:rsid w:val="00EA17C3"/>
    <w:rsid w:val="00EA1852"/>
    <w:rsid w:val="00EA1A5F"/>
    <w:rsid w:val="00EA1DE7"/>
    <w:rsid w:val="00EA25FE"/>
    <w:rsid w:val="00EA29C6"/>
    <w:rsid w:val="00EA2CAA"/>
    <w:rsid w:val="00EA36E4"/>
    <w:rsid w:val="00EA3864"/>
    <w:rsid w:val="00EA3AB6"/>
    <w:rsid w:val="00EA3C28"/>
    <w:rsid w:val="00EA3DEA"/>
    <w:rsid w:val="00EA3FD5"/>
    <w:rsid w:val="00EA4269"/>
    <w:rsid w:val="00EA443B"/>
    <w:rsid w:val="00EA48C2"/>
    <w:rsid w:val="00EA4BCD"/>
    <w:rsid w:val="00EA531D"/>
    <w:rsid w:val="00EA5592"/>
    <w:rsid w:val="00EA55E8"/>
    <w:rsid w:val="00EA56FE"/>
    <w:rsid w:val="00EA595D"/>
    <w:rsid w:val="00EA596B"/>
    <w:rsid w:val="00EA5B56"/>
    <w:rsid w:val="00EA5CE9"/>
    <w:rsid w:val="00EA64EF"/>
    <w:rsid w:val="00EA680A"/>
    <w:rsid w:val="00EA7363"/>
    <w:rsid w:val="00EA7410"/>
    <w:rsid w:val="00EA7B25"/>
    <w:rsid w:val="00EA7B8B"/>
    <w:rsid w:val="00EA7C26"/>
    <w:rsid w:val="00EA7F1C"/>
    <w:rsid w:val="00EB04F4"/>
    <w:rsid w:val="00EB063A"/>
    <w:rsid w:val="00EB0A0A"/>
    <w:rsid w:val="00EB0A4F"/>
    <w:rsid w:val="00EB0CA3"/>
    <w:rsid w:val="00EB0E4D"/>
    <w:rsid w:val="00EB106B"/>
    <w:rsid w:val="00EB1443"/>
    <w:rsid w:val="00EB15B6"/>
    <w:rsid w:val="00EB1A3A"/>
    <w:rsid w:val="00EB1DC0"/>
    <w:rsid w:val="00EB202C"/>
    <w:rsid w:val="00EB2136"/>
    <w:rsid w:val="00EB2325"/>
    <w:rsid w:val="00EB24F2"/>
    <w:rsid w:val="00EB2C19"/>
    <w:rsid w:val="00EB2EFC"/>
    <w:rsid w:val="00EB31EA"/>
    <w:rsid w:val="00EB32B5"/>
    <w:rsid w:val="00EB3D06"/>
    <w:rsid w:val="00EB3F87"/>
    <w:rsid w:val="00EB4258"/>
    <w:rsid w:val="00EB46F1"/>
    <w:rsid w:val="00EB4916"/>
    <w:rsid w:val="00EB493B"/>
    <w:rsid w:val="00EB4EB1"/>
    <w:rsid w:val="00EB5642"/>
    <w:rsid w:val="00EB594A"/>
    <w:rsid w:val="00EB6B52"/>
    <w:rsid w:val="00EB6F89"/>
    <w:rsid w:val="00EB7039"/>
    <w:rsid w:val="00EB74BA"/>
    <w:rsid w:val="00EB7770"/>
    <w:rsid w:val="00EB7A5E"/>
    <w:rsid w:val="00EB7AA8"/>
    <w:rsid w:val="00EB7AB3"/>
    <w:rsid w:val="00EC00C9"/>
    <w:rsid w:val="00EC037C"/>
    <w:rsid w:val="00EC0995"/>
    <w:rsid w:val="00EC0DD9"/>
    <w:rsid w:val="00EC14F7"/>
    <w:rsid w:val="00EC1990"/>
    <w:rsid w:val="00EC1DB9"/>
    <w:rsid w:val="00EC1F0E"/>
    <w:rsid w:val="00EC2125"/>
    <w:rsid w:val="00EC241D"/>
    <w:rsid w:val="00EC2649"/>
    <w:rsid w:val="00EC2FC9"/>
    <w:rsid w:val="00EC31ED"/>
    <w:rsid w:val="00EC320A"/>
    <w:rsid w:val="00EC35D8"/>
    <w:rsid w:val="00EC3E50"/>
    <w:rsid w:val="00EC46A8"/>
    <w:rsid w:val="00EC4A44"/>
    <w:rsid w:val="00EC4A6F"/>
    <w:rsid w:val="00EC51EF"/>
    <w:rsid w:val="00EC53FF"/>
    <w:rsid w:val="00EC5836"/>
    <w:rsid w:val="00EC61D0"/>
    <w:rsid w:val="00EC688C"/>
    <w:rsid w:val="00EC694B"/>
    <w:rsid w:val="00EC6D2C"/>
    <w:rsid w:val="00EC6F3A"/>
    <w:rsid w:val="00EC72B6"/>
    <w:rsid w:val="00EC7586"/>
    <w:rsid w:val="00EC7951"/>
    <w:rsid w:val="00EC7DCA"/>
    <w:rsid w:val="00ED0CBB"/>
    <w:rsid w:val="00ED0F53"/>
    <w:rsid w:val="00ED103B"/>
    <w:rsid w:val="00ED117C"/>
    <w:rsid w:val="00ED12E3"/>
    <w:rsid w:val="00ED13FB"/>
    <w:rsid w:val="00ED1792"/>
    <w:rsid w:val="00ED184B"/>
    <w:rsid w:val="00ED1BAC"/>
    <w:rsid w:val="00ED2277"/>
    <w:rsid w:val="00ED24BF"/>
    <w:rsid w:val="00ED2747"/>
    <w:rsid w:val="00ED27A6"/>
    <w:rsid w:val="00ED27D1"/>
    <w:rsid w:val="00ED29A2"/>
    <w:rsid w:val="00ED2F35"/>
    <w:rsid w:val="00ED36E8"/>
    <w:rsid w:val="00ED3B9A"/>
    <w:rsid w:val="00ED3BD7"/>
    <w:rsid w:val="00ED3CA2"/>
    <w:rsid w:val="00ED4294"/>
    <w:rsid w:val="00ED4433"/>
    <w:rsid w:val="00ED4575"/>
    <w:rsid w:val="00ED46F3"/>
    <w:rsid w:val="00ED48B4"/>
    <w:rsid w:val="00ED48CD"/>
    <w:rsid w:val="00ED4A0F"/>
    <w:rsid w:val="00ED4B04"/>
    <w:rsid w:val="00ED4F7B"/>
    <w:rsid w:val="00ED51A6"/>
    <w:rsid w:val="00ED51D2"/>
    <w:rsid w:val="00ED5545"/>
    <w:rsid w:val="00ED57EA"/>
    <w:rsid w:val="00ED5BD4"/>
    <w:rsid w:val="00ED5BD5"/>
    <w:rsid w:val="00ED5F54"/>
    <w:rsid w:val="00ED611D"/>
    <w:rsid w:val="00ED6204"/>
    <w:rsid w:val="00ED62E3"/>
    <w:rsid w:val="00ED6336"/>
    <w:rsid w:val="00ED652C"/>
    <w:rsid w:val="00ED6EE1"/>
    <w:rsid w:val="00ED7091"/>
    <w:rsid w:val="00ED739F"/>
    <w:rsid w:val="00ED7445"/>
    <w:rsid w:val="00ED75D2"/>
    <w:rsid w:val="00ED76B2"/>
    <w:rsid w:val="00ED7AE5"/>
    <w:rsid w:val="00EE035A"/>
    <w:rsid w:val="00EE053E"/>
    <w:rsid w:val="00EE07D3"/>
    <w:rsid w:val="00EE0811"/>
    <w:rsid w:val="00EE0C56"/>
    <w:rsid w:val="00EE1996"/>
    <w:rsid w:val="00EE1C01"/>
    <w:rsid w:val="00EE1D06"/>
    <w:rsid w:val="00EE1D66"/>
    <w:rsid w:val="00EE1D68"/>
    <w:rsid w:val="00EE2214"/>
    <w:rsid w:val="00EE22AF"/>
    <w:rsid w:val="00EE22D9"/>
    <w:rsid w:val="00EE26B5"/>
    <w:rsid w:val="00EE2CAA"/>
    <w:rsid w:val="00EE3216"/>
    <w:rsid w:val="00EE329A"/>
    <w:rsid w:val="00EE337C"/>
    <w:rsid w:val="00EE374D"/>
    <w:rsid w:val="00EE3F7C"/>
    <w:rsid w:val="00EE40EC"/>
    <w:rsid w:val="00EE4319"/>
    <w:rsid w:val="00EE47C9"/>
    <w:rsid w:val="00EE4CF6"/>
    <w:rsid w:val="00EE5456"/>
    <w:rsid w:val="00EE6DB5"/>
    <w:rsid w:val="00EE7434"/>
    <w:rsid w:val="00EE7A29"/>
    <w:rsid w:val="00EF0171"/>
    <w:rsid w:val="00EF0937"/>
    <w:rsid w:val="00EF15AE"/>
    <w:rsid w:val="00EF166D"/>
    <w:rsid w:val="00EF1B25"/>
    <w:rsid w:val="00EF1BF9"/>
    <w:rsid w:val="00EF1DA0"/>
    <w:rsid w:val="00EF1DAB"/>
    <w:rsid w:val="00EF1E01"/>
    <w:rsid w:val="00EF250D"/>
    <w:rsid w:val="00EF2813"/>
    <w:rsid w:val="00EF2DBB"/>
    <w:rsid w:val="00EF3017"/>
    <w:rsid w:val="00EF3171"/>
    <w:rsid w:val="00EF3831"/>
    <w:rsid w:val="00EF3B29"/>
    <w:rsid w:val="00EF3C96"/>
    <w:rsid w:val="00EF3D1B"/>
    <w:rsid w:val="00EF4747"/>
    <w:rsid w:val="00EF4B37"/>
    <w:rsid w:val="00EF4BF8"/>
    <w:rsid w:val="00EF4DBB"/>
    <w:rsid w:val="00EF4DC9"/>
    <w:rsid w:val="00EF4F1A"/>
    <w:rsid w:val="00EF5003"/>
    <w:rsid w:val="00EF51C4"/>
    <w:rsid w:val="00EF5835"/>
    <w:rsid w:val="00EF5DAC"/>
    <w:rsid w:val="00EF6685"/>
    <w:rsid w:val="00EF6DD4"/>
    <w:rsid w:val="00EF6DD8"/>
    <w:rsid w:val="00EF7949"/>
    <w:rsid w:val="00EF79A8"/>
    <w:rsid w:val="00EF7E4E"/>
    <w:rsid w:val="00F004DD"/>
    <w:rsid w:val="00F0094C"/>
    <w:rsid w:val="00F00DFC"/>
    <w:rsid w:val="00F018AE"/>
    <w:rsid w:val="00F019EA"/>
    <w:rsid w:val="00F02253"/>
    <w:rsid w:val="00F024E6"/>
    <w:rsid w:val="00F02665"/>
    <w:rsid w:val="00F02D23"/>
    <w:rsid w:val="00F03074"/>
    <w:rsid w:val="00F03134"/>
    <w:rsid w:val="00F03272"/>
    <w:rsid w:val="00F03287"/>
    <w:rsid w:val="00F032F6"/>
    <w:rsid w:val="00F03399"/>
    <w:rsid w:val="00F03AD9"/>
    <w:rsid w:val="00F03C2E"/>
    <w:rsid w:val="00F03CA5"/>
    <w:rsid w:val="00F03ECD"/>
    <w:rsid w:val="00F03F1A"/>
    <w:rsid w:val="00F040B7"/>
    <w:rsid w:val="00F0482B"/>
    <w:rsid w:val="00F04855"/>
    <w:rsid w:val="00F04A66"/>
    <w:rsid w:val="00F04B4B"/>
    <w:rsid w:val="00F04B99"/>
    <w:rsid w:val="00F0516C"/>
    <w:rsid w:val="00F05645"/>
    <w:rsid w:val="00F059B1"/>
    <w:rsid w:val="00F05EB8"/>
    <w:rsid w:val="00F067A2"/>
    <w:rsid w:val="00F06C30"/>
    <w:rsid w:val="00F06E1F"/>
    <w:rsid w:val="00F0722F"/>
    <w:rsid w:val="00F07645"/>
    <w:rsid w:val="00F07769"/>
    <w:rsid w:val="00F079C4"/>
    <w:rsid w:val="00F07B9E"/>
    <w:rsid w:val="00F07D78"/>
    <w:rsid w:val="00F07DFA"/>
    <w:rsid w:val="00F07ED9"/>
    <w:rsid w:val="00F10241"/>
    <w:rsid w:val="00F108AC"/>
    <w:rsid w:val="00F10B36"/>
    <w:rsid w:val="00F10ED0"/>
    <w:rsid w:val="00F1101D"/>
    <w:rsid w:val="00F1116F"/>
    <w:rsid w:val="00F116B7"/>
    <w:rsid w:val="00F1177E"/>
    <w:rsid w:val="00F117FE"/>
    <w:rsid w:val="00F118B6"/>
    <w:rsid w:val="00F122DE"/>
    <w:rsid w:val="00F1263A"/>
    <w:rsid w:val="00F12F29"/>
    <w:rsid w:val="00F13219"/>
    <w:rsid w:val="00F137CC"/>
    <w:rsid w:val="00F139C5"/>
    <w:rsid w:val="00F13B66"/>
    <w:rsid w:val="00F13C6C"/>
    <w:rsid w:val="00F13FE1"/>
    <w:rsid w:val="00F1415A"/>
    <w:rsid w:val="00F14A55"/>
    <w:rsid w:val="00F14DF0"/>
    <w:rsid w:val="00F1524E"/>
    <w:rsid w:val="00F1557E"/>
    <w:rsid w:val="00F155A5"/>
    <w:rsid w:val="00F155F7"/>
    <w:rsid w:val="00F15B77"/>
    <w:rsid w:val="00F16107"/>
    <w:rsid w:val="00F16148"/>
    <w:rsid w:val="00F164A6"/>
    <w:rsid w:val="00F165C1"/>
    <w:rsid w:val="00F16ADD"/>
    <w:rsid w:val="00F16E6B"/>
    <w:rsid w:val="00F17217"/>
    <w:rsid w:val="00F17464"/>
    <w:rsid w:val="00F177CE"/>
    <w:rsid w:val="00F17929"/>
    <w:rsid w:val="00F179D2"/>
    <w:rsid w:val="00F17D39"/>
    <w:rsid w:val="00F17D7E"/>
    <w:rsid w:val="00F201DB"/>
    <w:rsid w:val="00F2033D"/>
    <w:rsid w:val="00F20985"/>
    <w:rsid w:val="00F20CFC"/>
    <w:rsid w:val="00F21236"/>
    <w:rsid w:val="00F21248"/>
    <w:rsid w:val="00F21990"/>
    <w:rsid w:val="00F223D3"/>
    <w:rsid w:val="00F22495"/>
    <w:rsid w:val="00F224F5"/>
    <w:rsid w:val="00F22E68"/>
    <w:rsid w:val="00F22EEE"/>
    <w:rsid w:val="00F239DF"/>
    <w:rsid w:val="00F23B02"/>
    <w:rsid w:val="00F23E02"/>
    <w:rsid w:val="00F23F29"/>
    <w:rsid w:val="00F24025"/>
    <w:rsid w:val="00F2421A"/>
    <w:rsid w:val="00F24837"/>
    <w:rsid w:val="00F24BD1"/>
    <w:rsid w:val="00F24C06"/>
    <w:rsid w:val="00F24DA3"/>
    <w:rsid w:val="00F2575F"/>
    <w:rsid w:val="00F25A87"/>
    <w:rsid w:val="00F2605A"/>
    <w:rsid w:val="00F261EA"/>
    <w:rsid w:val="00F2639D"/>
    <w:rsid w:val="00F2652D"/>
    <w:rsid w:val="00F265BA"/>
    <w:rsid w:val="00F268E8"/>
    <w:rsid w:val="00F26A59"/>
    <w:rsid w:val="00F2730E"/>
    <w:rsid w:val="00F27565"/>
    <w:rsid w:val="00F2786B"/>
    <w:rsid w:val="00F27C40"/>
    <w:rsid w:val="00F27ECC"/>
    <w:rsid w:val="00F27F0D"/>
    <w:rsid w:val="00F30B44"/>
    <w:rsid w:val="00F30EF7"/>
    <w:rsid w:val="00F31065"/>
    <w:rsid w:val="00F310D4"/>
    <w:rsid w:val="00F31401"/>
    <w:rsid w:val="00F31599"/>
    <w:rsid w:val="00F3169D"/>
    <w:rsid w:val="00F31790"/>
    <w:rsid w:val="00F3197F"/>
    <w:rsid w:val="00F319AD"/>
    <w:rsid w:val="00F31B39"/>
    <w:rsid w:val="00F31BBD"/>
    <w:rsid w:val="00F31D5A"/>
    <w:rsid w:val="00F322A9"/>
    <w:rsid w:val="00F329D3"/>
    <w:rsid w:val="00F33975"/>
    <w:rsid w:val="00F33DE9"/>
    <w:rsid w:val="00F33E6B"/>
    <w:rsid w:val="00F340EE"/>
    <w:rsid w:val="00F342F8"/>
    <w:rsid w:val="00F34544"/>
    <w:rsid w:val="00F34810"/>
    <w:rsid w:val="00F34BB4"/>
    <w:rsid w:val="00F3507D"/>
    <w:rsid w:val="00F35760"/>
    <w:rsid w:val="00F35B64"/>
    <w:rsid w:val="00F35CC1"/>
    <w:rsid w:val="00F35E6D"/>
    <w:rsid w:val="00F3619A"/>
    <w:rsid w:val="00F362B6"/>
    <w:rsid w:val="00F36524"/>
    <w:rsid w:val="00F367E6"/>
    <w:rsid w:val="00F3688F"/>
    <w:rsid w:val="00F36AF1"/>
    <w:rsid w:val="00F373BA"/>
    <w:rsid w:val="00F373F2"/>
    <w:rsid w:val="00F376C1"/>
    <w:rsid w:val="00F378D3"/>
    <w:rsid w:val="00F37A02"/>
    <w:rsid w:val="00F37A39"/>
    <w:rsid w:val="00F37F12"/>
    <w:rsid w:val="00F4009B"/>
    <w:rsid w:val="00F40AAA"/>
    <w:rsid w:val="00F40BA7"/>
    <w:rsid w:val="00F40F9D"/>
    <w:rsid w:val="00F417E6"/>
    <w:rsid w:val="00F419CA"/>
    <w:rsid w:val="00F41ACD"/>
    <w:rsid w:val="00F42067"/>
    <w:rsid w:val="00F4231C"/>
    <w:rsid w:val="00F42412"/>
    <w:rsid w:val="00F42FFE"/>
    <w:rsid w:val="00F434E4"/>
    <w:rsid w:val="00F438E5"/>
    <w:rsid w:val="00F43D3B"/>
    <w:rsid w:val="00F440E4"/>
    <w:rsid w:val="00F4447A"/>
    <w:rsid w:val="00F4462B"/>
    <w:rsid w:val="00F446EA"/>
    <w:rsid w:val="00F4485B"/>
    <w:rsid w:val="00F44A0E"/>
    <w:rsid w:val="00F450B0"/>
    <w:rsid w:val="00F45146"/>
    <w:rsid w:val="00F4556A"/>
    <w:rsid w:val="00F4692B"/>
    <w:rsid w:val="00F469E3"/>
    <w:rsid w:val="00F46B15"/>
    <w:rsid w:val="00F46CB6"/>
    <w:rsid w:val="00F46E55"/>
    <w:rsid w:val="00F46F24"/>
    <w:rsid w:val="00F4756D"/>
    <w:rsid w:val="00F47DE8"/>
    <w:rsid w:val="00F5065C"/>
    <w:rsid w:val="00F50953"/>
    <w:rsid w:val="00F50A4F"/>
    <w:rsid w:val="00F50B2C"/>
    <w:rsid w:val="00F50CC9"/>
    <w:rsid w:val="00F51532"/>
    <w:rsid w:val="00F515A0"/>
    <w:rsid w:val="00F517EA"/>
    <w:rsid w:val="00F52061"/>
    <w:rsid w:val="00F52553"/>
    <w:rsid w:val="00F52993"/>
    <w:rsid w:val="00F52ADD"/>
    <w:rsid w:val="00F53083"/>
    <w:rsid w:val="00F5323F"/>
    <w:rsid w:val="00F53701"/>
    <w:rsid w:val="00F54222"/>
    <w:rsid w:val="00F542C1"/>
    <w:rsid w:val="00F54626"/>
    <w:rsid w:val="00F54ACD"/>
    <w:rsid w:val="00F550E3"/>
    <w:rsid w:val="00F55121"/>
    <w:rsid w:val="00F55197"/>
    <w:rsid w:val="00F55497"/>
    <w:rsid w:val="00F55877"/>
    <w:rsid w:val="00F559E9"/>
    <w:rsid w:val="00F55AC0"/>
    <w:rsid w:val="00F55BA3"/>
    <w:rsid w:val="00F55C98"/>
    <w:rsid w:val="00F55E73"/>
    <w:rsid w:val="00F55EDA"/>
    <w:rsid w:val="00F55FA0"/>
    <w:rsid w:val="00F562ED"/>
    <w:rsid w:val="00F56535"/>
    <w:rsid w:val="00F566C2"/>
    <w:rsid w:val="00F56707"/>
    <w:rsid w:val="00F567C3"/>
    <w:rsid w:val="00F56988"/>
    <w:rsid w:val="00F56C80"/>
    <w:rsid w:val="00F57AED"/>
    <w:rsid w:val="00F57BAA"/>
    <w:rsid w:val="00F57F5A"/>
    <w:rsid w:val="00F57FF0"/>
    <w:rsid w:val="00F60092"/>
    <w:rsid w:val="00F600AA"/>
    <w:rsid w:val="00F602EB"/>
    <w:rsid w:val="00F60911"/>
    <w:rsid w:val="00F60FDF"/>
    <w:rsid w:val="00F6105D"/>
    <w:rsid w:val="00F6111E"/>
    <w:rsid w:val="00F61C18"/>
    <w:rsid w:val="00F61DF0"/>
    <w:rsid w:val="00F624C9"/>
    <w:rsid w:val="00F62760"/>
    <w:rsid w:val="00F62CAB"/>
    <w:rsid w:val="00F62F0E"/>
    <w:rsid w:val="00F62F3F"/>
    <w:rsid w:val="00F631FA"/>
    <w:rsid w:val="00F63694"/>
    <w:rsid w:val="00F63E9D"/>
    <w:rsid w:val="00F64019"/>
    <w:rsid w:val="00F643E9"/>
    <w:rsid w:val="00F643F3"/>
    <w:rsid w:val="00F646DF"/>
    <w:rsid w:val="00F64E3E"/>
    <w:rsid w:val="00F6514A"/>
    <w:rsid w:val="00F65279"/>
    <w:rsid w:val="00F658BF"/>
    <w:rsid w:val="00F65F4B"/>
    <w:rsid w:val="00F668E2"/>
    <w:rsid w:val="00F66BF0"/>
    <w:rsid w:val="00F66FDC"/>
    <w:rsid w:val="00F6778A"/>
    <w:rsid w:val="00F67A69"/>
    <w:rsid w:val="00F67E15"/>
    <w:rsid w:val="00F67F77"/>
    <w:rsid w:val="00F70178"/>
    <w:rsid w:val="00F70377"/>
    <w:rsid w:val="00F70990"/>
    <w:rsid w:val="00F70BFF"/>
    <w:rsid w:val="00F70C9D"/>
    <w:rsid w:val="00F70CC4"/>
    <w:rsid w:val="00F71858"/>
    <w:rsid w:val="00F71901"/>
    <w:rsid w:val="00F71989"/>
    <w:rsid w:val="00F71FA1"/>
    <w:rsid w:val="00F71FCD"/>
    <w:rsid w:val="00F72016"/>
    <w:rsid w:val="00F726D4"/>
    <w:rsid w:val="00F72BDA"/>
    <w:rsid w:val="00F72E98"/>
    <w:rsid w:val="00F72ED7"/>
    <w:rsid w:val="00F73408"/>
    <w:rsid w:val="00F737CA"/>
    <w:rsid w:val="00F73E08"/>
    <w:rsid w:val="00F742CC"/>
    <w:rsid w:val="00F74BFF"/>
    <w:rsid w:val="00F74CD9"/>
    <w:rsid w:val="00F74F6D"/>
    <w:rsid w:val="00F751FC"/>
    <w:rsid w:val="00F7551D"/>
    <w:rsid w:val="00F755D5"/>
    <w:rsid w:val="00F7562C"/>
    <w:rsid w:val="00F760CA"/>
    <w:rsid w:val="00F76452"/>
    <w:rsid w:val="00F76D34"/>
    <w:rsid w:val="00F7702D"/>
    <w:rsid w:val="00F7768D"/>
    <w:rsid w:val="00F77904"/>
    <w:rsid w:val="00F77A5E"/>
    <w:rsid w:val="00F80141"/>
    <w:rsid w:val="00F80282"/>
    <w:rsid w:val="00F80507"/>
    <w:rsid w:val="00F80A7B"/>
    <w:rsid w:val="00F80DD2"/>
    <w:rsid w:val="00F80E5D"/>
    <w:rsid w:val="00F81330"/>
    <w:rsid w:val="00F81588"/>
    <w:rsid w:val="00F81D14"/>
    <w:rsid w:val="00F81E78"/>
    <w:rsid w:val="00F82594"/>
    <w:rsid w:val="00F825BA"/>
    <w:rsid w:val="00F82AB1"/>
    <w:rsid w:val="00F834B4"/>
    <w:rsid w:val="00F83916"/>
    <w:rsid w:val="00F84085"/>
    <w:rsid w:val="00F84101"/>
    <w:rsid w:val="00F8465A"/>
    <w:rsid w:val="00F848D8"/>
    <w:rsid w:val="00F84A64"/>
    <w:rsid w:val="00F84B60"/>
    <w:rsid w:val="00F851CE"/>
    <w:rsid w:val="00F853CA"/>
    <w:rsid w:val="00F853F8"/>
    <w:rsid w:val="00F85A16"/>
    <w:rsid w:val="00F861DF"/>
    <w:rsid w:val="00F867CD"/>
    <w:rsid w:val="00F86872"/>
    <w:rsid w:val="00F86C03"/>
    <w:rsid w:val="00F8707B"/>
    <w:rsid w:val="00F87368"/>
    <w:rsid w:val="00F873F4"/>
    <w:rsid w:val="00F8791B"/>
    <w:rsid w:val="00F87A1A"/>
    <w:rsid w:val="00F90553"/>
    <w:rsid w:val="00F90B79"/>
    <w:rsid w:val="00F9106D"/>
    <w:rsid w:val="00F91219"/>
    <w:rsid w:val="00F91F39"/>
    <w:rsid w:val="00F92444"/>
    <w:rsid w:val="00F9255E"/>
    <w:rsid w:val="00F9293D"/>
    <w:rsid w:val="00F92A87"/>
    <w:rsid w:val="00F92D9A"/>
    <w:rsid w:val="00F93064"/>
    <w:rsid w:val="00F93353"/>
    <w:rsid w:val="00F9393E"/>
    <w:rsid w:val="00F93C37"/>
    <w:rsid w:val="00F9401F"/>
    <w:rsid w:val="00F947FC"/>
    <w:rsid w:val="00F949BF"/>
    <w:rsid w:val="00F94CC5"/>
    <w:rsid w:val="00F95321"/>
    <w:rsid w:val="00F95541"/>
    <w:rsid w:val="00F959C7"/>
    <w:rsid w:val="00F95B03"/>
    <w:rsid w:val="00F95E61"/>
    <w:rsid w:val="00F963CA"/>
    <w:rsid w:val="00F96722"/>
    <w:rsid w:val="00F96FD0"/>
    <w:rsid w:val="00F9720F"/>
    <w:rsid w:val="00F9741A"/>
    <w:rsid w:val="00F977E2"/>
    <w:rsid w:val="00F9797F"/>
    <w:rsid w:val="00F97A78"/>
    <w:rsid w:val="00F97A8C"/>
    <w:rsid w:val="00F97C59"/>
    <w:rsid w:val="00F97D79"/>
    <w:rsid w:val="00F97E2D"/>
    <w:rsid w:val="00FA05B1"/>
    <w:rsid w:val="00FA07AB"/>
    <w:rsid w:val="00FA09CE"/>
    <w:rsid w:val="00FA0B20"/>
    <w:rsid w:val="00FA0B75"/>
    <w:rsid w:val="00FA129E"/>
    <w:rsid w:val="00FA1418"/>
    <w:rsid w:val="00FA24E7"/>
    <w:rsid w:val="00FA2531"/>
    <w:rsid w:val="00FA28E1"/>
    <w:rsid w:val="00FA2EBA"/>
    <w:rsid w:val="00FA32BB"/>
    <w:rsid w:val="00FA376E"/>
    <w:rsid w:val="00FA3A47"/>
    <w:rsid w:val="00FA3D28"/>
    <w:rsid w:val="00FA3EB3"/>
    <w:rsid w:val="00FA3F11"/>
    <w:rsid w:val="00FA42DA"/>
    <w:rsid w:val="00FA44F7"/>
    <w:rsid w:val="00FA45B0"/>
    <w:rsid w:val="00FA49B7"/>
    <w:rsid w:val="00FA4A09"/>
    <w:rsid w:val="00FA5EE6"/>
    <w:rsid w:val="00FA5FFD"/>
    <w:rsid w:val="00FA6015"/>
    <w:rsid w:val="00FA6338"/>
    <w:rsid w:val="00FA63AC"/>
    <w:rsid w:val="00FA6512"/>
    <w:rsid w:val="00FA652F"/>
    <w:rsid w:val="00FA65ED"/>
    <w:rsid w:val="00FA6DDC"/>
    <w:rsid w:val="00FA6ECA"/>
    <w:rsid w:val="00FA7743"/>
    <w:rsid w:val="00FA7956"/>
    <w:rsid w:val="00FA79CA"/>
    <w:rsid w:val="00FA7D39"/>
    <w:rsid w:val="00FB008F"/>
    <w:rsid w:val="00FB0635"/>
    <w:rsid w:val="00FB06EF"/>
    <w:rsid w:val="00FB07E3"/>
    <w:rsid w:val="00FB0824"/>
    <w:rsid w:val="00FB0AE2"/>
    <w:rsid w:val="00FB0DB5"/>
    <w:rsid w:val="00FB16E1"/>
    <w:rsid w:val="00FB18EA"/>
    <w:rsid w:val="00FB1C54"/>
    <w:rsid w:val="00FB1F10"/>
    <w:rsid w:val="00FB204B"/>
    <w:rsid w:val="00FB2198"/>
    <w:rsid w:val="00FB231F"/>
    <w:rsid w:val="00FB2480"/>
    <w:rsid w:val="00FB2497"/>
    <w:rsid w:val="00FB29F6"/>
    <w:rsid w:val="00FB2E7D"/>
    <w:rsid w:val="00FB2FCB"/>
    <w:rsid w:val="00FB3815"/>
    <w:rsid w:val="00FB3DDC"/>
    <w:rsid w:val="00FB3EE6"/>
    <w:rsid w:val="00FB40FF"/>
    <w:rsid w:val="00FB4C9C"/>
    <w:rsid w:val="00FB4EE6"/>
    <w:rsid w:val="00FB5085"/>
    <w:rsid w:val="00FB5490"/>
    <w:rsid w:val="00FB5735"/>
    <w:rsid w:val="00FB5865"/>
    <w:rsid w:val="00FB5BFC"/>
    <w:rsid w:val="00FB62AA"/>
    <w:rsid w:val="00FB6AFC"/>
    <w:rsid w:val="00FB7070"/>
    <w:rsid w:val="00FB7396"/>
    <w:rsid w:val="00FB73E6"/>
    <w:rsid w:val="00FB77FA"/>
    <w:rsid w:val="00FB7C55"/>
    <w:rsid w:val="00FB7CB5"/>
    <w:rsid w:val="00FC08D6"/>
    <w:rsid w:val="00FC0ABC"/>
    <w:rsid w:val="00FC103C"/>
    <w:rsid w:val="00FC1074"/>
    <w:rsid w:val="00FC1100"/>
    <w:rsid w:val="00FC15B3"/>
    <w:rsid w:val="00FC1681"/>
    <w:rsid w:val="00FC1884"/>
    <w:rsid w:val="00FC1B43"/>
    <w:rsid w:val="00FC1D5D"/>
    <w:rsid w:val="00FC2677"/>
    <w:rsid w:val="00FC270F"/>
    <w:rsid w:val="00FC27F3"/>
    <w:rsid w:val="00FC28E3"/>
    <w:rsid w:val="00FC2DE5"/>
    <w:rsid w:val="00FC2FA6"/>
    <w:rsid w:val="00FC371D"/>
    <w:rsid w:val="00FC3B5A"/>
    <w:rsid w:val="00FC3DD3"/>
    <w:rsid w:val="00FC4203"/>
    <w:rsid w:val="00FC485B"/>
    <w:rsid w:val="00FC4B89"/>
    <w:rsid w:val="00FC4EB7"/>
    <w:rsid w:val="00FC5124"/>
    <w:rsid w:val="00FC517B"/>
    <w:rsid w:val="00FC55EA"/>
    <w:rsid w:val="00FC5783"/>
    <w:rsid w:val="00FC5CC2"/>
    <w:rsid w:val="00FC5D12"/>
    <w:rsid w:val="00FC5F0B"/>
    <w:rsid w:val="00FC6250"/>
    <w:rsid w:val="00FC6647"/>
    <w:rsid w:val="00FC6860"/>
    <w:rsid w:val="00FC6B7C"/>
    <w:rsid w:val="00FC70F3"/>
    <w:rsid w:val="00FC7370"/>
    <w:rsid w:val="00FC74C5"/>
    <w:rsid w:val="00FC75BF"/>
    <w:rsid w:val="00FC791A"/>
    <w:rsid w:val="00FC791B"/>
    <w:rsid w:val="00FD01C4"/>
    <w:rsid w:val="00FD03B0"/>
    <w:rsid w:val="00FD0661"/>
    <w:rsid w:val="00FD0C38"/>
    <w:rsid w:val="00FD0CFC"/>
    <w:rsid w:val="00FD0D97"/>
    <w:rsid w:val="00FD0E29"/>
    <w:rsid w:val="00FD0ECA"/>
    <w:rsid w:val="00FD1517"/>
    <w:rsid w:val="00FD15FF"/>
    <w:rsid w:val="00FD191D"/>
    <w:rsid w:val="00FD1962"/>
    <w:rsid w:val="00FD1B45"/>
    <w:rsid w:val="00FD1CEB"/>
    <w:rsid w:val="00FD2100"/>
    <w:rsid w:val="00FD22DB"/>
    <w:rsid w:val="00FD2395"/>
    <w:rsid w:val="00FD26FA"/>
    <w:rsid w:val="00FD270A"/>
    <w:rsid w:val="00FD2BB2"/>
    <w:rsid w:val="00FD2C6F"/>
    <w:rsid w:val="00FD3320"/>
    <w:rsid w:val="00FD33AD"/>
    <w:rsid w:val="00FD42A0"/>
    <w:rsid w:val="00FD436C"/>
    <w:rsid w:val="00FD446D"/>
    <w:rsid w:val="00FD44CB"/>
    <w:rsid w:val="00FD45B4"/>
    <w:rsid w:val="00FD4688"/>
    <w:rsid w:val="00FD4C13"/>
    <w:rsid w:val="00FD4D78"/>
    <w:rsid w:val="00FD4F2C"/>
    <w:rsid w:val="00FD525F"/>
    <w:rsid w:val="00FD54F9"/>
    <w:rsid w:val="00FD54FE"/>
    <w:rsid w:val="00FD5506"/>
    <w:rsid w:val="00FD55DC"/>
    <w:rsid w:val="00FD5878"/>
    <w:rsid w:val="00FD5A0B"/>
    <w:rsid w:val="00FD5ABE"/>
    <w:rsid w:val="00FD610F"/>
    <w:rsid w:val="00FD61BA"/>
    <w:rsid w:val="00FD6394"/>
    <w:rsid w:val="00FD69A6"/>
    <w:rsid w:val="00FD7846"/>
    <w:rsid w:val="00FD7A97"/>
    <w:rsid w:val="00FD7DAF"/>
    <w:rsid w:val="00FD7FEF"/>
    <w:rsid w:val="00FE0E6C"/>
    <w:rsid w:val="00FE1C20"/>
    <w:rsid w:val="00FE1CDC"/>
    <w:rsid w:val="00FE1FF2"/>
    <w:rsid w:val="00FE21E9"/>
    <w:rsid w:val="00FE299A"/>
    <w:rsid w:val="00FE2DDC"/>
    <w:rsid w:val="00FE2ECF"/>
    <w:rsid w:val="00FE3133"/>
    <w:rsid w:val="00FE35D6"/>
    <w:rsid w:val="00FE390F"/>
    <w:rsid w:val="00FE39C6"/>
    <w:rsid w:val="00FE3BD6"/>
    <w:rsid w:val="00FE3E01"/>
    <w:rsid w:val="00FE401F"/>
    <w:rsid w:val="00FE48B4"/>
    <w:rsid w:val="00FE53F8"/>
    <w:rsid w:val="00FE5788"/>
    <w:rsid w:val="00FE5B1A"/>
    <w:rsid w:val="00FE5D03"/>
    <w:rsid w:val="00FE60F0"/>
    <w:rsid w:val="00FE6329"/>
    <w:rsid w:val="00FE6A9F"/>
    <w:rsid w:val="00FE6E0F"/>
    <w:rsid w:val="00FE70C3"/>
    <w:rsid w:val="00FE718D"/>
    <w:rsid w:val="00FE782D"/>
    <w:rsid w:val="00FE7958"/>
    <w:rsid w:val="00FE7C56"/>
    <w:rsid w:val="00FE7D04"/>
    <w:rsid w:val="00FF02DA"/>
    <w:rsid w:val="00FF02E8"/>
    <w:rsid w:val="00FF02EE"/>
    <w:rsid w:val="00FF03AB"/>
    <w:rsid w:val="00FF03E5"/>
    <w:rsid w:val="00FF0644"/>
    <w:rsid w:val="00FF0756"/>
    <w:rsid w:val="00FF079A"/>
    <w:rsid w:val="00FF0AAB"/>
    <w:rsid w:val="00FF0E11"/>
    <w:rsid w:val="00FF0F3A"/>
    <w:rsid w:val="00FF1660"/>
    <w:rsid w:val="00FF1A8B"/>
    <w:rsid w:val="00FF1BFF"/>
    <w:rsid w:val="00FF20A8"/>
    <w:rsid w:val="00FF229A"/>
    <w:rsid w:val="00FF2A25"/>
    <w:rsid w:val="00FF2AD9"/>
    <w:rsid w:val="00FF341B"/>
    <w:rsid w:val="00FF359F"/>
    <w:rsid w:val="00FF3DCF"/>
    <w:rsid w:val="00FF4427"/>
    <w:rsid w:val="00FF4566"/>
    <w:rsid w:val="00FF492C"/>
    <w:rsid w:val="00FF4A21"/>
    <w:rsid w:val="00FF4AE4"/>
    <w:rsid w:val="00FF4B04"/>
    <w:rsid w:val="00FF4B7F"/>
    <w:rsid w:val="00FF4DE7"/>
    <w:rsid w:val="00FF5208"/>
    <w:rsid w:val="00FF534B"/>
    <w:rsid w:val="00FF57B3"/>
    <w:rsid w:val="00FF5832"/>
    <w:rsid w:val="00FF58FD"/>
    <w:rsid w:val="00FF5AA3"/>
    <w:rsid w:val="00FF5AD8"/>
    <w:rsid w:val="00FF5B58"/>
    <w:rsid w:val="00FF5CA7"/>
    <w:rsid w:val="00FF6F53"/>
    <w:rsid w:val="00FF7387"/>
    <w:rsid w:val="00FF77A2"/>
    <w:rsid w:val="00FF7ACA"/>
    <w:rsid w:val="00FF7DA9"/>
    <w:rsid w:val="00FF7E88"/>
    <w:rsid w:val="00FF7F75"/>
    <w:rsid w:val="12D36126"/>
    <w:rsid w:val="2FE847AE"/>
    <w:rsid w:val="3E3D01B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4" w:qFormat="1"/>
    <w:lsdException w:name="heading 5" w:qFormat="1"/>
    <w:lsdException w:name="heading 6" w:uiPriority="9"/>
    <w:lsdException w:name="heading 7" w:semiHidden="1" w:uiPriority="9" w:unhideWhenUsed="1"/>
    <w:lsdException w:name="heading 8" w:semiHidden="1" w:uiPriority="9" w:unhideWhenUsed="1"/>
    <w:lsdException w:name="heading 9" w:semiHidden="1" w:uiPriority="9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D48"/>
    <w:pPr>
      <w:jc w:val="both"/>
    </w:pPr>
    <w:rPr>
      <w:rFonts w:asciiTheme="minorHAnsi" w:hAnsiTheme="minorHAnsi"/>
      <w:sz w:val="24"/>
      <w:szCs w:val="24"/>
      <w:lang w:eastAsia="en-GB"/>
    </w:rPr>
  </w:style>
  <w:style w:type="paragraph" w:styleId="Heading1">
    <w:name w:val="heading 1"/>
    <w:basedOn w:val="Normal"/>
    <w:next w:val="Normal"/>
    <w:uiPriority w:val="9"/>
    <w:rsid w:val="001B204E"/>
    <w:pPr>
      <w:ind w:left="720" w:hanging="720"/>
      <w:outlineLvl w:val="0"/>
    </w:pPr>
    <w:rPr>
      <w:b/>
      <w:caps/>
      <w:sz w:val="32"/>
    </w:rPr>
  </w:style>
  <w:style w:type="paragraph" w:styleId="Heading2">
    <w:name w:val="heading 2"/>
    <w:basedOn w:val="Normal"/>
    <w:next w:val="Normal"/>
    <w:link w:val="Heading2Char"/>
    <w:uiPriority w:val="9"/>
    <w:rsid w:val="007D0ADA"/>
    <w:pPr>
      <w:outlineLvl w:val="1"/>
    </w:pPr>
    <w:rPr>
      <w:b/>
      <w:i/>
      <w:sz w:val="28"/>
    </w:rPr>
  </w:style>
  <w:style w:type="paragraph" w:styleId="Heading3">
    <w:name w:val="heading 3"/>
    <w:aliases w:val="3.7.1"/>
    <w:basedOn w:val="Normal"/>
    <w:next w:val="Normal"/>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aliases w:val="Heading 6 - DO NOT USE"/>
    <w:basedOn w:val="Normal"/>
    <w:next w:val="Normal"/>
    <w:uiPriority w:val="9"/>
    <w:rsid w:val="00124A51"/>
    <w:pPr>
      <w:spacing w:before="240" w:after="60"/>
      <w:outlineLvl w:val="5"/>
    </w:pPr>
    <w:rPr>
      <w:b/>
      <w:bCs/>
      <w:i/>
    </w:rPr>
  </w:style>
  <w:style w:type="paragraph" w:styleId="Heading7">
    <w:name w:val="heading 7"/>
    <w:aliases w:val="Heading 7 - DO NOT USE,Appendix 1"/>
    <w:basedOn w:val="Normal"/>
    <w:next w:val="Normal"/>
    <w:link w:val="Heading7Char"/>
    <w:uiPriority w:val="9"/>
    <w:rsid w:val="00124A51"/>
    <w:pPr>
      <w:keepNext/>
      <w:jc w:val="center"/>
      <w:outlineLvl w:val="6"/>
    </w:pPr>
    <w:rPr>
      <w:b/>
      <w:sz w:val="20"/>
    </w:rPr>
  </w:style>
  <w:style w:type="paragraph" w:styleId="Heading8">
    <w:name w:val="heading 8"/>
    <w:aliases w:val="Heading 8 - Appendix 2,Heading 8 - - DO NOT USE,Appendix 2"/>
    <w:basedOn w:val="Normal"/>
    <w:next w:val="Normal"/>
    <w:link w:val="Heading8Char"/>
    <w:uiPriority w:val="9"/>
    <w:rsid w:val="00124A51"/>
    <w:pPr>
      <w:keepNext/>
      <w:jc w:val="right"/>
      <w:outlineLvl w:val="7"/>
    </w:pPr>
    <w:rPr>
      <w:b/>
    </w:rPr>
  </w:style>
  <w:style w:type="paragraph" w:styleId="Heading9">
    <w:name w:val="heading 9"/>
    <w:aliases w:val="Heading 9 - Appendix 3,Heading 9 - DO NOT USE,Appendix 3,Appendix 4"/>
    <w:basedOn w:val="Normal"/>
    <w:next w:val="Normal"/>
    <w:link w:val="Heading9Char"/>
    <w:uiPriority w:val="99"/>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D0ADA"/>
    <w:rPr>
      <w:rFonts w:asciiTheme="minorHAnsi" w:hAnsiTheme="minorHAnsi"/>
      <w:b/>
      <w:i/>
      <w:sz w:val="28"/>
      <w:szCs w:val="24"/>
      <w:lang w:eastAsia="en-GB"/>
    </w:rPr>
  </w:style>
  <w:style w:type="character" w:customStyle="1" w:styleId="Heading7Char">
    <w:name w:val="Heading 7 Char"/>
    <w:aliases w:val="Heading 7 - DO NOT USE Char,Appendix 1 Char"/>
    <w:basedOn w:val="DefaultParagraphFont"/>
    <w:link w:val="Heading7"/>
    <w:rsid w:val="00124A51"/>
    <w:rPr>
      <w:rFonts w:ascii="Arial" w:hAnsi="Arial"/>
      <w:b/>
      <w:snapToGrid w:val="0"/>
      <w:lang w:eastAsia="en-US"/>
    </w:rPr>
  </w:style>
  <w:style w:type="character" w:customStyle="1" w:styleId="Heading8Char">
    <w:name w:val="Heading 8 Char"/>
    <w:aliases w:val="Heading 8 - Appendix 2 Char,Heading 8 - - DO NOT USE Char,Appendix 2 Char"/>
    <w:basedOn w:val="DefaultParagraphFont"/>
    <w:link w:val="Heading8"/>
    <w:rsid w:val="00124A51"/>
    <w:rPr>
      <w:b/>
      <w:snapToGrid w:val="0"/>
      <w:sz w:val="24"/>
      <w:lang w:eastAsia="en-US"/>
    </w:rPr>
  </w:style>
  <w:style w:type="character" w:customStyle="1" w:styleId="Heading9Char">
    <w:name w:val="Heading 9 Char"/>
    <w:aliases w:val="Heading 9 - Appendix 3 Char,Heading 9 - DO NOT USE Char,Appendix 3 Char,Appendix 4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Table...,Caption Table,Caption Char1 + 8 pt,Not B....,...,Caption Char1,IB Caption,Medical Caption,Caption Char Char Char Char Char,Caption Char Char,Caption Char Char Char Char1,Figure caption,c"/>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Table... Char,Caption Table Char,Caption Char1 + 8 pt Char,Not B.... Char,... Char,Caption Char1 Char1,IB Caption Char,Medical Caption Char,Caption Char Char Char Char Char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Point,Bulletr List Paragraph,L,l"/>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PBAC table,Header Table,NICE instructions,Source table_,MSD Table Grid,Table Grid No Line,MP Table Grid,Dossier table,Summary Table,Section 3- footnotes"/>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Table HEADER PBAC"/>
    <w:uiPriority w:val="99"/>
    <w:qFormat/>
    <w:rsid w:val="001E30D4"/>
    <w:rPr>
      <w:rFonts w:ascii="Arial Narrow" w:hAnsi="Arial Narrow"/>
      <w:b/>
      <w:sz w:val="20"/>
      <w:szCs w:val="16"/>
    </w:rPr>
  </w:style>
  <w:style w:type="paragraph" w:customStyle="1" w:styleId="Tabletext">
    <w:name w:val="Table text"/>
    <w:basedOn w:val="Normal"/>
    <w:link w:val="TabletextChar"/>
    <w:uiPriority w:val="99"/>
    <w:rsid w:val="00A518F3"/>
    <w:rPr>
      <w:rFonts w:ascii="Arial Narrow" w:hAnsi="Arial Narrow"/>
      <w:snapToGrid w:val="0"/>
      <w:sz w:val="20"/>
    </w:rPr>
  </w:style>
  <w:style w:type="character" w:customStyle="1" w:styleId="TabletextChar">
    <w:name w:val="Table text Char"/>
    <w:link w:val="Tabletext"/>
    <w:uiPriority w:val="99"/>
    <w:rsid w:val="00A518F3"/>
    <w:rPr>
      <w:rFonts w:ascii="Arial Narrow" w:hAnsi="Arial Narrow"/>
      <w:lang w:eastAsia="en-US"/>
    </w:rPr>
  </w:style>
  <w:style w:type="paragraph" w:customStyle="1" w:styleId="TableHeading">
    <w:name w:val="TableHeading"/>
    <w:basedOn w:val="Normal"/>
    <w:qFormat/>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rPr>
      <w:rFonts w:ascii="Times" w:hAnsi="Times"/>
      <w:snapToGrid w:val="0"/>
      <w:lang w:val="en-US"/>
    </w:rPr>
  </w:style>
  <w:style w:type="paragraph" w:styleId="NormalWeb">
    <w:name w:val="Normal (Web)"/>
    <w:basedOn w:val="Normal"/>
    <w:uiPriority w:val="99"/>
    <w:rsid w:val="008F48EB"/>
    <w:pPr>
      <w:spacing w:before="100" w:after="100"/>
    </w:pPr>
    <w:rPr>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5618D4"/>
    <w:pPr>
      <w:tabs>
        <w:tab w:val="left" w:pos="440"/>
        <w:tab w:val="right" w:leader="dot" w:pos="9016"/>
      </w:tabs>
      <w:spacing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sz w:val="20"/>
    </w:rPr>
  </w:style>
  <w:style w:type="paragraph" w:styleId="TOC4">
    <w:name w:val="toc 4"/>
    <w:basedOn w:val="Normal"/>
    <w:next w:val="Normal"/>
    <w:autoRedefine/>
    <w:uiPriority w:val="39"/>
    <w:rsid w:val="00D0262E"/>
    <w:pPr>
      <w:ind w:left="660"/>
    </w:pPr>
    <w:rPr>
      <w:sz w:val="20"/>
    </w:rPr>
  </w:style>
  <w:style w:type="paragraph" w:styleId="TOC5">
    <w:name w:val="toc 5"/>
    <w:basedOn w:val="Normal"/>
    <w:next w:val="Normal"/>
    <w:autoRedefine/>
    <w:uiPriority w:val="39"/>
    <w:rsid w:val="00D0262E"/>
    <w:pPr>
      <w:ind w:left="880"/>
    </w:pPr>
    <w:rPr>
      <w:sz w:val="20"/>
    </w:rPr>
  </w:style>
  <w:style w:type="paragraph" w:styleId="TOC6">
    <w:name w:val="toc 6"/>
    <w:basedOn w:val="Normal"/>
    <w:next w:val="Normal"/>
    <w:autoRedefine/>
    <w:uiPriority w:val="39"/>
    <w:rsid w:val="00D0262E"/>
    <w:pPr>
      <w:ind w:left="1100"/>
    </w:pPr>
    <w:rPr>
      <w:sz w:val="20"/>
    </w:rPr>
  </w:style>
  <w:style w:type="paragraph" w:styleId="TOC7">
    <w:name w:val="toc 7"/>
    <w:basedOn w:val="Normal"/>
    <w:next w:val="Normal"/>
    <w:autoRedefine/>
    <w:uiPriority w:val="39"/>
    <w:rsid w:val="00D0262E"/>
    <w:pPr>
      <w:ind w:left="1320"/>
    </w:pPr>
    <w:rPr>
      <w:sz w:val="20"/>
    </w:rPr>
  </w:style>
  <w:style w:type="paragraph" w:styleId="TOC8">
    <w:name w:val="toc 8"/>
    <w:basedOn w:val="Normal"/>
    <w:next w:val="Normal"/>
    <w:autoRedefine/>
    <w:uiPriority w:val="39"/>
    <w:rsid w:val="00D0262E"/>
    <w:pPr>
      <w:ind w:left="1540"/>
    </w:pPr>
    <w:rPr>
      <w:sz w:val="20"/>
    </w:rPr>
  </w:style>
  <w:style w:type="paragraph" w:styleId="TOC9">
    <w:name w:val="toc 9"/>
    <w:basedOn w:val="Normal"/>
    <w:next w:val="Normal"/>
    <w:autoRedefine/>
    <w:uiPriority w:val="39"/>
    <w:rsid w:val="00D0262E"/>
    <w:pPr>
      <w:ind w:left="1760"/>
    </w:pPr>
    <w:rPr>
      <w:sz w:val="20"/>
    </w:rPr>
  </w:style>
  <w:style w:type="paragraph" w:styleId="CommentText">
    <w:name w:val="annotation text"/>
    <w:basedOn w:val="Normal"/>
    <w:link w:val="CommentTextChar"/>
    <w:rsid w:val="00FD2100"/>
    <w:rPr>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8E1DCD"/>
    <w:pPr>
      <w:spacing w:line="259" w:lineRule="auto"/>
    </w:pPr>
    <w:rPr>
      <w:rFonts w:ascii="Arial Narrow" w:eastAsiaTheme="majorEastAsia" w:hAnsi="Arial Narrow" w:cstheme="minorHAnsi"/>
      <w:bCs/>
      <w:lang w:eastAsia="en-US"/>
    </w:rPr>
  </w:style>
  <w:style w:type="paragraph" w:customStyle="1" w:styleId="V50Tablename">
    <w:name w:val="V5.0 Table name"/>
    <w:basedOn w:val="Normal"/>
    <w:link w:val="V50TablenameChar"/>
    <w:rsid w:val="001A178E"/>
    <w:pPr>
      <w:keepNext/>
    </w:pPr>
    <w:rPr>
      <w:rFonts w:eastAsia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051AF3"/>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6"/>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1B513D"/>
    <w:pPr>
      <w:keepNext/>
      <w:spacing w:before="120" w:after="120"/>
    </w:pPr>
    <w:rPr>
      <w:rFonts w:eastAsiaTheme="majorEastAsia"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1B513D"/>
    <w:rPr>
      <w:rFonts w:asciiTheme="minorHAnsi" w:eastAsiaTheme="majorEastAsia" w:hAnsiTheme="minorHAnsi" w:cstheme="majorBidi"/>
      <w:b/>
      <w:i/>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eastAsiaTheme="majorEastAsia"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8E1DCD"/>
    <w:rPr>
      <w:rFonts w:ascii="Arial Narrow" w:eastAsiaTheme="majorEastAsia" w:hAnsi="Arial Narrow" w:cstheme="minorHAnsi"/>
      <w:bCs/>
      <w:lang w:eastAsia="en-US"/>
    </w:rPr>
  </w:style>
  <w:style w:type="paragraph" w:customStyle="1" w:styleId="ExecSumBodyText">
    <w:name w:val="Exec Sum Body Text"/>
    <w:basedOn w:val="Normal"/>
    <w:link w:val="ExecSumBodyTextChar"/>
    <w:uiPriority w:val="99"/>
    <w:rsid w:val="00D30D5B"/>
    <w:pPr>
      <w:spacing w:after="120"/>
      <w:ind w:left="720" w:hanging="720"/>
    </w:pPr>
    <w:rPr>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C572F6"/>
    <w:pPr>
      <w:keepLines/>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paragraph" w:customStyle="1" w:styleId="TableTitleA">
    <w:name w:val="Table Title A"/>
    <w:basedOn w:val="Normal"/>
    <w:next w:val="BodyText"/>
    <w:qFormat/>
    <w:rsid w:val="00443A5B"/>
    <w:pPr>
      <w:numPr>
        <w:numId w:val="7"/>
      </w:numPr>
      <w:tabs>
        <w:tab w:val="left" w:pos="1134"/>
      </w:tabs>
      <w:spacing w:after="120"/>
    </w:pPr>
    <w:rPr>
      <w:rFonts w:ascii="Arial" w:hAnsi="Arial"/>
      <w:b/>
      <w:sz w:val="20"/>
      <w:lang w:eastAsia="en-US"/>
    </w:rPr>
  </w:style>
  <w:style w:type="paragraph" w:customStyle="1" w:styleId="TableText1">
    <w:name w:val="TableText"/>
    <w:basedOn w:val="Normal"/>
    <w:link w:val="TableTextChar1"/>
    <w:qFormat/>
    <w:rsid w:val="003B098C"/>
    <w:pPr>
      <w:widowControl w:val="0"/>
      <w:spacing w:before="60" w:after="60"/>
    </w:pPr>
    <w:rPr>
      <w:color w:val="000000"/>
      <w:sz w:val="18"/>
      <w:szCs w:val="21"/>
    </w:rPr>
  </w:style>
  <w:style w:type="character" w:customStyle="1" w:styleId="TableTextChar1">
    <w:name w:val="TableText Char"/>
    <w:basedOn w:val="DefaultParagraphFont"/>
    <w:link w:val="TableText1"/>
    <w:rsid w:val="003B098C"/>
    <w:rPr>
      <w:rFonts w:asciiTheme="minorHAnsi" w:hAnsiTheme="minorHAnsi"/>
      <w:color w:val="000000"/>
      <w:sz w:val="18"/>
      <w:szCs w:val="21"/>
    </w:rPr>
  </w:style>
  <w:style w:type="table" w:customStyle="1" w:styleId="TableGridLight1">
    <w:name w:val="Table Grid Light1"/>
    <w:basedOn w:val="TableNormal"/>
    <w:uiPriority w:val="40"/>
    <w:rsid w:val="003B098C"/>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apple-converted-space">
    <w:name w:val="apple-converted-space"/>
    <w:basedOn w:val="DefaultParagraphFont"/>
    <w:rsid w:val="00D53E19"/>
  </w:style>
  <w:style w:type="character" w:customStyle="1" w:styleId="mord">
    <w:name w:val="mord"/>
    <w:basedOn w:val="DefaultParagraphFont"/>
    <w:rsid w:val="00962494"/>
  </w:style>
  <w:style w:type="character" w:customStyle="1" w:styleId="mrel">
    <w:name w:val="mrel"/>
    <w:basedOn w:val="DefaultParagraphFont"/>
    <w:rsid w:val="00C1354F"/>
  </w:style>
  <w:style w:type="paragraph" w:customStyle="1" w:styleId="p1">
    <w:name w:val="p1"/>
    <w:basedOn w:val="Normal"/>
    <w:rsid w:val="00300B53"/>
    <w:rPr>
      <w:rFonts w:ascii="Helvetica" w:hAnsi="Helvetica"/>
      <w:color w:val="000000"/>
      <w:sz w:val="18"/>
      <w:szCs w:val="18"/>
    </w:rPr>
  </w:style>
  <w:style w:type="character" w:customStyle="1" w:styleId="s1">
    <w:name w:val="s1"/>
    <w:basedOn w:val="DefaultParagraphFont"/>
    <w:rsid w:val="00300B53"/>
    <w:rPr>
      <w:color w:val="0000FF"/>
    </w:rPr>
  </w:style>
  <w:style w:type="character" w:styleId="Emphasis">
    <w:name w:val="Emphasis"/>
    <w:basedOn w:val="DefaultParagraphFont"/>
    <w:uiPriority w:val="20"/>
    <w:qFormat/>
    <w:rsid w:val="003C0880"/>
    <w:rPr>
      <w:i/>
      <w:iCs/>
    </w:rPr>
  </w:style>
  <w:style w:type="table" w:customStyle="1" w:styleId="AZTable">
    <w:name w:val="AZ Table"/>
    <w:basedOn w:val="TableNormal"/>
    <w:uiPriority w:val="99"/>
    <w:rsid w:val="006A60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styleId="Strong">
    <w:name w:val="Strong"/>
    <w:basedOn w:val="DefaultParagraphFont"/>
    <w:uiPriority w:val="22"/>
    <w:qFormat/>
    <w:rsid w:val="009A660B"/>
    <w:rPr>
      <w:b/>
      <w:bCs/>
    </w:rPr>
  </w:style>
  <w:style w:type="paragraph" w:customStyle="1" w:styleId="COMH1-numbered">
    <w:name w:val="COM H1 - numbered"/>
    <w:next w:val="COMexecsummnumbered"/>
    <w:qFormat/>
    <w:rsid w:val="0061124D"/>
    <w:pPr>
      <w:keepNext/>
      <w:spacing w:before="240" w:after="120"/>
      <w:ind w:left="720" w:hanging="720"/>
      <w:outlineLvl w:val="0"/>
    </w:pPr>
    <w:rPr>
      <w:rFonts w:asciiTheme="minorHAnsi" w:hAnsiTheme="minorHAnsi" w:cs="Arial"/>
      <w:b/>
      <w:snapToGrid w:val="0"/>
      <w:sz w:val="32"/>
      <w:szCs w:val="32"/>
    </w:rPr>
  </w:style>
  <w:style w:type="paragraph" w:customStyle="1" w:styleId="COMexecsummnumbered">
    <w:name w:val="COM exec summ numbered"/>
    <w:link w:val="COMexecsummnumberedChar"/>
    <w:qFormat/>
    <w:rsid w:val="0061124D"/>
    <w:pPr>
      <w:spacing w:before="120" w:after="120"/>
      <w:ind w:left="720" w:hanging="7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61124D"/>
    <w:rPr>
      <w:rFonts w:asciiTheme="minorHAnsi" w:eastAsiaTheme="minorHAnsi" w:hAnsiTheme="minorHAnsi" w:cstheme="minorBidi"/>
      <w:sz w:val="24"/>
      <w:szCs w:val="22"/>
    </w:rPr>
  </w:style>
  <w:style w:type="paragraph" w:customStyle="1" w:styleId="COMTablefooter">
    <w:name w:val="COM Table footer"/>
    <w:basedOn w:val="Normal"/>
    <w:next w:val="Normal"/>
    <w:link w:val="COMTablefooterChar"/>
    <w:qFormat/>
    <w:rsid w:val="001C0059"/>
    <w:pPr>
      <w:spacing w:after="120"/>
      <w:contextualSpacing/>
    </w:pPr>
    <w:rPr>
      <w:rFonts w:ascii="Arial Narrow" w:hAnsi="Arial Narrow" w:cs="Arial"/>
      <w:snapToGrid w:val="0"/>
      <w:sz w:val="18"/>
      <w:szCs w:val="22"/>
      <w:lang w:eastAsia="en-AU"/>
    </w:rPr>
  </w:style>
  <w:style w:type="character" w:customStyle="1" w:styleId="COMTablefooterChar">
    <w:name w:val="COM Table footer Char"/>
    <w:link w:val="COMTablefooter"/>
    <w:rsid w:val="001C0059"/>
    <w:rPr>
      <w:rFonts w:ascii="Arial Narrow" w:hAnsi="Arial Narrow" w:cs="Arial"/>
      <w:snapToGrid w:val="0"/>
      <w:sz w:val="18"/>
      <w:szCs w:val="22"/>
    </w:rPr>
  </w:style>
  <w:style w:type="paragraph" w:customStyle="1" w:styleId="COMTableheadingrow">
    <w:name w:val="COM Table heading row"/>
    <w:qFormat/>
    <w:rsid w:val="001C0059"/>
    <w:pPr>
      <w:keepNext/>
    </w:pPr>
    <w:rPr>
      <w:rFonts w:ascii="Arial Narrow" w:eastAsiaTheme="majorEastAsia" w:hAnsi="Arial Narrow"/>
      <w:b/>
      <w:szCs w:val="24"/>
      <w:lang w:val="en-US"/>
    </w:rPr>
  </w:style>
  <w:style w:type="paragraph" w:customStyle="1" w:styleId="COMTabletext">
    <w:name w:val="COM Table text"/>
    <w:link w:val="COMTabletextChar"/>
    <w:qFormat/>
    <w:rsid w:val="001C0059"/>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1C0059"/>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1C0059"/>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1C0059"/>
    <w:rPr>
      <w:rFonts w:ascii="Arial Narrow" w:eastAsiaTheme="majorEastAsia" w:hAnsi="Arial Narrow" w:cstheme="majorBidi"/>
      <w:b/>
      <w:bCs/>
      <w:szCs w:val="24"/>
    </w:rPr>
  </w:style>
  <w:style w:type="paragraph" w:customStyle="1" w:styleId="COMexecsummbulletlist">
    <w:name w:val="COM exec summ bullet list"/>
    <w:basedOn w:val="Normal"/>
    <w:link w:val="COMexecsummbulletlistChar"/>
    <w:qFormat/>
    <w:rsid w:val="00EC53FF"/>
    <w:pPr>
      <w:spacing w:after="120"/>
      <w:ind w:left="1134" w:hanging="360"/>
    </w:pPr>
    <w:rPr>
      <w:rFonts w:cs="Arial"/>
      <w:snapToGrid w:val="0"/>
      <w:lang w:eastAsia="en-AU"/>
    </w:rPr>
  </w:style>
  <w:style w:type="character" w:customStyle="1" w:styleId="COMexecsummbulletlistChar">
    <w:name w:val="COM exec summ bullet list Char"/>
    <w:basedOn w:val="DefaultParagraphFont"/>
    <w:link w:val="COMexecsummbulletlist"/>
    <w:rsid w:val="00EC53FF"/>
    <w:rPr>
      <w:rFonts w:asciiTheme="minorHAnsi" w:hAnsiTheme="minorHAnsi" w:cs="Arial"/>
      <w:snapToGrid w:val="0"/>
      <w:sz w:val="24"/>
      <w:szCs w:val="24"/>
    </w:rPr>
  </w:style>
  <w:style w:type="paragraph" w:customStyle="1" w:styleId="MainBodyText">
    <w:name w:val="Main Body Text"/>
    <w:basedOn w:val="Normal"/>
    <w:link w:val="MainBodyTextChar"/>
    <w:rsid w:val="00570C34"/>
    <w:pPr>
      <w:spacing w:after="160" w:line="259" w:lineRule="auto"/>
    </w:pPr>
    <w:rPr>
      <w:rFonts w:ascii="Arial" w:hAnsi="Arial"/>
      <w:sz w:val="22"/>
      <w:szCs w:val="22"/>
      <w:lang w:eastAsia="en-AU"/>
    </w:rPr>
  </w:style>
  <w:style w:type="character" w:customStyle="1" w:styleId="MainBodyTextChar">
    <w:name w:val="Main Body Text Char"/>
    <w:link w:val="MainBodyText"/>
    <w:rsid w:val="00570C34"/>
    <w:rPr>
      <w:rFonts w:ascii="Arial" w:hAnsi="Arial"/>
      <w:sz w:val="22"/>
      <w:szCs w:val="22"/>
    </w:rPr>
  </w:style>
  <w:style w:type="paragraph" w:customStyle="1" w:styleId="BulletedText">
    <w:name w:val="Bulleted Text"/>
    <w:basedOn w:val="MainBodyText"/>
    <w:rsid w:val="00766EB5"/>
    <w:pPr>
      <w:numPr>
        <w:numId w:val="9"/>
      </w:numPr>
      <w:spacing w:after="120"/>
    </w:pPr>
  </w:style>
  <w:style w:type="table" w:customStyle="1" w:styleId="Submissionstandard22">
    <w:name w:val="Submission standard22"/>
    <w:basedOn w:val="TableNormal"/>
    <w:uiPriority w:val="99"/>
    <w:qFormat/>
    <w:rsid w:val="00FE782D"/>
    <w:rPr>
      <w:rFonts w:ascii="Arial Narrow" w:eastAsiaTheme="majorEastAsia" w:hAnsi="Arial Narrow" w:cstheme="majorBidi"/>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Yu Gothic Light" w:eastAsia="Yu Gothic Light" w:hAnsi="Yu Gothic Light" w:hint="eastAsia"/>
        <w:b/>
        <w:sz w:val="20"/>
        <w:szCs w:val="20"/>
      </w:rPr>
      <w:tblPr/>
      <w:tcPr>
        <w:shd w:val="clear" w:color="auto" w:fill="BFBFBF" w:themeFill="background1" w:themeFillShade="BF"/>
      </w:tcPr>
    </w:tblStylePr>
  </w:style>
  <w:style w:type="paragraph" w:customStyle="1" w:styleId="Normalbeforebullet">
    <w:name w:val="Normal before bullet"/>
    <w:basedOn w:val="Normal"/>
    <w:qFormat/>
    <w:rsid w:val="00FE782D"/>
    <w:pPr>
      <w:widowControl w:val="0"/>
      <w:spacing w:before="120" w:after="240" w:line="360" w:lineRule="auto"/>
    </w:pPr>
    <w:rPr>
      <w:sz w:val="22"/>
    </w:rPr>
  </w:style>
  <w:style w:type="table" w:customStyle="1" w:styleId="HTAtableplain1">
    <w:name w:val="HTAtableplain1"/>
    <w:basedOn w:val="TableNormal"/>
    <w:next w:val="TableGrid"/>
    <w:uiPriority w:val="39"/>
    <w:rsid w:val="00FE782D"/>
    <w:pPr>
      <w:spacing w:after="160" w:line="259"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align">
    <w:name w:val="Table Text left align"/>
    <w:basedOn w:val="Normal"/>
    <w:link w:val="TableTextleftalignChar"/>
    <w:autoRedefine/>
    <w:qFormat/>
    <w:rsid w:val="00FE782D"/>
    <w:pPr>
      <w:keepNext/>
    </w:pPr>
    <w:rPr>
      <w:rFonts w:ascii="Calibri" w:hAnsi="Calibri" w:cs="Calibri"/>
      <w:sz w:val="18"/>
      <w:szCs w:val="18"/>
      <w:lang w:eastAsia="en-US"/>
    </w:rPr>
  </w:style>
  <w:style w:type="character" w:customStyle="1" w:styleId="TableTextleftalignChar">
    <w:name w:val="Table Text left align Char"/>
    <w:link w:val="TableTextleftalign"/>
    <w:rsid w:val="00FE782D"/>
    <w:rPr>
      <w:rFonts w:ascii="Calibri" w:hAnsi="Calibri" w:cs="Calibri"/>
      <w:sz w:val="18"/>
      <w:szCs w:val="18"/>
      <w:lang w:eastAsia="en-US"/>
    </w:rPr>
  </w:style>
  <w:style w:type="paragraph" w:customStyle="1" w:styleId="TableListParagraph">
    <w:name w:val="Table List Paragraph"/>
    <w:basedOn w:val="TableText0"/>
    <w:uiPriority w:val="3"/>
    <w:qFormat/>
    <w:rsid w:val="00FE782D"/>
    <w:pPr>
      <w:framePr w:wrap="around" w:hAnchor="text"/>
      <w:numPr>
        <w:numId w:val="10"/>
      </w:numPr>
      <w:spacing w:after="160"/>
      <w:ind w:left="0" w:right="-440" w:firstLine="0"/>
    </w:pPr>
    <w:rPr>
      <w:rFonts w:ascii="Arial" w:eastAsiaTheme="minorHAnsi" w:hAnsi="Arial" w:cstheme="minorBidi"/>
      <w:bCs w:val="0"/>
      <w:sz w:val="18"/>
      <w:szCs w:val="22"/>
      <w:lang w:val="en-US"/>
    </w:rPr>
  </w:style>
  <w:style w:type="character" w:styleId="UnresolvedMention">
    <w:name w:val="Unresolved Mention"/>
    <w:basedOn w:val="DefaultParagraphFont"/>
    <w:uiPriority w:val="99"/>
    <w:semiHidden/>
    <w:unhideWhenUsed/>
    <w:rsid w:val="00FE782D"/>
    <w:rPr>
      <w:color w:val="605E5C"/>
      <w:shd w:val="clear" w:color="auto" w:fill="E1DFDD"/>
    </w:rPr>
  </w:style>
  <w:style w:type="paragraph" w:styleId="FootnoteText">
    <w:name w:val="footnote text"/>
    <w:basedOn w:val="Normal"/>
    <w:link w:val="FootnoteTextChar"/>
    <w:unhideWhenUsed/>
    <w:rsid w:val="00521900"/>
    <w:rPr>
      <w:rFonts w:ascii="Calibri" w:hAnsi="Calibri" w:cs="Arial"/>
      <w:sz w:val="20"/>
      <w:szCs w:val="20"/>
      <w:lang w:eastAsia="en-AU"/>
    </w:rPr>
  </w:style>
  <w:style w:type="character" w:customStyle="1" w:styleId="FootnoteTextChar">
    <w:name w:val="Footnote Text Char"/>
    <w:basedOn w:val="DefaultParagraphFont"/>
    <w:link w:val="FootnoteText"/>
    <w:rsid w:val="00521900"/>
    <w:rPr>
      <w:rFonts w:ascii="Calibri" w:hAnsi="Calibri" w:cs="Arial"/>
    </w:rPr>
  </w:style>
  <w:style w:type="character" w:styleId="FootnoteReference">
    <w:name w:val="footnote reference"/>
    <w:basedOn w:val="DefaultParagraphFont"/>
    <w:unhideWhenUsed/>
    <w:rsid w:val="00521900"/>
    <w:rPr>
      <w:vertAlign w:val="superscript"/>
    </w:rPr>
  </w:style>
  <w:style w:type="table" w:customStyle="1" w:styleId="newstyle1">
    <w:name w:val="new style1"/>
    <w:basedOn w:val="TableNormal"/>
    <w:next w:val="TableGrid"/>
    <w:uiPriority w:val="59"/>
    <w:rsid w:val="00521900"/>
    <w:rPr>
      <w:rFonts w:ascii="Calibri" w:eastAsia="Calibri" w:hAnsi="Calibri" w:cs="Arial"/>
      <w:sz w:val="22"/>
      <w:szCs w:val="22"/>
      <w:lang w:eastAsia="en-US"/>
    </w:rPr>
    <w:tblPr/>
  </w:style>
  <w:style w:type="table" w:customStyle="1" w:styleId="newstyle2">
    <w:name w:val="new style2"/>
    <w:basedOn w:val="TableNormal"/>
    <w:next w:val="TableGrid"/>
    <w:uiPriority w:val="59"/>
    <w:rsid w:val="00521900"/>
    <w:rPr>
      <w:rFonts w:ascii="Calibri" w:eastAsia="Calibri" w:hAnsi="Calibri" w:cs="Arial"/>
      <w:sz w:val="22"/>
      <w:szCs w:val="22"/>
      <w:lang w:eastAsia="en-US"/>
    </w:rPr>
    <w:tblPr/>
  </w:style>
  <w:style w:type="table" w:customStyle="1" w:styleId="newstyle3">
    <w:name w:val="new style3"/>
    <w:basedOn w:val="TableNormal"/>
    <w:next w:val="TableGrid"/>
    <w:uiPriority w:val="59"/>
    <w:rsid w:val="00521900"/>
    <w:rPr>
      <w:rFonts w:ascii="Calibri" w:eastAsia="Calibri" w:hAnsi="Calibri" w:cs="Arial"/>
      <w:sz w:val="22"/>
      <w:szCs w:val="22"/>
      <w:lang w:eastAsia="en-US"/>
    </w:rPr>
    <w:tblPr/>
  </w:style>
  <w:style w:type="table" w:customStyle="1" w:styleId="newstyle4">
    <w:name w:val="new style4"/>
    <w:basedOn w:val="TableNormal"/>
    <w:next w:val="TableGrid"/>
    <w:uiPriority w:val="59"/>
    <w:rsid w:val="00521900"/>
    <w:rPr>
      <w:rFonts w:ascii="Calibri" w:eastAsia="Calibri" w:hAnsi="Calibri" w:cs="Arial"/>
      <w:sz w:val="22"/>
      <w:szCs w:val="22"/>
      <w:lang w:eastAsia="en-US"/>
    </w:rPr>
    <w:tblPr/>
  </w:style>
  <w:style w:type="table" w:customStyle="1" w:styleId="newstyle5">
    <w:name w:val="new style5"/>
    <w:basedOn w:val="TableNormal"/>
    <w:next w:val="TableGrid"/>
    <w:uiPriority w:val="59"/>
    <w:rsid w:val="00521900"/>
    <w:rPr>
      <w:rFonts w:ascii="Calibri" w:eastAsia="Calibri" w:hAnsi="Calibri" w:cs="Arial"/>
      <w:sz w:val="22"/>
      <w:szCs w:val="22"/>
      <w:lang w:eastAsia="en-US"/>
    </w:rPr>
    <w:tblPr/>
  </w:style>
  <w:style w:type="table" w:customStyle="1" w:styleId="Summarybox3">
    <w:name w:val="Summary box3"/>
    <w:basedOn w:val="TableNormal"/>
    <w:next w:val="TableGrid"/>
    <w:uiPriority w:val="59"/>
    <w:rsid w:val="00521900"/>
    <w:rPr>
      <w:rFonts w:ascii="Calibri" w:eastAsia="Calibri" w:hAnsi="Calibri"/>
      <w:sz w:val="22"/>
      <w:szCs w:val="22"/>
      <w:lang w:eastAsia="en-US"/>
    </w:rPr>
    <w:tblPr/>
  </w:style>
  <w:style w:type="table" w:customStyle="1" w:styleId="newstyle6">
    <w:name w:val="new style6"/>
    <w:basedOn w:val="TableNormal"/>
    <w:next w:val="TableGrid"/>
    <w:uiPriority w:val="59"/>
    <w:rsid w:val="00521900"/>
    <w:rPr>
      <w:rFonts w:ascii="Calibri" w:eastAsia="Calibri" w:hAnsi="Calibri" w:cs="Arial"/>
      <w:sz w:val="22"/>
      <w:szCs w:val="22"/>
      <w:lang w:eastAsia="en-US"/>
    </w:rPr>
    <w:tblPr/>
  </w:style>
  <w:style w:type="table" w:customStyle="1" w:styleId="newstyle7">
    <w:name w:val="new style7"/>
    <w:basedOn w:val="TableNormal"/>
    <w:next w:val="TableGrid"/>
    <w:uiPriority w:val="59"/>
    <w:rsid w:val="00521900"/>
    <w:rPr>
      <w:rFonts w:ascii="Calibri" w:eastAsia="Calibri" w:hAnsi="Calibri" w:cs="Arial"/>
      <w:sz w:val="22"/>
      <w:szCs w:val="22"/>
      <w:lang w:eastAsia="en-US"/>
    </w:rPr>
    <w:tblPr/>
  </w:style>
  <w:style w:type="table" w:customStyle="1" w:styleId="newstyle8">
    <w:name w:val="new style8"/>
    <w:basedOn w:val="TableNormal"/>
    <w:next w:val="TableGrid"/>
    <w:uiPriority w:val="59"/>
    <w:rsid w:val="00521900"/>
    <w:rPr>
      <w:rFonts w:ascii="Calibri" w:eastAsia="Calibri" w:hAnsi="Calibri" w:cs="Arial"/>
      <w:sz w:val="22"/>
      <w:szCs w:val="22"/>
      <w:lang w:eastAsia="en-US"/>
    </w:rPr>
    <w:tblPr/>
  </w:style>
  <w:style w:type="table" w:styleId="TableGridLight">
    <w:name w:val="Grid Table Light"/>
    <w:basedOn w:val="TableNormal"/>
    <w:uiPriority w:val="40"/>
    <w:rsid w:val="005219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ewstyle9">
    <w:name w:val="new style9"/>
    <w:basedOn w:val="TableNormal"/>
    <w:next w:val="TableGrid"/>
    <w:uiPriority w:val="59"/>
    <w:rsid w:val="00521900"/>
    <w:rPr>
      <w:rFonts w:ascii="Calibri" w:eastAsia="Calibri" w:hAnsi="Calibri" w:cs="Arial"/>
      <w:sz w:val="22"/>
      <w:szCs w:val="22"/>
      <w:lang w:eastAsia="en-US"/>
    </w:rPr>
    <w:tblPr/>
  </w:style>
  <w:style w:type="table" w:customStyle="1" w:styleId="newstyle10">
    <w:name w:val="new style10"/>
    <w:basedOn w:val="TableNormal"/>
    <w:next w:val="TableGrid"/>
    <w:uiPriority w:val="59"/>
    <w:rsid w:val="00521900"/>
    <w:rPr>
      <w:rFonts w:ascii="Calibri" w:eastAsia="Calibri" w:hAnsi="Calibri" w:cs="Arial"/>
      <w:sz w:val="22"/>
      <w:szCs w:val="22"/>
      <w:lang w:eastAsia="en-US"/>
    </w:rPr>
    <w:tblPr/>
  </w:style>
  <w:style w:type="table" w:customStyle="1" w:styleId="newstyle11">
    <w:name w:val="new style11"/>
    <w:basedOn w:val="TableNormal"/>
    <w:next w:val="TableGrid"/>
    <w:uiPriority w:val="59"/>
    <w:rsid w:val="00521900"/>
    <w:rPr>
      <w:rFonts w:ascii="Calibri" w:eastAsia="Calibri" w:hAnsi="Calibri" w:cs="Arial"/>
      <w:sz w:val="22"/>
      <w:szCs w:val="22"/>
      <w:lang w:eastAsia="en-US"/>
    </w:rPr>
    <w:tblPr/>
  </w:style>
  <w:style w:type="table" w:customStyle="1" w:styleId="newstyle12">
    <w:name w:val="new style12"/>
    <w:basedOn w:val="TableNormal"/>
    <w:next w:val="TableGrid"/>
    <w:uiPriority w:val="59"/>
    <w:rsid w:val="00521900"/>
    <w:rPr>
      <w:rFonts w:ascii="Calibri" w:eastAsia="Calibri" w:hAnsi="Calibri" w:cs="Arial"/>
      <w:sz w:val="22"/>
      <w:szCs w:val="22"/>
      <w:lang w:eastAsia="en-US"/>
    </w:rPr>
    <w:tblPr/>
  </w:style>
  <w:style w:type="table" w:customStyle="1" w:styleId="newstyle13">
    <w:name w:val="new style13"/>
    <w:basedOn w:val="TableNormal"/>
    <w:next w:val="TableGrid"/>
    <w:uiPriority w:val="59"/>
    <w:rsid w:val="00521900"/>
    <w:rPr>
      <w:rFonts w:ascii="Calibri" w:eastAsia="Calibri" w:hAnsi="Calibri" w:cs="Arial"/>
      <w:sz w:val="22"/>
      <w:szCs w:val="22"/>
      <w:lang w:eastAsia="en-US"/>
    </w:rPr>
    <w:tblPr/>
  </w:style>
  <w:style w:type="table" w:customStyle="1" w:styleId="newstyle14">
    <w:name w:val="new style14"/>
    <w:basedOn w:val="TableNormal"/>
    <w:next w:val="TableGrid"/>
    <w:uiPriority w:val="59"/>
    <w:rsid w:val="00521900"/>
    <w:rPr>
      <w:rFonts w:ascii="Calibri" w:eastAsia="Calibri" w:hAnsi="Calibri" w:cs="Arial"/>
      <w:sz w:val="22"/>
      <w:szCs w:val="22"/>
      <w:lang w:eastAsia="en-US"/>
    </w:rPr>
    <w:tblPr/>
  </w:style>
  <w:style w:type="table" w:customStyle="1" w:styleId="newstyle15">
    <w:name w:val="new style15"/>
    <w:basedOn w:val="TableNormal"/>
    <w:next w:val="TableGrid"/>
    <w:uiPriority w:val="59"/>
    <w:rsid w:val="00521900"/>
    <w:rPr>
      <w:rFonts w:ascii="Calibri" w:eastAsia="Calibri" w:hAnsi="Calibri" w:cs="Arial"/>
      <w:sz w:val="22"/>
      <w:szCs w:val="22"/>
      <w:lang w:eastAsia="en-US"/>
    </w:rPr>
    <w:tblPr/>
  </w:style>
  <w:style w:type="table" w:customStyle="1" w:styleId="newstyle16">
    <w:name w:val="new style16"/>
    <w:basedOn w:val="TableNormal"/>
    <w:next w:val="TableGrid"/>
    <w:uiPriority w:val="59"/>
    <w:rsid w:val="00521900"/>
    <w:rPr>
      <w:rFonts w:ascii="Calibri" w:eastAsia="Calibri" w:hAnsi="Calibri" w:cs="Arial"/>
      <w:sz w:val="22"/>
      <w:szCs w:val="22"/>
      <w:lang w:eastAsia="en-US"/>
    </w:rPr>
    <w:tblPr/>
  </w:style>
  <w:style w:type="paragraph" w:customStyle="1" w:styleId="Tablebullet">
    <w:name w:val="Table bullet"/>
    <w:basedOn w:val="Normal"/>
    <w:link w:val="TablebulletChar"/>
    <w:qFormat/>
    <w:rsid w:val="00521900"/>
    <w:pPr>
      <w:numPr>
        <w:numId w:val="11"/>
      </w:numPr>
      <w:spacing w:before="40" w:after="40"/>
    </w:pPr>
    <w:rPr>
      <w:sz w:val="18"/>
      <w:szCs w:val="20"/>
      <w:lang w:val="en-GB" w:eastAsia="en-US"/>
    </w:rPr>
  </w:style>
  <w:style w:type="character" w:customStyle="1" w:styleId="TablebulletChar">
    <w:name w:val="Table bullet Char"/>
    <w:basedOn w:val="DefaultParagraphFont"/>
    <w:link w:val="Tablebullet"/>
    <w:rsid w:val="00521900"/>
    <w:rPr>
      <w:rFonts w:asciiTheme="minorHAnsi" w:hAnsiTheme="minorHAnsi"/>
      <w:sz w:val="18"/>
      <w:lang w:val="en-GB" w:eastAsia="en-US"/>
    </w:rPr>
  </w:style>
  <w:style w:type="paragraph" w:customStyle="1" w:styleId="TablebulletL2">
    <w:name w:val="Table bullet L2"/>
    <w:basedOn w:val="Tablebullet"/>
    <w:qFormat/>
    <w:rsid w:val="00521900"/>
    <w:pPr>
      <w:numPr>
        <w:ilvl w:val="1"/>
      </w:numPr>
      <w:tabs>
        <w:tab w:val="num" w:pos="360"/>
        <w:tab w:val="num" w:pos="1440"/>
      </w:tabs>
      <w:ind w:left="1440" w:hanging="576"/>
    </w:pPr>
  </w:style>
  <w:style w:type="table" w:customStyle="1" w:styleId="newstyle17">
    <w:name w:val="new style17"/>
    <w:basedOn w:val="TableNormal"/>
    <w:next w:val="TableGrid"/>
    <w:uiPriority w:val="59"/>
    <w:rsid w:val="00521900"/>
    <w:rPr>
      <w:rFonts w:ascii="Calibri" w:eastAsia="Calibri" w:hAnsi="Calibri" w:cs="Arial"/>
      <w:sz w:val="22"/>
      <w:szCs w:val="22"/>
      <w:lang w:eastAsia="en-US"/>
    </w:rPr>
    <w:tblPr/>
  </w:style>
  <w:style w:type="table" w:customStyle="1" w:styleId="newstyle18">
    <w:name w:val="new style18"/>
    <w:basedOn w:val="TableNormal"/>
    <w:next w:val="TableGrid"/>
    <w:uiPriority w:val="59"/>
    <w:rsid w:val="00521900"/>
    <w:rPr>
      <w:rFonts w:ascii="Calibri" w:eastAsia="Calibri" w:hAnsi="Calibri" w:cs="Arial"/>
      <w:sz w:val="22"/>
      <w:szCs w:val="22"/>
      <w:lang w:eastAsia="en-US"/>
    </w:rPr>
    <w:tblPr/>
  </w:style>
  <w:style w:type="character" w:customStyle="1" w:styleId="Heading4Char">
    <w:name w:val="Heading 4 Char"/>
    <w:basedOn w:val="DefaultParagraphFont"/>
    <w:link w:val="Heading4"/>
    <w:rsid w:val="00521900"/>
    <w:rPr>
      <w:b/>
      <w:bCs/>
      <w:i/>
      <w:sz w:val="26"/>
      <w:szCs w:val="28"/>
      <w:lang w:eastAsia="en-GB"/>
    </w:rPr>
  </w:style>
  <w:style w:type="paragraph" w:customStyle="1" w:styleId="paragraph">
    <w:name w:val="paragraph"/>
    <w:basedOn w:val="Normal"/>
    <w:rsid w:val="00AA69A1"/>
    <w:pPr>
      <w:spacing w:before="100" w:beforeAutospacing="1" w:after="100" w:afterAutospacing="1"/>
    </w:pPr>
    <w:rPr>
      <w:lang w:eastAsia="en-AU"/>
    </w:rPr>
  </w:style>
  <w:style w:type="character" w:customStyle="1" w:styleId="normaltextrun">
    <w:name w:val="normaltextrun"/>
    <w:basedOn w:val="DefaultParagraphFont"/>
    <w:rsid w:val="00AA69A1"/>
  </w:style>
  <w:style w:type="character" w:customStyle="1" w:styleId="eop">
    <w:name w:val="eop"/>
    <w:basedOn w:val="DefaultParagraphFont"/>
    <w:rsid w:val="00AA69A1"/>
  </w:style>
  <w:style w:type="character" w:customStyle="1" w:styleId="scxw92139758">
    <w:name w:val="scxw92139758"/>
    <w:basedOn w:val="DefaultParagraphFont"/>
    <w:rsid w:val="00AA69A1"/>
  </w:style>
  <w:style w:type="table" w:customStyle="1" w:styleId="newstyle19">
    <w:name w:val="new style19"/>
    <w:basedOn w:val="TableNormal"/>
    <w:next w:val="TableGrid"/>
    <w:uiPriority w:val="59"/>
    <w:rsid w:val="00A508A2"/>
    <w:rPr>
      <w:rFonts w:ascii="Calibri" w:eastAsia="Calibri" w:hAnsi="Calibri" w:cs="Arial"/>
      <w:sz w:val="22"/>
      <w:szCs w:val="22"/>
      <w:lang w:eastAsia="en-US"/>
    </w:rPr>
    <w:tblPr/>
  </w:style>
  <w:style w:type="table" w:customStyle="1" w:styleId="newstyle20">
    <w:name w:val="new style20"/>
    <w:basedOn w:val="TableNormal"/>
    <w:next w:val="TableGrid"/>
    <w:uiPriority w:val="59"/>
    <w:rsid w:val="00A508A2"/>
    <w:rPr>
      <w:rFonts w:ascii="Calibri" w:eastAsia="Calibri" w:hAnsi="Calibri" w:cs="Arial"/>
      <w:sz w:val="22"/>
      <w:szCs w:val="22"/>
      <w:lang w:eastAsia="en-US"/>
    </w:rPr>
    <w:tblPr/>
  </w:style>
  <w:style w:type="table" w:customStyle="1" w:styleId="newstyle21">
    <w:name w:val="new style21"/>
    <w:basedOn w:val="TableNormal"/>
    <w:next w:val="TableGrid"/>
    <w:uiPriority w:val="59"/>
    <w:rsid w:val="00A508A2"/>
    <w:rPr>
      <w:rFonts w:ascii="Calibri" w:eastAsia="Calibri" w:hAnsi="Calibri" w:cs="Arial"/>
      <w:sz w:val="22"/>
      <w:szCs w:val="22"/>
      <w:lang w:eastAsia="en-US"/>
    </w:rPr>
    <w:tblPr/>
  </w:style>
  <w:style w:type="paragraph" w:customStyle="1" w:styleId="3-SubsectionHeading">
    <w:name w:val="3-Subsection Heading"/>
    <w:basedOn w:val="Heading2"/>
    <w:next w:val="Normal"/>
    <w:link w:val="3-SubsectionHeadingChar"/>
    <w:qFormat/>
    <w:rsid w:val="00FF02EE"/>
    <w:pPr>
      <w:keepNext/>
      <w:spacing w:before="120" w:after="120"/>
      <w:outlineLvl w:val="9"/>
    </w:pPr>
    <w:rPr>
      <w:rFonts w:eastAsiaTheme="majorEastAsia" w:cstheme="majorBidi"/>
      <w:spacing w:val="5"/>
      <w:kern w:val="28"/>
      <w:szCs w:val="36"/>
      <w:lang w:eastAsia="en-US"/>
    </w:rPr>
  </w:style>
  <w:style w:type="character" w:customStyle="1" w:styleId="3-SubsectionHeadingChar">
    <w:name w:val="3-Subsection Heading Char"/>
    <w:basedOn w:val="Heading2Char"/>
    <w:link w:val="3-SubsectionHeading"/>
    <w:rsid w:val="00FF02EE"/>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700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9612395">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07306782">
      <w:bodyDiv w:val="1"/>
      <w:marLeft w:val="0"/>
      <w:marRight w:val="0"/>
      <w:marTop w:val="0"/>
      <w:marBottom w:val="0"/>
      <w:divBdr>
        <w:top w:val="none" w:sz="0" w:space="0" w:color="auto"/>
        <w:left w:val="none" w:sz="0" w:space="0" w:color="auto"/>
        <w:bottom w:val="none" w:sz="0" w:space="0" w:color="auto"/>
        <w:right w:val="none" w:sz="0" w:space="0" w:color="auto"/>
      </w:divBdr>
    </w:div>
    <w:div w:id="240410504">
      <w:bodyDiv w:val="1"/>
      <w:marLeft w:val="0"/>
      <w:marRight w:val="0"/>
      <w:marTop w:val="0"/>
      <w:marBottom w:val="0"/>
      <w:divBdr>
        <w:top w:val="none" w:sz="0" w:space="0" w:color="auto"/>
        <w:left w:val="none" w:sz="0" w:space="0" w:color="auto"/>
        <w:bottom w:val="none" w:sz="0" w:space="0" w:color="auto"/>
        <w:right w:val="none" w:sz="0" w:space="0" w:color="auto"/>
      </w:divBdr>
    </w:div>
    <w:div w:id="244804301">
      <w:bodyDiv w:val="1"/>
      <w:marLeft w:val="0"/>
      <w:marRight w:val="0"/>
      <w:marTop w:val="0"/>
      <w:marBottom w:val="0"/>
      <w:divBdr>
        <w:top w:val="none" w:sz="0" w:space="0" w:color="auto"/>
        <w:left w:val="none" w:sz="0" w:space="0" w:color="auto"/>
        <w:bottom w:val="none" w:sz="0" w:space="0" w:color="auto"/>
        <w:right w:val="none" w:sz="0" w:space="0" w:color="auto"/>
      </w:divBdr>
    </w:div>
    <w:div w:id="268436801">
      <w:bodyDiv w:val="1"/>
      <w:marLeft w:val="0"/>
      <w:marRight w:val="0"/>
      <w:marTop w:val="0"/>
      <w:marBottom w:val="0"/>
      <w:divBdr>
        <w:top w:val="none" w:sz="0" w:space="0" w:color="auto"/>
        <w:left w:val="none" w:sz="0" w:space="0" w:color="auto"/>
        <w:bottom w:val="none" w:sz="0" w:space="0" w:color="auto"/>
        <w:right w:val="none" w:sz="0" w:space="0" w:color="auto"/>
      </w:divBdr>
    </w:div>
    <w:div w:id="30227371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7542451">
      <w:bodyDiv w:val="1"/>
      <w:marLeft w:val="0"/>
      <w:marRight w:val="0"/>
      <w:marTop w:val="0"/>
      <w:marBottom w:val="0"/>
      <w:divBdr>
        <w:top w:val="none" w:sz="0" w:space="0" w:color="auto"/>
        <w:left w:val="none" w:sz="0" w:space="0" w:color="auto"/>
        <w:bottom w:val="none" w:sz="0" w:space="0" w:color="auto"/>
        <w:right w:val="none" w:sz="0" w:space="0" w:color="auto"/>
      </w:divBdr>
    </w:div>
    <w:div w:id="340085663">
      <w:bodyDiv w:val="1"/>
      <w:marLeft w:val="0"/>
      <w:marRight w:val="0"/>
      <w:marTop w:val="0"/>
      <w:marBottom w:val="0"/>
      <w:divBdr>
        <w:top w:val="none" w:sz="0" w:space="0" w:color="auto"/>
        <w:left w:val="none" w:sz="0" w:space="0" w:color="auto"/>
        <w:bottom w:val="none" w:sz="0" w:space="0" w:color="auto"/>
        <w:right w:val="none" w:sz="0" w:space="0" w:color="auto"/>
      </w:divBdr>
    </w:div>
    <w:div w:id="427429956">
      <w:bodyDiv w:val="1"/>
      <w:marLeft w:val="0"/>
      <w:marRight w:val="0"/>
      <w:marTop w:val="0"/>
      <w:marBottom w:val="0"/>
      <w:divBdr>
        <w:top w:val="none" w:sz="0" w:space="0" w:color="auto"/>
        <w:left w:val="none" w:sz="0" w:space="0" w:color="auto"/>
        <w:bottom w:val="none" w:sz="0" w:space="0" w:color="auto"/>
        <w:right w:val="none" w:sz="0" w:space="0" w:color="auto"/>
      </w:divBdr>
    </w:div>
    <w:div w:id="467363828">
      <w:bodyDiv w:val="1"/>
      <w:marLeft w:val="0"/>
      <w:marRight w:val="0"/>
      <w:marTop w:val="0"/>
      <w:marBottom w:val="0"/>
      <w:divBdr>
        <w:top w:val="none" w:sz="0" w:space="0" w:color="auto"/>
        <w:left w:val="none" w:sz="0" w:space="0" w:color="auto"/>
        <w:bottom w:val="none" w:sz="0" w:space="0" w:color="auto"/>
        <w:right w:val="none" w:sz="0" w:space="0" w:color="auto"/>
      </w:divBdr>
    </w:div>
    <w:div w:id="658651321">
      <w:bodyDiv w:val="1"/>
      <w:marLeft w:val="0"/>
      <w:marRight w:val="0"/>
      <w:marTop w:val="0"/>
      <w:marBottom w:val="0"/>
      <w:divBdr>
        <w:top w:val="none" w:sz="0" w:space="0" w:color="auto"/>
        <w:left w:val="none" w:sz="0" w:space="0" w:color="auto"/>
        <w:bottom w:val="none" w:sz="0" w:space="0" w:color="auto"/>
        <w:right w:val="none" w:sz="0" w:space="0" w:color="auto"/>
      </w:divBdr>
    </w:div>
    <w:div w:id="696155299">
      <w:bodyDiv w:val="1"/>
      <w:marLeft w:val="0"/>
      <w:marRight w:val="0"/>
      <w:marTop w:val="0"/>
      <w:marBottom w:val="0"/>
      <w:divBdr>
        <w:top w:val="none" w:sz="0" w:space="0" w:color="auto"/>
        <w:left w:val="none" w:sz="0" w:space="0" w:color="auto"/>
        <w:bottom w:val="none" w:sz="0" w:space="0" w:color="auto"/>
        <w:right w:val="none" w:sz="0" w:space="0" w:color="auto"/>
      </w:divBdr>
    </w:div>
    <w:div w:id="716898472">
      <w:bodyDiv w:val="1"/>
      <w:marLeft w:val="0"/>
      <w:marRight w:val="0"/>
      <w:marTop w:val="0"/>
      <w:marBottom w:val="0"/>
      <w:divBdr>
        <w:top w:val="none" w:sz="0" w:space="0" w:color="auto"/>
        <w:left w:val="none" w:sz="0" w:space="0" w:color="auto"/>
        <w:bottom w:val="none" w:sz="0" w:space="0" w:color="auto"/>
        <w:right w:val="none" w:sz="0" w:space="0" w:color="auto"/>
      </w:divBdr>
    </w:div>
    <w:div w:id="752703694">
      <w:bodyDiv w:val="1"/>
      <w:marLeft w:val="0"/>
      <w:marRight w:val="0"/>
      <w:marTop w:val="0"/>
      <w:marBottom w:val="0"/>
      <w:divBdr>
        <w:top w:val="none" w:sz="0" w:space="0" w:color="auto"/>
        <w:left w:val="none" w:sz="0" w:space="0" w:color="auto"/>
        <w:bottom w:val="none" w:sz="0" w:space="0" w:color="auto"/>
        <w:right w:val="none" w:sz="0" w:space="0" w:color="auto"/>
      </w:divBdr>
    </w:div>
    <w:div w:id="81291648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52768108">
      <w:bodyDiv w:val="1"/>
      <w:marLeft w:val="0"/>
      <w:marRight w:val="0"/>
      <w:marTop w:val="0"/>
      <w:marBottom w:val="0"/>
      <w:divBdr>
        <w:top w:val="none" w:sz="0" w:space="0" w:color="auto"/>
        <w:left w:val="none" w:sz="0" w:space="0" w:color="auto"/>
        <w:bottom w:val="none" w:sz="0" w:space="0" w:color="auto"/>
        <w:right w:val="none" w:sz="0" w:space="0" w:color="auto"/>
      </w:divBdr>
    </w:div>
    <w:div w:id="935867897">
      <w:bodyDiv w:val="1"/>
      <w:marLeft w:val="0"/>
      <w:marRight w:val="0"/>
      <w:marTop w:val="0"/>
      <w:marBottom w:val="0"/>
      <w:divBdr>
        <w:top w:val="none" w:sz="0" w:space="0" w:color="auto"/>
        <w:left w:val="none" w:sz="0" w:space="0" w:color="auto"/>
        <w:bottom w:val="none" w:sz="0" w:space="0" w:color="auto"/>
        <w:right w:val="none" w:sz="0" w:space="0" w:color="auto"/>
      </w:divBdr>
    </w:div>
    <w:div w:id="1048409800">
      <w:bodyDiv w:val="1"/>
      <w:marLeft w:val="0"/>
      <w:marRight w:val="0"/>
      <w:marTop w:val="0"/>
      <w:marBottom w:val="0"/>
      <w:divBdr>
        <w:top w:val="none" w:sz="0" w:space="0" w:color="auto"/>
        <w:left w:val="none" w:sz="0" w:space="0" w:color="auto"/>
        <w:bottom w:val="none" w:sz="0" w:space="0" w:color="auto"/>
        <w:right w:val="none" w:sz="0" w:space="0" w:color="auto"/>
      </w:divBdr>
    </w:div>
    <w:div w:id="1147933760">
      <w:bodyDiv w:val="1"/>
      <w:marLeft w:val="0"/>
      <w:marRight w:val="0"/>
      <w:marTop w:val="0"/>
      <w:marBottom w:val="0"/>
      <w:divBdr>
        <w:top w:val="none" w:sz="0" w:space="0" w:color="auto"/>
        <w:left w:val="none" w:sz="0" w:space="0" w:color="auto"/>
        <w:bottom w:val="none" w:sz="0" w:space="0" w:color="auto"/>
        <w:right w:val="none" w:sz="0" w:space="0" w:color="auto"/>
      </w:divBdr>
    </w:div>
    <w:div w:id="114939746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2747966">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21277770">
      <w:bodyDiv w:val="1"/>
      <w:marLeft w:val="0"/>
      <w:marRight w:val="0"/>
      <w:marTop w:val="0"/>
      <w:marBottom w:val="0"/>
      <w:divBdr>
        <w:top w:val="none" w:sz="0" w:space="0" w:color="auto"/>
        <w:left w:val="none" w:sz="0" w:space="0" w:color="auto"/>
        <w:bottom w:val="none" w:sz="0" w:space="0" w:color="auto"/>
        <w:right w:val="none" w:sz="0" w:space="0" w:color="auto"/>
      </w:divBdr>
    </w:div>
    <w:div w:id="1453329762">
      <w:bodyDiv w:val="1"/>
      <w:marLeft w:val="0"/>
      <w:marRight w:val="0"/>
      <w:marTop w:val="0"/>
      <w:marBottom w:val="0"/>
      <w:divBdr>
        <w:top w:val="none" w:sz="0" w:space="0" w:color="auto"/>
        <w:left w:val="none" w:sz="0" w:space="0" w:color="auto"/>
        <w:bottom w:val="none" w:sz="0" w:space="0" w:color="auto"/>
        <w:right w:val="none" w:sz="0" w:space="0" w:color="auto"/>
      </w:divBdr>
    </w:div>
    <w:div w:id="1578828197">
      <w:bodyDiv w:val="1"/>
      <w:marLeft w:val="0"/>
      <w:marRight w:val="0"/>
      <w:marTop w:val="0"/>
      <w:marBottom w:val="0"/>
      <w:divBdr>
        <w:top w:val="none" w:sz="0" w:space="0" w:color="auto"/>
        <w:left w:val="none" w:sz="0" w:space="0" w:color="auto"/>
        <w:bottom w:val="none" w:sz="0" w:space="0" w:color="auto"/>
        <w:right w:val="none" w:sz="0" w:space="0" w:color="auto"/>
      </w:divBdr>
    </w:div>
    <w:div w:id="1585802150">
      <w:bodyDiv w:val="1"/>
      <w:marLeft w:val="0"/>
      <w:marRight w:val="0"/>
      <w:marTop w:val="0"/>
      <w:marBottom w:val="0"/>
      <w:divBdr>
        <w:top w:val="none" w:sz="0" w:space="0" w:color="auto"/>
        <w:left w:val="none" w:sz="0" w:space="0" w:color="auto"/>
        <w:bottom w:val="none" w:sz="0" w:space="0" w:color="auto"/>
        <w:right w:val="none" w:sz="0" w:space="0" w:color="auto"/>
      </w:divBdr>
    </w:div>
    <w:div w:id="1639532118">
      <w:bodyDiv w:val="1"/>
      <w:marLeft w:val="0"/>
      <w:marRight w:val="0"/>
      <w:marTop w:val="0"/>
      <w:marBottom w:val="0"/>
      <w:divBdr>
        <w:top w:val="none" w:sz="0" w:space="0" w:color="auto"/>
        <w:left w:val="none" w:sz="0" w:space="0" w:color="auto"/>
        <w:bottom w:val="none" w:sz="0" w:space="0" w:color="auto"/>
        <w:right w:val="none" w:sz="0" w:space="0" w:color="auto"/>
      </w:divBdr>
    </w:div>
    <w:div w:id="1770467712">
      <w:bodyDiv w:val="1"/>
      <w:marLeft w:val="0"/>
      <w:marRight w:val="0"/>
      <w:marTop w:val="0"/>
      <w:marBottom w:val="0"/>
      <w:divBdr>
        <w:top w:val="none" w:sz="0" w:space="0" w:color="auto"/>
        <w:left w:val="none" w:sz="0" w:space="0" w:color="auto"/>
        <w:bottom w:val="none" w:sz="0" w:space="0" w:color="auto"/>
        <w:right w:val="none" w:sz="0" w:space="0" w:color="auto"/>
      </w:divBdr>
    </w:div>
    <w:div w:id="1788699131">
      <w:bodyDiv w:val="1"/>
      <w:marLeft w:val="0"/>
      <w:marRight w:val="0"/>
      <w:marTop w:val="0"/>
      <w:marBottom w:val="0"/>
      <w:divBdr>
        <w:top w:val="none" w:sz="0" w:space="0" w:color="auto"/>
        <w:left w:val="none" w:sz="0" w:space="0" w:color="auto"/>
        <w:bottom w:val="none" w:sz="0" w:space="0" w:color="auto"/>
        <w:right w:val="none" w:sz="0" w:space="0" w:color="auto"/>
      </w:divBdr>
    </w:div>
    <w:div w:id="1832794203">
      <w:bodyDiv w:val="1"/>
      <w:marLeft w:val="0"/>
      <w:marRight w:val="0"/>
      <w:marTop w:val="0"/>
      <w:marBottom w:val="0"/>
      <w:divBdr>
        <w:top w:val="none" w:sz="0" w:space="0" w:color="auto"/>
        <w:left w:val="none" w:sz="0" w:space="0" w:color="auto"/>
        <w:bottom w:val="none" w:sz="0" w:space="0" w:color="auto"/>
        <w:right w:val="none" w:sz="0" w:space="0" w:color="auto"/>
      </w:divBdr>
    </w:div>
    <w:div w:id="1857887776">
      <w:bodyDiv w:val="1"/>
      <w:marLeft w:val="0"/>
      <w:marRight w:val="0"/>
      <w:marTop w:val="0"/>
      <w:marBottom w:val="0"/>
      <w:divBdr>
        <w:top w:val="none" w:sz="0" w:space="0" w:color="auto"/>
        <w:left w:val="none" w:sz="0" w:space="0" w:color="auto"/>
        <w:bottom w:val="none" w:sz="0" w:space="0" w:color="auto"/>
        <w:right w:val="none" w:sz="0" w:space="0" w:color="auto"/>
      </w:divBdr>
    </w:div>
    <w:div w:id="1898474216">
      <w:bodyDiv w:val="1"/>
      <w:marLeft w:val="0"/>
      <w:marRight w:val="0"/>
      <w:marTop w:val="0"/>
      <w:marBottom w:val="0"/>
      <w:divBdr>
        <w:top w:val="none" w:sz="0" w:space="0" w:color="auto"/>
        <w:left w:val="none" w:sz="0" w:space="0" w:color="auto"/>
        <w:bottom w:val="none" w:sz="0" w:space="0" w:color="auto"/>
        <w:right w:val="none" w:sz="0" w:space="0" w:color="auto"/>
      </w:divBdr>
    </w:div>
    <w:div w:id="189878064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pbs.gov.au/industry/listing/elements/pbac-meetings/pbac-stakeholder-meetings/Multiple-Myeloma-Meeting-Outcome-Statement.pdf" TargetMode="External"/><Relationship Id="rId1" Type="http://schemas.openxmlformats.org/officeDocument/2006/relationships/hyperlink" Target="https://www.pbs.gov.au/info/industry/listing/elements/pbac-meetings/psd/2025-03/elranatamab-psd-March-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f95629-adac-4ec1-8738-e1cec852b92b" xsi:nil="true"/>
    <lcf76f155ced4ddcb4097134ff3c332f xmlns="7f856f8d-13b3-495a-9a4b-41f8182eda4c">
      <Terms xmlns="http://schemas.microsoft.com/office/infopath/2007/PartnerControls"/>
    </lcf76f155ced4ddcb4097134ff3c332f>
    <Datecreated xmlns="7f856f8d-13b3-495a-9a4b-41f8182eda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A8779-F3F5-4D7A-899E-69D572B84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F3C56-59F5-488E-BC11-0EC9D4BD9046}">
  <ds:schemaRefs>
    <ds:schemaRef ds:uri="http://schemas.microsoft.com/office/2006/metadata/properties"/>
    <ds:schemaRef ds:uri="http://schemas.microsoft.com/office/infopath/2007/PartnerControls"/>
    <ds:schemaRef ds:uri="72f95629-adac-4ec1-8738-e1cec852b92b"/>
    <ds:schemaRef ds:uri="7f856f8d-13b3-495a-9a4b-41f8182eda4c"/>
  </ds:schemaRefs>
</ds:datastoreItem>
</file>

<file path=customXml/itemProps3.xml><?xml version="1.0" encoding="utf-8"?>
<ds:datastoreItem xmlns:ds="http://schemas.openxmlformats.org/officeDocument/2006/customXml" ds:itemID="{825BEFC5-4542-4A08-BCAD-663B5FC0F852}">
  <ds:schemaRefs>
    <ds:schemaRef ds:uri="http://schemas.microsoft.com/sharepoint/v3/contenttype/forms"/>
  </ds:schemaRefs>
</ds:datastoreItem>
</file>

<file path=customXml/itemProps4.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41</Pages>
  <Words>18887</Words>
  <Characters>104639</Characters>
  <Application>Microsoft Office Word</Application>
  <DocSecurity>0</DocSecurity>
  <Lines>2906</Lines>
  <Paragraphs>1871</Paragraphs>
  <ScaleCrop>false</ScaleCrop>
  <Company/>
  <LinksUpToDate>false</LinksUpToDate>
  <CharactersWithSpaces>121655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2026-05-25T00:15:00Z</dcterms:created>
  <dcterms:modified xsi:type="dcterms:W3CDTF">2026-07-06T06:28:00Z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3c7e464f,19fcf4b7,5811b2cf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2a403030,6d3155d2,796191ef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2026-03-31T22:01:27Z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4506e88e-220c-403a-9cfe-f137816c444e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454fd80-e2ff-40dc-a7ce-a8751429c4f7_SiteId">
    <vt:lpwstr>e8911c26-cf9f-4a9c-878e-527807be8791</vt:lpwstr>
  </property>
  <property fmtid="{D5CDD505-2E9C-101B-9397-08002B2CF9AE}" pid="17" name="MSIP_Label_7cd3e8b9-ffed-43a8-b7f4-cc2fa0382d36_Removed">
    <vt:lpwstr>False</vt:lpwstr>
  </property>
  <property fmtid="{D5CDD505-2E9C-101B-9397-08002B2CF9AE}" pid="18" name="MSIP_Label_7454fd80-e2ff-40dc-a7ce-a8751429c4f7_Method">
    <vt:lpwstr>Privileged</vt:lpwstr>
  </property>
  <property fmtid="{D5CDD505-2E9C-101B-9397-08002B2CF9AE}" pid="19" name="MSIP_Label_7454fd80-e2ff-40dc-a7ce-a8751429c4f7_ContentBits">
    <vt:lpwstr>0</vt:lpwstr>
  </property>
  <property fmtid="{D5CDD505-2E9C-101B-9397-08002B2CF9AE}" pid="20" name="Order">
    <vt:r8>55070100</vt:r8>
  </property>
  <property fmtid="{D5CDD505-2E9C-101B-9397-08002B2CF9AE}" pid="21" name="MSIP_Label_7454fd80-e2ff-40dc-a7ce-a8751429c4f7_ActionId">
    <vt:lpwstr>8880a568-1d7e-4a65-8c5a-bee50a28aaf6</vt:lpwstr>
  </property>
  <property fmtid="{D5CDD505-2E9C-101B-9397-08002B2CF9AE}" pid="22" name="MediaServiceImageTags">
    <vt:lpwstr/>
  </property>
  <property fmtid="{D5CDD505-2E9C-101B-9397-08002B2CF9AE}" pid="23" name="xd_ProgID">
    <vt:lpwstr/>
  </property>
  <property fmtid="{D5CDD505-2E9C-101B-9397-08002B2CF9AE}" pid="24" name="ContentTypeId">
    <vt:lpwstr>0x0101007FED174C5281F747A8037A05221D6DBD</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docLang">
    <vt:lpwstr>en</vt:lpwstr>
  </property>
  <property fmtid="{D5CDD505-2E9C-101B-9397-08002B2CF9AE}" pid="29" name="MSIP_Label_7cd3e8b9-ffed-43a8-b7f4-cc2fa0382d36_Extended_MSFT_Method">
    <vt:lpwstr>Standard</vt:lpwstr>
  </property>
  <property fmtid="{D5CDD505-2E9C-101B-9397-08002B2CF9AE}" pid="30" name="xd_Signature">
    <vt:bool>false</vt:bool>
  </property>
  <property fmtid="{D5CDD505-2E9C-101B-9397-08002B2CF9AE}" pid="31" name="MSIP_Label_7454fd80-e2ff-40dc-a7ce-a8751429c4f7_Name">
    <vt:lpwstr>UTS-Confidential</vt:lpwstr>
  </property>
  <property fmtid="{D5CDD505-2E9C-101B-9397-08002B2CF9AE}" pid="32" name="MSIP_Label_7454fd80-e2ff-40dc-a7ce-a8751429c4f7_Enabled">
    <vt:lpwstr>true</vt:lpwstr>
  </property>
  <property fmtid="{D5CDD505-2E9C-101B-9397-08002B2CF9AE}" pid="33" name="MSIP_Label_7454fd80-e2ff-40dc-a7ce-a8751429c4f7_Tag">
    <vt:lpwstr>10, 2, 1, 1</vt:lpwstr>
  </property>
  <property fmtid="{D5CDD505-2E9C-101B-9397-08002B2CF9AE}" pid="34" name="MSIP_Label_7454fd80-e2ff-40dc-a7ce-a8751429c4f7_SetDate">
    <vt:lpwstr>2026-01-01T16:48:07Z</vt:lpwstr>
  </property>
  <property fmtid="{D5CDD505-2E9C-101B-9397-08002B2CF9AE}" pid="35" name="TriggerFlowInfo">
    <vt:lpwstr/>
  </property>
</Properties>
</file>