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F579" w14:textId="6FFDCAFF" w:rsidR="00E554D3" w:rsidRDefault="00E554D3" w:rsidP="00E554D3">
      <w:pPr>
        <w:pStyle w:val="1-MainHeading"/>
      </w:pPr>
      <w:bookmarkStart w:id="0" w:name="_Toc216947681"/>
      <w:bookmarkStart w:id="1" w:name="_Toc380679747"/>
      <w:bookmarkStart w:id="2" w:name="_Toc380742604"/>
      <w:bookmarkStart w:id="3" w:name="_Toc380746171"/>
      <w:bookmarkStart w:id="4" w:name="_Toc380746294"/>
      <w:bookmarkStart w:id="5" w:name="_Toc380746578"/>
      <w:r>
        <w:t>6</w:t>
      </w:r>
      <w:r w:rsidRPr="0098262F">
        <w:t>.</w:t>
      </w:r>
      <w:r>
        <w:t>20</w:t>
      </w:r>
      <w:r w:rsidRPr="0098262F">
        <w:tab/>
      </w:r>
      <w:r>
        <w:t>TILDRAKIZUMAB</w:t>
      </w:r>
      <w:r w:rsidRPr="0098262F">
        <w:t>,</w:t>
      </w:r>
      <w:r w:rsidRPr="0098262F">
        <w:br/>
      </w:r>
      <w:r w:rsidRPr="00191EF7">
        <w:t>Injection 100 mg in 1 mL single dose pre</w:t>
      </w:r>
      <w:r w:rsidR="005F1191">
        <w:noBreakHyphen/>
      </w:r>
      <w:r w:rsidRPr="00191EF7">
        <w:t>filled syringe</w:t>
      </w:r>
      <w:r w:rsidR="00BD0A0B">
        <w:t>,</w:t>
      </w:r>
      <w:r w:rsidRPr="00191EF7">
        <w:t xml:space="preserve"> </w:t>
      </w:r>
      <w:r w:rsidRPr="0098262F">
        <w:br/>
      </w:r>
      <w:proofErr w:type="spellStart"/>
      <w:r>
        <w:t>Ilumya</w:t>
      </w:r>
      <w:proofErr w:type="spellEnd"/>
      <w:r w:rsidRPr="0098262F">
        <w:rPr>
          <w:vertAlign w:val="superscript"/>
        </w:rPr>
        <w:t>®</w:t>
      </w:r>
      <w:r w:rsidRPr="0098262F">
        <w:t>,</w:t>
      </w:r>
      <w:r w:rsidRPr="0098262F">
        <w:br/>
      </w:r>
      <w:r w:rsidR="001A516D" w:rsidRPr="00ED14B2">
        <w:t>Sun Pharma</w:t>
      </w:r>
      <w:bookmarkEnd w:id="0"/>
    </w:p>
    <w:p w14:paraId="11C00795" w14:textId="7F0407CF" w:rsidR="00B50DB8" w:rsidRPr="0098262F" w:rsidRDefault="00CD1CEE" w:rsidP="00CD1CEE">
      <w:pPr>
        <w:pStyle w:val="2-SectionHeading"/>
        <w:ind w:left="720" w:hanging="720"/>
      </w:pPr>
      <w:bookmarkStart w:id="6" w:name="_Toc216947683"/>
      <w:bookmarkEnd w:id="1"/>
      <w:bookmarkEnd w:id="2"/>
      <w:bookmarkEnd w:id="3"/>
      <w:bookmarkEnd w:id="4"/>
      <w:bookmarkEnd w:id="5"/>
      <w:r>
        <w:t>1</w:t>
      </w:r>
      <w:r>
        <w:tab/>
      </w:r>
      <w:r w:rsidR="00B50DB8" w:rsidRPr="0098262F">
        <w:t xml:space="preserve">Purpose of </w:t>
      </w:r>
      <w:r w:rsidR="00CD7193" w:rsidRPr="0098262F">
        <w:t>s</w:t>
      </w:r>
      <w:r w:rsidR="00BB3A45" w:rsidRPr="0098262F">
        <w:t>ubmission</w:t>
      </w:r>
      <w:bookmarkEnd w:id="6"/>
    </w:p>
    <w:p w14:paraId="19414AA1" w14:textId="1E843195" w:rsidR="002C2775" w:rsidRPr="0098262F" w:rsidRDefault="007170DA" w:rsidP="004E18E9">
      <w:pPr>
        <w:pStyle w:val="3-BodyText"/>
      </w:pPr>
      <w:r w:rsidRPr="0098262F">
        <w:t xml:space="preserve">The </w:t>
      </w:r>
      <w:r w:rsidR="00F73E08" w:rsidRPr="0098262F">
        <w:t xml:space="preserve">Category </w:t>
      </w:r>
      <w:r w:rsidR="007D4AEB">
        <w:t>3</w:t>
      </w:r>
      <w:r w:rsidR="00F73E08" w:rsidRPr="0098262F">
        <w:t xml:space="preserve"> </w:t>
      </w:r>
      <w:r w:rsidRPr="0098262F">
        <w:t xml:space="preserve">submission requested </w:t>
      </w:r>
      <w:r w:rsidR="00B43658">
        <w:t xml:space="preserve">an </w:t>
      </w:r>
      <w:r w:rsidR="008B1757" w:rsidRPr="0098262F">
        <w:t>Authority Required</w:t>
      </w:r>
      <w:r w:rsidR="007D4AEB">
        <w:t xml:space="preserve"> </w:t>
      </w:r>
      <w:r w:rsidR="008B1757" w:rsidRPr="0098262F">
        <w:t xml:space="preserve">listing for </w:t>
      </w:r>
      <w:r w:rsidR="007D4AEB">
        <w:t xml:space="preserve">tildrakizumab </w:t>
      </w:r>
      <w:r w:rsidR="00841F61">
        <w:t xml:space="preserve">(TIL) </w:t>
      </w:r>
      <w:r w:rsidR="007D4AEB">
        <w:t>200</w:t>
      </w:r>
      <w:r w:rsidR="00FE6314">
        <w:t xml:space="preserve"> </w:t>
      </w:r>
      <w:r w:rsidR="007D4AEB">
        <w:t>mg</w:t>
      </w:r>
      <w:r w:rsidR="008B1757" w:rsidRPr="0098262F">
        <w:t xml:space="preserve"> for </w:t>
      </w:r>
      <w:r w:rsidR="0050174E" w:rsidRPr="0098262F">
        <w:t xml:space="preserve">the </w:t>
      </w:r>
      <w:r w:rsidR="007D4AEB">
        <w:t xml:space="preserve">continuing </w:t>
      </w:r>
      <w:r w:rsidR="008B1757" w:rsidRPr="0098262F">
        <w:t xml:space="preserve">treatment of </w:t>
      </w:r>
      <w:r w:rsidR="007D4AEB">
        <w:t>adults with severe chronic plaque psoriasis.</w:t>
      </w:r>
      <w:r w:rsidR="00A83A13">
        <w:t xml:space="preserve"> This new listing is a request to increase the pack size and dos</w:t>
      </w:r>
      <w:r w:rsidR="00160EB5">
        <w:t>e</w:t>
      </w:r>
      <w:r w:rsidR="00A83A13">
        <w:t xml:space="preserve"> of </w:t>
      </w:r>
      <w:r w:rsidR="002F38C6">
        <w:t>the existing TIL 100 mg PBS listings.</w:t>
      </w:r>
    </w:p>
    <w:p w14:paraId="4E9FBCB5" w14:textId="73EA790B" w:rsidR="00C2778B" w:rsidRPr="0098262F" w:rsidRDefault="005750C5" w:rsidP="004E18E9">
      <w:pPr>
        <w:pStyle w:val="3-BodyText"/>
      </w:pPr>
      <w:r w:rsidRPr="0098262F">
        <w:t xml:space="preserve">Listing was requested </w:t>
      </w:r>
      <w:proofErr w:type="gramStart"/>
      <w:r w:rsidRPr="0098262F">
        <w:t>on the basis of</w:t>
      </w:r>
      <w:proofErr w:type="gramEnd"/>
      <w:r w:rsidRPr="0098262F">
        <w:t xml:space="preserve"> a cost</w:t>
      </w:r>
      <w:r w:rsidR="005F1191">
        <w:noBreakHyphen/>
      </w:r>
      <w:r w:rsidRPr="0098262F">
        <w:t>minimisation</w:t>
      </w:r>
      <w:r w:rsidR="001D71F4" w:rsidRPr="0098262F">
        <w:t xml:space="preserve"> approach</w:t>
      </w:r>
      <w:r w:rsidR="007D4AEB">
        <w:t xml:space="preserve"> vs tildrakizumab 100</w:t>
      </w:r>
      <w:r w:rsidR="00FE6314">
        <w:t xml:space="preserve"> </w:t>
      </w:r>
      <w:r w:rsidR="007D4AEB">
        <w:t xml:space="preserve">mg. </w:t>
      </w:r>
    </w:p>
    <w:p w14:paraId="3718DE61" w14:textId="07AA0606" w:rsidR="008B1757" w:rsidRPr="0098262F" w:rsidRDefault="00696EF9" w:rsidP="004A6040">
      <w:pPr>
        <w:pStyle w:val="TableFigureHeading"/>
        <w:rPr>
          <w:rStyle w:val="CommentReference"/>
          <w:b/>
          <w:szCs w:val="24"/>
        </w:rPr>
      </w:pPr>
      <w:r w:rsidRPr="0098262F">
        <w:t xml:space="preserve">Table </w:t>
      </w:r>
      <w:fldSimple w:instr=" SEQ Table \* ARABIC ">
        <w:r w:rsidR="00E44DA7">
          <w:rPr>
            <w:noProof/>
          </w:rPr>
          <w:t>1</w:t>
        </w:r>
      </w:fldSimple>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40"/>
        <w:gridCol w:w="7742"/>
      </w:tblGrid>
      <w:tr w:rsidR="008B1757" w:rsidRPr="0098262F" w14:paraId="569F5103" w14:textId="77777777" w:rsidTr="001B3B0C">
        <w:trPr>
          <w:cantSplit/>
          <w:tblHeader/>
        </w:trPr>
        <w:tc>
          <w:tcPr>
            <w:tcW w:w="784" w:type="pct"/>
          </w:tcPr>
          <w:p w14:paraId="501803FB" w14:textId="77777777" w:rsidR="008B1757" w:rsidRPr="0098262F" w:rsidRDefault="008B1757" w:rsidP="00E047B4">
            <w:pPr>
              <w:pStyle w:val="In-tableHeading"/>
              <w:rPr>
                <w:szCs w:val="20"/>
              </w:rPr>
            </w:pPr>
            <w:r w:rsidRPr="0098262F">
              <w:t>Component</w:t>
            </w:r>
          </w:p>
        </w:tc>
        <w:tc>
          <w:tcPr>
            <w:tcW w:w="4216" w:type="pct"/>
          </w:tcPr>
          <w:p w14:paraId="445D9EBB" w14:textId="77777777" w:rsidR="008B1757" w:rsidRPr="0098262F" w:rsidRDefault="008B1757" w:rsidP="00E047B4">
            <w:pPr>
              <w:pStyle w:val="In-tableHeading"/>
            </w:pPr>
            <w:r w:rsidRPr="0098262F">
              <w:t>Description</w:t>
            </w:r>
          </w:p>
        </w:tc>
      </w:tr>
      <w:tr w:rsidR="008B1757" w:rsidRPr="0098262F" w14:paraId="2EB546E2" w14:textId="77777777" w:rsidTr="001B3B0C">
        <w:trPr>
          <w:cantSplit/>
        </w:trPr>
        <w:tc>
          <w:tcPr>
            <w:tcW w:w="784" w:type="pct"/>
          </w:tcPr>
          <w:p w14:paraId="38F3BB34" w14:textId="77777777" w:rsidR="008B1757" w:rsidRPr="0098262F" w:rsidRDefault="008B1757" w:rsidP="007D4AEB">
            <w:pPr>
              <w:pStyle w:val="TableText0"/>
            </w:pPr>
            <w:r w:rsidRPr="0098262F">
              <w:t>Population</w:t>
            </w:r>
          </w:p>
        </w:tc>
        <w:tc>
          <w:tcPr>
            <w:tcW w:w="4216" w:type="pct"/>
          </w:tcPr>
          <w:p w14:paraId="79618EEE" w14:textId="50D59ACA" w:rsidR="00233C01" w:rsidRPr="0098262F" w:rsidRDefault="007D4AEB" w:rsidP="007D4AEB">
            <w:pPr>
              <w:pStyle w:val="TableText0"/>
            </w:pPr>
            <w:r>
              <w:t>Adults with severe chronic plaque psoriasis who have achieved at least a PASI75 response with tildrakizumab 100</w:t>
            </w:r>
            <w:r w:rsidR="00FE6314">
              <w:t xml:space="preserve"> </w:t>
            </w:r>
            <w:r>
              <w:t>mg</w:t>
            </w:r>
          </w:p>
        </w:tc>
      </w:tr>
      <w:tr w:rsidR="008B1757" w:rsidRPr="0098262F" w14:paraId="0CA523AF" w14:textId="77777777" w:rsidTr="001B3B0C">
        <w:trPr>
          <w:cantSplit/>
        </w:trPr>
        <w:tc>
          <w:tcPr>
            <w:tcW w:w="784" w:type="pct"/>
          </w:tcPr>
          <w:p w14:paraId="7B6D20D8" w14:textId="77777777" w:rsidR="008B1757" w:rsidRPr="0098262F" w:rsidRDefault="008B1757" w:rsidP="007D4AEB">
            <w:pPr>
              <w:pStyle w:val="TableText0"/>
            </w:pPr>
            <w:r w:rsidRPr="0098262F">
              <w:t>Intervention</w:t>
            </w:r>
          </w:p>
        </w:tc>
        <w:tc>
          <w:tcPr>
            <w:tcW w:w="4216" w:type="pct"/>
          </w:tcPr>
          <w:p w14:paraId="2491E905" w14:textId="67D184B8" w:rsidR="00233C01" w:rsidRPr="00160EB5" w:rsidRDefault="007D4AEB" w:rsidP="007D4AEB">
            <w:pPr>
              <w:pStyle w:val="TableText0"/>
            </w:pPr>
            <w:r w:rsidRPr="00160EB5">
              <w:t>Tildrakizumab 200</w:t>
            </w:r>
            <w:r w:rsidR="00FE6314" w:rsidRPr="00160EB5">
              <w:t xml:space="preserve"> </w:t>
            </w:r>
            <w:r w:rsidRPr="00160EB5">
              <w:t>mg Q12 weekly</w:t>
            </w:r>
            <w:r w:rsidR="00B21F17" w:rsidRPr="00160EB5">
              <w:t xml:space="preserve"> </w:t>
            </w:r>
            <w:r w:rsidR="004B5EC5" w:rsidRPr="00160EB5">
              <w:t>(consisting of 2 x 100 mg injections)</w:t>
            </w:r>
          </w:p>
        </w:tc>
      </w:tr>
      <w:tr w:rsidR="008B1757" w:rsidRPr="0098262F" w14:paraId="0F81EBE4" w14:textId="77777777" w:rsidTr="001B3B0C">
        <w:trPr>
          <w:cantSplit/>
        </w:trPr>
        <w:tc>
          <w:tcPr>
            <w:tcW w:w="784" w:type="pct"/>
          </w:tcPr>
          <w:p w14:paraId="3656B343" w14:textId="77777777" w:rsidR="008B1757" w:rsidRPr="0098262F" w:rsidRDefault="008B1757" w:rsidP="007D4AEB">
            <w:pPr>
              <w:pStyle w:val="TableText0"/>
            </w:pPr>
            <w:r w:rsidRPr="0098262F">
              <w:t>Comparator</w:t>
            </w:r>
          </w:p>
        </w:tc>
        <w:tc>
          <w:tcPr>
            <w:tcW w:w="4216" w:type="pct"/>
          </w:tcPr>
          <w:p w14:paraId="3727DE24" w14:textId="2AF5D9D7" w:rsidR="00233C01" w:rsidRPr="0098262F" w:rsidRDefault="007D4AEB" w:rsidP="007D4AEB">
            <w:pPr>
              <w:pStyle w:val="TableText0"/>
            </w:pPr>
            <w:r>
              <w:t>Tildrakizumab 100</w:t>
            </w:r>
            <w:r w:rsidR="00FE6314">
              <w:t xml:space="preserve"> </w:t>
            </w:r>
            <w:r>
              <w:t>mg Q12 weekly</w:t>
            </w:r>
          </w:p>
        </w:tc>
      </w:tr>
      <w:tr w:rsidR="008B1757" w:rsidRPr="0098262F" w14:paraId="02F86F0D" w14:textId="77777777" w:rsidTr="001B3B0C">
        <w:trPr>
          <w:cantSplit/>
        </w:trPr>
        <w:tc>
          <w:tcPr>
            <w:tcW w:w="784" w:type="pct"/>
          </w:tcPr>
          <w:p w14:paraId="06433105" w14:textId="77777777" w:rsidR="008B1757" w:rsidRPr="0098262F" w:rsidRDefault="008B1757" w:rsidP="007D4AEB">
            <w:pPr>
              <w:pStyle w:val="TableText0"/>
            </w:pPr>
            <w:r w:rsidRPr="0098262F">
              <w:t>Outcomes</w:t>
            </w:r>
          </w:p>
        </w:tc>
        <w:tc>
          <w:tcPr>
            <w:tcW w:w="4216" w:type="pct"/>
          </w:tcPr>
          <w:p w14:paraId="5ABC4037" w14:textId="2DA01BDD" w:rsidR="00233C01" w:rsidRPr="0098262F" w:rsidRDefault="007D4AEB" w:rsidP="007D4AEB">
            <w:pPr>
              <w:pStyle w:val="TableText0"/>
              <w:rPr>
                <w:bCs/>
                <w:color w:val="0066FF"/>
              </w:rPr>
            </w:pPr>
            <w:r>
              <w:t>PASI75 at week 28, safety</w:t>
            </w:r>
          </w:p>
        </w:tc>
      </w:tr>
      <w:tr w:rsidR="008B1757" w:rsidRPr="0098262F" w14:paraId="22223890" w14:textId="77777777" w:rsidTr="001B3B0C">
        <w:trPr>
          <w:cantSplit/>
        </w:trPr>
        <w:tc>
          <w:tcPr>
            <w:tcW w:w="784" w:type="pct"/>
          </w:tcPr>
          <w:p w14:paraId="0FC8FCE0" w14:textId="77777777" w:rsidR="008B1757" w:rsidRPr="0098262F" w:rsidRDefault="008B1757" w:rsidP="007D4AEB">
            <w:pPr>
              <w:pStyle w:val="TableText0"/>
            </w:pPr>
            <w:r w:rsidRPr="0098262F">
              <w:t>Clinical claim</w:t>
            </w:r>
          </w:p>
        </w:tc>
        <w:tc>
          <w:tcPr>
            <w:tcW w:w="4216" w:type="pct"/>
          </w:tcPr>
          <w:p w14:paraId="2C99C4DE" w14:textId="7EEC428D" w:rsidR="00233C01" w:rsidRPr="0098262F" w:rsidRDefault="007D4AEB" w:rsidP="007D4AEB">
            <w:pPr>
              <w:pStyle w:val="TableText0"/>
              <w:rPr>
                <w:bCs/>
                <w:color w:val="0066FF"/>
              </w:rPr>
            </w:pPr>
            <w:r>
              <w:t>T</w:t>
            </w:r>
            <w:r w:rsidRPr="007D4AEB">
              <w:t xml:space="preserve">reatment with </w:t>
            </w:r>
            <w:r w:rsidR="00D45F9E">
              <w:t>tildrakizumab</w:t>
            </w:r>
            <w:r w:rsidRPr="007D4AEB">
              <w:t xml:space="preserve"> 200 mg under the continuing treatment PBS restriction is non</w:t>
            </w:r>
            <w:r w:rsidR="005F1191">
              <w:noBreakHyphen/>
            </w:r>
            <w:r w:rsidRPr="007D4AEB">
              <w:t xml:space="preserve">inferior to </w:t>
            </w:r>
            <w:proofErr w:type="spellStart"/>
            <w:r w:rsidR="00D45F9E">
              <w:t>tidrakizumab</w:t>
            </w:r>
            <w:proofErr w:type="spellEnd"/>
            <w:r w:rsidR="00D45F9E" w:rsidRPr="007D4AEB">
              <w:t xml:space="preserve"> </w:t>
            </w:r>
            <w:r w:rsidRPr="007D4AEB">
              <w:t>100 mg in terms of efficacy and safety.</w:t>
            </w:r>
          </w:p>
        </w:tc>
      </w:tr>
    </w:tbl>
    <w:p w14:paraId="527CA7F0" w14:textId="53711355" w:rsidR="004E43B2" w:rsidRDefault="008B1757" w:rsidP="004A6040">
      <w:pPr>
        <w:pStyle w:val="FooterTableFigure"/>
      </w:pPr>
      <w:r w:rsidRPr="0098262F">
        <w:t xml:space="preserve">Source: </w:t>
      </w:r>
      <w:r w:rsidR="007D4AEB">
        <w:t xml:space="preserve">compiled from Section 1 and 2 of the submission as no PICO table was presented. </w:t>
      </w:r>
    </w:p>
    <w:p w14:paraId="76CEE419" w14:textId="545C1FE7" w:rsidR="0096137A" w:rsidRPr="0098262F" w:rsidRDefault="0096137A" w:rsidP="004A6040">
      <w:pPr>
        <w:pStyle w:val="FooterTableFigure"/>
        <w:rPr>
          <w:sz w:val="20"/>
        </w:rPr>
      </w:pPr>
      <w:r>
        <w:t>PASI75</w:t>
      </w:r>
      <w:r w:rsidR="00135C85">
        <w:t xml:space="preserve"> =</w:t>
      </w:r>
      <w:r>
        <w:t xml:space="preserve"> </w:t>
      </w:r>
      <w:r w:rsidR="00135C85">
        <w:t>P</w:t>
      </w:r>
      <w:r w:rsidR="00F0530D">
        <w:t xml:space="preserve">soriasis </w:t>
      </w:r>
      <w:r w:rsidR="00135C85">
        <w:t>A</w:t>
      </w:r>
      <w:r w:rsidR="00F0530D">
        <w:t xml:space="preserve">ctivity and </w:t>
      </w:r>
      <w:r w:rsidR="00135C85">
        <w:t>S</w:t>
      </w:r>
      <w:r w:rsidR="00F0530D">
        <w:t xml:space="preserve">everity </w:t>
      </w:r>
      <w:r w:rsidR="00135C85">
        <w:t>I</w:t>
      </w:r>
      <w:r w:rsidR="00F0530D">
        <w:t xml:space="preserve">ndex </w:t>
      </w:r>
      <w:r w:rsidR="00FB21DA">
        <w:t>score reduced by</w:t>
      </w:r>
      <w:r w:rsidR="00F0530D">
        <w:t xml:space="preserve"> at least 75%</w:t>
      </w:r>
      <w:r w:rsidR="00FB21DA">
        <w:t>; Q = every</w:t>
      </w:r>
    </w:p>
    <w:p w14:paraId="6B4AB6C2" w14:textId="70D5FE06" w:rsidR="005C25FF" w:rsidRPr="0098262F" w:rsidRDefault="00CD1CEE" w:rsidP="004A6040">
      <w:pPr>
        <w:pStyle w:val="2-SectionHeading"/>
      </w:pPr>
      <w:bookmarkStart w:id="7" w:name="_Toc216947684"/>
      <w:r>
        <w:t>2</w:t>
      </w:r>
      <w:r>
        <w:tab/>
      </w:r>
      <w:r w:rsidR="005C25FF" w:rsidRPr="0098262F">
        <w:t>Background</w:t>
      </w:r>
      <w:bookmarkEnd w:id="7"/>
    </w:p>
    <w:p w14:paraId="2C521D6D" w14:textId="78CF03EE" w:rsidR="005C25FF" w:rsidRPr="0098262F" w:rsidRDefault="005C25FF" w:rsidP="004A6040">
      <w:pPr>
        <w:pStyle w:val="4-SubsectionHeading"/>
      </w:pPr>
      <w:bookmarkStart w:id="8" w:name="_Toc22897638"/>
      <w:bookmarkStart w:id="9" w:name="_Toc216947685"/>
      <w:r w:rsidRPr="0098262F">
        <w:t>Registration status</w:t>
      </w:r>
      <w:bookmarkEnd w:id="8"/>
      <w:bookmarkEnd w:id="9"/>
    </w:p>
    <w:p w14:paraId="72912549" w14:textId="70B8973C" w:rsidR="003B0917" w:rsidRDefault="007A5C6C" w:rsidP="002D3E64">
      <w:pPr>
        <w:pStyle w:val="3-BodyText"/>
        <w:numPr>
          <w:ilvl w:val="0"/>
          <w:numId w:val="0"/>
        </w:numPr>
        <w:ind w:left="720" w:hanging="720"/>
      </w:pPr>
      <w:r>
        <w:t>2.1</w:t>
      </w:r>
      <w:r>
        <w:tab/>
      </w:r>
      <w:r w:rsidR="000A658A">
        <w:t>TIL</w:t>
      </w:r>
      <w:r w:rsidR="007D4AEB" w:rsidRPr="007D4AEB">
        <w:t xml:space="preserve"> 100</w:t>
      </w:r>
      <w:r w:rsidR="00FE6314">
        <w:t xml:space="preserve"> </w:t>
      </w:r>
      <w:r w:rsidR="007D4AEB" w:rsidRPr="007D4AEB">
        <w:t xml:space="preserve">mg subcutaneous injection at </w:t>
      </w:r>
      <w:r w:rsidR="00CC66C1">
        <w:t>W</w:t>
      </w:r>
      <w:r w:rsidR="007D4AEB" w:rsidRPr="007D4AEB">
        <w:t>eeks 0</w:t>
      </w:r>
      <w:r w:rsidR="00E149A8">
        <w:t xml:space="preserve"> and</w:t>
      </w:r>
      <w:r w:rsidR="007D4AEB" w:rsidRPr="007D4AEB">
        <w:t xml:space="preserve"> 4 and </w:t>
      </w:r>
      <w:r w:rsidR="002A290F">
        <w:t xml:space="preserve">then </w:t>
      </w:r>
      <w:r w:rsidR="007D4AEB" w:rsidRPr="007D4AEB">
        <w:t xml:space="preserve">every 12 weeks was registered by the TGA on 10 September 2018. The approved indication </w:t>
      </w:r>
      <w:r w:rsidR="005B59A3">
        <w:t>was</w:t>
      </w:r>
      <w:r w:rsidR="005B59A3" w:rsidRPr="007D4AEB">
        <w:t xml:space="preserve"> </w:t>
      </w:r>
      <w:r w:rsidR="007D4AEB">
        <w:t>‘</w:t>
      </w:r>
      <w:r w:rsidR="007D4AEB" w:rsidRPr="007D4AEB">
        <w:t>for the treatment of adults with moderate</w:t>
      </w:r>
      <w:r w:rsidR="005F1191">
        <w:noBreakHyphen/>
      </w:r>
      <w:r w:rsidR="007D4AEB" w:rsidRPr="007D4AEB">
        <w:t>to</w:t>
      </w:r>
      <w:r w:rsidR="005F1191">
        <w:noBreakHyphen/>
      </w:r>
      <w:r w:rsidR="007D4AEB" w:rsidRPr="007D4AEB">
        <w:t>severe plaque psoriasis who are candidates for systemic therapy</w:t>
      </w:r>
      <w:r w:rsidR="007D4AEB">
        <w:t>’</w:t>
      </w:r>
      <w:r w:rsidR="007D4AEB" w:rsidRPr="007D4AEB">
        <w:t xml:space="preserve">. </w:t>
      </w:r>
      <w:r w:rsidR="007D4AEB">
        <w:t xml:space="preserve">On </w:t>
      </w:r>
      <w:r w:rsidR="009F10ED">
        <w:t xml:space="preserve">22 </w:t>
      </w:r>
      <w:r w:rsidR="007D4AEB">
        <w:t xml:space="preserve">July 2025 the </w:t>
      </w:r>
      <w:r w:rsidR="007D4AEB" w:rsidRPr="007D4AEB">
        <w:t xml:space="preserve">TGA approved an amendment to the dose and administration section </w:t>
      </w:r>
      <w:r w:rsidR="002A290F">
        <w:t>of the</w:t>
      </w:r>
      <w:r w:rsidR="005B59A3">
        <w:t xml:space="preserve"> Product Information (</w:t>
      </w:r>
      <w:r w:rsidR="002A290F">
        <w:t>PI</w:t>
      </w:r>
      <w:r w:rsidR="005B59A3">
        <w:t>)</w:t>
      </w:r>
      <w:r w:rsidR="002A290F">
        <w:t xml:space="preserve"> </w:t>
      </w:r>
      <w:r w:rsidR="007D4AEB" w:rsidRPr="007D4AEB">
        <w:t xml:space="preserve">to include the following: </w:t>
      </w:r>
      <w:r w:rsidR="002A290F">
        <w:t>"</w:t>
      </w:r>
      <w:r w:rsidR="007D4AEB" w:rsidRPr="007D4AEB">
        <w:t>At the physician’s discretion, in patients with high disease burden or in patients above 90 kg of body weight who had unsatisfactory response at 100 mg, a dose of 200 mg may be tried</w:t>
      </w:r>
      <w:r w:rsidR="002A290F">
        <w:t>"</w:t>
      </w:r>
      <w:r w:rsidR="007D4AEB" w:rsidRPr="007D4AEB">
        <w:t>.</w:t>
      </w:r>
    </w:p>
    <w:p w14:paraId="3E2A6EAB" w14:textId="211A1956" w:rsidR="005C25FF" w:rsidRPr="0098262F" w:rsidRDefault="005C25FF" w:rsidP="004E18E9">
      <w:pPr>
        <w:pStyle w:val="4-SubsectionHeading"/>
      </w:pPr>
      <w:bookmarkStart w:id="10" w:name="_Toc22897639"/>
      <w:bookmarkStart w:id="11" w:name="_Toc216947686"/>
      <w:r w:rsidRPr="0098262F">
        <w:t>Previous PBAC consideration</w:t>
      </w:r>
      <w:bookmarkEnd w:id="10"/>
      <w:r w:rsidR="00E62050">
        <w:t>s</w:t>
      </w:r>
      <w:bookmarkEnd w:id="11"/>
    </w:p>
    <w:p w14:paraId="340711F4" w14:textId="72D65926" w:rsidR="000A658A" w:rsidRDefault="007A5C6C" w:rsidP="007A5C6C">
      <w:pPr>
        <w:pStyle w:val="3-BodyText"/>
        <w:numPr>
          <w:ilvl w:val="0"/>
          <w:numId w:val="0"/>
        </w:numPr>
        <w:ind w:left="720" w:hanging="720"/>
      </w:pPr>
      <w:r>
        <w:t>2.</w:t>
      </w:r>
      <w:r w:rsidR="00E44DA7">
        <w:t>2</w:t>
      </w:r>
      <w:r>
        <w:tab/>
      </w:r>
      <w:r w:rsidR="005A351A">
        <w:t xml:space="preserve">The PBAC considered a submission for </w:t>
      </w:r>
      <w:r w:rsidR="009F10ED">
        <w:t>TIL</w:t>
      </w:r>
      <w:r w:rsidR="005A351A">
        <w:t xml:space="preserve"> 100</w:t>
      </w:r>
      <w:r w:rsidR="001B5398">
        <w:t xml:space="preserve"> </w:t>
      </w:r>
      <w:r w:rsidR="005A351A">
        <w:t xml:space="preserve">mg and </w:t>
      </w:r>
      <w:r w:rsidR="00994511">
        <w:t xml:space="preserve">TIL </w:t>
      </w:r>
      <w:r w:rsidR="005A351A">
        <w:t>200</w:t>
      </w:r>
      <w:r w:rsidR="001B5398">
        <w:t xml:space="preserve"> </w:t>
      </w:r>
      <w:r w:rsidR="005A351A">
        <w:t xml:space="preserve">mg in July 2018. At that time the TGA registration </w:t>
      </w:r>
      <w:r w:rsidR="005D1A40">
        <w:t xml:space="preserve">for both doses </w:t>
      </w:r>
      <w:r w:rsidR="005A351A">
        <w:t>had not been finalised and the PBAC noted that there were no significant differences between TIL 200</w:t>
      </w:r>
      <w:r w:rsidR="001B5398">
        <w:t xml:space="preserve"> </w:t>
      </w:r>
      <w:r w:rsidR="005A351A">
        <w:t>mg and TIL</w:t>
      </w:r>
      <w:r w:rsidR="000A658A">
        <w:t xml:space="preserve"> </w:t>
      </w:r>
      <w:r w:rsidR="005A351A">
        <w:t>100</w:t>
      </w:r>
      <w:r w:rsidR="001B5398">
        <w:t xml:space="preserve"> </w:t>
      </w:r>
      <w:r w:rsidR="005A351A">
        <w:t xml:space="preserve">mg with respect to </w:t>
      </w:r>
      <w:r w:rsidR="000E016A">
        <w:t xml:space="preserve">Psoriasis Area and </w:t>
      </w:r>
      <w:r w:rsidR="00B21F17">
        <w:t>Severity Index (</w:t>
      </w:r>
      <w:r w:rsidR="005A351A">
        <w:t>PASI</w:t>
      </w:r>
      <w:r w:rsidR="00B21F17">
        <w:t>)</w:t>
      </w:r>
      <w:r w:rsidR="005A351A">
        <w:t xml:space="preserve"> responses at </w:t>
      </w:r>
      <w:r w:rsidR="005D1A40">
        <w:t xml:space="preserve">Week </w:t>
      </w:r>
      <w:r w:rsidR="005A351A">
        <w:t>12</w:t>
      </w:r>
      <w:r w:rsidR="00984B2F">
        <w:t>/</w:t>
      </w:r>
      <w:r w:rsidR="005A351A">
        <w:t>16 (</w:t>
      </w:r>
      <w:r w:rsidR="00B21F17">
        <w:t xml:space="preserve">paragraph </w:t>
      </w:r>
      <w:r w:rsidR="000A658A">
        <w:lastRenderedPageBreak/>
        <w:t xml:space="preserve">7.3, </w:t>
      </w:r>
      <w:r w:rsidR="00B21F17">
        <w:t xml:space="preserve">tildrakizumab </w:t>
      </w:r>
      <w:r w:rsidR="00A9649B">
        <w:t>Public Summary Document [</w:t>
      </w:r>
      <w:r w:rsidR="005A351A">
        <w:t>PSD</w:t>
      </w:r>
      <w:r w:rsidR="00A9649B">
        <w:t>]</w:t>
      </w:r>
      <w:r w:rsidR="000A658A">
        <w:t>, July 2018 PBAC Meeting)</w:t>
      </w:r>
      <w:r w:rsidR="005A351A">
        <w:t xml:space="preserve">. </w:t>
      </w:r>
      <w:r w:rsidR="000A658A">
        <w:t>The TGA approval was for the 100 mg dose only, and that dose then became the PBS</w:t>
      </w:r>
      <w:r w:rsidR="005F1191">
        <w:noBreakHyphen/>
      </w:r>
      <w:r w:rsidR="000A658A">
        <w:t xml:space="preserve">listed dose. </w:t>
      </w:r>
    </w:p>
    <w:p w14:paraId="777AE817" w14:textId="4C06EC48" w:rsidR="00121107" w:rsidRPr="00121107" w:rsidRDefault="00121107" w:rsidP="007A5C6C">
      <w:pPr>
        <w:pStyle w:val="3-BodyText"/>
        <w:numPr>
          <w:ilvl w:val="0"/>
          <w:numId w:val="0"/>
        </w:numPr>
        <w:ind w:left="720" w:hanging="720"/>
        <w:rPr>
          <w:i/>
          <w:iCs/>
          <w:color w:val="0066FF"/>
        </w:rPr>
      </w:pPr>
      <w:r>
        <w:tab/>
      </w:r>
      <w:r w:rsidRPr="00121107">
        <w:rPr>
          <w:i/>
          <w:iCs/>
        </w:rPr>
        <w:t>For more detail on PBAC’s view, see section 7 PBAC outcome.</w:t>
      </w:r>
    </w:p>
    <w:p w14:paraId="76E4EF3C" w14:textId="02C77AD9" w:rsidR="00B60939" w:rsidRDefault="00B50DB8" w:rsidP="007A5C6C">
      <w:pPr>
        <w:pStyle w:val="2-SectionHeading"/>
        <w:numPr>
          <w:ilvl w:val="0"/>
          <w:numId w:val="45"/>
        </w:numPr>
      </w:pPr>
      <w:bookmarkStart w:id="12" w:name="_Toc107902078"/>
      <w:bookmarkStart w:id="13" w:name="_Toc216947687"/>
      <w:bookmarkEnd w:id="12"/>
      <w:r w:rsidRPr="0098262F">
        <w:t>Requested listing</w:t>
      </w:r>
      <w:bookmarkEnd w:id="13"/>
    </w:p>
    <w:p w14:paraId="6B555822" w14:textId="5435D81A" w:rsidR="004B51BE" w:rsidRDefault="007A5C6C" w:rsidP="007A5C6C">
      <w:pPr>
        <w:pStyle w:val="3-BodyText"/>
        <w:numPr>
          <w:ilvl w:val="0"/>
          <w:numId w:val="0"/>
        </w:numPr>
        <w:ind w:left="720" w:hanging="720"/>
      </w:pPr>
      <w:r>
        <w:t>3.1</w:t>
      </w:r>
      <w:r>
        <w:tab/>
      </w:r>
      <w:r w:rsidR="004B51BE">
        <w:t xml:space="preserve">The submission requested a </w:t>
      </w:r>
      <w:r w:rsidR="00B57B3A">
        <w:t>G</w:t>
      </w:r>
      <w:r w:rsidR="00671496">
        <w:t xml:space="preserve">eneral </w:t>
      </w:r>
      <w:r w:rsidR="00B57B3A">
        <w:t>S</w:t>
      </w:r>
      <w:r w:rsidR="00671496">
        <w:t>chedule (s85) listing of TIL 200</w:t>
      </w:r>
      <w:r w:rsidR="004C2A70">
        <w:t xml:space="preserve"> </w:t>
      </w:r>
      <w:r w:rsidR="00671496">
        <w:t xml:space="preserve">mg </w:t>
      </w:r>
      <w:r w:rsidR="00D8394D">
        <w:t>as an alternative to TIL 100</w:t>
      </w:r>
      <w:r w:rsidR="004C2A70">
        <w:t xml:space="preserve"> </w:t>
      </w:r>
      <w:r w:rsidR="00D8394D">
        <w:t xml:space="preserve">mg </w:t>
      </w:r>
      <w:r w:rsidR="004C2A70">
        <w:t>for the continuing treatment of severe chronic plaque psoriasis</w:t>
      </w:r>
      <w:r w:rsidR="00387D63">
        <w:t xml:space="preserve"> affecting the whole body, </w:t>
      </w:r>
      <w:r w:rsidR="000F1A48">
        <w:t>the face, hand or foot, and for balance of supply</w:t>
      </w:r>
      <w:r w:rsidR="004C2A70">
        <w:t>.</w:t>
      </w:r>
      <w:r w:rsidR="00FD5F51">
        <w:t xml:space="preserve"> The submission stated that in patients who achieved</w:t>
      </w:r>
      <w:r w:rsidR="00C21A98">
        <w:t xml:space="preserve"> at least a PASI75 response to initiating treatment to TIL 100 mg</w:t>
      </w:r>
      <w:r w:rsidR="00F719A6">
        <w:t>, the dose could be escalated to 200 mg as a continuing treatment to target deeper levels of response (e.g. PASI9</w:t>
      </w:r>
      <w:r w:rsidR="00D92A97">
        <w:t>0 or PASI100)</w:t>
      </w:r>
      <w:r w:rsidR="002870FE">
        <w:t>.</w:t>
      </w:r>
    </w:p>
    <w:p w14:paraId="27626E22" w14:textId="66814191" w:rsidR="00E44DA7" w:rsidRDefault="008A4FA5" w:rsidP="007A5C6C">
      <w:pPr>
        <w:pStyle w:val="3-BodyText"/>
        <w:numPr>
          <w:ilvl w:val="1"/>
          <w:numId w:val="46"/>
        </w:numPr>
      </w:pPr>
      <w:r>
        <w:t xml:space="preserve">The submission requested identical restrictions for TIL </w:t>
      </w:r>
      <w:r w:rsidR="00510D3F">
        <w:t>200 mg</w:t>
      </w:r>
      <w:r w:rsidR="0060773A">
        <w:t xml:space="preserve"> </w:t>
      </w:r>
      <w:r w:rsidR="007C3B7A">
        <w:t xml:space="preserve">as the currently listed </w:t>
      </w:r>
      <w:r w:rsidR="00594904">
        <w:t>TIL 100 mg</w:t>
      </w:r>
      <w:r w:rsidR="00510D3F">
        <w:t xml:space="preserve"> and</w:t>
      </w:r>
      <w:r w:rsidR="007C3B7A">
        <w:t>,</w:t>
      </w:r>
      <w:r w:rsidR="00510D3F">
        <w:t xml:space="preserve"> as such, the full restrictions have not been reproduced</w:t>
      </w:r>
      <w:r w:rsidR="007C11C5">
        <w:t xml:space="preserve"> in </w:t>
      </w:r>
      <w:r w:rsidR="00E44DA7">
        <w:fldChar w:fldCharType="begin"/>
      </w:r>
      <w:r w:rsidR="00E44DA7">
        <w:instrText xml:space="preserve"> REF _Ref225948866 \h </w:instrText>
      </w:r>
      <w:r w:rsidR="00E44DA7">
        <w:fldChar w:fldCharType="separate"/>
      </w:r>
      <w:r w:rsidR="00E44DA7">
        <w:t xml:space="preserve">Table </w:t>
      </w:r>
      <w:r w:rsidR="00E44DA7">
        <w:rPr>
          <w:noProof/>
        </w:rPr>
        <w:t>2</w:t>
      </w:r>
      <w:r w:rsidR="00E44DA7">
        <w:fldChar w:fldCharType="end"/>
      </w:r>
      <w:r w:rsidR="00E44DA7">
        <w:t xml:space="preserve"> </w:t>
      </w:r>
      <w:r w:rsidR="00510D3F">
        <w:t>below.</w:t>
      </w:r>
    </w:p>
    <w:p w14:paraId="07BD405B" w14:textId="77777777" w:rsidR="00E44DA7" w:rsidRDefault="00E44DA7">
      <w:pPr>
        <w:jc w:val="left"/>
        <w:rPr>
          <w:rFonts w:asciiTheme="minorHAnsi" w:eastAsiaTheme="minorHAnsi" w:hAnsiTheme="minorHAnsi" w:cstheme="minorBidi"/>
          <w:szCs w:val="22"/>
        </w:rPr>
      </w:pPr>
      <w:r>
        <w:br w:type="page"/>
      </w:r>
    </w:p>
    <w:p w14:paraId="1B423B86" w14:textId="7C6A8313" w:rsidR="003A4C14" w:rsidRPr="00554F2E" w:rsidRDefault="00DA2444" w:rsidP="00DA2444">
      <w:pPr>
        <w:pStyle w:val="Caption"/>
        <w:rPr>
          <w:b w:val="0"/>
          <w:bCs w:val="0"/>
        </w:rPr>
      </w:pPr>
      <w:bookmarkStart w:id="14" w:name="_Ref225948866"/>
      <w:r>
        <w:lastRenderedPageBreak/>
        <w:t xml:space="preserve">Table </w:t>
      </w:r>
      <w:fldSimple w:instr=" SEQ Table \* ARABIC ">
        <w:r w:rsidR="00E44DA7">
          <w:rPr>
            <w:noProof/>
          </w:rPr>
          <w:t>2</w:t>
        </w:r>
      </w:fldSimple>
      <w:bookmarkEnd w:id="14"/>
      <w:r w:rsidR="007C11C5" w:rsidRPr="00554F2E">
        <w:t xml:space="preserve">: </w:t>
      </w:r>
      <w:r w:rsidR="00554F2E" w:rsidRPr="00554F2E">
        <w:t xml:space="preserve">Sponsor requested </w:t>
      </w:r>
      <w:r w:rsidR="004354AA">
        <w:t>listing</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 Sponsor requested listing"/>
      </w:tblPr>
      <w:tblGrid>
        <w:gridCol w:w="3761"/>
        <w:gridCol w:w="1170"/>
        <w:gridCol w:w="1258"/>
        <w:gridCol w:w="896"/>
        <w:gridCol w:w="2148"/>
      </w:tblGrid>
      <w:tr w:rsidR="00ED4401" w:rsidRPr="001428E9" w14:paraId="54F45EE2" w14:textId="77777777" w:rsidTr="004827FD">
        <w:trPr>
          <w:cantSplit/>
          <w:trHeight w:val="20"/>
        </w:trPr>
        <w:tc>
          <w:tcPr>
            <w:tcW w:w="2037" w:type="pct"/>
            <w:vAlign w:val="center"/>
          </w:tcPr>
          <w:p w14:paraId="67D59F25" w14:textId="77777777" w:rsidR="00ED4401" w:rsidRPr="001428E9" w:rsidRDefault="00ED4401">
            <w:pPr>
              <w:keepLines/>
              <w:rPr>
                <w:rFonts w:ascii="Arial Narrow" w:hAnsi="Arial Narrow"/>
                <w:b/>
                <w:bCs/>
                <w:sz w:val="20"/>
                <w:szCs w:val="20"/>
              </w:rPr>
            </w:pPr>
            <w:r w:rsidRPr="001428E9">
              <w:rPr>
                <w:rFonts w:ascii="Arial Narrow" w:hAnsi="Arial Narrow"/>
                <w:b/>
                <w:bCs/>
                <w:sz w:val="20"/>
                <w:szCs w:val="20"/>
              </w:rPr>
              <w:t>MEDICINAL PRODUCT</w:t>
            </w:r>
          </w:p>
          <w:p w14:paraId="094742E2" w14:textId="77777777" w:rsidR="00ED4401" w:rsidRPr="001428E9" w:rsidRDefault="00ED4401">
            <w:pPr>
              <w:keepLines/>
              <w:rPr>
                <w:rFonts w:ascii="Arial Narrow" w:hAnsi="Arial Narrow"/>
                <w:b/>
                <w:sz w:val="20"/>
                <w:szCs w:val="20"/>
              </w:rPr>
            </w:pPr>
            <w:r w:rsidRPr="001428E9">
              <w:rPr>
                <w:rFonts w:ascii="Arial Narrow" w:hAnsi="Arial Narrow"/>
                <w:b/>
                <w:bCs/>
                <w:sz w:val="20"/>
                <w:szCs w:val="20"/>
              </w:rPr>
              <w:t>medicinal product pack</w:t>
            </w:r>
          </w:p>
        </w:tc>
        <w:tc>
          <w:tcPr>
            <w:tcW w:w="634" w:type="pct"/>
            <w:vAlign w:val="center"/>
          </w:tcPr>
          <w:p w14:paraId="08CD2C98" w14:textId="77777777" w:rsidR="00ED4401" w:rsidRPr="001428E9" w:rsidRDefault="00ED4401">
            <w:pPr>
              <w:keepLines/>
              <w:jc w:val="center"/>
              <w:rPr>
                <w:rFonts w:ascii="Arial Narrow" w:hAnsi="Arial Narrow"/>
                <w:b/>
                <w:sz w:val="20"/>
                <w:szCs w:val="20"/>
              </w:rPr>
            </w:pPr>
            <w:r w:rsidRPr="001428E9">
              <w:rPr>
                <w:rFonts w:ascii="Arial Narrow" w:hAnsi="Arial Narrow"/>
                <w:b/>
                <w:sz w:val="20"/>
                <w:szCs w:val="20"/>
              </w:rPr>
              <w:t>Max. qty packs</w:t>
            </w:r>
          </w:p>
        </w:tc>
        <w:tc>
          <w:tcPr>
            <w:tcW w:w="681" w:type="pct"/>
            <w:vAlign w:val="center"/>
          </w:tcPr>
          <w:p w14:paraId="42347CFD" w14:textId="77777777" w:rsidR="00ED4401" w:rsidRPr="001428E9" w:rsidRDefault="00ED4401">
            <w:pPr>
              <w:keepLines/>
              <w:jc w:val="center"/>
              <w:rPr>
                <w:rFonts w:ascii="Arial Narrow" w:hAnsi="Arial Narrow"/>
                <w:b/>
                <w:sz w:val="20"/>
                <w:szCs w:val="20"/>
              </w:rPr>
            </w:pPr>
            <w:r w:rsidRPr="001428E9">
              <w:rPr>
                <w:rFonts w:ascii="Arial Narrow" w:hAnsi="Arial Narrow"/>
                <w:b/>
                <w:sz w:val="20"/>
                <w:szCs w:val="20"/>
              </w:rPr>
              <w:t>Max. qty units</w:t>
            </w:r>
          </w:p>
        </w:tc>
        <w:tc>
          <w:tcPr>
            <w:tcW w:w="485" w:type="pct"/>
            <w:vAlign w:val="center"/>
          </w:tcPr>
          <w:p w14:paraId="72ABD178" w14:textId="4A43F99A" w:rsidR="00ED4401" w:rsidRPr="001428E9" w:rsidRDefault="00ED4401">
            <w:pPr>
              <w:keepLines/>
              <w:jc w:val="center"/>
              <w:rPr>
                <w:rFonts w:ascii="Arial Narrow" w:hAnsi="Arial Narrow"/>
                <w:b/>
                <w:sz w:val="20"/>
                <w:szCs w:val="20"/>
              </w:rPr>
            </w:pPr>
            <w:r w:rsidRPr="001428E9">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of</w:t>
            </w:r>
          </w:p>
          <w:p w14:paraId="448FE773" w14:textId="77777777" w:rsidR="00ED4401" w:rsidRPr="001428E9" w:rsidRDefault="00ED4401">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163" w:type="pct"/>
            <w:vAlign w:val="center"/>
          </w:tcPr>
          <w:p w14:paraId="5FAEEE2F" w14:textId="77777777" w:rsidR="00ED4401" w:rsidRPr="001428E9" w:rsidRDefault="00ED4401">
            <w:pPr>
              <w:keepLines/>
              <w:rPr>
                <w:rFonts w:ascii="Arial Narrow" w:hAnsi="Arial Narrow"/>
                <w:b/>
                <w:sz w:val="20"/>
                <w:szCs w:val="20"/>
                <w:lang w:val="fr-FR"/>
              </w:rPr>
            </w:pPr>
            <w:r w:rsidRPr="001428E9">
              <w:rPr>
                <w:rFonts w:ascii="Arial Narrow" w:hAnsi="Arial Narrow"/>
                <w:b/>
                <w:sz w:val="20"/>
                <w:szCs w:val="20"/>
              </w:rPr>
              <w:t>Available brands</w:t>
            </w:r>
          </w:p>
        </w:tc>
      </w:tr>
      <w:tr w:rsidR="00ED4401" w:rsidRPr="001428E9" w14:paraId="2BF89CCF" w14:textId="77777777" w:rsidTr="004827FD">
        <w:trPr>
          <w:cantSplit/>
          <w:trHeight w:val="20"/>
        </w:trPr>
        <w:tc>
          <w:tcPr>
            <w:tcW w:w="5000" w:type="pct"/>
            <w:gridSpan w:val="5"/>
            <w:vAlign w:val="center"/>
          </w:tcPr>
          <w:p w14:paraId="3DE8EDD3" w14:textId="7B11F6DA" w:rsidR="00ED4401" w:rsidRPr="000502F5" w:rsidRDefault="00ED4401">
            <w:pPr>
              <w:keepLines/>
              <w:rPr>
                <w:rFonts w:ascii="Arial Narrow" w:hAnsi="Arial Narrow"/>
                <w:sz w:val="20"/>
                <w:szCs w:val="20"/>
              </w:rPr>
            </w:pPr>
            <w:r w:rsidRPr="000502F5">
              <w:rPr>
                <w:rFonts w:ascii="Arial Narrow" w:hAnsi="Arial Narrow"/>
                <w:sz w:val="20"/>
                <w:szCs w:val="20"/>
              </w:rPr>
              <w:t>TILDRAKIZUMAB</w:t>
            </w:r>
          </w:p>
        </w:tc>
      </w:tr>
      <w:tr w:rsidR="00ED4401" w:rsidRPr="001428E9" w14:paraId="184DBC75" w14:textId="77777777" w:rsidTr="004827FD">
        <w:trPr>
          <w:cantSplit/>
          <w:trHeight w:val="20"/>
        </w:trPr>
        <w:tc>
          <w:tcPr>
            <w:tcW w:w="2037" w:type="pct"/>
            <w:vAlign w:val="center"/>
          </w:tcPr>
          <w:p w14:paraId="0C5AF783" w14:textId="69E15465" w:rsidR="00ED4401" w:rsidRPr="000502F5" w:rsidRDefault="001A3379">
            <w:pPr>
              <w:keepLines/>
              <w:rPr>
                <w:rFonts w:ascii="Arial Narrow" w:hAnsi="Arial Narrow"/>
                <w:sz w:val="20"/>
                <w:szCs w:val="20"/>
              </w:rPr>
            </w:pPr>
            <w:r>
              <w:rPr>
                <w:rFonts w:ascii="Arial Narrow" w:hAnsi="Arial Narrow"/>
                <w:sz w:val="20"/>
                <w:szCs w:val="20"/>
              </w:rPr>
              <w:t>t</w:t>
            </w:r>
            <w:r w:rsidR="00ED4401" w:rsidRPr="000502F5">
              <w:rPr>
                <w:rFonts w:ascii="Arial Narrow" w:hAnsi="Arial Narrow"/>
                <w:sz w:val="20"/>
                <w:szCs w:val="20"/>
              </w:rPr>
              <w:t>ildrakizumab 100 mg,1 mL syringe</w:t>
            </w:r>
          </w:p>
        </w:tc>
        <w:tc>
          <w:tcPr>
            <w:tcW w:w="634" w:type="pct"/>
            <w:vAlign w:val="center"/>
          </w:tcPr>
          <w:p w14:paraId="66DFD199" w14:textId="77777777" w:rsidR="00ED4401" w:rsidRPr="000502F5" w:rsidRDefault="00ED4401">
            <w:pPr>
              <w:keepLines/>
              <w:jc w:val="center"/>
              <w:rPr>
                <w:rFonts w:ascii="Arial Narrow" w:hAnsi="Arial Narrow"/>
                <w:sz w:val="20"/>
                <w:szCs w:val="20"/>
              </w:rPr>
            </w:pPr>
            <w:r w:rsidRPr="000502F5">
              <w:rPr>
                <w:rFonts w:ascii="Arial Narrow" w:hAnsi="Arial Narrow"/>
                <w:sz w:val="20"/>
                <w:szCs w:val="20"/>
              </w:rPr>
              <w:t>1</w:t>
            </w:r>
          </w:p>
        </w:tc>
        <w:tc>
          <w:tcPr>
            <w:tcW w:w="681" w:type="pct"/>
            <w:vAlign w:val="center"/>
          </w:tcPr>
          <w:p w14:paraId="3378B865" w14:textId="77777777" w:rsidR="00ED4401" w:rsidRPr="000502F5" w:rsidRDefault="00ED4401">
            <w:pPr>
              <w:keepLines/>
              <w:jc w:val="center"/>
              <w:rPr>
                <w:rFonts w:ascii="Arial Narrow" w:hAnsi="Arial Narrow"/>
                <w:sz w:val="20"/>
                <w:szCs w:val="20"/>
              </w:rPr>
            </w:pPr>
            <w:r w:rsidRPr="000502F5">
              <w:rPr>
                <w:rFonts w:ascii="Arial Narrow" w:hAnsi="Arial Narrow"/>
                <w:sz w:val="20"/>
                <w:szCs w:val="20"/>
              </w:rPr>
              <w:t>2</w:t>
            </w:r>
          </w:p>
        </w:tc>
        <w:tc>
          <w:tcPr>
            <w:tcW w:w="485" w:type="pct"/>
            <w:vAlign w:val="center"/>
          </w:tcPr>
          <w:p w14:paraId="3946BE0D" w14:textId="77777777" w:rsidR="00ED4401" w:rsidRPr="000502F5" w:rsidRDefault="00ED4401">
            <w:pPr>
              <w:keepLines/>
              <w:jc w:val="center"/>
              <w:rPr>
                <w:rFonts w:ascii="Arial Narrow" w:hAnsi="Arial Narrow"/>
                <w:sz w:val="20"/>
                <w:szCs w:val="20"/>
              </w:rPr>
            </w:pPr>
            <w:r w:rsidRPr="000502F5">
              <w:rPr>
                <w:rFonts w:ascii="Arial Narrow" w:hAnsi="Arial Narrow"/>
                <w:sz w:val="20"/>
                <w:szCs w:val="20"/>
              </w:rPr>
              <w:t>1</w:t>
            </w:r>
          </w:p>
        </w:tc>
        <w:tc>
          <w:tcPr>
            <w:tcW w:w="1163" w:type="pct"/>
            <w:vAlign w:val="center"/>
          </w:tcPr>
          <w:p w14:paraId="69F5DDE0" w14:textId="77777777" w:rsidR="00ED4401" w:rsidRPr="000502F5" w:rsidRDefault="00ED4401">
            <w:pPr>
              <w:keepLines/>
              <w:rPr>
                <w:rFonts w:ascii="Arial Narrow" w:hAnsi="Arial Narrow"/>
                <w:sz w:val="20"/>
                <w:szCs w:val="20"/>
              </w:rPr>
            </w:pPr>
            <w:proofErr w:type="spellStart"/>
            <w:r w:rsidRPr="000502F5">
              <w:rPr>
                <w:rFonts w:ascii="Arial Narrow" w:hAnsi="Arial Narrow"/>
                <w:sz w:val="20"/>
                <w:szCs w:val="20"/>
              </w:rPr>
              <w:t>Ilumya</w:t>
            </w:r>
            <w:proofErr w:type="spellEnd"/>
          </w:p>
        </w:tc>
      </w:tr>
      <w:tr w:rsidR="004E4187" w:rsidRPr="001428E9" w14:paraId="3F77B32A" w14:textId="77777777" w:rsidTr="004827FD">
        <w:trPr>
          <w:cantSplit/>
          <w:trHeight w:val="20"/>
        </w:trPr>
        <w:tc>
          <w:tcPr>
            <w:tcW w:w="2037" w:type="pct"/>
            <w:vAlign w:val="center"/>
          </w:tcPr>
          <w:p w14:paraId="6284C1C2" w14:textId="4588A8BB" w:rsidR="004E4187" w:rsidRPr="000502F5" w:rsidRDefault="001A3379">
            <w:pPr>
              <w:keepLines/>
              <w:rPr>
                <w:rFonts w:ascii="Arial Narrow" w:hAnsi="Arial Narrow"/>
                <w:sz w:val="20"/>
                <w:szCs w:val="20"/>
              </w:rPr>
            </w:pPr>
            <w:r>
              <w:rPr>
                <w:rFonts w:ascii="Arial Narrow" w:hAnsi="Arial Narrow"/>
                <w:sz w:val="20"/>
                <w:szCs w:val="20"/>
              </w:rPr>
              <w:t>t</w:t>
            </w:r>
            <w:r w:rsidR="00154B9F">
              <w:rPr>
                <w:rFonts w:ascii="Arial Narrow" w:hAnsi="Arial Narrow"/>
                <w:sz w:val="20"/>
                <w:szCs w:val="20"/>
              </w:rPr>
              <w:t>ildrakizumab 100mg, 2 x 1 mL syringe</w:t>
            </w:r>
          </w:p>
        </w:tc>
        <w:tc>
          <w:tcPr>
            <w:tcW w:w="634" w:type="pct"/>
            <w:vAlign w:val="center"/>
          </w:tcPr>
          <w:p w14:paraId="1A0A2770" w14:textId="1589AA66" w:rsidR="004E4187" w:rsidRPr="000502F5" w:rsidRDefault="00154B9F">
            <w:pPr>
              <w:keepLines/>
              <w:jc w:val="center"/>
              <w:rPr>
                <w:rFonts w:ascii="Arial Narrow" w:hAnsi="Arial Narrow"/>
                <w:sz w:val="20"/>
                <w:szCs w:val="20"/>
              </w:rPr>
            </w:pPr>
            <w:r>
              <w:rPr>
                <w:rFonts w:ascii="Arial Narrow" w:hAnsi="Arial Narrow"/>
                <w:sz w:val="20"/>
                <w:szCs w:val="20"/>
              </w:rPr>
              <w:t>1</w:t>
            </w:r>
          </w:p>
        </w:tc>
        <w:tc>
          <w:tcPr>
            <w:tcW w:w="681" w:type="pct"/>
            <w:vAlign w:val="center"/>
          </w:tcPr>
          <w:p w14:paraId="1297C61D" w14:textId="73CE4580" w:rsidR="004E4187" w:rsidRPr="000502F5" w:rsidRDefault="00154B9F">
            <w:pPr>
              <w:keepLines/>
              <w:jc w:val="center"/>
              <w:rPr>
                <w:rFonts w:ascii="Arial Narrow" w:hAnsi="Arial Narrow"/>
                <w:sz w:val="20"/>
                <w:szCs w:val="20"/>
              </w:rPr>
            </w:pPr>
            <w:r>
              <w:rPr>
                <w:rFonts w:ascii="Arial Narrow" w:hAnsi="Arial Narrow"/>
                <w:sz w:val="20"/>
                <w:szCs w:val="20"/>
              </w:rPr>
              <w:t>2</w:t>
            </w:r>
          </w:p>
        </w:tc>
        <w:tc>
          <w:tcPr>
            <w:tcW w:w="485" w:type="pct"/>
            <w:vAlign w:val="center"/>
          </w:tcPr>
          <w:p w14:paraId="6397F284" w14:textId="30BD1E4D" w:rsidR="004E4187" w:rsidRPr="000502F5" w:rsidRDefault="00154B9F">
            <w:pPr>
              <w:keepLines/>
              <w:jc w:val="center"/>
              <w:rPr>
                <w:rFonts w:ascii="Arial Narrow" w:hAnsi="Arial Narrow"/>
                <w:sz w:val="20"/>
                <w:szCs w:val="20"/>
              </w:rPr>
            </w:pPr>
            <w:r>
              <w:rPr>
                <w:rFonts w:ascii="Arial Narrow" w:hAnsi="Arial Narrow"/>
                <w:sz w:val="20"/>
                <w:szCs w:val="20"/>
              </w:rPr>
              <w:t>1</w:t>
            </w:r>
          </w:p>
        </w:tc>
        <w:tc>
          <w:tcPr>
            <w:tcW w:w="1163" w:type="pct"/>
            <w:vAlign w:val="center"/>
          </w:tcPr>
          <w:p w14:paraId="573FA3B1" w14:textId="4731B8E0" w:rsidR="004E4187" w:rsidRPr="000502F5" w:rsidRDefault="00154B9F">
            <w:pPr>
              <w:keepLines/>
              <w:rPr>
                <w:rFonts w:ascii="Arial Narrow" w:hAnsi="Arial Narrow"/>
                <w:sz w:val="20"/>
                <w:szCs w:val="20"/>
              </w:rPr>
            </w:pPr>
            <w:proofErr w:type="spellStart"/>
            <w:r>
              <w:rPr>
                <w:rFonts w:ascii="Arial Narrow" w:hAnsi="Arial Narrow"/>
                <w:sz w:val="20"/>
                <w:szCs w:val="20"/>
              </w:rPr>
              <w:t>Ilumya</w:t>
            </w:r>
            <w:proofErr w:type="spellEnd"/>
          </w:p>
        </w:tc>
      </w:tr>
      <w:tr w:rsidR="007E681E" w:rsidRPr="001428E9" w14:paraId="332E2708" w14:textId="77777777" w:rsidTr="004827FD">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7943A56C" w14:textId="77777777" w:rsidR="007E681E" w:rsidRPr="001428E9" w:rsidRDefault="007E681E">
            <w:pPr>
              <w:rPr>
                <w:rFonts w:ascii="Arial Narrow" w:hAnsi="Arial Narrow"/>
                <w:sz w:val="20"/>
                <w:szCs w:val="20"/>
              </w:rPr>
            </w:pPr>
          </w:p>
        </w:tc>
      </w:tr>
      <w:tr w:rsidR="007E681E" w:rsidRPr="001428E9" w14:paraId="04CA13D5" w14:textId="77777777" w:rsidTr="004827FD">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8A032D0" w14:textId="4D594963" w:rsidR="007E681E" w:rsidRPr="001428E9" w:rsidRDefault="007E681E">
            <w:pPr>
              <w:keepLines/>
              <w:rPr>
                <w:rFonts w:ascii="Arial Narrow" w:hAnsi="Arial Narrow"/>
                <w:sz w:val="20"/>
                <w:szCs w:val="20"/>
              </w:rPr>
            </w:pPr>
            <w:r w:rsidRPr="001428E9">
              <w:rPr>
                <w:rFonts w:ascii="Arial Narrow" w:hAnsi="Arial Narrow"/>
                <w:b/>
                <w:sz w:val="20"/>
                <w:szCs w:val="20"/>
              </w:rPr>
              <w:t>Category / Program:</w:t>
            </w:r>
            <w:r>
              <w:rPr>
                <w:rFonts w:ascii="Arial Narrow" w:hAnsi="Arial Narrow"/>
                <w:b/>
                <w:sz w:val="20"/>
                <w:szCs w:val="20"/>
              </w:rPr>
              <w:t xml:space="preserve"> </w:t>
            </w:r>
            <w:r>
              <w:rPr>
                <w:rFonts w:ascii="Arial Narrow" w:eastAsia="Calibri" w:hAnsi="Arial Narrow"/>
                <w:sz w:val="20"/>
                <w:szCs w:val="20"/>
              </w:rPr>
              <w:fldChar w:fldCharType="begin">
                <w:ffData>
                  <w:name w:val="Check1"/>
                  <w:enabled/>
                  <w:calcOnExit w:val="0"/>
                  <w:checkBox>
                    <w:sizeAuto/>
                    <w:default w:val="1"/>
                  </w:checkBox>
                </w:ffData>
              </w:fldChar>
            </w:r>
            <w:bookmarkStart w:id="15" w:name="Check1"/>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bookmarkEnd w:id="15"/>
            <w:r>
              <w:rPr>
                <w:rFonts w:ascii="Arial Narrow" w:eastAsia="Calibri" w:hAnsi="Arial Narrow"/>
                <w:sz w:val="20"/>
                <w:szCs w:val="20"/>
              </w:rPr>
              <w:t xml:space="preserve"> GENERAL </w:t>
            </w:r>
            <w:r w:rsidR="005F1191">
              <w:rPr>
                <w:rFonts w:ascii="Arial Narrow" w:eastAsia="Calibri" w:hAnsi="Arial Narrow"/>
                <w:sz w:val="20"/>
                <w:szCs w:val="20"/>
              </w:rPr>
              <w:noBreakHyphen/>
            </w:r>
            <w:r>
              <w:rPr>
                <w:rFonts w:ascii="Arial Narrow" w:eastAsia="Calibri" w:hAnsi="Arial Narrow"/>
                <w:sz w:val="20"/>
                <w:szCs w:val="20"/>
              </w:rPr>
              <w:t xml:space="preserve"> </w:t>
            </w:r>
            <w:proofErr w:type="spellStart"/>
            <w:r>
              <w:rPr>
                <w:rFonts w:ascii="Arial Narrow" w:eastAsia="Calibri" w:hAnsi="Arial Narrow"/>
                <w:sz w:val="20"/>
                <w:szCs w:val="20"/>
              </w:rPr>
              <w:t>General</w:t>
            </w:r>
            <w:proofErr w:type="spellEnd"/>
            <w:r>
              <w:rPr>
                <w:rFonts w:ascii="Arial Narrow" w:eastAsia="Calibri" w:hAnsi="Arial Narrow"/>
                <w:sz w:val="20"/>
                <w:szCs w:val="20"/>
              </w:rPr>
              <w:t xml:space="preserve"> Schedule (Code GE)</w:t>
            </w:r>
          </w:p>
        </w:tc>
      </w:tr>
      <w:tr w:rsidR="007E681E" w:rsidRPr="001428E9" w14:paraId="0B5A55FF" w14:textId="77777777" w:rsidTr="004827FD">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93397FB" w14:textId="77777777" w:rsidR="007E681E" w:rsidRPr="001428E9" w:rsidRDefault="007E681E">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w:t>
            </w:r>
            <w:r w:rsidRPr="001428E9">
              <w:rPr>
                <w:rFonts w:ascii="Arial Narrow" w:hAnsi="Arial Narrow"/>
                <w:sz w:val="20"/>
                <w:szCs w:val="20"/>
              </w:rPr>
              <w:t>Medical Practitioners</w:t>
            </w:r>
            <w:r w:rsidRPr="001428E9">
              <w:rPr>
                <w:rFonts w:ascii="Arial Narrow" w:hAnsi="Arial Narrow"/>
                <w:color w:val="FF0000"/>
                <w:sz w:val="20"/>
                <w:szCs w:val="20"/>
              </w:rPr>
              <w:t xml:space="preserve"> </w:t>
            </w:r>
          </w:p>
        </w:tc>
      </w:tr>
      <w:tr w:rsidR="007E681E" w:rsidRPr="00D56F94" w14:paraId="30C42077" w14:textId="77777777" w:rsidTr="004827FD">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35B4DCB" w14:textId="77777777" w:rsidR="007E681E" w:rsidRPr="00D56F94" w:rsidRDefault="007E681E">
            <w:pPr>
              <w:keepLines/>
              <w:rPr>
                <w:rFonts w:ascii="Arial Narrow" w:eastAsia="Calibri" w:hAnsi="Arial Narrow"/>
                <w:color w:val="FF0000"/>
                <w:sz w:val="20"/>
                <w:szCs w:val="20"/>
              </w:rPr>
            </w:pPr>
            <w:r w:rsidRPr="001428E9">
              <w:rPr>
                <w:rFonts w:ascii="Arial Narrow" w:hAnsi="Arial Narrow"/>
                <w:b/>
                <w:sz w:val="20"/>
                <w:szCs w:val="20"/>
              </w:rPr>
              <w:t>Restriction type:</w:t>
            </w:r>
            <w:r>
              <w:rPr>
                <w:rFonts w:ascii="Arial Narrow" w:hAnsi="Arial Narrow"/>
                <w:b/>
                <w:sz w:val="20"/>
                <w:szCs w:val="20"/>
              </w:rPr>
              <w:t xml:space="preserv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1428E9">
              <w:rPr>
                <w:rFonts w:ascii="Arial Narrow" w:eastAsia="Calibri" w:hAnsi="Arial Narrow"/>
                <w:sz w:val="20"/>
                <w:szCs w:val="20"/>
              </w:rPr>
              <w:t>Authority Required (</w:t>
            </w:r>
            <w:r>
              <w:rPr>
                <w:rFonts w:ascii="Arial Narrow" w:eastAsia="Calibri" w:hAnsi="Arial Narrow"/>
                <w:sz w:val="20"/>
                <w:szCs w:val="20"/>
              </w:rPr>
              <w:t>w</w:t>
            </w:r>
            <w:r w:rsidRPr="00175787">
              <w:rPr>
                <w:rFonts w:ascii="Arial Narrow" w:eastAsia="Calibri" w:hAnsi="Arial Narrow"/>
                <w:sz w:val="20"/>
                <w:szCs w:val="20"/>
              </w:rPr>
              <w:t xml:space="preserve">ritten/online PBS </w:t>
            </w:r>
            <w:proofErr w:type="gramStart"/>
            <w:r w:rsidRPr="00175787">
              <w:rPr>
                <w:rFonts w:ascii="Arial Narrow" w:eastAsia="Calibri" w:hAnsi="Arial Narrow"/>
                <w:sz w:val="20"/>
                <w:szCs w:val="20"/>
              </w:rPr>
              <w:t>authorities</w:t>
            </w:r>
            <w:proofErr w:type="gramEnd"/>
            <w:r w:rsidRPr="00175787">
              <w:rPr>
                <w:rFonts w:ascii="Arial Narrow" w:eastAsia="Calibri" w:hAnsi="Arial Narrow"/>
                <w:sz w:val="20"/>
                <w:szCs w:val="20"/>
              </w:rPr>
              <w:t xml:space="preserve"> systems</w:t>
            </w:r>
            <w:r w:rsidRPr="001428E9">
              <w:rPr>
                <w:rFonts w:ascii="Arial Narrow" w:eastAsia="Calibri" w:hAnsi="Arial Narrow"/>
                <w:sz w:val="20"/>
                <w:szCs w:val="20"/>
              </w:rPr>
              <w:t>)</w:t>
            </w:r>
          </w:p>
        </w:tc>
      </w:tr>
      <w:tr w:rsidR="007E681E" w:rsidRPr="001428E9" w14:paraId="0AB3B319" w14:textId="77777777" w:rsidTr="004827FD">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77762699" w14:textId="77777777" w:rsidR="007E681E" w:rsidRPr="001428E9" w:rsidRDefault="007E681E">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0502F5">
              <w:rPr>
                <w:rFonts w:ascii="Arial Narrow" w:hAnsi="Arial Narrow"/>
                <w:sz w:val="20"/>
                <w:szCs w:val="20"/>
              </w:rPr>
              <w:t>Continuing treatment, Whole body</w:t>
            </w:r>
          </w:p>
        </w:tc>
      </w:tr>
      <w:tr w:rsidR="007E681E" w:rsidRPr="001428E9" w14:paraId="18C200E6" w14:textId="77777777" w:rsidTr="004827FD">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EA8473E" w14:textId="77777777" w:rsidR="007E681E" w:rsidRPr="00432EBF" w:rsidRDefault="007E681E">
            <w:pPr>
              <w:rPr>
                <w:rFonts w:ascii="Arial Narrow" w:hAnsi="Arial Narrow"/>
                <w:b/>
                <w:bCs/>
                <w:sz w:val="20"/>
                <w:szCs w:val="20"/>
              </w:rPr>
            </w:pPr>
            <w:r>
              <w:rPr>
                <w:rFonts w:ascii="Arial Narrow" w:hAnsi="Arial Narrow"/>
                <w:b/>
                <w:bCs/>
                <w:sz w:val="20"/>
                <w:szCs w:val="20"/>
              </w:rPr>
              <w:t xml:space="preserve">Treatment Phase: </w:t>
            </w:r>
            <w:r w:rsidRPr="00D350A2">
              <w:rPr>
                <w:rFonts w:ascii="Arial Narrow" w:hAnsi="Arial Narrow"/>
                <w:sz w:val="20"/>
                <w:szCs w:val="20"/>
              </w:rPr>
              <w:t>Continuing treatment, Face, hand, foot</w:t>
            </w:r>
          </w:p>
        </w:tc>
      </w:tr>
      <w:tr w:rsidR="007E681E" w:rsidRPr="001428E9" w14:paraId="6CA649C1" w14:textId="77777777" w:rsidTr="004827FD">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793D02E" w14:textId="2F4A3C74" w:rsidR="007E681E" w:rsidRDefault="007E681E">
            <w:pPr>
              <w:rPr>
                <w:rFonts w:ascii="Arial Narrow" w:hAnsi="Arial Narrow"/>
                <w:b/>
                <w:bCs/>
                <w:sz w:val="20"/>
                <w:szCs w:val="20"/>
              </w:rPr>
            </w:pPr>
            <w:r>
              <w:rPr>
                <w:rFonts w:ascii="Arial Narrow" w:hAnsi="Arial Narrow"/>
                <w:b/>
                <w:bCs/>
                <w:sz w:val="20"/>
                <w:szCs w:val="20"/>
              </w:rPr>
              <w:t>Treatment Phase:</w:t>
            </w:r>
            <w:r w:rsidRPr="00D350A2">
              <w:rPr>
                <w:rFonts w:ascii="Arial Narrow" w:hAnsi="Arial Narrow"/>
                <w:sz w:val="20"/>
                <w:szCs w:val="20"/>
              </w:rPr>
              <w:t xml:space="preserve"> Continuing treatment, Whole body or Continuing treatment, Face, hand, foot </w:t>
            </w:r>
            <w:r w:rsidR="005F1191">
              <w:rPr>
                <w:rFonts w:ascii="Arial Narrow" w:hAnsi="Arial Narrow"/>
                <w:sz w:val="20"/>
                <w:szCs w:val="20"/>
              </w:rPr>
              <w:noBreakHyphen/>
            </w:r>
            <w:r w:rsidRPr="00D350A2">
              <w:rPr>
                <w:rFonts w:ascii="Arial Narrow" w:hAnsi="Arial Narrow"/>
                <w:sz w:val="20"/>
                <w:szCs w:val="20"/>
              </w:rPr>
              <w:t xml:space="preserve"> balance of supply</w:t>
            </w:r>
          </w:p>
        </w:tc>
      </w:tr>
    </w:tbl>
    <w:p w14:paraId="3795BF8B" w14:textId="77777777" w:rsidR="00287639" w:rsidRDefault="00287639" w:rsidP="000C67A5">
      <w:pPr>
        <w:pStyle w:val="3-BodyText"/>
        <w:numPr>
          <w:ilvl w:val="0"/>
          <w:numId w:val="0"/>
        </w:numPr>
        <w:spacing w:before="0" w:after="0"/>
        <w:ind w:left="720" w:hanging="720"/>
        <w:rPr>
          <w:i/>
          <w:iCs/>
        </w:rPr>
      </w:pPr>
    </w:p>
    <w:p w14:paraId="0CBE8380" w14:textId="248CDE1E" w:rsidR="00393708" w:rsidRDefault="00393708" w:rsidP="00393708">
      <w:pPr>
        <w:pStyle w:val="3-BodyText"/>
      </w:pPr>
      <w:r>
        <w:t>The submission did not propose additional clinical criteria to manage dose escalation</w:t>
      </w:r>
      <w:r w:rsidR="0087134A">
        <w:t xml:space="preserve">, stating that </w:t>
      </w:r>
      <w:r>
        <w:t xml:space="preserve">the decision to escalate would be based on the physician’s discretion. </w:t>
      </w:r>
      <w:r w:rsidR="00DB0627">
        <w:t xml:space="preserve">This aligned with the TGA approved </w:t>
      </w:r>
      <w:r w:rsidR="00DA41A0">
        <w:t>PI</w:t>
      </w:r>
      <w:r w:rsidR="00B20FD3">
        <w:t xml:space="preserve"> (see paragraph</w:t>
      </w:r>
      <w:r w:rsidR="00411D84">
        <w:t xml:space="preserve"> 2.1)</w:t>
      </w:r>
      <w:r w:rsidR="00923C98">
        <w:t>.</w:t>
      </w:r>
    </w:p>
    <w:p w14:paraId="50DF3000" w14:textId="50DCB38F" w:rsidR="00CC35EA" w:rsidRDefault="000A658A" w:rsidP="00F9393E">
      <w:pPr>
        <w:pStyle w:val="3-BodyText"/>
        <w:rPr>
          <w:color w:val="000000" w:themeColor="text1"/>
        </w:rPr>
      </w:pPr>
      <w:r w:rsidRPr="000A658A">
        <w:rPr>
          <w:color w:val="000000" w:themeColor="text1"/>
        </w:rPr>
        <w:t xml:space="preserve">The </w:t>
      </w:r>
      <w:r w:rsidR="00811222">
        <w:rPr>
          <w:color w:val="000000" w:themeColor="text1"/>
        </w:rPr>
        <w:t xml:space="preserve">current PBS restrictions for TIL 100 mg </w:t>
      </w:r>
      <w:r w:rsidR="0093024F">
        <w:rPr>
          <w:color w:val="000000" w:themeColor="text1"/>
        </w:rPr>
        <w:t xml:space="preserve">(and thus, the proposed restrictions for TIL 200 mg) </w:t>
      </w:r>
      <w:r w:rsidR="00811222">
        <w:rPr>
          <w:color w:val="000000" w:themeColor="text1"/>
        </w:rPr>
        <w:t xml:space="preserve">include </w:t>
      </w:r>
      <w:r w:rsidR="007E7FAA">
        <w:rPr>
          <w:color w:val="000000" w:themeColor="text1"/>
        </w:rPr>
        <w:t xml:space="preserve">an Administrative Advice stating that an adequate response to treatment is defined </w:t>
      </w:r>
      <w:r w:rsidR="00FD00B7">
        <w:rPr>
          <w:color w:val="000000" w:themeColor="text1"/>
        </w:rPr>
        <w:t>as a PASI score which is reduced by 75% or more</w:t>
      </w:r>
      <w:r w:rsidR="00691F50">
        <w:rPr>
          <w:color w:val="000000" w:themeColor="text1"/>
        </w:rPr>
        <w:t xml:space="preserve"> (PASI75)</w:t>
      </w:r>
      <w:r w:rsidR="00FD00B7">
        <w:rPr>
          <w:color w:val="000000" w:themeColor="text1"/>
        </w:rPr>
        <w:t>, or is sustained at this level, when compared to baseline for this treatment cycle</w:t>
      </w:r>
      <w:r w:rsidR="00364BC2">
        <w:rPr>
          <w:color w:val="000000" w:themeColor="text1"/>
        </w:rPr>
        <w:t xml:space="preserve">. </w:t>
      </w:r>
    </w:p>
    <w:p w14:paraId="58EBC758" w14:textId="287E3BC1" w:rsidR="00121107" w:rsidRPr="00121107" w:rsidRDefault="00121107" w:rsidP="00121107">
      <w:pPr>
        <w:pStyle w:val="3-BodyText"/>
        <w:numPr>
          <w:ilvl w:val="0"/>
          <w:numId w:val="0"/>
        </w:numPr>
        <w:ind w:left="720"/>
        <w:rPr>
          <w:i/>
          <w:iCs/>
          <w:color w:val="000000" w:themeColor="text1"/>
        </w:rPr>
      </w:pPr>
      <w:r w:rsidRPr="00121107">
        <w:rPr>
          <w:i/>
          <w:iCs/>
        </w:rPr>
        <w:t>For more detail on PBAC’s view, see section 7 PBAC outcome.</w:t>
      </w:r>
    </w:p>
    <w:p w14:paraId="7075B85C" w14:textId="7B7D2E31" w:rsidR="00B50DB8" w:rsidRPr="0098262F" w:rsidDel="00195452" w:rsidRDefault="00203181" w:rsidP="000F4995">
      <w:pPr>
        <w:pStyle w:val="2-SectionHeading"/>
        <w:numPr>
          <w:ilvl w:val="0"/>
          <w:numId w:val="23"/>
        </w:numPr>
      </w:pPr>
      <w:bookmarkStart w:id="16" w:name="_Toc216947688"/>
      <w:r w:rsidRPr="0098262F" w:rsidDel="00195452">
        <w:t xml:space="preserve">Population and </w:t>
      </w:r>
      <w:r w:rsidR="008E0D3C" w:rsidRPr="0098262F" w:rsidDel="00195452">
        <w:t>d</w:t>
      </w:r>
      <w:r w:rsidRPr="0098262F" w:rsidDel="00195452">
        <w:t>isease</w:t>
      </w:r>
      <w:bookmarkEnd w:id="16"/>
    </w:p>
    <w:p w14:paraId="382A06C2" w14:textId="25907957" w:rsidR="002A69F4" w:rsidRPr="002A69F4" w:rsidRDefault="000F4995" w:rsidP="000F4995">
      <w:pPr>
        <w:pStyle w:val="3-BodyText"/>
        <w:numPr>
          <w:ilvl w:val="0"/>
          <w:numId w:val="0"/>
        </w:numPr>
        <w:ind w:left="720" w:hanging="720"/>
        <w:rPr>
          <w:color w:val="0066FF"/>
        </w:rPr>
      </w:pPr>
      <w:r>
        <w:t>4.1</w:t>
      </w:r>
      <w:r>
        <w:tab/>
      </w:r>
      <w:r w:rsidR="002A69F4" w:rsidRPr="005B6D7B">
        <w:t>Plaque psoriasis is a chronic</w:t>
      </w:r>
      <w:r w:rsidR="002A69F4">
        <w:t>,</w:t>
      </w:r>
      <w:r w:rsidR="002A69F4" w:rsidRPr="005B6D7B">
        <w:t xml:space="preserve"> immune</w:t>
      </w:r>
      <w:r w:rsidR="005F1191">
        <w:noBreakHyphen/>
      </w:r>
      <w:r w:rsidR="002A69F4" w:rsidRPr="005B6D7B">
        <w:t xml:space="preserve">mediated, painful and disabling disease of the skin, characterised by disfiguring scaling and erythematous plaques that may cause significant reductions in quality of life. </w:t>
      </w:r>
    </w:p>
    <w:p w14:paraId="7524696A" w14:textId="42FDFD1C" w:rsidR="00A040C0" w:rsidRPr="000F4995" w:rsidRDefault="00E149A8" w:rsidP="000F4995">
      <w:pPr>
        <w:pStyle w:val="3-BodyText"/>
        <w:numPr>
          <w:ilvl w:val="1"/>
          <w:numId w:val="47"/>
        </w:numPr>
        <w:rPr>
          <w:color w:val="000000" w:themeColor="text1"/>
        </w:rPr>
      </w:pPr>
      <w:r w:rsidRPr="000F4995">
        <w:rPr>
          <w:color w:val="000000" w:themeColor="text1"/>
        </w:rPr>
        <w:t xml:space="preserve">TIL </w:t>
      </w:r>
      <w:r w:rsidR="00A040C0" w:rsidRPr="000F4995">
        <w:rPr>
          <w:color w:val="000000" w:themeColor="text1"/>
        </w:rPr>
        <w:t>is an antibody that binds to the p19 sub</w:t>
      </w:r>
      <w:r w:rsidR="005F1191">
        <w:rPr>
          <w:color w:val="000000" w:themeColor="text1"/>
        </w:rPr>
        <w:noBreakHyphen/>
      </w:r>
      <w:r w:rsidR="00A040C0" w:rsidRPr="000F4995">
        <w:rPr>
          <w:color w:val="000000" w:themeColor="text1"/>
        </w:rPr>
        <w:t>unit of IL</w:t>
      </w:r>
      <w:r w:rsidR="005F1191">
        <w:rPr>
          <w:color w:val="000000" w:themeColor="text1"/>
        </w:rPr>
        <w:noBreakHyphen/>
      </w:r>
      <w:r w:rsidR="00A040C0" w:rsidRPr="000F4995">
        <w:rPr>
          <w:color w:val="000000" w:themeColor="text1"/>
        </w:rPr>
        <w:t>23, inhibiting IL</w:t>
      </w:r>
      <w:r w:rsidR="005F1191">
        <w:rPr>
          <w:color w:val="000000" w:themeColor="text1"/>
        </w:rPr>
        <w:noBreakHyphen/>
      </w:r>
      <w:r w:rsidR="00A040C0" w:rsidRPr="000F4995">
        <w:rPr>
          <w:color w:val="000000" w:themeColor="text1"/>
        </w:rPr>
        <w:t>23</w:t>
      </w:r>
      <w:r w:rsidR="005F1191">
        <w:rPr>
          <w:color w:val="000000" w:themeColor="text1"/>
        </w:rPr>
        <w:noBreakHyphen/>
      </w:r>
      <w:r w:rsidR="00A040C0" w:rsidRPr="000F4995">
        <w:rPr>
          <w:color w:val="000000" w:themeColor="text1"/>
        </w:rPr>
        <w:t xml:space="preserve">mediated inflammation. </w:t>
      </w:r>
      <w:proofErr w:type="spellStart"/>
      <w:r w:rsidR="00A040C0" w:rsidRPr="000F4995">
        <w:rPr>
          <w:color w:val="000000" w:themeColor="text1"/>
        </w:rPr>
        <w:t>Guselkumab</w:t>
      </w:r>
      <w:proofErr w:type="spellEnd"/>
      <w:r w:rsidR="00A040C0" w:rsidRPr="000F4995">
        <w:rPr>
          <w:color w:val="000000" w:themeColor="text1"/>
        </w:rPr>
        <w:t xml:space="preserve"> and </w:t>
      </w:r>
      <w:proofErr w:type="spellStart"/>
      <w:r w:rsidR="00A040C0" w:rsidRPr="000F4995">
        <w:rPr>
          <w:color w:val="000000" w:themeColor="text1"/>
        </w:rPr>
        <w:t>risankizumab</w:t>
      </w:r>
      <w:proofErr w:type="spellEnd"/>
      <w:r w:rsidR="00A040C0" w:rsidRPr="000F4995">
        <w:rPr>
          <w:color w:val="000000" w:themeColor="text1"/>
        </w:rPr>
        <w:t xml:space="preserve"> </w:t>
      </w:r>
      <w:r w:rsidR="0098629B" w:rsidRPr="000F4995">
        <w:rPr>
          <w:color w:val="000000" w:themeColor="text1"/>
        </w:rPr>
        <w:t>also bind to the p19 subunit of IL</w:t>
      </w:r>
      <w:r w:rsidR="005F1191">
        <w:rPr>
          <w:color w:val="000000" w:themeColor="text1"/>
        </w:rPr>
        <w:noBreakHyphen/>
      </w:r>
      <w:r w:rsidR="0098629B" w:rsidRPr="000F4995">
        <w:rPr>
          <w:color w:val="000000" w:themeColor="text1"/>
        </w:rPr>
        <w:t>23.</w:t>
      </w:r>
    </w:p>
    <w:p w14:paraId="268FCC7F" w14:textId="7F502E6C" w:rsidR="00E912B4" w:rsidRPr="00E912B4" w:rsidRDefault="00E912B4" w:rsidP="004E18E9">
      <w:pPr>
        <w:pStyle w:val="3-BodyText"/>
        <w:rPr>
          <w:color w:val="000000" w:themeColor="text1"/>
        </w:rPr>
      </w:pPr>
      <w:r w:rsidRPr="00E912B4">
        <w:rPr>
          <w:color w:val="000000" w:themeColor="text1"/>
        </w:rPr>
        <w:t xml:space="preserve">The current treatment algorithm </w:t>
      </w:r>
      <w:r w:rsidR="00AB64B7">
        <w:rPr>
          <w:color w:val="000000" w:themeColor="text1"/>
        </w:rPr>
        <w:t xml:space="preserve">for TIL 100 mg </w:t>
      </w:r>
      <w:r w:rsidRPr="00E912B4">
        <w:rPr>
          <w:color w:val="000000" w:themeColor="text1"/>
        </w:rPr>
        <w:t xml:space="preserve">restates the current PBS restriction for TIL: treatment with 100 mg at </w:t>
      </w:r>
      <w:r w:rsidR="00B64B2A">
        <w:rPr>
          <w:color w:val="000000" w:themeColor="text1"/>
        </w:rPr>
        <w:t>W</w:t>
      </w:r>
      <w:r w:rsidR="00B64B2A" w:rsidRPr="00E912B4">
        <w:rPr>
          <w:color w:val="000000" w:themeColor="text1"/>
        </w:rPr>
        <w:t xml:space="preserve">eeks </w:t>
      </w:r>
      <w:r w:rsidRPr="00E912B4">
        <w:rPr>
          <w:color w:val="000000" w:themeColor="text1"/>
        </w:rPr>
        <w:t xml:space="preserve">0, 4, 16 and 28 and then 12 </w:t>
      </w:r>
      <w:proofErr w:type="gramStart"/>
      <w:r w:rsidRPr="00E912B4">
        <w:rPr>
          <w:color w:val="000000" w:themeColor="text1"/>
        </w:rPr>
        <w:t>weekly</w:t>
      </w:r>
      <w:proofErr w:type="gramEnd"/>
      <w:r w:rsidRPr="00E912B4">
        <w:rPr>
          <w:color w:val="000000" w:themeColor="text1"/>
        </w:rPr>
        <w:t xml:space="preserve"> if a PASI75 response is achieved. The proposed treatment algorithm</w:t>
      </w:r>
      <w:r w:rsidR="00AB64B7">
        <w:rPr>
          <w:color w:val="000000" w:themeColor="text1"/>
        </w:rPr>
        <w:t>, which included TIL 200 mg,</w:t>
      </w:r>
      <w:r w:rsidRPr="00E912B4">
        <w:rPr>
          <w:color w:val="000000" w:themeColor="text1"/>
        </w:rPr>
        <w:t xml:space="preserve"> </w:t>
      </w:r>
      <w:r w:rsidR="00C43C4A">
        <w:rPr>
          <w:color w:val="000000" w:themeColor="text1"/>
        </w:rPr>
        <w:t xml:space="preserve">was </w:t>
      </w:r>
      <w:r w:rsidRPr="00E912B4">
        <w:rPr>
          <w:color w:val="000000" w:themeColor="text1"/>
        </w:rPr>
        <w:t xml:space="preserve">100 mg at </w:t>
      </w:r>
      <w:r w:rsidR="00C43C4A">
        <w:rPr>
          <w:color w:val="000000" w:themeColor="text1"/>
        </w:rPr>
        <w:t>W</w:t>
      </w:r>
      <w:r w:rsidR="00C43C4A" w:rsidRPr="00E912B4">
        <w:rPr>
          <w:color w:val="000000" w:themeColor="text1"/>
        </w:rPr>
        <w:t xml:space="preserve">eeks </w:t>
      </w:r>
      <w:r w:rsidRPr="00E912B4">
        <w:rPr>
          <w:color w:val="000000" w:themeColor="text1"/>
        </w:rPr>
        <w:t>0, 4, 16 and 28 and then either 100 mg or 200 mg 12 weekly if a PASI75 response is achieved</w:t>
      </w:r>
      <w:r w:rsidR="0098629B">
        <w:rPr>
          <w:color w:val="000000" w:themeColor="text1"/>
        </w:rPr>
        <w:t>, with no indication of which patients should receive the 200 mg dose.</w:t>
      </w:r>
    </w:p>
    <w:p w14:paraId="433633FC" w14:textId="4BF24263" w:rsidR="00240D65" w:rsidRPr="00240D65" w:rsidRDefault="00E912B4" w:rsidP="004E18E9">
      <w:pPr>
        <w:pStyle w:val="3-BodyText"/>
        <w:rPr>
          <w:color w:val="0066FF"/>
        </w:rPr>
      </w:pPr>
      <w:r>
        <w:rPr>
          <w:color w:val="000000" w:themeColor="text1"/>
        </w:rPr>
        <w:t xml:space="preserve">Current Australian guidelines suggest that </w:t>
      </w:r>
      <w:r w:rsidR="00240D65">
        <w:rPr>
          <w:color w:val="000000" w:themeColor="text1"/>
        </w:rPr>
        <w:t>treatment should be modified if the</w:t>
      </w:r>
      <w:r>
        <w:rPr>
          <w:color w:val="000000" w:themeColor="text1"/>
        </w:rPr>
        <w:t xml:space="preserve"> </w:t>
      </w:r>
      <w:r w:rsidR="00240D65">
        <w:rPr>
          <w:color w:val="000000" w:themeColor="text1"/>
        </w:rPr>
        <w:t>response</w:t>
      </w:r>
      <w:r>
        <w:rPr>
          <w:color w:val="000000" w:themeColor="text1"/>
        </w:rPr>
        <w:t xml:space="preserve"> is inadequate</w:t>
      </w:r>
      <w:r w:rsidR="00240D65">
        <w:rPr>
          <w:color w:val="000000" w:themeColor="text1"/>
        </w:rPr>
        <w:t xml:space="preserve"> (defined </w:t>
      </w:r>
      <w:r w:rsidR="00C14CA2">
        <w:rPr>
          <w:color w:val="000000" w:themeColor="text1"/>
        </w:rPr>
        <w:t>by</w:t>
      </w:r>
      <w:r w:rsidR="00240D65">
        <w:rPr>
          <w:color w:val="000000" w:themeColor="text1"/>
        </w:rPr>
        <w:t xml:space="preserve"> an individual patient) but do not express a preference for increases in dose or frequency of administration </w:t>
      </w:r>
      <w:r w:rsidR="00E149A8">
        <w:rPr>
          <w:color w:val="000000" w:themeColor="text1"/>
        </w:rPr>
        <w:t>versus</w:t>
      </w:r>
      <w:r w:rsidR="00240D65">
        <w:rPr>
          <w:color w:val="000000" w:themeColor="text1"/>
        </w:rPr>
        <w:t xml:space="preserve"> adding topical treatments or changing to a</w:t>
      </w:r>
      <w:r w:rsidR="00FC14FB">
        <w:rPr>
          <w:color w:val="000000" w:themeColor="text1"/>
        </w:rPr>
        <w:t xml:space="preserve"> different</w:t>
      </w:r>
      <w:r w:rsidR="00240D65">
        <w:rPr>
          <w:color w:val="000000" w:themeColor="text1"/>
        </w:rPr>
        <w:t xml:space="preserve"> medication.</w:t>
      </w:r>
    </w:p>
    <w:p w14:paraId="0DE06745" w14:textId="77777777" w:rsidR="00FC14FB" w:rsidRDefault="00240D65" w:rsidP="00240D65">
      <w:pPr>
        <w:pStyle w:val="3-BodyText"/>
        <w:rPr>
          <w:color w:val="000000" w:themeColor="text1"/>
        </w:rPr>
      </w:pPr>
      <w:r>
        <w:rPr>
          <w:color w:val="000000" w:themeColor="text1"/>
        </w:rPr>
        <w:t>Current UK guidelines suggest that the dose of a biologic treatment may be increased or the dose interval reduced "</w:t>
      </w:r>
      <w:r w:rsidRPr="00240D65">
        <w:rPr>
          <w:color w:val="000000" w:themeColor="text1"/>
        </w:rPr>
        <w:t>when an</w:t>
      </w:r>
      <w:r>
        <w:rPr>
          <w:color w:val="000000" w:themeColor="text1"/>
        </w:rPr>
        <w:t xml:space="preserve"> </w:t>
      </w:r>
      <w:r w:rsidRPr="00240D65">
        <w:rPr>
          <w:color w:val="000000" w:themeColor="text1"/>
        </w:rPr>
        <w:t>inadequate primary response might be due to insufficient</w:t>
      </w:r>
      <w:r>
        <w:rPr>
          <w:color w:val="000000" w:themeColor="text1"/>
        </w:rPr>
        <w:t xml:space="preserve"> </w:t>
      </w:r>
      <w:r w:rsidRPr="00240D65">
        <w:rPr>
          <w:color w:val="000000" w:themeColor="text1"/>
        </w:rPr>
        <w:t>drug exposure (e.g. in people who are obese and/or whose</w:t>
      </w:r>
      <w:r>
        <w:rPr>
          <w:color w:val="000000" w:themeColor="text1"/>
        </w:rPr>
        <w:t xml:space="preserve"> </w:t>
      </w:r>
      <w:r w:rsidRPr="00240D65">
        <w:rPr>
          <w:color w:val="000000" w:themeColor="text1"/>
        </w:rPr>
        <w:t xml:space="preserve">psoriasis </w:t>
      </w:r>
      <w:r w:rsidRPr="00240D65">
        <w:rPr>
          <w:color w:val="000000" w:themeColor="text1"/>
        </w:rPr>
        <w:lastRenderedPageBreak/>
        <w:t>relapses during the treatment cycle and/or if the</w:t>
      </w:r>
      <w:r>
        <w:rPr>
          <w:color w:val="000000" w:themeColor="text1"/>
        </w:rPr>
        <w:t xml:space="preserve"> </w:t>
      </w:r>
      <w:r w:rsidRPr="00240D65">
        <w:rPr>
          <w:color w:val="000000" w:themeColor="text1"/>
        </w:rPr>
        <w:t>drug level is known to be subtherapeutic)</w:t>
      </w:r>
      <w:r>
        <w:rPr>
          <w:color w:val="000000" w:themeColor="text1"/>
        </w:rPr>
        <w:t>"</w:t>
      </w:r>
      <w:r w:rsidRPr="00240D65">
        <w:rPr>
          <w:color w:val="000000" w:themeColor="text1"/>
        </w:rPr>
        <w:t>.</w:t>
      </w:r>
      <w:r>
        <w:rPr>
          <w:rStyle w:val="FootnoteReference"/>
          <w:color w:val="000000" w:themeColor="text1"/>
        </w:rPr>
        <w:footnoteReference w:id="1"/>
      </w:r>
      <w:r w:rsidR="002A6B05">
        <w:rPr>
          <w:color w:val="000000" w:themeColor="text1"/>
        </w:rPr>
        <w:t xml:space="preserve"> </w:t>
      </w:r>
    </w:p>
    <w:p w14:paraId="5930F54B" w14:textId="3329058A" w:rsidR="00240D65" w:rsidRDefault="002A6B05" w:rsidP="00240D65">
      <w:pPr>
        <w:pStyle w:val="3-BodyText"/>
        <w:rPr>
          <w:color w:val="000000" w:themeColor="text1"/>
        </w:rPr>
      </w:pPr>
      <w:r>
        <w:rPr>
          <w:color w:val="000000" w:themeColor="text1"/>
        </w:rPr>
        <w:t>Current US guidelines suggest consideration of an increased dose</w:t>
      </w:r>
      <w:r w:rsidR="009D3679">
        <w:rPr>
          <w:color w:val="000000" w:themeColor="text1"/>
        </w:rPr>
        <w:t xml:space="preserve"> for all biologic treatments</w:t>
      </w:r>
      <w:r>
        <w:rPr>
          <w:color w:val="000000" w:themeColor="text1"/>
        </w:rPr>
        <w:t xml:space="preserve"> in "partially responding" patients</w:t>
      </w:r>
      <w:r w:rsidR="00FC14FB">
        <w:rPr>
          <w:color w:val="000000" w:themeColor="text1"/>
        </w:rPr>
        <w:t xml:space="preserve"> but do not define partial response.</w:t>
      </w:r>
      <w:r w:rsidR="00FC14FB">
        <w:rPr>
          <w:rStyle w:val="FootnoteReference"/>
          <w:color w:val="000000" w:themeColor="text1"/>
        </w:rPr>
        <w:footnoteReference w:id="2"/>
      </w:r>
    </w:p>
    <w:p w14:paraId="4A2F9084" w14:textId="09B201F9" w:rsidR="00121107" w:rsidRPr="00121107" w:rsidRDefault="00121107" w:rsidP="00121107">
      <w:pPr>
        <w:pStyle w:val="3-BodyText"/>
        <w:numPr>
          <w:ilvl w:val="0"/>
          <w:numId w:val="0"/>
        </w:numPr>
        <w:ind w:left="720"/>
        <w:rPr>
          <w:i/>
          <w:iCs/>
          <w:color w:val="000000" w:themeColor="text1"/>
        </w:rPr>
      </w:pPr>
      <w:r w:rsidRPr="00121107">
        <w:rPr>
          <w:i/>
          <w:iCs/>
          <w:color w:val="000000" w:themeColor="text1"/>
        </w:rPr>
        <w:t>For more detail on PBAC’s view, see section 7 PBAC outcome.</w:t>
      </w:r>
    </w:p>
    <w:p w14:paraId="51E5AE96" w14:textId="76D67B7F" w:rsidR="00B50DB8" w:rsidRPr="0098262F" w:rsidRDefault="00B50DB8" w:rsidP="005729A0">
      <w:pPr>
        <w:pStyle w:val="2-SectionHeading"/>
        <w:numPr>
          <w:ilvl w:val="0"/>
          <w:numId w:val="23"/>
        </w:numPr>
      </w:pPr>
      <w:bookmarkStart w:id="17" w:name="_Toc216947689"/>
      <w:r w:rsidRPr="0098262F">
        <w:t>Comparator</w:t>
      </w:r>
      <w:bookmarkEnd w:id="17"/>
    </w:p>
    <w:p w14:paraId="2E66C396" w14:textId="46DA0EED" w:rsidR="008B1F5D" w:rsidRDefault="002902D3" w:rsidP="008B1F5D">
      <w:pPr>
        <w:pStyle w:val="3-BodyText"/>
      </w:pPr>
      <w:r w:rsidRPr="002902D3">
        <w:t xml:space="preserve">The comparator proposed for TIL </w:t>
      </w:r>
      <w:r w:rsidR="00E149A8">
        <w:t>2</w:t>
      </w:r>
      <w:r w:rsidRPr="002902D3">
        <w:t xml:space="preserve">00 mg 12 weekly was TIL </w:t>
      </w:r>
      <w:r w:rsidR="00E149A8">
        <w:t>1</w:t>
      </w:r>
      <w:r w:rsidRPr="002902D3">
        <w:t>00</w:t>
      </w:r>
      <w:r w:rsidR="001B3D42">
        <w:t xml:space="preserve"> </w:t>
      </w:r>
      <w:r w:rsidRPr="002902D3">
        <w:t>mg 12 weekly</w:t>
      </w:r>
      <w:bookmarkStart w:id="18" w:name="_Toc216947690"/>
      <w:bookmarkStart w:id="19" w:name="_Toc22897640"/>
      <w:r w:rsidR="00FC6089">
        <w:t>.</w:t>
      </w:r>
      <w:bookmarkStart w:id="20" w:name="_Toc216947691"/>
      <w:bookmarkEnd w:id="18"/>
    </w:p>
    <w:p w14:paraId="417A4D7E" w14:textId="409FF07A" w:rsidR="00121107" w:rsidRPr="00121107" w:rsidRDefault="00121107" w:rsidP="00121107">
      <w:pPr>
        <w:pStyle w:val="3-BodyText"/>
        <w:numPr>
          <w:ilvl w:val="0"/>
          <w:numId w:val="0"/>
        </w:numPr>
        <w:ind w:left="720"/>
        <w:rPr>
          <w:i/>
          <w:iCs/>
        </w:rPr>
      </w:pPr>
      <w:r w:rsidRPr="00121107">
        <w:rPr>
          <w:i/>
          <w:iCs/>
        </w:rPr>
        <w:t>For more detail on PBAC’s view, see section 7 PBAC outcome.</w:t>
      </w:r>
    </w:p>
    <w:p w14:paraId="1204228B" w14:textId="53EAC81A" w:rsidR="008B1F5D" w:rsidRPr="0098262F" w:rsidRDefault="008B1F5D" w:rsidP="008B1F5D">
      <w:pPr>
        <w:pStyle w:val="2-SectionHeading"/>
        <w:numPr>
          <w:ilvl w:val="0"/>
          <w:numId w:val="23"/>
        </w:numPr>
      </w:pPr>
      <w:r>
        <w:t>Consideration of the evidence</w:t>
      </w:r>
    </w:p>
    <w:p w14:paraId="3B48F8E5" w14:textId="16A2276D" w:rsidR="005C5B47" w:rsidRDefault="005C5B47" w:rsidP="002E4F02">
      <w:pPr>
        <w:pStyle w:val="4-SubsectionHeading"/>
      </w:pPr>
      <w:r>
        <w:t>Sponsor hearing</w:t>
      </w:r>
    </w:p>
    <w:p w14:paraId="5CD922DC" w14:textId="56E40687" w:rsidR="005C5B47" w:rsidRDefault="005C5B47" w:rsidP="005C5B47">
      <w:pPr>
        <w:pStyle w:val="3-BodyText"/>
        <w:rPr>
          <w:lang w:eastAsia="en-US"/>
        </w:rPr>
      </w:pPr>
      <w:r>
        <w:rPr>
          <w:lang w:eastAsia="en-US"/>
        </w:rPr>
        <w:t>There was no hearing for this item.</w:t>
      </w:r>
    </w:p>
    <w:p w14:paraId="69AD54C4" w14:textId="04608C68" w:rsidR="005C5B47" w:rsidRDefault="005C5B47" w:rsidP="00B313E3">
      <w:pPr>
        <w:pStyle w:val="4-SubsectionHeading"/>
      </w:pPr>
      <w:r>
        <w:t>Consumer input</w:t>
      </w:r>
    </w:p>
    <w:p w14:paraId="79942E1E" w14:textId="55DDA4BB" w:rsidR="005C5B47" w:rsidRPr="005C5B47" w:rsidRDefault="00E117BF" w:rsidP="0024766E">
      <w:pPr>
        <w:pStyle w:val="3-BodyText"/>
        <w:rPr>
          <w:lang w:eastAsia="en-US"/>
        </w:rPr>
      </w:pPr>
      <w:r>
        <w:rPr>
          <w:lang w:eastAsia="en-US"/>
        </w:rPr>
        <w:t xml:space="preserve">The PBAC noted and welcomed input from one medical organisation, the </w:t>
      </w:r>
      <w:r w:rsidR="00EB4544">
        <w:rPr>
          <w:lang w:eastAsia="en-US"/>
        </w:rPr>
        <w:t>Australasian</w:t>
      </w:r>
      <w:r>
        <w:rPr>
          <w:lang w:eastAsia="en-US"/>
        </w:rPr>
        <w:t xml:space="preserve"> </w:t>
      </w:r>
      <w:r w:rsidR="00EB4544">
        <w:rPr>
          <w:lang w:eastAsia="en-US"/>
        </w:rPr>
        <w:t xml:space="preserve">College of </w:t>
      </w:r>
      <w:r w:rsidR="00EB4544" w:rsidRPr="0024766E">
        <w:t>Dermatologists</w:t>
      </w:r>
      <w:r w:rsidR="00EB4544">
        <w:rPr>
          <w:lang w:eastAsia="en-US"/>
        </w:rPr>
        <w:t>, which advocated for i</w:t>
      </w:r>
      <w:r w:rsidR="00801CFA">
        <w:rPr>
          <w:lang w:eastAsia="en-US"/>
        </w:rPr>
        <w:t xml:space="preserve">ncreasing the maintenance dose </w:t>
      </w:r>
      <w:r w:rsidR="002870FE">
        <w:rPr>
          <w:lang w:eastAsia="en-US"/>
        </w:rPr>
        <w:t xml:space="preserve">of TIL </w:t>
      </w:r>
      <w:r w:rsidR="00801CFA">
        <w:rPr>
          <w:lang w:eastAsia="en-US"/>
        </w:rPr>
        <w:t xml:space="preserve">to 200 mg </w:t>
      </w:r>
      <w:r w:rsidR="00B1405B">
        <w:rPr>
          <w:lang w:eastAsia="en-US"/>
        </w:rPr>
        <w:t>to</w:t>
      </w:r>
      <w:r w:rsidR="00B313E3">
        <w:rPr>
          <w:lang w:eastAsia="en-US"/>
        </w:rPr>
        <w:t xml:space="preserve"> </w:t>
      </w:r>
      <w:r w:rsidR="00801CFA">
        <w:rPr>
          <w:lang w:eastAsia="en-US"/>
        </w:rPr>
        <w:t>provide an opportunity to improve outcomes in patient</w:t>
      </w:r>
      <w:r w:rsidR="00B313E3">
        <w:rPr>
          <w:lang w:eastAsia="en-US"/>
        </w:rPr>
        <w:t xml:space="preserve"> with severe disease or obesity.</w:t>
      </w:r>
    </w:p>
    <w:p w14:paraId="609C0765" w14:textId="6E25CD7C" w:rsidR="00B60939" w:rsidRPr="0098262F" w:rsidRDefault="00B60939" w:rsidP="002E4F02">
      <w:pPr>
        <w:pStyle w:val="4-SubsectionHeading"/>
      </w:pPr>
      <w:r w:rsidRPr="0098262F">
        <w:t>Clinical trials</w:t>
      </w:r>
      <w:bookmarkEnd w:id="19"/>
      <w:bookmarkEnd w:id="20"/>
    </w:p>
    <w:p w14:paraId="2B59ABAC" w14:textId="5488E02D" w:rsidR="00862502" w:rsidRPr="00523318" w:rsidRDefault="002C3166" w:rsidP="002C3166">
      <w:pPr>
        <w:pStyle w:val="3-BodyText"/>
        <w:rPr>
          <w:color w:val="0066FF"/>
        </w:rPr>
      </w:pPr>
      <w:r>
        <w:t xml:space="preserve">The submission presented the same three randomised controlled trials that were used in the July 2018 submission. </w:t>
      </w:r>
      <w:r w:rsidR="00A73134" w:rsidRPr="0098262F">
        <w:t>Details of the trials are provided in</w:t>
      </w:r>
      <w:r w:rsidR="00E44DA7">
        <w:t xml:space="preserve"> </w:t>
      </w:r>
      <w:r w:rsidR="00E44DA7">
        <w:fldChar w:fldCharType="begin"/>
      </w:r>
      <w:r w:rsidR="00E44DA7">
        <w:instrText xml:space="preserve"> REF _Ref225948915 \h </w:instrText>
      </w:r>
      <w:r w:rsidR="00E44DA7">
        <w:fldChar w:fldCharType="separate"/>
      </w:r>
      <w:r w:rsidR="00E44DA7">
        <w:t xml:space="preserve">Table </w:t>
      </w:r>
      <w:r w:rsidR="00E44DA7">
        <w:rPr>
          <w:noProof/>
        </w:rPr>
        <w:t>3</w:t>
      </w:r>
      <w:r w:rsidR="00E44DA7">
        <w:fldChar w:fldCharType="end"/>
      </w:r>
      <w:r w:rsidR="003559F8">
        <w:t>.</w:t>
      </w:r>
    </w:p>
    <w:p w14:paraId="05135BC4" w14:textId="59801726" w:rsidR="00523318" w:rsidRPr="002C3166" w:rsidRDefault="007338E7" w:rsidP="002C3166">
      <w:pPr>
        <w:pStyle w:val="3-BodyText"/>
        <w:rPr>
          <w:color w:val="0066FF"/>
        </w:rPr>
      </w:pPr>
      <w:r>
        <w:t>Since July 2018</w:t>
      </w:r>
      <w:r w:rsidR="0044679B">
        <w:t>,</w:t>
      </w:r>
      <w:r>
        <w:t xml:space="preserve"> the PBAC has</w:t>
      </w:r>
      <w:r w:rsidR="002902D3">
        <w:t xml:space="preserve"> again</w:t>
      </w:r>
      <w:r>
        <w:t xml:space="preserve"> considered these trials, together with additional trial data</w:t>
      </w:r>
      <w:r w:rsidR="0044679B">
        <w:t>,</w:t>
      </w:r>
      <w:r w:rsidR="003B0E38">
        <w:t xml:space="preserve"> systematic reviews and network meta</w:t>
      </w:r>
      <w:r w:rsidR="005F1191">
        <w:noBreakHyphen/>
      </w:r>
      <w:r w:rsidR="003B0E38">
        <w:t>analyses</w:t>
      </w:r>
      <w:r>
        <w:t xml:space="preserve"> of biologic treatments for psoriasis</w:t>
      </w:r>
      <w:r w:rsidR="002902D3">
        <w:t>,</w:t>
      </w:r>
      <w:r>
        <w:t xml:space="preserve"> in its considerations of </w:t>
      </w:r>
      <w:proofErr w:type="spellStart"/>
      <w:r w:rsidR="003B0E38">
        <w:t>bimekizumab</w:t>
      </w:r>
      <w:proofErr w:type="spellEnd"/>
      <w:r w:rsidR="003B0E38">
        <w:t xml:space="preserve"> in March 2023 and </w:t>
      </w:r>
      <w:proofErr w:type="spellStart"/>
      <w:r w:rsidR="003B0E38">
        <w:t>risankizumab</w:t>
      </w:r>
      <w:proofErr w:type="spellEnd"/>
      <w:r w:rsidR="003B0E38">
        <w:t xml:space="preserve"> in November 2023</w:t>
      </w:r>
      <w:r w:rsidR="009A00FC">
        <w:t xml:space="preserve">. </w:t>
      </w:r>
    </w:p>
    <w:p w14:paraId="7DE3A286" w14:textId="528AEA95" w:rsidR="008E0D3C" w:rsidRPr="0098262F" w:rsidRDefault="00E44DA7" w:rsidP="00E44DA7">
      <w:pPr>
        <w:pStyle w:val="Caption"/>
        <w:rPr>
          <w:rStyle w:val="CommentReference"/>
          <w:b/>
          <w:szCs w:val="24"/>
        </w:rPr>
      </w:pPr>
      <w:bookmarkStart w:id="21" w:name="_Ref225948915"/>
      <w:r>
        <w:lastRenderedPageBreak/>
        <w:t xml:space="preserve">Table </w:t>
      </w:r>
      <w:fldSimple w:instr=" SEQ Table \* ARABIC ">
        <w:r>
          <w:rPr>
            <w:noProof/>
          </w:rPr>
          <w:t>3</w:t>
        </w:r>
      </w:fldSimple>
      <w:bookmarkEnd w:id="21"/>
      <w:r w:rsidR="00696EF9" w:rsidRPr="0098262F">
        <w:t>:</w:t>
      </w:r>
      <w:r w:rsidR="00BC591F" w:rsidRPr="0098262F">
        <w:rPr>
          <w:rStyle w:val="CommentReference"/>
          <w:b/>
          <w:szCs w:val="24"/>
        </w:rPr>
        <w:t xml:space="preserve"> </w:t>
      </w:r>
      <w:r w:rsidR="008E0D3C" w:rsidRPr="0098262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295"/>
        <w:gridCol w:w="6168"/>
        <w:gridCol w:w="1719"/>
      </w:tblGrid>
      <w:tr w:rsidR="008E0D3C" w:rsidRPr="0098262F" w14:paraId="6ACD35C4" w14:textId="77777777" w:rsidTr="00682B93">
        <w:trPr>
          <w:cantSplit/>
          <w:tblHeader/>
        </w:trPr>
        <w:tc>
          <w:tcPr>
            <w:tcW w:w="705" w:type="pct"/>
            <w:vAlign w:val="center"/>
          </w:tcPr>
          <w:p w14:paraId="20DEEB23" w14:textId="77777777" w:rsidR="008E0D3C" w:rsidRPr="0098262F" w:rsidRDefault="008E0D3C" w:rsidP="00E047B4">
            <w:pPr>
              <w:pStyle w:val="In-tableHeading"/>
            </w:pPr>
            <w:r w:rsidRPr="0098262F">
              <w:t>Trial ID</w:t>
            </w:r>
          </w:p>
        </w:tc>
        <w:tc>
          <w:tcPr>
            <w:tcW w:w="3359" w:type="pct"/>
            <w:vAlign w:val="center"/>
          </w:tcPr>
          <w:p w14:paraId="22EF6C51" w14:textId="77777777" w:rsidR="008E0D3C" w:rsidRPr="0098262F" w:rsidRDefault="008E0D3C" w:rsidP="00E047B4">
            <w:pPr>
              <w:pStyle w:val="In-tableHeading"/>
            </w:pPr>
            <w:r w:rsidRPr="0098262F">
              <w:t>Protocol title/ Publication title</w:t>
            </w:r>
          </w:p>
        </w:tc>
        <w:tc>
          <w:tcPr>
            <w:tcW w:w="936" w:type="pct"/>
            <w:vAlign w:val="center"/>
          </w:tcPr>
          <w:p w14:paraId="561B27A8" w14:textId="77777777" w:rsidR="008E0D3C" w:rsidRPr="0098262F" w:rsidRDefault="008E0D3C" w:rsidP="00E047B4">
            <w:pPr>
              <w:pStyle w:val="In-tableHeading"/>
            </w:pPr>
            <w:r w:rsidRPr="0098262F">
              <w:t>Publication citation</w:t>
            </w:r>
          </w:p>
        </w:tc>
      </w:tr>
      <w:tr w:rsidR="00B6482B" w:rsidRPr="0098262F" w14:paraId="7F3B5D31" w14:textId="77777777" w:rsidTr="00682B93">
        <w:trPr>
          <w:cantSplit/>
          <w:trHeight w:val="687"/>
          <w:tblHeader/>
        </w:trPr>
        <w:tc>
          <w:tcPr>
            <w:tcW w:w="705" w:type="pct"/>
            <w:vAlign w:val="center"/>
          </w:tcPr>
          <w:p w14:paraId="7223B2EF" w14:textId="61F70D25" w:rsidR="00B6482B" w:rsidRPr="0098262F" w:rsidRDefault="00B6482B" w:rsidP="000C67A5">
            <w:pPr>
              <w:pStyle w:val="Tabletext"/>
            </w:pPr>
            <w:proofErr w:type="spellStart"/>
            <w:r w:rsidRPr="00F13C21">
              <w:t>reSURFACE</w:t>
            </w:r>
            <w:proofErr w:type="spellEnd"/>
            <w:r w:rsidRPr="00F13C21">
              <w:t xml:space="preserve"> 1</w:t>
            </w:r>
          </w:p>
        </w:tc>
        <w:tc>
          <w:tcPr>
            <w:tcW w:w="3359" w:type="pct"/>
            <w:vAlign w:val="center"/>
          </w:tcPr>
          <w:p w14:paraId="24B83293" w14:textId="6F5FA5AC" w:rsidR="00B6482B" w:rsidRDefault="00B6482B" w:rsidP="00682B93">
            <w:pPr>
              <w:autoSpaceDE w:val="0"/>
              <w:autoSpaceDN w:val="0"/>
              <w:adjustRightInd w:val="0"/>
              <w:jc w:val="left"/>
              <w:rPr>
                <w:rFonts w:ascii="Arial Narrow" w:hAnsi="Arial Narrow"/>
                <w:sz w:val="20"/>
                <w:szCs w:val="20"/>
              </w:rPr>
            </w:pPr>
            <w:r w:rsidRPr="00F13C21">
              <w:rPr>
                <w:rFonts w:ascii="Arial Narrow" w:hAnsi="Arial Narrow"/>
                <w:sz w:val="20"/>
                <w:szCs w:val="20"/>
              </w:rPr>
              <w:t>A 64</w:t>
            </w:r>
            <w:r w:rsidR="005F1191">
              <w:rPr>
                <w:rFonts w:ascii="Arial Narrow" w:hAnsi="Arial Narrow"/>
                <w:sz w:val="20"/>
                <w:szCs w:val="20"/>
              </w:rPr>
              <w:noBreakHyphen/>
            </w:r>
            <w:r w:rsidRPr="00F13C21">
              <w:rPr>
                <w:rFonts w:ascii="Arial Narrow" w:hAnsi="Arial Narrow"/>
                <w:sz w:val="20"/>
                <w:szCs w:val="20"/>
              </w:rPr>
              <w:t>week, Phase 3, Randomized, Placebo</w:t>
            </w:r>
            <w:r w:rsidR="005F1191">
              <w:rPr>
                <w:rFonts w:ascii="Arial Narrow" w:hAnsi="Arial Narrow"/>
                <w:sz w:val="20"/>
                <w:szCs w:val="20"/>
              </w:rPr>
              <w:noBreakHyphen/>
            </w:r>
            <w:r w:rsidRPr="00F13C21">
              <w:rPr>
                <w:rFonts w:ascii="Arial Narrow" w:hAnsi="Arial Narrow"/>
                <w:sz w:val="20"/>
                <w:szCs w:val="20"/>
              </w:rPr>
              <w:t>controlled, Parallel Design Study to Evaluate the Efficacy and Safety/Tolerability of Subcutaneous Tildrakizumab</w:t>
            </w:r>
            <w:r w:rsidRPr="00F13C21">
              <w:rPr>
                <w:rFonts w:ascii="Arial Narrow" w:hAnsi="Arial Narrow" w:cs="Times New Roman"/>
                <w:sz w:val="20"/>
                <w:szCs w:val="20"/>
              </w:rPr>
              <w:t xml:space="preserve"> (SCH 900222/MK</w:t>
            </w:r>
            <w:r w:rsidR="005F1191">
              <w:rPr>
                <w:rFonts w:ascii="Arial Narrow" w:hAnsi="Arial Narrow" w:cs="Times New Roman"/>
                <w:sz w:val="20"/>
                <w:szCs w:val="20"/>
              </w:rPr>
              <w:noBreakHyphen/>
            </w:r>
            <w:r w:rsidRPr="00F13C21">
              <w:rPr>
                <w:rFonts w:ascii="Arial Narrow" w:hAnsi="Arial Narrow" w:cs="Times New Roman"/>
                <w:sz w:val="20"/>
                <w:szCs w:val="20"/>
              </w:rPr>
              <w:t>3222), Followed by an Optional Long</w:t>
            </w:r>
            <w:r w:rsidR="005F1191">
              <w:rPr>
                <w:rFonts w:ascii="Arial Narrow" w:hAnsi="Arial Narrow" w:cs="Times New Roman"/>
                <w:sz w:val="20"/>
                <w:szCs w:val="20"/>
              </w:rPr>
              <w:noBreakHyphen/>
            </w:r>
            <w:r w:rsidRPr="00F13C21">
              <w:rPr>
                <w:rFonts w:ascii="Arial Narrow" w:hAnsi="Arial Narrow" w:cs="Times New Roman"/>
                <w:sz w:val="20"/>
                <w:szCs w:val="20"/>
              </w:rPr>
              <w:t xml:space="preserve">Term Safety Extension Study, in Subjects </w:t>
            </w:r>
            <w:proofErr w:type="gramStart"/>
            <w:r w:rsidRPr="00F13C21">
              <w:rPr>
                <w:rFonts w:ascii="Arial Narrow" w:hAnsi="Arial Narrow" w:cs="Times New Roman"/>
                <w:sz w:val="20"/>
                <w:szCs w:val="20"/>
              </w:rPr>
              <w:t>With</w:t>
            </w:r>
            <w:proofErr w:type="gramEnd"/>
            <w:r w:rsidRPr="00F13C21">
              <w:rPr>
                <w:rFonts w:ascii="Arial Narrow" w:hAnsi="Arial Narrow" w:cs="Times New Roman"/>
                <w:sz w:val="20"/>
                <w:szCs w:val="20"/>
              </w:rPr>
              <w:t xml:space="preserve"> </w:t>
            </w:r>
            <w:r w:rsidRPr="00F13C21">
              <w:rPr>
                <w:rFonts w:ascii="Arial Narrow" w:hAnsi="Arial Narrow"/>
                <w:sz w:val="20"/>
                <w:szCs w:val="20"/>
              </w:rPr>
              <w:t>Moderate</w:t>
            </w:r>
            <w:r w:rsidR="005F1191">
              <w:rPr>
                <w:rFonts w:ascii="Arial Narrow" w:hAnsi="Arial Narrow"/>
                <w:sz w:val="20"/>
                <w:szCs w:val="20"/>
              </w:rPr>
              <w:noBreakHyphen/>
            </w:r>
            <w:r w:rsidRPr="00F13C21">
              <w:rPr>
                <w:rFonts w:ascii="Arial Narrow" w:hAnsi="Arial Narrow"/>
                <w:sz w:val="20"/>
                <w:szCs w:val="20"/>
              </w:rPr>
              <w:t>to</w:t>
            </w:r>
            <w:r w:rsidR="005F1191">
              <w:rPr>
                <w:rFonts w:ascii="Arial Narrow" w:hAnsi="Arial Narrow"/>
                <w:sz w:val="20"/>
                <w:szCs w:val="20"/>
              </w:rPr>
              <w:noBreakHyphen/>
            </w:r>
            <w:r w:rsidRPr="00F13C21">
              <w:rPr>
                <w:rFonts w:ascii="Arial Narrow" w:hAnsi="Arial Narrow"/>
                <w:sz w:val="20"/>
                <w:szCs w:val="20"/>
              </w:rPr>
              <w:t>Severe Chronic Plaque Psoriasis.</w:t>
            </w:r>
          </w:p>
          <w:p w14:paraId="2DFE4880" w14:textId="77777777" w:rsidR="00682B93" w:rsidRPr="00F13C21" w:rsidRDefault="00682B93" w:rsidP="00682B93">
            <w:pPr>
              <w:autoSpaceDE w:val="0"/>
              <w:autoSpaceDN w:val="0"/>
              <w:adjustRightInd w:val="0"/>
              <w:jc w:val="left"/>
              <w:rPr>
                <w:rFonts w:ascii="Arial Narrow" w:hAnsi="Arial Narrow" w:cs="Times New Roman"/>
                <w:sz w:val="20"/>
                <w:szCs w:val="20"/>
              </w:rPr>
            </w:pPr>
          </w:p>
          <w:p w14:paraId="5E94739B" w14:textId="2B6A752A" w:rsidR="00B6482B" w:rsidRPr="0098262F" w:rsidRDefault="00B6482B" w:rsidP="00682B93">
            <w:pPr>
              <w:pStyle w:val="Tabletext"/>
            </w:pPr>
            <w:r w:rsidRPr="00B6482B">
              <w:t>Reich K, Papp K, Blauvelt A, et al.</w:t>
            </w:r>
            <w:r w:rsidR="005F1191">
              <w:t xml:space="preserve"> </w:t>
            </w:r>
            <w:r w:rsidRPr="00B6482B">
              <w:t>Tildrakizumab versus placebo or etanercept for chronic plaque psoriasis (</w:t>
            </w:r>
            <w:proofErr w:type="spellStart"/>
            <w:r w:rsidRPr="00B6482B">
              <w:t>reSURFACE</w:t>
            </w:r>
            <w:proofErr w:type="spellEnd"/>
            <w:r w:rsidRPr="00B6482B">
              <w:t xml:space="preserve"> 1 and </w:t>
            </w:r>
            <w:proofErr w:type="spellStart"/>
            <w:r w:rsidRPr="00B6482B">
              <w:t>reSURFACE</w:t>
            </w:r>
            <w:proofErr w:type="spellEnd"/>
            <w:r w:rsidRPr="00B6482B">
              <w:t xml:space="preserve"> 2): Results from two randomised controlled, phase 3 trials.</w:t>
            </w:r>
          </w:p>
        </w:tc>
        <w:tc>
          <w:tcPr>
            <w:tcW w:w="936" w:type="pct"/>
            <w:vAlign w:val="center"/>
          </w:tcPr>
          <w:p w14:paraId="1A0DEA11" w14:textId="77777777" w:rsidR="00B6482B" w:rsidRPr="00DC414E" w:rsidRDefault="00B6482B" w:rsidP="00E047B4">
            <w:pPr>
              <w:pStyle w:val="In-tableHeading"/>
              <w:rPr>
                <w:b w:val="0"/>
              </w:rPr>
            </w:pPr>
            <w:r w:rsidRPr="00DC414E">
              <w:rPr>
                <w:b w:val="0"/>
              </w:rPr>
              <w:t>February 2017</w:t>
            </w:r>
          </w:p>
          <w:p w14:paraId="0023FA06" w14:textId="628DB810" w:rsidR="00B6482B" w:rsidRPr="00B6482B" w:rsidRDefault="00682B93" w:rsidP="00E047B4">
            <w:pPr>
              <w:pStyle w:val="In-tableHeading"/>
              <w:rPr>
                <w:lang w:val="en-AU"/>
              </w:rPr>
            </w:pPr>
            <w:r w:rsidRPr="00DC414E">
              <w:rPr>
                <w:b w:val="0"/>
                <w:i/>
              </w:rPr>
              <w:t xml:space="preserve">Lancet </w:t>
            </w:r>
            <w:r w:rsidRPr="00DC414E">
              <w:rPr>
                <w:b w:val="0"/>
              </w:rPr>
              <w:t>2017; 390: 276</w:t>
            </w:r>
            <w:r w:rsidR="005F1191">
              <w:rPr>
                <w:b w:val="0"/>
              </w:rPr>
              <w:noBreakHyphen/>
            </w:r>
            <w:r w:rsidRPr="00DC414E">
              <w:rPr>
                <w:b w:val="0"/>
              </w:rPr>
              <w:t>288.</w:t>
            </w:r>
          </w:p>
        </w:tc>
      </w:tr>
      <w:tr w:rsidR="00B6482B" w:rsidRPr="0098262F" w14:paraId="7F06C7BE" w14:textId="77777777" w:rsidTr="00682B93">
        <w:trPr>
          <w:cantSplit/>
        </w:trPr>
        <w:tc>
          <w:tcPr>
            <w:tcW w:w="705" w:type="pct"/>
            <w:vAlign w:val="center"/>
          </w:tcPr>
          <w:p w14:paraId="2DE31C12" w14:textId="0ABF2497" w:rsidR="00B6482B" w:rsidRPr="0098262F" w:rsidRDefault="00B9526B" w:rsidP="000C67A5">
            <w:pPr>
              <w:pStyle w:val="Tabletext"/>
            </w:pPr>
            <w:proofErr w:type="spellStart"/>
            <w:r w:rsidRPr="00F13C21">
              <w:t>reSURFACE</w:t>
            </w:r>
            <w:proofErr w:type="spellEnd"/>
            <w:r w:rsidRPr="00F13C21">
              <w:t xml:space="preserve"> 2</w:t>
            </w:r>
          </w:p>
        </w:tc>
        <w:tc>
          <w:tcPr>
            <w:tcW w:w="3359" w:type="pct"/>
            <w:vAlign w:val="center"/>
          </w:tcPr>
          <w:p w14:paraId="0DF63769" w14:textId="3D28BD9C" w:rsidR="00B6482B" w:rsidRDefault="00B6482B" w:rsidP="00682B93">
            <w:pPr>
              <w:autoSpaceDE w:val="0"/>
              <w:autoSpaceDN w:val="0"/>
              <w:adjustRightInd w:val="0"/>
              <w:jc w:val="left"/>
              <w:rPr>
                <w:rFonts w:ascii="Arial Narrow" w:hAnsi="Arial Narrow"/>
                <w:sz w:val="20"/>
                <w:szCs w:val="20"/>
              </w:rPr>
            </w:pPr>
            <w:r w:rsidRPr="00F13C21">
              <w:rPr>
                <w:rFonts w:ascii="Arial Narrow" w:hAnsi="Arial Narrow"/>
                <w:sz w:val="20"/>
                <w:szCs w:val="20"/>
              </w:rPr>
              <w:t>A 52</w:t>
            </w:r>
            <w:r w:rsidR="005F1191">
              <w:rPr>
                <w:rFonts w:ascii="Arial Narrow" w:hAnsi="Arial Narrow"/>
                <w:sz w:val="20"/>
                <w:szCs w:val="20"/>
              </w:rPr>
              <w:noBreakHyphen/>
            </w:r>
            <w:r w:rsidRPr="00F13C21">
              <w:rPr>
                <w:rFonts w:ascii="Arial Narrow" w:hAnsi="Arial Narrow"/>
                <w:sz w:val="20"/>
                <w:szCs w:val="20"/>
              </w:rPr>
              <w:t>week, Phase 3, Randomized, Active Comparator and Placebo</w:t>
            </w:r>
            <w:r w:rsidR="005F1191">
              <w:rPr>
                <w:rFonts w:ascii="Arial Narrow" w:hAnsi="Arial Narrow"/>
                <w:sz w:val="20"/>
                <w:szCs w:val="20"/>
              </w:rPr>
              <w:noBreakHyphen/>
            </w:r>
            <w:r w:rsidRPr="00F13C21">
              <w:rPr>
                <w:rFonts w:ascii="Arial Narrow" w:hAnsi="Arial Narrow"/>
                <w:sz w:val="20"/>
                <w:szCs w:val="20"/>
              </w:rPr>
              <w:t>controlled, Parallel Design Study to Evaluate the Efficacy and Safety/Tolerability of Subcutaneous Tildrakizumab</w:t>
            </w:r>
            <w:r w:rsidRPr="00F13C21">
              <w:rPr>
                <w:rFonts w:ascii="Arial Narrow" w:hAnsi="Arial Narrow" w:cs="Times New Roman"/>
                <w:sz w:val="20"/>
                <w:szCs w:val="20"/>
              </w:rPr>
              <w:t xml:space="preserve"> (SCH 900222/MK</w:t>
            </w:r>
            <w:r w:rsidR="005F1191">
              <w:rPr>
                <w:rFonts w:ascii="Arial Narrow" w:hAnsi="Arial Narrow" w:cs="Times New Roman"/>
                <w:sz w:val="20"/>
                <w:szCs w:val="20"/>
              </w:rPr>
              <w:noBreakHyphen/>
            </w:r>
            <w:r w:rsidRPr="00F13C21">
              <w:rPr>
                <w:rFonts w:ascii="Arial Narrow" w:hAnsi="Arial Narrow" w:cs="Times New Roman"/>
                <w:sz w:val="20"/>
                <w:szCs w:val="20"/>
              </w:rPr>
              <w:t>3222), Followed by an Optional Long</w:t>
            </w:r>
            <w:r w:rsidR="005F1191">
              <w:rPr>
                <w:rFonts w:ascii="Arial Narrow" w:hAnsi="Arial Narrow" w:cs="Times New Roman"/>
                <w:sz w:val="20"/>
                <w:szCs w:val="20"/>
              </w:rPr>
              <w:noBreakHyphen/>
            </w:r>
            <w:r w:rsidRPr="00F13C21">
              <w:rPr>
                <w:rFonts w:ascii="Arial Narrow" w:hAnsi="Arial Narrow" w:cs="Times New Roman"/>
                <w:sz w:val="20"/>
                <w:szCs w:val="20"/>
              </w:rPr>
              <w:t xml:space="preserve">Term Safety Extension Study, in Subjects </w:t>
            </w:r>
            <w:proofErr w:type="gramStart"/>
            <w:r w:rsidRPr="00F13C21">
              <w:rPr>
                <w:rFonts w:ascii="Arial Narrow" w:hAnsi="Arial Narrow" w:cs="Times New Roman"/>
                <w:sz w:val="20"/>
                <w:szCs w:val="20"/>
              </w:rPr>
              <w:t>With</w:t>
            </w:r>
            <w:proofErr w:type="gramEnd"/>
            <w:r w:rsidRPr="00F13C21">
              <w:rPr>
                <w:rFonts w:ascii="Arial Narrow" w:hAnsi="Arial Narrow" w:cs="Times New Roman"/>
                <w:sz w:val="20"/>
                <w:szCs w:val="20"/>
              </w:rPr>
              <w:t xml:space="preserve"> </w:t>
            </w:r>
            <w:r w:rsidRPr="00F13C21">
              <w:rPr>
                <w:rFonts w:ascii="Arial Narrow" w:hAnsi="Arial Narrow"/>
                <w:sz w:val="20"/>
                <w:szCs w:val="20"/>
              </w:rPr>
              <w:t>Moderate</w:t>
            </w:r>
            <w:r w:rsidR="005F1191">
              <w:rPr>
                <w:rFonts w:ascii="Arial Narrow" w:hAnsi="Arial Narrow"/>
                <w:sz w:val="20"/>
                <w:szCs w:val="20"/>
              </w:rPr>
              <w:noBreakHyphen/>
            </w:r>
            <w:r w:rsidRPr="00F13C21">
              <w:rPr>
                <w:rFonts w:ascii="Arial Narrow" w:hAnsi="Arial Narrow"/>
                <w:sz w:val="20"/>
                <w:szCs w:val="20"/>
              </w:rPr>
              <w:t>to</w:t>
            </w:r>
            <w:r w:rsidR="005F1191">
              <w:rPr>
                <w:rFonts w:ascii="Arial Narrow" w:hAnsi="Arial Narrow"/>
                <w:sz w:val="20"/>
                <w:szCs w:val="20"/>
              </w:rPr>
              <w:noBreakHyphen/>
            </w:r>
            <w:r w:rsidRPr="00F13C21">
              <w:rPr>
                <w:rFonts w:ascii="Arial Narrow" w:hAnsi="Arial Narrow"/>
                <w:sz w:val="20"/>
                <w:szCs w:val="20"/>
              </w:rPr>
              <w:t>Severe Chronic Plaque Psoriasis</w:t>
            </w:r>
            <w:r w:rsidR="00682B93">
              <w:rPr>
                <w:rFonts w:ascii="Arial Narrow" w:hAnsi="Arial Narrow"/>
                <w:sz w:val="20"/>
                <w:szCs w:val="20"/>
              </w:rPr>
              <w:t>.</w:t>
            </w:r>
          </w:p>
          <w:p w14:paraId="7192F1AC" w14:textId="77777777" w:rsidR="00682B93" w:rsidRPr="00F13C21" w:rsidRDefault="00682B93" w:rsidP="00682B93">
            <w:pPr>
              <w:autoSpaceDE w:val="0"/>
              <w:autoSpaceDN w:val="0"/>
              <w:adjustRightInd w:val="0"/>
              <w:jc w:val="left"/>
              <w:rPr>
                <w:rFonts w:ascii="Arial Narrow" w:hAnsi="Arial Narrow" w:cs="Times New Roman"/>
                <w:sz w:val="20"/>
                <w:szCs w:val="20"/>
              </w:rPr>
            </w:pPr>
          </w:p>
          <w:p w14:paraId="7CB8ADA9" w14:textId="426B7F67" w:rsidR="00B6482B" w:rsidRPr="0098262F" w:rsidRDefault="00682B93" w:rsidP="00682B93">
            <w:pPr>
              <w:pStyle w:val="TableText0"/>
            </w:pPr>
            <w:r w:rsidRPr="00F13C21">
              <w:rPr>
                <w:szCs w:val="18"/>
                <w:lang w:val="de-DE"/>
              </w:rPr>
              <w:t>Reich K, Papp K, Blauvelt A, et al.</w:t>
            </w:r>
            <w:r w:rsidR="005F1191">
              <w:rPr>
                <w:szCs w:val="18"/>
                <w:lang w:val="de-DE"/>
              </w:rPr>
              <w:t xml:space="preserve"> </w:t>
            </w:r>
            <w:r w:rsidRPr="00F13C21">
              <w:rPr>
                <w:szCs w:val="18"/>
              </w:rPr>
              <w:t>Tildrakizumab versus placebo or etanercept for chronic plaque psoriasis (</w:t>
            </w:r>
            <w:proofErr w:type="spellStart"/>
            <w:r w:rsidRPr="00F13C21">
              <w:rPr>
                <w:szCs w:val="18"/>
              </w:rPr>
              <w:t>reSURFACE</w:t>
            </w:r>
            <w:proofErr w:type="spellEnd"/>
            <w:r w:rsidRPr="00F13C21">
              <w:rPr>
                <w:szCs w:val="18"/>
              </w:rPr>
              <w:t xml:space="preserve"> 1 and </w:t>
            </w:r>
            <w:proofErr w:type="spellStart"/>
            <w:r w:rsidRPr="00F13C21">
              <w:rPr>
                <w:szCs w:val="18"/>
              </w:rPr>
              <w:t>reSURFACE</w:t>
            </w:r>
            <w:proofErr w:type="spellEnd"/>
            <w:r w:rsidRPr="00F13C21">
              <w:rPr>
                <w:szCs w:val="18"/>
              </w:rPr>
              <w:t xml:space="preserve"> 2): Results from two randomised controlled, phase 3 trials.</w:t>
            </w:r>
          </w:p>
        </w:tc>
        <w:tc>
          <w:tcPr>
            <w:tcW w:w="936" w:type="pct"/>
            <w:vAlign w:val="center"/>
          </w:tcPr>
          <w:p w14:paraId="47E09267" w14:textId="77777777" w:rsidR="00B6482B" w:rsidRDefault="00B6482B" w:rsidP="00682B93">
            <w:pPr>
              <w:pStyle w:val="TableText0"/>
            </w:pPr>
            <w:r w:rsidRPr="00F13C21">
              <w:t>February 2017</w:t>
            </w:r>
          </w:p>
          <w:p w14:paraId="51BFCC18" w14:textId="77777777" w:rsidR="00682B93" w:rsidRDefault="00682B93" w:rsidP="00682B93">
            <w:pPr>
              <w:pStyle w:val="TableText0"/>
            </w:pPr>
          </w:p>
          <w:p w14:paraId="460597B3" w14:textId="72DB30BA" w:rsidR="00682B93" w:rsidRPr="00F13C21" w:rsidRDefault="00682B93" w:rsidP="00682B93">
            <w:pPr>
              <w:pStyle w:val="Tabletext"/>
              <w:rPr>
                <w:szCs w:val="18"/>
              </w:rPr>
            </w:pPr>
            <w:r w:rsidRPr="00B9526B">
              <w:rPr>
                <w:i/>
              </w:rPr>
              <w:t>Lancet</w:t>
            </w:r>
            <w:r w:rsidRPr="00F13C21">
              <w:t xml:space="preserve"> 2017; 390: 276</w:t>
            </w:r>
            <w:r w:rsidR="005F1191">
              <w:noBreakHyphen/>
            </w:r>
            <w:r w:rsidRPr="00F13C21">
              <w:t>288</w:t>
            </w:r>
          </w:p>
          <w:p w14:paraId="53EB2567" w14:textId="7606E317" w:rsidR="00682B93" w:rsidRPr="0098262F" w:rsidRDefault="00682B93" w:rsidP="00682B93">
            <w:pPr>
              <w:pStyle w:val="TableText0"/>
            </w:pPr>
          </w:p>
        </w:tc>
      </w:tr>
      <w:tr w:rsidR="00B6482B" w:rsidRPr="0098262F" w14:paraId="74132A1A" w14:textId="77777777" w:rsidTr="009F0CD1">
        <w:trPr>
          <w:cantSplit/>
        </w:trPr>
        <w:tc>
          <w:tcPr>
            <w:tcW w:w="705" w:type="pct"/>
            <w:vAlign w:val="center"/>
          </w:tcPr>
          <w:p w14:paraId="30BA87AC" w14:textId="5157FBB8" w:rsidR="00B6482B" w:rsidRPr="0098262F" w:rsidRDefault="00B6482B" w:rsidP="000C67A5">
            <w:pPr>
              <w:pStyle w:val="Tabletext"/>
            </w:pPr>
            <w:r w:rsidRPr="00F13C21">
              <w:t>Phase IIb trial</w:t>
            </w:r>
          </w:p>
        </w:tc>
        <w:tc>
          <w:tcPr>
            <w:tcW w:w="3359" w:type="pct"/>
            <w:vAlign w:val="center"/>
          </w:tcPr>
          <w:p w14:paraId="7755D088" w14:textId="538EBAB1" w:rsidR="00B6482B" w:rsidRDefault="00B6482B" w:rsidP="00682B93">
            <w:pPr>
              <w:pStyle w:val="TableText0"/>
            </w:pPr>
            <w:r w:rsidRPr="00F13C21">
              <w:rPr>
                <w:szCs w:val="18"/>
              </w:rPr>
              <w:t>Randomized, double</w:t>
            </w:r>
            <w:r w:rsidR="005F1191">
              <w:rPr>
                <w:szCs w:val="18"/>
              </w:rPr>
              <w:noBreakHyphen/>
            </w:r>
            <w:r w:rsidRPr="00F13C21">
              <w:rPr>
                <w:szCs w:val="18"/>
              </w:rPr>
              <w:t>blinded, placebo</w:t>
            </w:r>
            <w:r w:rsidR="005F1191">
              <w:rPr>
                <w:szCs w:val="18"/>
              </w:rPr>
              <w:noBreakHyphen/>
            </w:r>
            <w:r w:rsidRPr="00F13C21">
              <w:rPr>
                <w:szCs w:val="18"/>
              </w:rPr>
              <w:t>controlled, parallel</w:t>
            </w:r>
            <w:r w:rsidR="005F1191">
              <w:rPr>
                <w:szCs w:val="18"/>
              </w:rPr>
              <w:noBreakHyphen/>
            </w:r>
            <w:r w:rsidRPr="00F13C21">
              <w:rPr>
                <w:szCs w:val="18"/>
              </w:rPr>
              <w:t>design, dose</w:t>
            </w:r>
            <w:r w:rsidR="005F1191">
              <w:rPr>
                <w:szCs w:val="18"/>
              </w:rPr>
              <w:noBreakHyphen/>
            </w:r>
            <w:r w:rsidRPr="00F13C21">
              <w:rPr>
                <w:szCs w:val="18"/>
              </w:rPr>
              <w:t xml:space="preserve">range finding study of subcutaneous tildrakizumab </w:t>
            </w:r>
            <w:r w:rsidRPr="00F13C21">
              <w:t>(SCH 900222/MK</w:t>
            </w:r>
            <w:r w:rsidR="005F1191">
              <w:noBreakHyphen/>
            </w:r>
            <w:r w:rsidRPr="00F13C21">
              <w:t>3222) in subjects with moderate</w:t>
            </w:r>
            <w:r w:rsidR="005F1191">
              <w:noBreakHyphen/>
            </w:r>
            <w:r w:rsidRPr="00F13C21">
              <w:t>to</w:t>
            </w:r>
            <w:r w:rsidR="005F1191">
              <w:noBreakHyphen/>
            </w:r>
            <w:r w:rsidRPr="00F13C21">
              <w:t>severe chronic plaque psoriasis.</w:t>
            </w:r>
          </w:p>
          <w:p w14:paraId="27A07F29" w14:textId="77777777" w:rsidR="00682B93" w:rsidRDefault="00682B93" w:rsidP="00682B93">
            <w:pPr>
              <w:pStyle w:val="TableText0"/>
              <w:rPr>
                <w:rFonts w:ascii="Times" w:hAnsi="Times"/>
              </w:rPr>
            </w:pPr>
          </w:p>
          <w:p w14:paraId="7EF3AEBB" w14:textId="7A23B5F3" w:rsidR="00682B93" w:rsidRPr="0091218A" w:rsidRDefault="00682B93" w:rsidP="00682B93">
            <w:pPr>
              <w:pStyle w:val="TableText0"/>
              <w:rPr>
                <w:rFonts w:ascii="Times" w:hAnsi="Times"/>
              </w:rPr>
            </w:pPr>
            <w:r w:rsidRPr="0091218A">
              <w:t xml:space="preserve">Papp K, Thaci D, Reich K et al. </w:t>
            </w:r>
            <w:proofErr w:type="spellStart"/>
            <w:r w:rsidRPr="0091218A">
              <w:t>Tildarkizumab</w:t>
            </w:r>
            <w:proofErr w:type="spellEnd"/>
            <w:r w:rsidRPr="0091218A">
              <w:t xml:space="preserve"> (MK3222), an anti</w:t>
            </w:r>
            <w:r w:rsidR="005F1191">
              <w:noBreakHyphen/>
            </w:r>
            <w:r w:rsidRPr="0091218A">
              <w:t>interleukin</w:t>
            </w:r>
            <w:r w:rsidR="005F1191">
              <w:noBreakHyphen/>
            </w:r>
            <w:r w:rsidRPr="0091218A">
              <w:t xml:space="preserve">23p19 monoclonal antibody, improves psoriasis in a Phase IIb randomised </w:t>
            </w:r>
            <w:proofErr w:type="gramStart"/>
            <w:r w:rsidRPr="0091218A">
              <w:t>placebo</w:t>
            </w:r>
            <w:r w:rsidR="000C67A5" w:rsidRPr="0091218A">
              <w:t xml:space="preserve"> </w:t>
            </w:r>
            <w:r w:rsidRPr="0091218A">
              <w:t>controlled</w:t>
            </w:r>
            <w:proofErr w:type="gramEnd"/>
            <w:r w:rsidRPr="0091218A">
              <w:t xml:space="preserve"> trial.</w:t>
            </w:r>
          </w:p>
        </w:tc>
        <w:tc>
          <w:tcPr>
            <w:tcW w:w="936" w:type="pct"/>
          </w:tcPr>
          <w:p w14:paraId="330A2EBF" w14:textId="6AFB63DF" w:rsidR="00B6482B" w:rsidRPr="00F13C21" w:rsidRDefault="00B6482B" w:rsidP="009F0CD1">
            <w:pPr>
              <w:pStyle w:val="Tabletext"/>
              <w:rPr>
                <w:szCs w:val="18"/>
                <w:lang w:val="fr-FR"/>
              </w:rPr>
            </w:pPr>
            <w:proofErr w:type="spellStart"/>
            <w:r w:rsidRPr="0044679B">
              <w:rPr>
                <w:szCs w:val="18"/>
                <w:lang w:val="fr-FR"/>
              </w:rPr>
              <w:t>February</w:t>
            </w:r>
            <w:proofErr w:type="spellEnd"/>
            <w:r w:rsidR="0019357D" w:rsidRPr="0044679B">
              <w:rPr>
                <w:szCs w:val="18"/>
                <w:lang w:val="fr-FR"/>
              </w:rPr>
              <w:t> </w:t>
            </w:r>
            <w:r w:rsidR="002C3166" w:rsidRPr="0044679B">
              <w:rPr>
                <w:szCs w:val="18"/>
                <w:lang w:val="fr-FR"/>
              </w:rPr>
              <w:t>2015</w:t>
            </w:r>
          </w:p>
          <w:p w14:paraId="28B0172D" w14:textId="77777777" w:rsidR="00B6482B" w:rsidRPr="00F13C21" w:rsidRDefault="00B6482B" w:rsidP="009F0CD1">
            <w:pPr>
              <w:pStyle w:val="Tabletext"/>
              <w:rPr>
                <w:szCs w:val="18"/>
                <w:lang w:val="fr-FR"/>
              </w:rPr>
            </w:pPr>
          </w:p>
          <w:p w14:paraId="65832AF0" w14:textId="1FD1FB80" w:rsidR="00B6482B" w:rsidRPr="0098262F" w:rsidRDefault="00682B93" w:rsidP="009F0CD1">
            <w:pPr>
              <w:pStyle w:val="TableText0"/>
            </w:pPr>
            <w:r>
              <w:rPr>
                <w:i/>
              </w:rPr>
              <w:t>Br J Dermatol. 2015; 173:930</w:t>
            </w:r>
            <w:r w:rsidR="005F1191">
              <w:rPr>
                <w:i/>
              </w:rPr>
              <w:noBreakHyphen/>
            </w:r>
            <w:r>
              <w:rPr>
                <w:i/>
              </w:rPr>
              <w:t>939.</w:t>
            </w:r>
          </w:p>
        </w:tc>
      </w:tr>
    </w:tbl>
    <w:p w14:paraId="51D8173A" w14:textId="7D2B23A5" w:rsidR="008E0D3C" w:rsidRPr="0098262F" w:rsidRDefault="008E0D3C" w:rsidP="00EC5836">
      <w:pPr>
        <w:pStyle w:val="FooterTableFigure"/>
        <w:rPr>
          <w:sz w:val="20"/>
        </w:rPr>
      </w:pPr>
      <w:r w:rsidRPr="0098262F">
        <w:t xml:space="preserve">Source: </w:t>
      </w:r>
      <w:r w:rsidR="002C3166">
        <w:t>Table 2, PSD tildrakizumab July 2018 PBAC Meeting.</w:t>
      </w:r>
    </w:p>
    <w:p w14:paraId="1DD06D7D" w14:textId="2074DFE5" w:rsidR="007F1017" w:rsidRPr="0098262F" w:rsidRDefault="008F120A" w:rsidP="00EC5836">
      <w:pPr>
        <w:pStyle w:val="3-BodyText"/>
        <w:rPr>
          <w:color w:val="0066FF"/>
        </w:rPr>
      </w:pPr>
      <w:r w:rsidRPr="0098262F">
        <w:t>The key features of the randomised trials are summarised in</w:t>
      </w:r>
      <w:r w:rsidR="003559F8">
        <w:t xml:space="preserve"> </w:t>
      </w:r>
      <w:r w:rsidR="00E44DA7">
        <w:fldChar w:fldCharType="begin"/>
      </w:r>
      <w:r w:rsidR="00E44DA7">
        <w:instrText xml:space="preserve"> REF _Ref225948941 \h </w:instrText>
      </w:r>
      <w:r w:rsidR="00E44DA7">
        <w:fldChar w:fldCharType="separate"/>
      </w:r>
      <w:r w:rsidR="00E44DA7">
        <w:t xml:space="preserve">Table </w:t>
      </w:r>
      <w:r w:rsidR="00E44DA7">
        <w:rPr>
          <w:noProof/>
        </w:rPr>
        <w:t>4</w:t>
      </w:r>
      <w:r w:rsidR="00E44DA7">
        <w:fldChar w:fldCharType="end"/>
      </w:r>
      <w:r w:rsidR="00D6076E" w:rsidRPr="003559F8">
        <w:fldChar w:fldCharType="begin"/>
      </w:r>
      <w:r w:rsidR="00D6076E" w:rsidRPr="003559F8">
        <w:instrText xml:space="preserve"> REF _Ref104804098 \h  \* MERGEFORMAT </w:instrText>
      </w:r>
      <w:r w:rsidR="00D6076E" w:rsidRPr="003559F8">
        <w:fldChar w:fldCharType="separate"/>
      </w:r>
      <w:r w:rsidR="00D6076E" w:rsidRPr="003559F8">
        <w:fldChar w:fldCharType="end"/>
      </w:r>
      <w:r w:rsidRPr="003559F8">
        <w:t>.</w:t>
      </w:r>
    </w:p>
    <w:p w14:paraId="355E2F15" w14:textId="18E2B6C8" w:rsidR="007F1017" w:rsidRPr="0098262F" w:rsidRDefault="00E44DA7" w:rsidP="00E44DA7">
      <w:pPr>
        <w:pStyle w:val="Caption"/>
        <w:rPr>
          <w:rStyle w:val="CommentReference"/>
          <w:rFonts w:eastAsiaTheme="majorEastAsia" w:cstheme="majorBidi"/>
          <w:b/>
          <w:szCs w:val="24"/>
        </w:rPr>
      </w:pPr>
      <w:bookmarkStart w:id="22" w:name="_Ref225948941"/>
      <w:r>
        <w:t xml:space="preserve">Table </w:t>
      </w:r>
      <w:fldSimple w:instr=" SEQ Table \* ARABIC ">
        <w:r>
          <w:rPr>
            <w:noProof/>
          </w:rPr>
          <w:t>4</w:t>
        </w:r>
      </w:fldSimple>
      <w:bookmarkEnd w:id="22"/>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1294"/>
        <w:gridCol w:w="577"/>
        <w:gridCol w:w="3754"/>
        <w:gridCol w:w="720"/>
        <w:gridCol w:w="1234"/>
        <w:gridCol w:w="1603"/>
      </w:tblGrid>
      <w:tr w:rsidR="005B5F8B" w:rsidRPr="0098262F" w14:paraId="53DD7CC6" w14:textId="77777777" w:rsidTr="005B5F8B">
        <w:trPr>
          <w:cantSplit/>
          <w:tblHeader/>
        </w:trPr>
        <w:tc>
          <w:tcPr>
            <w:tcW w:w="705" w:type="pct"/>
            <w:vAlign w:val="center"/>
          </w:tcPr>
          <w:p w14:paraId="794116BC" w14:textId="77777777" w:rsidR="006C7BE0" w:rsidRPr="0098262F" w:rsidRDefault="006C7BE0" w:rsidP="00E047B4">
            <w:pPr>
              <w:pStyle w:val="In-tableHeading"/>
            </w:pPr>
            <w:r w:rsidRPr="0098262F">
              <w:t>Trial</w:t>
            </w:r>
          </w:p>
        </w:tc>
        <w:tc>
          <w:tcPr>
            <w:tcW w:w="314" w:type="pct"/>
            <w:vAlign w:val="center"/>
          </w:tcPr>
          <w:p w14:paraId="51122FE5" w14:textId="77777777" w:rsidR="006C7BE0" w:rsidRPr="0098262F" w:rsidRDefault="006C7BE0" w:rsidP="00E047B4">
            <w:pPr>
              <w:pStyle w:val="In-tableHeading"/>
            </w:pPr>
            <w:r w:rsidRPr="0098262F">
              <w:t>N</w:t>
            </w:r>
          </w:p>
        </w:tc>
        <w:tc>
          <w:tcPr>
            <w:tcW w:w="2044" w:type="pct"/>
            <w:vAlign w:val="center"/>
          </w:tcPr>
          <w:p w14:paraId="41C438EF" w14:textId="7126A136" w:rsidR="006C7BE0" w:rsidRPr="0098262F" w:rsidRDefault="006C7BE0" w:rsidP="00E047B4">
            <w:pPr>
              <w:pStyle w:val="In-tableHeading"/>
            </w:pPr>
            <w:r w:rsidRPr="0098262F">
              <w:t>Design/duration</w:t>
            </w:r>
          </w:p>
        </w:tc>
        <w:tc>
          <w:tcPr>
            <w:tcW w:w="392" w:type="pct"/>
            <w:vAlign w:val="center"/>
          </w:tcPr>
          <w:p w14:paraId="1FC91360" w14:textId="77777777" w:rsidR="006C7BE0" w:rsidRPr="0098262F" w:rsidRDefault="006C7BE0" w:rsidP="00E047B4">
            <w:pPr>
              <w:pStyle w:val="In-tableHeading"/>
            </w:pPr>
            <w:r w:rsidRPr="0098262F">
              <w:t>Risk of bias</w:t>
            </w:r>
          </w:p>
        </w:tc>
        <w:tc>
          <w:tcPr>
            <w:tcW w:w="672" w:type="pct"/>
            <w:vAlign w:val="center"/>
          </w:tcPr>
          <w:p w14:paraId="7FF90896" w14:textId="77777777" w:rsidR="006C7BE0" w:rsidRPr="0098262F" w:rsidRDefault="006C7BE0" w:rsidP="00E047B4">
            <w:pPr>
              <w:pStyle w:val="In-tableHeading"/>
            </w:pPr>
            <w:r w:rsidRPr="0098262F">
              <w:t>Patient population</w:t>
            </w:r>
          </w:p>
        </w:tc>
        <w:tc>
          <w:tcPr>
            <w:tcW w:w="873" w:type="pct"/>
            <w:vAlign w:val="center"/>
          </w:tcPr>
          <w:p w14:paraId="0FCB63F9" w14:textId="77777777" w:rsidR="006C7BE0" w:rsidRPr="0098262F" w:rsidRDefault="006C7BE0" w:rsidP="00E047B4">
            <w:pPr>
              <w:pStyle w:val="In-tableHeading"/>
            </w:pPr>
            <w:r w:rsidRPr="0098262F">
              <w:t>Outcome(s)</w:t>
            </w:r>
          </w:p>
        </w:tc>
      </w:tr>
      <w:tr w:rsidR="005B5F8B" w:rsidRPr="00E047B4" w14:paraId="4EE88DCB" w14:textId="77777777" w:rsidTr="00DC414E">
        <w:trPr>
          <w:cantSplit/>
        </w:trPr>
        <w:tc>
          <w:tcPr>
            <w:tcW w:w="705" w:type="pct"/>
          </w:tcPr>
          <w:p w14:paraId="6EE77D33" w14:textId="6C1E3CFE" w:rsidR="006C7BE0" w:rsidRPr="00E047B4" w:rsidRDefault="006C7BE0" w:rsidP="009F0CD1">
            <w:pPr>
              <w:pStyle w:val="TableText0"/>
            </w:pPr>
            <w:proofErr w:type="spellStart"/>
            <w:r w:rsidRPr="00E047B4">
              <w:rPr>
                <w:rFonts w:cs="Times New Roman"/>
              </w:rPr>
              <w:t>reSURFACE</w:t>
            </w:r>
            <w:proofErr w:type="spellEnd"/>
            <w:r w:rsidRPr="00E047B4">
              <w:rPr>
                <w:rFonts w:cs="Times New Roman"/>
              </w:rPr>
              <w:t xml:space="preserve"> 1</w:t>
            </w:r>
          </w:p>
        </w:tc>
        <w:tc>
          <w:tcPr>
            <w:tcW w:w="314" w:type="pct"/>
          </w:tcPr>
          <w:p w14:paraId="41BB0E41" w14:textId="188812B4" w:rsidR="006C7BE0" w:rsidRPr="00E047B4" w:rsidRDefault="006C7BE0" w:rsidP="00E047B4">
            <w:pPr>
              <w:pStyle w:val="TableText0"/>
              <w:jc w:val="center"/>
            </w:pPr>
            <w:r w:rsidRPr="00E047B4">
              <w:rPr>
                <w:rFonts w:cs="Times New Roman"/>
              </w:rPr>
              <w:t>772</w:t>
            </w:r>
          </w:p>
        </w:tc>
        <w:tc>
          <w:tcPr>
            <w:tcW w:w="2044" w:type="pct"/>
            <w:vAlign w:val="center"/>
          </w:tcPr>
          <w:p w14:paraId="37423BF6" w14:textId="74662A10" w:rsidR="006C7BE0" w:rsidRPr="00E047B4" w:rsidRDefault="006C7BE0" w:rsidP="009F0CD1">
            <w:pPr>
              <w:keepNext/>
              <w:keepLines/>
              <w:jc w:val="left"/>
              <w:rPr>
                <w:rFonts w:ascii="Arial Narrow" w:hAnsi="Arial Narrow"/>
                <w:sz w:val="20"/>
              </w:rPr>
            </w:pPr>
            <w:r w:rsidRPr="00E047B4">
              <w:rPr>
                <w:rFonts w:ascii="Arial Narrow" w:hAnsi="Arial Narrow"/>
                <w:sz w:val="20"/>
              </w:rPr>
              <w:t>R, DB, MC</w:t>
            </w:r>
            <w:r w:rsidR="00E047B4" w:rsidRPr="00E047B4">
              <w:rPr>
                <w:rFonts w:ascii="Arial Narrow" w:hAnsi="Arial Narrow"/>
                <w:sz w:val="20"/>
              </w:rPr>
              <w:t>;</w:t>
            </w:r>
            <w:r w:rsidRPr="00E047B4">
              <w:rPr>
                <w:rFonts w:ascii="Arial Narrow" w:hAnsi="Arial Narrow"/>
                <w:sz w:val="20"/>
              </w:rPr>
              <w:t xml:space="preserve"> 64 w</w:t>
            </w:r>
            <w:r w:rsidR="00E047B4" w:rsidRPr="00E047B4">
              <w:rPr>
                <w:rFonts w:ascii="Arial Narrow" w:hAnsi="Arial Narrow"/>
                <w:sz w:val="20"/>
              </w:rPr>
              <w:t>ee</w:t>
            </w:r>
            <w:r w:rsidRPr="00E047B4">
              <w:rPr>
                <w:rFonts w:ascii="Arial Narrow" w:hAnsi="Arial Narrow"/>
                <w:sz w:val="20"/>
              </w:rPr>
              <w:t>ks</w:t>
            </w:r>
          </w:p>
          <w:p w14:paraId="744D08AC" w14:textId="68A27113" w:rsidR="006C7BE0" w:rsidRPr="00E047B4" w:rsidRDefault="006C7BE0" w:rsidP="009F0CD1">
            <w:pPr>
              <w:pStyle w:val="TableText0"/>
            </w:pPr>
            <w:r w:rsidRPr="00E047B4">
              <w:rPr>
                <w:rFonts w:cs="Times New Roman"/>
              </w:rPr>
              <w:t>Patients crossed over (PBO to TIL and TIL to PBO) at Week 12.</w:t>
            </w:r>
            <w:r w:rsidR="005F1191">
              <w:rPr>
                <w:rFonts w:cs="Times New Roman"/>
              </w:rPr>
              <w:t xml:space="preserve"> </w:t>
            </w:r>
          </w:p>
        </w:tc>
        <w:tc>
          <w:tcPr>
            <w:tcW w:w="392" w:type="pct"/>
          </w:tcPr>
          <w:p w14:paraId="4A529D74" w14:textId="2BA9A7BF" w:rsidR="006C7BE0" w:rsidRPr="000510B1" w:rsidRDefault="006C7BE0" w:rsidP="00E047B4">
            <w:pPr>
              <w:pStyle w:val="TableText0"/>
              <w:jc w:val="center"/>
            </w:pPr>
            <w:r w:rsidRPr="000510B1">
              <w:t>Low</w:t>
            </w:r>
          </w:p>
        </w:tc>
        <w:tc>
          <w:tcPr>
            <w:tcW w:w="672" w:type="pct"/>
            <w:vMerge w:val="restart"/>
          </w:tcPr>
          <w:p w14:paraId="26950BBA" w14:textId="77777777" w:rsidR="006C7BE0" w:rsidRPr="00E047B4" w:rsidRDefault="006C7BE0" w:rsidP="009F0CD1">
            <w:pPr>
              <w:keepNext/>
              <w:keepLines/>
              <w:jc w:val="left"/>
              <w:rPr>
                <w:rFonts w:ascii="Arial Narrow" w:hAnsi="Arial Narrow"/>
                <w:sz w:val="20"/>
                <w:lang w:val="it-IT"/>
              </w:rPr>
            </w:pPr>
            <w:r w:rsidRPr="00E047B4">
              <w:rPr>
                <w:rFonts w:ascii="Arial Narrow" w:hAnsi="Arial Narrow"/>
                <w:sz w:val="20"/>
                <w:lang w:val="it-IT"/>
              </w:rPr>
              <w:t>Moderate to severe CPP;</w:t>
            </w:r>
          </w:p>
          <w:p w14:paraId="5E6F456D" w14:textId="5A083272" w:rsidR="006C7BE0" w:rsidRPr="00E047B4" w:rsidRDefault="006C7BE0" w:rsidP="009F0CD1">
            <w:pPr>
              <w:pStyle w:val="TableText0"/>
            </w:pPr>
            <w:r w:rsidRPr="00E047B4">
              <w:rPr>
                <w:lang w:val="it-IT"/>
              </w:rPr>
              <w:t>PGA</w:t>
            </w:r>
            <w:r w:rsidR="00E047B4" w:rsidRPr="00E047B4">
              <w:rPr>
                <w:lang w:val="it-IT"/>
              </w:rPr>
              <w:t xml:space="preserve"> ≥</w:t>
            </w:r>
            <w:r w:rsidRPr="00E047B4">
              <w:rPr>
                <w:lang w:val="it-IT"/>
              </w:rPr>
              <w:t xml:space="preserve">3, </w:t>
            </w:r>
            <w:r w:rsidR="00E047B4" w:rsidRPr="00E047B4">
              <w:rPr>
                <w:lang w:val="it-IT"/>
              </w:rPr>
              <w:br/>
            </w:r>
            <w:r w:rsidRPr="00E047B4">
              <w:rPr>
                <w:lang w:val="it-IT"/>
              </w:rPr>
              <w:t>PASI score &gt;</w:t>
            </w:r>
            <w:r w:rsidR="00E047B4" w:rsidRPr="00E047B4">
              <w:rPr>
                <w:lang w:val="it-IT"/>
              </w:rPr>
              <w:t xml:space="preserve"> </w:t>
            </w:r>
            <w:r w:rsidRPr="00E047B4">
              <w:rPr>
                <w:lang w:val="it-IT"/>
              </w:rPr>
              <w:t>12, BSA</w:t>
            </w:r>
            <w:r w:rsidR="00E047B4" w:rsidRPr="00E047B4">
              <w:rPr>
                <w:lang w:val="it-IT"/>
              </w:rPr>
              <w:t xml:space="preserve"> ≥ </w:t>
            </w:r>
            <w:r w:rsidRPr="00E047B4">
              <w:rPr>
                <w:lang w:val="it-IT"/>
              </w:rPr>
              <w:t>10%</w:t>
            </w:r>
          </w:p>
        </w:tc>
        <w:tc>
          <w:tcPr>
            <w:tcW w:w="873" w:type="pct"/>
            <w:vMerge w:val="restart"/>
          </w:tcPr>
          <w:p w14:paraId="6DC76214" w14:textId="28C7C79E" w:rsidR="006C7BE0" w:rsidRPr="00E047B4" w:rsidRDefault="006C7BE0" w:rsidP="009F0CD1">
            <w:pPr>
              <w:keepNext/>
              <w:keepLines/>
              <w:jc w:val="left"/>
              <w:rPr>
                <w:rFonts w:ascii="Arial Narrow" w:hAnsi="Arial Narrow"/>
                <w:sz w:val="20"/>
              </w:rPr>
            </w:pPr>
            <w:r w:rsidRPr="00E047B4">
              <w:rPr>
                <w:rFonts w:ascii="Arial Narrow" w:hAnsi="Arial Narrow"/>
                <w:sz w:val="20"/>
              </w:rPr>
              <w:t>PASI75 &amp; PGA 0/</w:t>
            </w:r>
            <w:proofErr w:type="gramStart"/>
            <w:r w:rsidRPr="00E047B4">
              <w:rPr>
                <w:rFonts w:ascii="Arial Narrow" w:hAnsi="Arial Narrow"/>
                <w:sz w:val="20"/>
              </w:rPr>
              <w:t>1</w:t>
            </w:r>
            <w:r w:rsidR="005F1191">
              <w:rPr>
                <w:rFonts w:ascii="Arial Narrow" w:hAnsi="Arial Narrow"/>
                <w:sz w:val="20"/>
              </w:rPr>
              <w:t xml:space="preserve"> </w:t>
            </w:r>
            <w:r w:rsidRPr="00E047B4">
              <w:rPr>
                <w:rFonts w:ascii="Arial Narrow" w:hAnsi="Arial Narrow"/>
                <w:sz w:val="20"/>
              </w:rPr>
              <w:t xml:space="preserve"> &amp;</w:t>
            </w:r>
            <w:proofErr w:type="gramEnd"/>
            <w:r w:rsidRPr="00E047B4">
              <w:rPr>
                <w:rFonts w:ascii="Arial Narrow" w:hAnsi="Arial Narrow"/>
                <w:sz w:val="20"/>
              </w:rPr>
              <w:t xml:space="preserve"> </w:t>
            </w:r>
            <w:r w:rsidR="00E047B4" w:rsidRPr="00E047B4">
              <w:rPr>
                <w:rFonts w:ascii="Arial Narrow" w:hAnsi="Arial Narrow"/>
                <w:sz w:val="20"/>
              </w:rPr>
              <w:t>≥</w:t>
            </w:r>
            <w:r w:rsidRPr="00E047B4">
              <w:rPr>
                <w:rFonts w:ascii="Arial Narrow" w:hAnsi="Arial Narrow"/>
                <w:sz w:val="20"/>
              </w:rPr>
              <w:t xml:space="preserve"> two</w:t>
            </w:r>
            <w:r w:rsidR="005F1191">
              <w:rPr>
                <w:rFonts w:ascii="Arial Narrow" w:hAnsi="Arial Narrow"/>
                <w:sz w:val="20"/>
              </w:rPr>
              <w:noBreakHyphen/>
            </w:r>
            <w:r w:rsidRPr="00E047B4">
              <w:rPr>
                <w:rFonts w:ascii="Arial Narrow" w:hAnsi="Arial Narrow"/>
                <w:sz w:val="20"/>
              </w:rPr>
              <w:t>grade improvement in PGA at W</w:t>
            </w:r>
            <w:r w:rsidR="00E047B4" w:rsidRPr="00E047B4">
              <w:rPr>
                <w:rFonts w:ascii="Arial Narrow" w:hAnsi="Arial Narrow"/>
                <w:sz w:val="20"/>
              </w:rPr>
              <w:t>ee</w:t>
            </w:r>
            <w:r w:rsidRPr="00E047B4">
              <w:rPr>
                <w:rFonts w:ascii="Arial Narrow" w:hAnsi="Arial Narrow"/>
                <w:sz w:val="20"/>
              </w:rPr>
              <w:t>k 12.</w:t>
            </w:r>
          </w:p>
        </w:tc>
      </w:tr>
      <w:tr w:rsidR="005B5F8B" w:rsidRPr="0098262F" w14:paraId="7A3184AA" w14:textId="77777777" w:rsidTr="00DC414E">
        <w:trPr>
          <w:cantSplit/>
        </w:trPr>
        <w:tc>
          <w:tcPr>
            <w:tcW w:w="705" w:type="pct"/>
          </w:tcPr>
          <w:p w14:paraId="6D197AC4" w14:textId="0F00AA21" w:rsidR="006C7BE0" w:rsidRPr="0098262F" w:rsidRDefault="006C7BE0" w:rsidP="009F0CD1">
            <w:pPr>
              <w:pStyle w:val="TableText0"/>
            </w:pPr>
            <w:proofErr w:type="spellStart"/>
            <w:r w:rsidRPr="00F13C21">
              <w:rPr>
                <w:rFonts w:cs="Times New Roman"/>
              </w:rPr>
              <w:t>reSURFACE</w:t>
            </w:r>
            <w:proofErr w:type="spellEnd"/>
            <w:r w:rsidRPr="00F13C21">
              <w:rPr>
                <w:rFonts w:cs="Times New Roman"/>
              </w:rPr>
              <w:t xml:space="preserve"> 2</w:t>
            </w:r>
          </w:p>
        </w:tc>
        <w:tc>
          <w:tcPr>
            <w:tcW w:w="314" w:type="pct"/>
          </w:tcPr>
          <w:p w14:paraId="0587A4F9" w14:textId="6DB7E693" w:rsidR="006C7BE0" w:rsidRPr="0098262F" w:rsidRDefault="006C7BE0" w:rsidP="00E047B4">
            <w:pPr>
              <w:pStyle w:val="TableText0"/>
              <w:jc w:val="center"/>
            </w:pPr>
            <w:r w:rsidRPr="00F13C21">
              <w:rPr>
                <w:rFonts w:cs="Times New Roman"/>
              </w:rPr>
              <w:t>1090</w:t>
            </w:r>
          </w:p>
        </w:tc>
        <w:tc>
          <w:tcPr>
            <w:tcW w:w="2044" w:type="pct"/>
          </w:tcPr>
          <w:p w14:paraId="43157BAE" w14:textId="16CBE51A" w:rsidR="006C7BE0" w:rsidRPr="00F13C21" w:rsidRDefault="006C7BE0" w:rsidP="009F0CD1">
            <w:pPr>
              <w:keepNext/>
              <w:keepLines/>
              <w:jc w:val="left"/>
              <w:rPr>
                <w:rFonts w:ascii="Arial Narrow" w:hAnsi="Arial Narrow"/>
                <w:sz w:val="20"/>
              </w:rPr>
            </w:pPr>
            <w:r w:rsidRPr="00F13C21">
              <w:rPr>
                <w:rFonts w:ascii="Arial Narrow" w:hAnsi="Arial Narrow"/>
                <w:sz w:val="20"/>
              </w:rPr>
              <w:t>R, DB, MC</w:t>
            </w:r>
            <w:r w:rsidR="00E047B4">
              <w:rPr>
                <w:rFonts w:ascii="Arial Narrow" w:hAnsi="Arial Narrow"/>
                <w:sz w:val="20"/>
              </w:rPr>
              <w:t>;</w:t>
            </w:r>
            <w:r w:rsidRPr="00F13C21">
              <w:rPr>
                <w:rFonts w:ascii="Arial Narrow" w:hAnsi="Arial Narrow"/>
                <w:sz w:val="20"/>
              </w:rPr>
              <w:t xml:space="preserve"> 52 w</w:t>
            </w:r>
            <w:r w:rsidR="00E047B4">
              <w:rPr>
                <w:rFonts w:ascii="Arial Narrow" w:hAnsi="Arial Narrow"/>
                <w:sz w:val="20"/>
              </w:rPr>
              <w:t>ee</w:t>
            </w:r>
            <w:r w:rsidRPr="00F13C21">
              <w:rPr>
                <w:rFonts w:ascii="Arial Narrow" w:hAnsi="Arial Narrow"/>
                <w:sz w:val="20"/>
              </w:rPr>
              <w:t>ks</w:t>
            </w:r>
          </w:p>
          <w:p w14:paraId="3FD089FF" w14:textId="2A3699CE" w:rsidR="006C7BE0" w:rsidRPr="0098262F" w:rsidRDefault="006C7BE0" w:rsidP="009F0CD1">
            <w:pPr>
              <w:pStyle w:val="TableText0"/>
            </w:pPr>
            <w:r w:rsidRPr="00F13C21">
              <w:rPr>
                <w:rFonts w:cs="Times New Roman"/>
              </w:rPr>
              <w:t>PBO patients crossed over to TIL at Week 12.</w:t>
            </w:r>
          </w:p>
        </w:tc>
        <w:tc>
          <w:tcPr>
            <w:tcW w:w="392" w:type="pct"/>
          </w:tcPr>
          <w:p w14:paraId="3E4AD58D" w14:textId="0BB73447" w:rsidR="006C7BE0" w:rsidRPr="000510B1" w:rsidRDefault="006C7BE0" w:rsidP="00E047B4">
            <w:pPr>
              <w:pStyle w:val="TableText0"/>
              <w:jc w:val="center"/>
            </w:pPr>
            <w:r w:rsidRPr="000510B1">
              <w:t>Low</w:t>
            </w:r>
          </w:p>
        </w:tc>
        <w:tc>
          <w:tcPr>
            <w:tcW w:w="672" w:type="pct"/>
            <w:vMerge/>
            <w:vAlign w:val="center"/>
          </w:tcPr>
          <w:p w14:paraId="57EF5ADD" w14:textId="77777777" w:rsidR="006C7BE0" w:rsidRPr="0098262F" w:rsidRDefault="006C7BE0" w:rsidP="009F0CD1">
            <w:pPr>
              <w:pStyle w:val="TableText0"/>
            </w:pPr>
          </w:p>
        </w:tc>
        <w:tc>
          <w:tcPr>
            <w:tcW w:w="873" w:type="pct"/>
            <w:vMerge/>
          </w:tcPr>
          <w:p w14:paraId="147DA58E" w14:textId="77777777" w:rsidR="006C7BE0" w:rsidRPr="0098262F" w:rsidRDefault="006C7BE0" w:rsidP="009F0CD1">
            <w:pPr>
              <w:pStyle w:val="TableText0"/>
            </w:pPr>
          </w:p>
        </w:tc>
      </w:tr>
      <w:tr w:rsidR="005B5F8B" w:rsidRPr="0098262F" w14:paraId="28762BB8" w14:textId="77777777" w:rsidTr="00DC414E">
        <w:trPr>
          <w:cantSplit/>
        </w:trPr>
        <w:tc>
          <w:tcPr>
            <w:tcW w:w="705" w:type="pct"/>
          </w:tcPr>
          <w:p w14:paraId="04CC38D8" w14:textId="301E3386" w:rsidR="006C7BE0" w:rsidRPr="0098262F" w:rsidRDefault="00E047B4" w:rsidP="009F0CD1">
            <w:pPr>
              <w:pStyle w:val="TableText0"/>
            </w:pPr>
            <w:r>
              <w:rPr>
                <w:rFonts w:cs="Times New Roman"/>
              </w:rPr>
              <w:t>P</w:t>
            </w:r>
            <w:r w:rsidR="006C7BE0" w:rsidRPr="00F13C21">
              <w:rPr>
                <w:rFonts w:cs="Times New Roman"/>
              </w:rPr>
              <w:t>hase IIb</w:t>
            </w:r>
          </w:p>
        </w:tc>
        <w:tc>
          <w:tcPr>
            <w:tcW w:w="314" w:type="pct"/>
          </w:tcPr>
          <w:p w14:paraId="29AD5FAE" w14:textId="6E5E21D8" w:rsidR="006C7BE0" w:rsidRPr="0098262F" w:rsidRDefault="006C7BE0" w:rsidP="00E047B4">
            <w:pPr>
              <w:pStyle w:val="TableText0"/>
              <w:jc w:val="center"/>
            </w:pPr>
            <w:r w:rsidRPr="00F13C21">
              <w:rPr>
                <w:rFonts w:cs="Times New Roman"/>
              </w:rPr>
              <w:t>355</w:t>
            </w:r>
          </w:p>
        </w:tc>
        <w:tc>
          <w:tcPr>
            <w:tcW w:w="2044" w:type="pct"/>
            <w:vAlign w:val="center"/>
          </w:tcPr>
          <w:p w14:paraId="2C4550E2" w14:textId="2DAB3D45" w:rsidR="006C7BE0" w:rsidRPr="00F13C21" w:rsidRDefault="006C7BE0" w:rsidP="009F0CD1">
            <w:pPr>
              <w:keepNext/>
              <w:keepLines/>
              <w:jc w:val="left"/>
              <w:rPr>
                <w:rFonts w:ascii="Arial Narrow" w:hAnsi="Arial Narrow"/>
                <w:sz w:val="20"/>
              </w:rPr>
            </w:pPr>
            <w:r w:rsidRPr="00F13C21">
              <w:rPr>
                <w:rFonts w:ascii="Arial Narrow" w:hAnsi="Arial Narrow"/>
                <w:sz w:val="20"/>
              </w:rPr>
              <w:t>R, DB, MC</w:t>
            </w:r>
            <w:r w:rsidR="00E047B4">
              <w:rPr>
                <w:rFonts w:ascii="Arial Narrow" w:hAnsi="Arial Narrow"/>
                <w:sz w:val="20"/>
              </w:rPr>
              <w:t>;</w:t>
            </w:r>
            <w:r w:rsidRPr="00F13C21">
              <w:rPr>
                <w:rFonts w:ascii="Arial Narrow" w:hAnsi="Arial Narrow"/>
                <w:sz w:val="20"/>
              </w:rPr>
              <w:t xml:space="preserve"> 52 w</w:t>
            </w:r>
            <w:r w:rsidR="00E047B4">
              <w:rPr>
                <w:rFonts w:ascii="Arial Narrow" w:hAnsi="Arial Narrow"/>
                <w:sz w:val="20"/>
              </w:rPr>
              <w:t>ee</w:t>
            </w:r>
            <w:r w:rsidRPr="00F13C21">
              <w:rPr>
                <w:rFonts w:ascii="Arial Narrow" w:hAnsi="Arial Narrow"/>
                <w:sz w:val="20"/>
              </w:rPr>
              <w:t>ks</w:t>
            </w:r>
          </w:p>
          <w:p w14:paraId="7B3C6C4D" w14:textId="7A3CB9DA" w:rsidR="006C7BE0" w:rsidRPr="0098262F" w:rsidRDefault="006C7BE0" w:rsidP="009F0CD1">
            <w:pPr>
              <w:pStyle w:val="TableText0"/>
            </w:pPr>
            <w:r w:rsidRPr="00F13C21">
              <w:rPr>
                <w:rFonts w:cs="Times New Roman"/>
              </w:rPr>
              <w:t>PBO patients crossed over to TIL at Week 16. .</w:t>
            </w:r>
          </w:p>
        </w:tc>
        <w:tc>
          <w:tcPr>
            <w:tcW w:w="392" w:type="pct"/>
          </w:tcPr>
          <w:p w14:paraId="5813BADC" w14:textId="06B2D28A" w:rsidR="006C7BE0" w:rsidRPr="000510B1" w:rsidRDefault="006C7BE0" w:rsidP="00E047B4">
            <w:pPr>
              <w:pStyle w:val="TableText0"/>
              <w:jc w:val="center"/>
            </w:pPr>
            <w:r w:rsidRPr="000510B1">
              <w:t>Low</w:t>
            </w:r>
          </w:p>
        </w:tc>
        <w:tc>
          <w:tcPr>
            <w:tcW w:w="672" w:type="pct"/>
            <w:vMerge/>
            <w:vAlign w:val="center"/>
          </w:tcPr>
          <w:p w14:paraId="07F4718D" w14:textId="77777777" w:rsidR="006C7BE0" w:rsidRPr="0098262F" w:rsidRDefault="006C7BE0" w:rsidP="009F0CD1">
            <w:pPr>
              <w:pStyle w:val="TableText0"/>
            </w:pPr>
          </w:p>
        </w:tc>
        <w:tc>
          <w:tcPr>
            <w:tcW w:w="873" w:type="pct"/>
          </w:tcPr>
          <w:p w14:paraId="47B4E9B7" w14:textId="1D5A5736" w:rsidR="006C7BE0" w:rsidRPr="0098262F" w:rsidRDefault="006C7BE0" w:rsidP="009F0CD1">
            <w:pPr>
              <w:pStyle w:val="TableText0"/>
            </w:pPr>
            <w:r w:rsidRPr="00F13C21">
              <w:t>PASI75 at W</w:t>
            </w:r>
            <w:r w:rsidR="00E047B4">
              <w:t>ee</w:t>
            </w:r>
            <w:r w:rsidRPr="00F13C21">
              <w:t>k 16</w:t>
            </w:r>
          </w:p>
        </w:tc>
      </w:tr>
    </w:tbl>
    <w:p w14:paraId="663E9CC7" w14:textId="77777777" w:rsidR="004D39B1" w:rsidRDefault="00045017" w:rsidP="009F0CD1">
      <w:pPr>
        <w:pStyle w:val="FooterTableFigure"/>
        <w:keepNext/>
      </w:pPr>
      <w:r w:rsidRPr="0098262F">
        <w:t>Source: Table</w:t>
      </w:r>
      <w:r w:rsidR="006C7BE0">
        <w:t xml:space="preserve"> 3, PSD tildrakizumab July 2018 PBAC Meeting. </w:t>
      </w:r>
    </w:p>
    <w:p w14:paraId="560080D2" w14:textId="531966AF" w:rsidR="00045017" w:rsidRPr="0098262F" w:rsidRDefault="006C7BE0" w:rsidP="009F0CD1">
      <w:pPr>
        <w:pStyle w:val="FooterTableFigure"/>
        <w:keepNext/>
      </w:pPr>
      <w:r w:rsidRPr="006C7BE0">
        <w:t xml:space="preserve">BSA = body surface area; CPP = chronic plaque psoriasis; DB = double blind; MC = multicentre; PASI = Psoriasis Area Severity Index; </w:t>
      </w:r>
      <w:r w:rsidR="004D5A34">
        <w:t xml:space="preserve">PBO = placebo; </w:t>
      </w:r>
      <w:r w:rsidRPr="006C7BE0">
        <w:t>R = randomised; PGA = physician global assessment</w:t>
      </w:r>
      <w:r w:rsidR="004D5A34">
        <w:t>; TIL = tildrakizumab</w:t>
      </w:r>
    </w:p>
    <w:p w14:paraId="7921FADE" w14:textId="2B0A95C1" w:rsidR="00E3533A" w:rsidRPr="006B4E35" w:rsidRDefault="00E3533A" w:rsidP="00EC5836">
      <w:pPr>
        <w:pStyle w:val="3-BodyText"/>
        <w:rPr>
          <w:color w:val="0066FF"/>
        </w:rPr>
      </w:pPr>
      <w:r>
        <w:t>The interventions compared in the trials are listed in</w:t>
      </w:r>
      <w:r w:rsidR="00E44DA7">
        <w:t xml:space="preserve"> </w:t>
      </w:r>
      <w:r w:rsidR="00E44DA7">
        <w:fldChar w:fldCharType="begin"/>
      </w:r>
      <w:r w:rsidR="00E44DA7">
        <w:instrText xml:space="preserve"> REF _Ref225948961 \h </w:instrText>
      </w:r>
      <w:r w:rsidR="00E44DA7">
        <w:fldChar w:fldCharType="separate"/>
      </w:r>
      <w:r w:rsidR="00E44DA7">
        <w:t xml:space="preserve">Table </w:t>
      </w:r>
      <w:r w:rsidR="00E44DA7">
        <w:rPr>
          <w:noProof/>
        </w:rPr>
        <w:t>5</w:t>
      </w:r>
      <w:r w:rsidR="00E44DA7">
        <w:fldChar w:fldCharType="end"/>
      </w:r>
      <w:r>
        <w:t xml:space="preserve">. </w:t>
      </w:r>
    </w:p>
    <w:p w14:paraId="5B7E1422" w14:textId="5D671B84" w:rsidR="006B4E35" w:rsidRPr="00E3533A" w:rsidRDefault="00E44DA7" w:rsidP="00E44DA7">
      <w:pPr>
        <w:pStyle w:val="Caption"/>
      </w:pPr>
      <w:bookmarkStart w:id="23" w:name="_Ref225948961"/>
      <w:r>
        <w:lastRenderedPageBreak/>
        <w:t xml:space="preserve">Table </w:t>
      </w:r>
      <w:fldSimple w:instr=" SEQ Table \* ARABIC ">
        <w:r>
          <w:rPr>
            <w:noProof/>
          </w:rPr>
          <w:t>5</w:t>
        </w:r>
      </w:fldSimple>
      <w:bookmarkEnd w:id="23"/>
      <w:r w:rsidR="003559F8">
        <w:t xml:space="preserve">: </w:t>
      </w:r>
      <w:r w:rsidR="006B4E35">
        <w:t>Interventions in the submitted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Interventions in the submitted trials"/>
      </w:tblPr>
      <w:tblGrid>
        <w:gridCol w:w="1249"/>
        <w:gridCol w:w="1054"/>
        <w:gridCol w:w="4760"/>
        <w:gridCol w:w="1131"/>
        <w:gridCol w:w="988"/>
      </w:tblGrid>
      <w:tr w:rsidR="009F0CD1" w:rsidRPr="009F0CD1" w14:paraId="31EC695E" w14:textId="77777777" w:rsidTr="00E11511">
        <w:tc>
          <w:tcPr>
            <w:tcW w:w="680" w:type="pct"/>
            <w:vAlign w:val="center"/>
          </w:tcPr>
          <w:p w14:paraId="2EE98300" w14:textId="77777777" w:rsidR="00E3533A" w:rsidRPr="009F0CD1" w:rsidRDefault="00E3533A" w:rsidP="00EA6716">
            <w:pPr>
              <w:keepNext/>
              <w:keepLines/>
              <w:jc w:val="left"/>
              <w:rPr>
                <w:rFonts w:ascii="Arial Narrow" w:hAnsi="Arial Narrow"/>
                <w:sz w:val="20"/>
              </w:rPr>
            </w:pPr>
            <w:r w:rsidRPr="009F0CD1">
              <w:rPr>
                <w:rFonts w:ascii="Arial Narrow" w:hAnsi="Arial Narrow"/>
                <w:b/>
                <w:sz w:val="20"/>
              </w:rPr>
              <w:t>Trials</w:t>
            </w:r>
          </w:p>
        </w:tc>
        <w:tc>
          <w:tcPr>
            <w:tcW w:w="574" w:type="pct"/>
            <w:tcBorders>
              <w:bottom w:val="single" w:sz="4" w:space="0" w:color="auto"/>
            </w:tcBorders>
            <w:vAlign w:val="center"/>
          </w:tcPr>
          <w:p w14:paraId="4F537556" w14:textId="77777777" w:rsidR="00E3533A" w:rsidRPr="009F0CD1" w:rsidRDefault="00E3533A" w:rsidP="00EA6716">
            <w:pPr>
              <w:keepNext/>
              <w:keepLines/>
              <w:jc w:val="left"/>
              <w:rPr>
                <w:rFonts w:ascii="Arial Narrow" w:hAnsi="Arial Narrow"/>
                <w:sz w:val="20"/>
              </w:rPr>
            </w:pPr>
            <w:r w:rsidRPr="009F0CD1">
              <w:rPr>
                <w:rFonts w:ascii="Arial Narrow" w:hAnsi="Arial Narrow"/>
                <w:b/>
                <w:sz w:val="20"/>
              </w:rPr>
              <w:t>Treatment</w:t>
            </w:r>
          </w:p>
        </w:tc>
        <w:tc>
          <w:tcPr>
            <w:tcW w:w="2592" w:type="pct"/>
            <w:tcBorders>
              <w:bottom w:val="single" w:sz="4" w:space="0" w:color="auto"/>
            </w:tcBorders>
            <w:vAlign w:val="center"/>
          </w:tcPr>
          <w:p w14:paraId="4FC93204" w14:textId="77777777" w:rsidR="00E3533A" w:rsidRPr="009F0CD1" w:rsidRDefault="00E3533A" w:rsidP="00EA6716">
            <w:pPr>
              <w:keepNext/>
              <w:keepLines/>
              <w:jc w:val="left"/>
              <w:rPr>
                <w:rFonts w:ascii="Arial Narrow" w:hAnsi="Arial Narrow"/>
                <w:sz w:val="20"/>
              </w:rPr>
            </w:pPr>
            <w:r w:rsidRPr="009F0CD1">
              <w:rPr>
                <w:rFonts w:ascii="Arial Narrow" w:hAnsi="Arial Narrow"/>
                <w:b/>
                <w:sz w:val="20"/>
              </w:rPr>
              <w:t>Dosage regimen</w:t>
            </w:r>
          </w:p>
        </w:tc>
        <w:tc>
          <w:tcPr>
            <w:tcW w:w="616" w:type="pct"/>
            <w:tcBorders>
              <w:bottom w:val="single" w:sz="4" w:space="0" w:color="auto"/>
            </w:tcBorders>
            <w:vAlign w:val="center"/>
          </w:tcPr>
          <w:p w14:paraId="7490B21F" w14:textId="77777777" w:rsidR="00E3533A" w:rsidRPr="009F0CD1" w:rsidRDefault="00E3533A" w:rsidP="00E77909">
            <w:pPr>
              <w:keepNext/>
              <w:keepLines/>
              <w:jc w:val="center"/>
              <w:rPr>
                <w:rFonts w:ascii="Arial Narrow" w:hAnsi="Arial Narrow"/>
                <w:sz w:val="20"/>
              </w:rPr>
            </w:pPr>
            <w:r w:rsidRPr="009F0CD1">
              <w:rPr>
                <w:rFonts w:ascii="Arial Narrow" w:hAnsi="Arial Narrow"/>
                <w:b/>
                <w:sz w:val="20"/>
              </w:rPr>
              <w:t>Duration of PBO control period</w:t>
            </w:r>
          </w:p>
        </w:tc>
        <w:tc>
          <w:tcPr>
            <w:tcW w:w="538" w:type="pct"/>
            <w:vAlign w:val="center"/>
          </w:tcPr>
          <w:p w14:paraId="6E0E33F6" w14:textId="3A1852B7" w:rsidR="00E3533A" w:rsidRPr="009F0CD1" w:rsidRDefault="00E3533A" w:rsidP="00E77909">
            <w:pPr>
              <w:keepNext/>
              <w:keepLines/>
              <w:jc w:val="center"/>
              <w:rPr>
                <w:rFonts w:ascii="Arial Narrow" w:hAnsi="Arial Narrow"/>
                <w:sz w:val="20"/>
              </w:rPr>
            </w:pPr>
            <w:r w:rsidRPr="009F0CD1">
              <w:rPr>
                <w:rFonts w:ascii="Arial Narrow" w:hAnsi="Arial Narrow"/>
                <w:b/>
                <w:sz w:val="20"/>
              </w:rPr>
              <w:t>Duration of follow</w:t>
            </w:r>
            <w:r w:rsidR="005F1191">
              <w:rPr>
                <w:rFonts w:ascii="Arial Narrow" w:hAnsi="Arial Narrow"/>
                <w:b/>
                <w:sz w:val="20"/>
              </w:rPr>
              <w:noBreakHyphen/>
            </w:r>
            <w:r w:rsidRPr="009F0CD1">
              <w:rPr>
                <w:rFonts w:ascii="Arial Narrow" w:hAnsi="Arial Narrow"/>
                <w:b/>
                <w:sz w:val="20"/>
              </w:rPr>
              <w:t>up</w:t>
            </w:r>
          </w:p>
        </w:tc>
      </w:tr>
      <w:tr w:rsidR="009F0CD1" w:rsidRPr="009F0CD1" w14:paraId="1F880929" w14:textId="77777777" w:rsidTr="00E11511">
        <w:tc>
          <w:tcPr>
            <w:tcW w:w="680" w:type="pct"/>
            <w:vMerge w:val="restart"/>
            <w:vAlign w:val="center"/>
          </w:tcPr>
          <w:p w14:paraId="033AA662" w14:textId="4BCA9580" w:rsidR="00E3533A" w:rsidRPr="009F0CD1" w:rsidRDefault="00E3533A" w:rsidP="00EA6716">
            <w:pPr>
              <w:keepNext/>
              <w:keepLines/>
              <w:jc w:val="left"/>
              <w:rPr>
                <w:rFonts w:ascii="Times" w:hAnsi="Times" w:cs="Times New Roman"/>
                <w:bCs/>
                <w:sz w:val="20"/>
              </w:rPr>
            </w:pPr>
            <w:proofErr w:type="spellStart"/>
            <w:r w:rsidRPr="009F0CD1">
              <w:rPr>
                <w:rFonts w:ascii="Arial Narrow" w:hAnsi="Arial Narrow"/>
                <w:bCs/>
                <w:sz w:val="20"/>
              </w:rPr>
              <w:t>reSURFACE</w:t>
            </w:r>
            <w:proofErr w:type="spellEnd"/>
            <w:r w:rsidRPr="009F0CD1">
              <w:rPr>
                <w:rFonts w:ascii="Arial Narrow" w:hAnsi="Arial Narrow"/>
                <w:bCs/>
                <w:sz w:val="20"/>
              </w:rPr>
              <w:t xml:space="preserve"> 1</w:t>
            </w:r>
          </w:p>
        </w:tc>
        <w:tc>
          <w:tcPr>
            <w:tcW w:w="574" w:type="pct"/>
            <w:tcBorders>
              <w:bottom w:val="single" w:sz="4" w:space="0" w:color="auto"/>
            </w:tcBorders>
            <w:vAlign w:val="center"/>
          </w:tcPr>
          <w:p w14:paraId="7C0DB951" w14:textId="77777777" w:rsidR="00E3533A" w:rsidRPr="009F0CD1" w:rsidRDefault="00E3533A" w:rsidP="00EA6716">
            <w:pPr>
              <w:keepNext/>
              <w:keepLines/>
              <w:jc w:val="left"/>
              <w:rPr>
                <w:rFonts w:ascii="Times" w:hAnsi="Times" w:cs="Times New Roman"/>
                <w:sz w:val="20"/>
                <w:vertAlign w:val="superscript"/>
              </w:rPr>
            </w:pPr>
            <w:r w:rsidRPr="009F0CD1">
              <w:rPr>
                <w:rFonts w:ascii="Arial Narrow" w:hAnsi="Arial Narrow"/>
                <w:sz w:val="20"/>
              </w:rPr>
              <w:t>TIL 200</w:t>
            </w:r>
          </w:p>
        </w:tc>
        <w:tc>
          <w:tcPr>
            <w:tcW w:w="2592" w:type="pct"/>
            <w:tcBorders>
              <w:bottom w:val="single" w:sz="4" w:space="0" w:color="auto"/>
            </w:tcBorders>
            <w:vAlign w:val="center"/>
          </w:tcPr>
          <w:p w14:paraId="358B4FB7" w14:textId="2B8786E9" w:rsidR="00E3533A" w:rsidRPr="009F0CD1" w:rsidRDefault="00E3533A" w:rsidP="00EA6716">
            <w:pPr>
              <w:keepNext/>
              <w:keepLines/>
              <w:jc w:val="left"/>
              <w:rPr>
                <w:rFonts w:ascii="Arial Narrow" w:hAnsi="Arial Narrow"/>
                <w:sz w:val="20"/>
              </w:rPr>
            </w:pPr>
            <w:r w:rsidRPr="009F0CD1">
              <w:rPr>
                <w:rFonts w:ascii="Arial Narrow" w:hAnsi="Arial Narrow"/>
                <w:sz w:val="20"/>
              </w:rPr>
              <w:t xml:space="preserve">200 mg at Weeks 0 and 4, and </w:t>
            </w:r>
            <w:r w:rsidR="00EA6716">
              <w:rPr>
                <w:rFonts w:ascii="Arial Narrow" w:hAnsi="Arial Narrow"/>
                <w:sz w:val="20"/>
              </w:rPr>
              <w:t>Q</w:t>
            </w:r>
            <w:r w:rsidRPr="009F0CD1">
              <w:rPr>
                <w:rFonts w:ascii="Arial Narrow" w:hAnsi="Arial Narrow"/>
                <w:sz w:val="20"/>
              </w:rPr>
              <w:t>12</w:t>
            </w:r>
            <w:r w:rsidR="00EA6716">
              <w:rPr>
                <w:rFonts w:ascii="Arial Narrow" w:hAnsi="Arial Narrow"/>
                <w:sz w:val="20"/>
              </w:rPr>
              <w:t>W</w:t>
            </w:r>
            <w:r w:rsidRPr="009F0CD1">
              <w:rPr>
                <w:rFonts w:ascii="Arial Narrow" w:hAnsi="Arial Narrow"/>
                <w:sz w:val="20"/>
              </w:rPr>
              <w:t xml:space="preserve"> thereafter</w:t>
            </w:r>
          </w:p>
        </w:tc>
        <w:tc>
          <w:tcPr>
            <w:tcW w:w="616" w:type="pct"/>
            <w:vMerge w:val="restart"/>
            <w:vAlign w:val="center"/>
          </w:tcPr>
          <w:p w14:paraId="3C7DF07A" w14:textId="77777777" w:rsidR="00E3533A" w:rsidRPr="009F0CD1" w:rsidRDefault="00E3533A" w:rsidP="00E77909">
            <w:pPr>
              <w:keepNext/>
              <w:keepLines/>
              <w:jc w:val="center"/>
              <w:rPr>
                <w:rFonts w:ascii="Arial Narrow" w:hAnsi="Arial Narrow"/>
                <w:sz w:val="20"/>
              </w:rPr>
            </w:pPr>
            <w:r w:rsidRPr="009F0CD1">
              <w:rPr>
                <w:rFonts w:ascii="Arial Narrow" w:hAnsi="Arial Narrow"/>
                <w:sz w:val="20"/>
              </w:rPr>
              <w:t>12 weeks</w:t>
            </w:r>
          </w:p>
        </w:tc>
        <w:tc>
          <w:tcPr>
            <w:tcW w:w="538" w:type="pct"/>
            <w:vMerge w:val="restart"/>
            <w:vAlign w:val="center"/>
          </w:tcPr>
          <w:p w14:paraId="467F5FB9" w14:textId="77777777" w:rsidR="00E3533A" w:rsidRPr="009F0CD1" w:rsidRDefault="00E3533A" w:rsidP="00E77909">
            <w:pPr>
              <w:keepNext/>
              <w:keepLines/>
              <w:jc w:val="center"/>
              <w:rPr>
                <w:rFonts w:ascii="Arial Narrow" w:hAnsi="Arial Narrow"/>
                <w:sz w:val="20"/>
              </w:rPr>
            </w:pPr>
            <w:r w:rsidRPr="009F0CD1">
              <w:rPr>
                <w:rFonts w:ascii="Arial Narrow" w:hAnsi="Arial Narrow"/>
                <w:sz w:val="20"/>
              </w:rPr>
              <w:t xml:space="preserve">64 weeks </w:t>
            </w:r>
          </w:p>
        </w:tc>
      </w:tr>
      <w:tr w:rsidR="009F0CD1" w:rsidRPr="009F0CD1" w14:paraId="2451D4DA" w14:textId="77777777" w:rsidTr="00E11511">
        <w:tc>
          <w:tcPr>
            <w:tcW w:w="680" w:type="pct"/>
            <w:vMerge/>
            <w:vAlign w:val="center"/>
          </w:tcPr>
          <w:p w14:paraId="40D43247" w14:textId="77777777" w:rsidR="00E3533A" w:rsidRPr="009F0CD1" w:rsidRDefault="00E3533A" w:rsidP="00EA6716">
            <w:pPr>
              <w:keepNext/>
              <w:keepLines/>
              <w:jc w:val="left"/>
              <w:rPr>
                <w:rFonts w:ascii="Arial Narrow" w:hAnsi="Arial Narrow"/>
                <w:bCs/>
                <w:sz w:val="20"/>
              </w:rPr>
            </w:pPr>
          </w:p>
        </w:tc>
        <w:tc>
          <w:tcPr>
            <w:tcW w:w="574" w:type="pct"/>
            <w:tcBorders>
              <w:top w:val="single" w:sz="4" w:space="0" w:color="auto"/>
              <w:bottom w:val="single" w:sz="4" w:space="0" w:color="auto"/>
            </w:tcBorders>
            <w:vAlign w:val="center"/>
          </w:tcPr>
          <w:p w14:paraId="2799931A"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TIL 100</w:t>
            </w:r>
          </w:p>
        </w:tc>
        <w:tc>
          <w:tcPr>
            <w:tcW w:w="2592" w:type="pct"/>
            <w:tcBorders>
              <w:top w:val="single" w:sz="4" w:space="0" w:color="auto"/>
              <w:bottom w:val="single" w:sz="4" w:space="0" w:color="auto"/>
            </w:tcBorders>
            <w:vAlign w:val="center"/>
          </w:tcPr>
          <w:p w14:paraId="49AD26F5" w14:textId="2BA11AD7" w:rsidR="00E3533A" w:rsidRPr="009F0CD1" w:rsidRDefault="00E3533A" w:rsidP="00EA6716">
            <w:pPr>
              <w:keepNext/>
              <w:keepLines/>
              <w:jc w:val="left"/>
              <w:rPr>
                <w:rFonts w:ascii="Arial Narrow" w:hAnsi="Arial Narrow"/>
                <w:sz w:val="20"/>
              </w:rPr>
            </w:pPr>
            <w:r w:rsidRPr="009F0CD1">
              <w:rPr>
                <w:rFonts w:ascii="Arial Narrow" w:hAnsi="Arial Narrow"/>
                <w:sz w:val="20"/>
              </w:rPr>
              <w:t xml:space="preserve">100 mg at Weeks 0 and 4, and </w:t>
            </w:r>
            <w:r w:rsidR="00EA6716">
              <w:rPr>
                <w:rFonts w:ascii="Arial Narrow" w:hAnsi="Arial Narrow"/>
                <w:sz w:val="20"/>
              </w:rPr>
              <w:t>Q</w:t>
            </w:r>
            <w:r w:rsidRPr="009F0CD1">
              <w:rPr>
                <w:rFonts w:ascii="Arial Narrow" w:hAnsi="Arial Narrow"/>
                <w:sz w:val="20"/>
              </w:rPr>
              <w:t>12</w:t>
            </w:r>
            <w:r w:rsidR="00EA6716">
              <w:rPr>
                <w:rFonts w:ascii="Arial Narrow" w:hAnsi="Arial Narrow"/>
                <w:sz w:val="20"/>
              </w:rPr>
              <w:t>W</w:t>
            </w:r>
            <w:r w:rsidRPr="009F0CD1">
              <w:rPr>
                <w:rFonts w:ascii="Arial Narrow" w:hAnsi="Arial Narrow"/>
                <w:sz w:val="20"/>
              </w:rPr>
              <w:t xml:space="preserve"> thereafter</w:t>
            </w:r>
          </w:p>
        </w:tc>
        <w:tc>
          <w:tcPr>
            <w:tcW w:w="616" w:type="pct"/>
            <w:vMerge/>
            <w:vAlign w:val="center"/>
          </w:tcPr>
          <w:p w14:paraId="12BC6F08" w14:textId="77777777" w:rsidR="00E3533A" w:rsidRPr="009F0CD1" w:rsidRDefault="00E3533A" w:rsidP="00E77909">
            <w:pPr>
              <w:keepNext/>
              <w:keepLines/>
              <w:jc w:val="center"/>
              <w:rPr>
                <w:rFonts w:ascii="Arial Narrow" w:hAnsi="Arial Narrow"/>
                <w:sz w:val="20"/>
              </w:rPr>
            </w:pPr>
          </w:p>
        </w:tc>
        <w:tc>
          <w:tcPr>
            <w:tcW w:w="538" w:type="pct"/>
            <w:vMerge/>
            <w:vAlign w:val="center"/>
          </w:tcPr>
          <w:p w14:paraId="61FC3A34" w14:textId="77777777" w:rsidR="00E3533A" w:rsidRPr="009F0CD1" w:rsidRDefault="00E3533A" w:rsidP="00E77909">
            <w:pPr>
              <w:keepNext/>
              <w:keepLines/>
              <w:jc w:val="center"/>
              <w:rPr>
                <w:rFonts w:ascii="Arial Narrow" w:hAnsi="Arial Narrow"/>
                <w:sz w:val="20"/>
              </w:rPr>
            </w:pPr>
          </w:p>
        </w:tc>
      </w:tr>
      <w:tr w:rsidR="009F0CD1" w:rsidRPr="009F0CD1" w14:paraId="594EDECD" w14:textId="77777777" w:rsidTr="00E11511">
        <w:tc>
          <w:tcPr>
            <w:tcW w:w="680" w:type="pct"/>
            <w:vMerge/>
            <w:vAlign w:val="center"/>
          </w:tcPr>
          <w:p w14:paraId="725F819D" w14:textId="77777777" w:rsidR="00E3533A" w:rsidRPr="009F0CD1" w:rsidRDefault="00E3533A" w:rsidP="00EA6716">
            <w:pPr>
              <w:keepNext/>
              <w:keepLines/>
              <w:jc w:val="left"/>
              <w:rPr>
                <w:rFonts w:ascii="Arial Narrow" w:hAnsi="Arial Narrow"/>
                <w:bCs/>
                <w:sz w:val="20"/>
              </w:rPr>
            </w:pPr>
          </w:p>
        </w:tc>
        <w:tc>
          <w:tcPr>
            <w:tcW w:w="574" w:type="pct"/>
            <w:tcBorders>
              <w:top w:val="single" w:sz="4" w:space="0" w:color="auto"/>
              <w:bottom w:val="single" w:sz="4" w:space="0" w:color="auto"/>
            </w:tcBorders>
            <w:vAlign w:val="center"/>
          </w:tcPr>
          <w:p w14:paraId="54FC5CBE"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PBO</w:t>
            </w:r>
          </w:p>
        </w:tc>
        <w:tc>
          <w:tcPr>
            <w:tcW w:w="2592" w:type="pct"/>
            <w:tcBorders>
              <w:top w:val="single" w:sz="4" w:space="0" w:color="auto"/>
              <w:bottom w:val="single" w:sz="4" w:space="0" w:color="auto"/>
            </w:tcBorders>
            <w:vAlign w:val="center"/>
          </w:tcPr>
          <w:p w14:paraId="707ED6D6"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Placebo at Weeks 0 and 4, followed by TIL at Weeks 12, 16</w:t>
            </w:r>
          </w:p>
        </w:tc>
        <w:tc>
          <w:tcPr>
            <w:tcW w:w="616" w:type="pct"/>
            <w:vMerge/>
            <w:tcBorders>
              <w:bottom w:val="single" w:sz="4" w:space="0" w:color="auto"/>
            </w:tcBorders>
            <w:vAlign w:val="center"/>
          </w:tcPr>
          <w:p w14:paraId="4D04CC92" w14:textId="77777777" w:rsidR="00E3533A" w:rsidRPr="009F0CD1" w:rsidRDefault="00E3533A" w:rsidP="00E77909">
            <w:pPr>
              <w:keepNext/>
              <w:keepLines/>
              <w:jc w:val="center"/>
              <w:rPr>
                <w:rFonts w:ascii="Arial Narrow" w:hAnsi="Arial Narrow"/>
                <w:sz w:val="20"/>
              </w:rPr>
            </w:pPr>
          </w:p>
        </w:tc>
        <w:tc>
          <w:tcPr>
            <w:tcW w:w="538" w:type="pct"/>
            <w:vMerge/>
            <w:tcBorders>
              <w:bottom w:val="single" w:sz="4" w:space="0" w:color="000000"/>
            </w:tcBorders>
            <w:vAlign w:val="center"/>
          </w:tcPr>
          <w:p w14:paraId="4C28EE68" w14:textId="77777777" w:rsidR="00E3533A" w:rsidRPr="009F0CD1" w:rsidRDefault="00E3533A" w:rsidP="00E77909">
            <w:pPr>
              <w:keepNext/>
              <w:keepLines/>
              <w:jc w:val="center"/>
              <w:rPr>
                <w:rFonts w:ascii="Arial Narrow" w:hAnsi="Arial Narrow"/>
                <w:sz w:val="20"/>
              </w:rPr>
            </w:pPr>
          </w:p>
        </w:tc>
      </w:tr>
      <w:tr w:rsidR="009F0CD1" w:rsidRPr="009F0CD1" w14:paraId="217EECA7" w14:textId="77777777" w:rsidTr="00E11511">
        <w:tc>
          <w:tcPr>
            <w:tcW w:w="680" w:type="pct"/>
            <w:vMerge w:val="restart"/>
            <w:vAlign w:val="center"/>
          </w:tcPr>
          <w:p w14:paraId="6DE695A9" w14:textId="7AC7BA40" w:rsidR="00E3533A" w:rsidRPr="009F0CD1" w:rsidRDefault="00E3533A" w:rsidP="00EA6716">
            <w:pPr>
              <w:keepNext/>
              <w:keepLines/>
              <w:jc w:val="left"/>
              <w:rPr>
                <w:rFonts w:ascii="Arial Narrow" w:hAnsi="Arial Narrow"/>
                <w:bCs/>
                <w:sz w:val="20"/>
              </w:rPr>
            </w:pPr>
            <w:proofErr w:type="spellStart"/>
            <w:r w:rsidRPr="009F0CD1">
              <w:rPr>
                <w:rFonts w:ascii="Arial Narrow" w:hAnsi="Arial Narrow"/>
                <w:bCs/>
                <w:sz w:val="20"/>
              </w:rPr>
              <w:t>reSURFACE</w:t>
            </w:r>
            <w:proofErr w:type="spellEnd"/>
            <w:r w:rsidRPr="009F0CD1">
              <w:rPr>
                <w:rFonts w:ascii="Arial Narrow" w:hAnsi="Arial Narrow"/>
                <w:bCs/>
                <w:sz w:val="20"/>
              </w:rPr>
              <w:t xml:space="preserve"> 2</w:t>
            </w:r>
          </w:p>
        </w:tc>
        <w:tc>
          <w:tcPr>
            <w:tcW w:w="574" w:type="pct"/>
            <w:tcBorders>
              <w:bottom w:val="single" w:sz="4" w:space="0" w:color="auto"/>
            </w:tcBorders>
            <w:vAlign w:val="center"/>
          </w:tcPr>
          <w:p w14:paraId="42086D41"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TIL 200</w:t>
            </w:r>
          </w:p>
        </w:tc>
        <w:tc>
          <w:tcPr>
            <w:tcW w:w="2592" w:type="pct"/>
            <w:tcBorders>
              <w:bottom w:val="single" w:sz="4" w:space="0" w:color="auto"/>
            </w:tcBorders>
            <w:vAlign w:val="center"/>
          </w:tcPr>
          <w:p w14:paraId="58543000" w14:textId="0679F302" w:rsidR="00E3533A" w:rsidRPr="009F0CD1" w:rsidRDefault="00E3533A" w:rsidP="00EA6716">
            <w:pPr>
              <w:keepNext/>
              <w:keepLines/>
              <w:jc w:val="left"/>
              <w:rPr>
                <w:rFonts w:ascii="Arial Narrow" w:hAnsi="Arial Narrow"/>
                <w:sz w:val="20"/>
              </w:rPr>
            </w:pPr>
            <w:r w:rsidRPr="009F0CD1">
              <w:rPr>
                <w:rFonts w:ascii="Arial Narrow" w:hAnsi="Arial Narrow"/>
                <w:sz w:val="20"/>
              </w:rPr>
              <w:t>200 mg at Weeks 0, 4 and 16; PBO twice weekly until Week 12, then once weekly</w:t>
            </w:r>
          </w:p>
        </w:tc>
        <w:tc>
          <w:tcPr>
            <w:tcW w:w="616" w:type="pct"/>
            <w:vMerge w:val="restart"/>
            <w:tcBorders>
              <w:top w:val="single" w:sz="4" w:space="0" w:color="auto"/>
            </w:tcBorders>
            <w:vAlign w:val="center"/>
          </w:tcPr>
          <w:p w14:paraId="30C26497" w14:textId="77777777" w:rsidR="00E3533A" w:rsidRPr="009F0CD1" w:rsidDel="00EE1300" w:rsidRDefault="00E3533A" w:rsidP="00E77909">
            <w:pPr>
              <w:keepNext/>
              <w:keepLines/>
              <w:jc w:val="center"/>
              <w:rPr>
                <w:rFonts w:ascii="Arial Narrow" w:hAnsi="Arial Narrow"/>
                <w:sz w:val="20"/>
              </w:rPr>
            </w:pPr>
            <w:r w:rsidRPr="009F0CD1">
              <w:rPr>
                <w:rFonts w:ascii="Arial Narrow" w:hAnsi="Arial Narrow"/>
                <w:sz w:val="20"/>
              </w:rPr>
              <w:t xml:space="preserve">12 weeks </w:t>
            </w:r>
          </w:p>
        </w:tc>
        <w:tc>
          <w:tcPr>
            <w:tcW w:w="538" w:type="pct"/>
            <w:vMerge w:val="restart"/>
            <w:tcBorders>
              <w:top w:val="single" w:sz="4" w:space="0" w:color="000000"/>
            </w:tcBorders>
            <w:vAlign w:val="center"/>
          </w:tcPr>
          <w:p w14:paraId="2C99C09C" w14:textId="77777777" w:rsidR="00E3533A" w:rsidRPr="009F0CD1" w:rsidRDefault="00E3533A" w:rsidP="00E77909">
            <w:pPr>
              <w:keepNext/>
              <w:keepLines/>
              <w:jc w:val="center"/>
              <w:rPr>
                <w:rFonts w:ascii="Arial Narrow" w:hAnsi="Arial Narrow"/>
                <w:sz w:val="20"/>
              </w:rPr>
            </w:pPr>
            <w:r w:rsidRPr="009F0CD1">
              <w:rPr>
                <w:rFonts w:ascii="Arial Narrow" w:hAnsi="Arial Narrow"/>
                <w:sz w:val="20"/>
              </w:rPr>
              <w:t>52 weeks</w:t>
            </w:r>
          </w:p>
        </w:tc>
      </w:tr>
      <w:tr w:rsidR="009F0CD1" w:rsidRPr="009F0CD1" w14:paraId="34D41277" w14:textId="77777777" w:rsidTr="00E11511">
        <w:tc>
          <w:tcPr>
            <w:tcW w:w="680" w:type="pct"/>
            <w:vMerge/>
            <w:vAlign w:val="center"/>
          </w:tcPr>
          <w:p w14:paraId="1D497D30" w14:textId="77777777" w:rsidR="00E3533A" w:rsidRPr="009F0CD1" w:rsidRDefault="00E3533A" w:rsidP="00EA6716">
            <w:pPr>
              <w:keepNext/>
              <w:keepLines/>
              <w:jc w:val="left"/>
              <w:rPr>
                <w:rFonts w:ascii="Arial Narrow" w:hAnsi="Arial Narrow"/>
                <w:bCs/>
                <w:sz w:val="20"/>
              </w:rPr>
            </w:pPr>
          </w:p>
        </w:tc>
        <w:tc>
          <w:tcPr>
            <w:tcW w:w="574" w:type="pct"/>
            <w:tcBorders>
              <w:top w:val="single" w:sz="4" w:space="0" w:color="auto"/>
            </w:tcBorders>
            <w:vAlign w:val="center"/>
          </w:tcPr>
          <w:p w14:paraId="27546EF5"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TIL 100</w:t>
            </w:r>
          </w:p>
        </w:tc>
        <w:tc>
          <w:tcPr>
            <w:tcW w:w="2592" w:type="pct"/>
            <w:tcBorders>
              <w:top w:val="single" w:sz="4" w:space="0" w:color="auto"/>
            </w:tcBorders>
            <w:vAlign w:val="center"/>
          </w:tcPr>
          <w:p w14:paraId="6D3182A5"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100 mg at Weeks 0, 4 and 16; PBO twice weekly until Week 12, then once weekly</w:t>
            </w:r>
          </w:p>
        </w:tc>
        <w:tc>
          <w:tcPr>
            <w:tcW w:w="616" w:type="pct"/>
            <w:vMerge/>
            <w:vAlign w:val="center"/>
          </w:tcPr>
          <w:p w14:paraId="1F6DE563" w14:textId="77777777" w:rsidR="00E3533A" w:rsidRPr="009F0CD1" w:rsidRDefault="00E3533A" w:rsidP="00E77909">
            <w:pPr>
              <w:keepNext/>
              <w:keepLines/>
              <w:jc w:val="center"/>
              <w:rPr>
                <w:rFonts w:ascii="Arial Narrow" w:hAnsi="Arial Narrow"/>
                <w:sz w:val="20"/>
              </w:rPr>
            </w:pPr>
          </w:p>
        </w:tc>
        <w:tc>
          <w:tcPr>
            <w:tcW w:w="538" w:type="pct"/>
            <w:vMerge/>
            <w:tcBorders>
              <w:top w:val="single" w:sz="4" w:space="0" w:color="000000"/>
            </w:tcBorders>
            <w:vAlign w:val="center"/>
          </w:tcPr>
          <w:p w14:paraId="5605BA97" w14:textId="77777777" w:rsidR="00E3533A" w:rsidRPr="009F0CD1" w:rsidRDefault="00E3533A" w:rsidP="00E77909">
            <w:pPr>
              <w:keepNext/>
              <w:keepLines/>
              <w:jc w:val="center"/>
              <w:rPr>
                <w:rFonts w:ascii="Arial Narrow" w:hAnsi="Arial Narrow"/>
                <w:sz w:val="20"/>
              </w:rPr>
            </w:pPr>
          </w:p>
        </w:tc>
      </w:tr>
      <w:tr w:rsidR="009F0CD1" w:rsidRPr="009F0CD1" w14:paraId="02D71B6B" w14:textId="77777777" w:rsidTr="00E11511">
        <w:tc>
          <w:tcPr>
            <w:tcW w:w="680" w:type="pct"/>
            <w:vMerge/>
            <w:vAlign w:val="center"/>
          </w:tcPr>
          <w:p w14:paraId="46D53061" w14:textId="77777777" w:rsidR="00E3533A" w:rsidRPr="009F0CD1" w:rsidRDefault="00E3533A" w:rsidP="00EA6716">
            <w:pPr>
              <w:keepNext/>
              <w:keepLines/>
              <w:jc w:val="left"/>
              <w:rPr>
                <w:rFonts w:ascii="Arial Narrow" w:hAnsi="Arial Narrow"/>
                <w:bCs/>
                <w:sz w:val="20"/>
              </w:rPr>
            </w:pPr>
          </w:p>
        </w:tc>
        <w:tc>
          <w:tcPr>
            <w:tcW w:w="574" w:type="pct"/>
            <w:tcBorders>
              <w:top w:val="single" w:sz="4" w:space="0" w:color="auto"/>
              <w:bottom w:val="single" w:sz="4" w:space="0" w:color="auto"/>
            </w:tcBorders>
            <w:vAlign w:val="center"/>
          </w:tcPr>
          <w:p w14:paraId="7BADC836"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PBO</w:t>
            </w:r>
          </w:p>
        </w:tc>
        <w:tc>
          <w:tcPr>
            <w:tcW w:w="2592" w:type="pct"/>
            <w:tcBorders>
              <w:top w:val="single" w:sz="4" w:space="0" w:color="auto"/>
              <w:bottom w:val="single" w:sz="4" w:space="0" w:color="auto"/>
            </w:tcBorders>
            <w:vAlign w:val="center"/>
          </w:tcPr>
          <w:p w14:paraId="54E6AAB0" w14:textId="77777777" w:rsidR="00E3533A" w:rsidRPr="009F0CD1" w:rsidRDefault="00E3533A" w:rsidP="00EA6716">
            <w:pPr>
              <w:keepNext/>
              <w:keepLines/>
              <w:jc w:val="left"/>
              <w:rPr>
                <w:rFonts w:ascii="Arial Narrow" w:hAnsi="Arial Narrow"/>
                <w:sz w:val="20"/>
              </w:rPr>
            </w:pPr>
            <w:r w:rsidRPr="009F0CD1">
              <w:rPr>
                <w:rFonts w:ascii="Arial Narrow" w:hAnsi="Arial Narrow"/>
                <w:sz w:val="20"/>
              </w:rPr>
              <w:t>Placebo at Weeks 0 and 4; PBO twice weekly until Week 12 then once weekly, followed by TIL at Weeks 12, 16</w:t>
            </w:r>
          </w:p>
        </w:tc>
        <w:tc>
          <w:tcPr>
            <w:tcW w:w="616" w:type="pct"/>
            <w:vMerge/>
            <w:vAlign w:val="center"/>
          </w:tcPr>
          <w:p w14:paraId="302F1182" w14:textId="77777777" w:rsidR="00E3533A" w:rsidRPr="009F0CD1" w:rsidDel="00EE1300" w:rsidRDefault="00E3533A" w:rsidP="00E77909">
            <w:pPr>
              <w:keepNext/>
              <w:keepLines/>
              <w:rPr>
                <w:rFonts w:ascii="Arial Narrow" w:hAnsi="Arial Narrow"/>
                <w:sz w:val="20"/>
              </w:rPr>
            </w:pPr>
          </w:p>
        </w:tc>
        <w:tc>
          <w:tcPr>
            <w:tcW w:w="538" w:type="pct"/>
            <w:vMerge/>
            <w:vAlign w:val="center"/>
          </w:tcPr>
          <w:p w14:paraId="18BF6D77" w14:textId="77777777" w:rsidR="00E3533A" w:rsidRPr="009F0CD1" w:rsidRDefault="00E3533A" w:rsidP="00E77909">
            <w:pPr>
              <w:keepNext/>
              <w:keepLines/>
              <w:rPr>
                <w:rFonts w:ascii="Arial Narrow" w:hAnsi="Arial Narrow"/>
                <w:sz w:val="20"/>
              </w:rPr>
            </w:pPr>
          </w:p>
        </w:tc>
      </w:tr>
      <w:tr w:rsidR="007E65CD" w:rsidRPr="009F0CD1" w14:paraId="5B8456E0" w14:textId="77777777" w:rsidTr="007E65CD">
        <w:trPr>
          <w:trHeight w:val="585"/>
        </w:trPr>
        <w:tc>
          <w:tcPr>
            <w:tcW w:w="680" w:type="pct"/>
            <w:vMerge w:val="restart"/>
            <w:vAlign w:val="center"/>
          </w:tcPr>
          <w:p w14:paraId="32DB8484" w14:textId="0404B3AE" w:rsidR="007E65CD" w:rsidRPr="009F0CD1" w:rsidRDefault="007E65CD" w:rsidP="00EA6716">
            <w:pPr>
              <w:keepNext/>
              <w:keepLines/>
              <w:jc w:val="left"/>
              <w:rPr>
                <w:rFonts w:ascii="Arial Narrow" w:hAnsi="Arial Narrow"/>
                <w:bCs/>
                <w:sz w:val="20"/>
              </w:rPr>
            </w:pPr>
            <w:r>
              <w:rPr>
                <w:rFonts w:ascii="Arial Narrow" w:hAnsi="Arial Narrow"/>
                <w:bCs/>
                <w:sz w:val="20"/>
              </w:rPr>
              <w:t>P</w:t>
            </w:r>
            <w:r w:rsidRPr="009F0CD1">
              <w:rPr>
                <w:rFonts w:ascii="Arial Narrow" w:hAnsi="Arial Narrow"/>
                <w:bCs/>
                <w:sz w:val="20"/>
              </w:rPr>
              <w:t>hase IIb</w:t>
            </w:r>
          </w:p>
        </w:tc>
        <w:tc>
          <w:tcPr>
            <w:tcW w:w="574" w:type="pct"/>
            <w:tcBorders>
              <w:top w:val="single" w:sz="4" w:space="0" w:color="auto"/>
            </w:tcBorders>
            <w:vAlign w:val="center"/>
          </w:tcPr>
          <w:p w14:paraId="2A77998A" w14:textId="0EBD4F56" w:rsidR="007E65CD" w:rsidRPr="009F0CD1" w:rsidRDefault="007E65CD" w:rsidP="00EA6716">
            <w:pPr>
              <w:keepNext/>
              <w:keepLines/>
              <w:jc w:val="left"/>
              <w:rPr>
                <w:rFonts w:ascii="Arial Narrow" w:hAnsi="Arial Narrow"/>
                <w:sz w:val="20"/>
                <w:szCs w:val="20"/>
              </w:rPr>
            </w:pPr>
            <w:r w:rsidRPr="009F0CD1">
              <w:rPr>
                <w:rFonts w:ascii="Arial Narrow" w:hAnsi="Arial Narrow"/>
                <w:sz w:val="20"/>
                <w:szCs w:val="20"/>
              </w:rPr>
              <w:t>TIL100</w:t>
            </w:r>
          </w:p>
        </w:tc>
        <w:tc>
          <w:tcPr>
            <w:tcW w:w="2592" w:type="pct"/>
            <w:tcBorders>
              <w:top w:val="single" w:sz="4" w:space="0" w:color="auto"/>
            </w:tcBorders>
            <w:vAlign w:val="center"/>
          </w:tcPr>
          <w:p w14:paraId="494A17F4" w14:textId="51A94156" w:rsidR="007E65CD" w:rsidRPr="009F0CD1" w:rsidRDefault="007E65CD" w:rsidP="00EA6716">
            <w:pPr>
              <w:keepNext/>
              <w:keepLines/>
              <w:jc w:val="left"/>
              <w:rPr>
                <w:rFonts w:ascii="Arial Narrow" w:hAnsi="Arial Narrow"/>
                <w:sz w:val="20"/>
                <w:szCs w:val="20"/>
              </w:rPr>
            </w:pPr>
            <w:r w:rsidRPr="009F0CD1">
              <w:rPr>
                <w:rFonts w:ascii="Arial Narrow" w:hAnsi="Arial Narrow"/>
                <w:sz w:val="20"/>
                <w:szCs w:val="20"/>
              </w:rPr>
              <w:t xml:space="preserve">100 mg at Weeks 0 and 4, and TIL 25 mg or 100 mg </w:t>
            </w:r>
            <w:r>
              <w:rPr>
                <w:rFonts w:ascii="Arial Narrow" w:hAnsi="Arial Narrow"/>
                <w:sz w:val="20"/>
                <w:szCs w:val="20"/>
              </w:rPr>
              <w:t>Q</w:t>
            </w:r>
            <w:r w:rsidRPr="009F0CD1">
              <w:rPr>
                <w:rFonts w:ascii="Arial Narrow" w:hAnsi="Arial Narrow"/>
                <w:sz w:val="20"/>
                <w:szCs w:val="20"/>
              </w:rPr>
              <w:t>12</w:t>
            </w:r>
            <w:r>
              <w:rPr>
                <w:rFonts w:ascii="Arial Narrow" w:hAnsi="Arial Narrow"/>
                <w:sz w:val="20"/>
                <w:szCs w:val="20"/>
              </w:rPr>
              <w:t xml:space="preserve">W </w:t>
            </w:r>
            <w:r w:rsidRPr="009F0CD1">
              <w:rPr>
                <w:rFonts w:ascii="Arial Narrow" w:hAnsi="Arial Narrow"/>
                <w:sz w:val="20"/>
                <w:szCs w:val="20"/>
              </w:rPr>
              <w:t xml:space="preserve">from week 16 onwards if have PASI75 response, otherwise TIL 200 mg </w:t>
            </w:r>
            <w:r>
              <w:rPr>
                <w:rFonts w:ascii="Arial Narrow" w:hAnsi="Arial Narrow"/>
                <w:sz w:val="20"/>
                <w:szCs w:val="20"/>
              </w:rPr>
              <w:t>Q</w:t>
            </w:r>
            <w:r w:rsidRPr="009F0CD1">
              <w:rPr>
                <w:rFonts w:ascii="Arial Narrow" w:hAnsi="Arial Narrow"/>
                <w:sz w:val="20"/>
                <w:szCs w:val="20"/>
              </w:rPr>
              <w:t>12</w:t>
            </w:r>
            <w:r>
              <w:rPr>
                <w:rFonts w:ascii="Arial Narrow" w:hAnsi="Arial Narrow"/>
                <w:sz w:val="20"/>
                <w:szCs w:val="20"/>
              </w:rPr>
              <w:t>W</w:t>
            </w:r>
          </w:p>
        </w:tc>
        <w:tc>
          <w:tcPr>
            <w:tcW w:w="616" w:type="pct"/>
            <w:vMerge w:val="restart"/>
            <w:tcBorders>
              <w:top w:val="single" w:sz="4" w:space="0" w:color="auto"/>
            </w:tcBorders>
            <w:vAlign w:val="center"/>
          </w:tcPr>
          <w:p w14:paraId="3A85B6CB" w14:textId="77777777" w:rsidR="007E65CD" w:rsidRPr="009F0CD1" w:rsidRDefault="007E65CD" w:rsidP="00E77909">
            <w:pPr>
              <w:keepNext/>
              <w:keepLines/>
              <w:jc w:val="center"/>
              <w:rPr>
                <w:rFonts w:ascii="Arial Narrow" w:hAnsi="Arial Narrow"/>
                <w:sz w:val="20"/>
              </w:rPr>
            </w:pPr>
            <w:r w:rsidRPr="009F0CD1">
              <w:rPr>
                <w:rFonts w:ascii="Arial Narrow" w:hAnsi="Arial Narrow"/>
                <w:sz w:val="20"/>
              </w:rPr>
              <w:t>16 weeks</w:t>
            </w:r>
          </w:p>
        </w:tc>
        <w:tc>
          <w:tcPr>
            <w:tcW w:w="538" w:type="pct"/>
            <w:vMerge w:val="restart"/>
            <w:tcBorders>
              <w:top w:val="single" w:sz="4" w:space="0" w:color="auto"/>
            </w:tcBorders>
            <w:vAlign w:val="center"/>
          </w:tcPr>
          <w:p w14:paraId="36C26AB4" w14:textId="77777777" w:rsidR="007E65CD" w:rsidRPr="009F0CD1" w:rsidRDefault="007E65CD" w:rsidP="00E77909">
            <w:pPr>
              <w:keepNext/>
              <w:keepLines/>
              <w:jc w:val="center"/>
              <w:rPr>
                <w:rFonts w:ascii="Arial Narrow" w:hAnsi="Arial Narrow"/>
                <w:sz w:val="20"/>
              </w:rPr>
            </w:pPr>
            <w:r w:rsidRPr="009F0CD1">
              <w:rPr>
                <w:rFonts w:ascii="Arial Narrow" w:hAnsi="Arial Narrow"/>
                <w:sz w:val="20"/>
              </w:rPr>
              <w:t>52 weeks</w:t>
            </w:r>
          </w:p>
        </w:tc>
      </w:tr>
      <w:tr w:rsidR="009F0CD1" w:rsidRPr="009F0CD1" w14:paraId="72B98AE0" w14:textId="77777777" w:rsidTr="00E11511">
        <w:tc>
          <w:tcPr>
            <w:tcW w:w="680" w:type="pct"/>
            <w:vMerge/>
            <w:vAlign w:val="center"/>
          </w:tcPr>
          <w:p w14:paraId="1E033804" w14:textId="77777777" w:rsidR="00E3533A" w:rsidRPr="009F0CD1" w:rsidRDefault="00E3533A" w:rsidP="00EA6716">
            <w:pPr>
              <w:keepNext/>
              <w:keepLines/>
              <w:jc w:val="left"/>
              <w:rPr>
                <w:rFonts w:ascii="Arial Narrow" w:hAnsi="Arial Narrow"/>
                <w:bCs/>
                <w:sz w:val="20"/>
              </w:rPr>
            </w:pPr>
          </w:p>
        </w:tc>
        <w:tc>
          <w:tcPr>
            <w:tcW w:w="574" w:type="pct"/>
            <w:tcBorders>
              <w:top w:val="single" w:sz="4" w:space="0" w:color="auto"/>
              <w:bottom w:val="single" w:sz="4" w:space="0" w:color="auto"/>
            </w:tcBorders>
            <w:vAlign w:val="center"/>
          </w:tcPr>
          <w:p w14:paraId="7C88AFDD" w14:textId="77777777" w:rsidR="00E3533A" w:rsidRPr="009F0CD1" w:rsidRDefault="00E3533A" w:rsidP="00EA6716">
            <w:pPr>
              <w:keepNext/>
              <w:keepLines/>
              <w:jc w:val="left"/>
              <w:rPr>
                <w:rFonts w:ascii="Arial Narrow" w:hAnsi="Arial Narrow"/>
                <w:sz w:val="20"/>
                <w:szCs w:val="20"/>
              </w:rPr>
            </w:pPr>
            <w:r w:rsidRPr="009F0CD1">
              <w:rPr>
                <w:rFonts w:ascii="Arial Narrow" w:hAnsi="Arial Narrow"/>
                <w:sz w:val="20"/>
                <w:szCs w:val="20"/>
              </w:rPr>
              <w:t>TIL 200</w:t>
            </w:r>
          </w:p>
        </w:tc>
        <w:tc>
          <w:tcPr>
            <w:tcW w:w="2592" w:type="pct"/>
            <w:tcBorders>
              <w:top w:val="single" w:sz="4" w:space="0" w:color="auto"/>
              <w:bottom w:val="single" w:sz="4" w:space="0" w:color="auto"/>
            </w:tcBorders>
            <w:vAlign w:val="center"/>
          </w:tcPr>
          <w:p w14:paraId="22CFBD41" w14:textId="5A2B7A9E" w:rsidR="00E3533A" w:rsidRPr="009F0CD1" w:rsidRDefault="00E3533A" w:rsidP="00EA6716">
            <w:pPr>
              <w:keepNext/>
              <w:keepLines/>
              <w:jc w:val="left"/>
              <w:rPr>
                <w:rFonts w:ascii="Arial Narrow" w:hAnsi="Arial Narrow"/>
                <w:sz w:val="20"/>
                <w:szCs w:val="20"/>
              </w:rPr>
            </w:pPr>
            <w:r w:rsidRPr="009F0CD1">
              <w:rPr>
                <w:rFonts w:ascii="Arial Narrow" w:hAnsi="Arial Narrow"/>
                <w:sz w:val="20"/>
                <w:szCs w:val="20"/>
              </w:rPr>
              <w:t xml:space="preserve">200 mg at Weeks 0 and 4, from Week 16 onwards TIL 100 or 200 mg </w:t>
            </w:r>
            <w:r w:rsidR="00EA6716">
              <w:rPr>
                <w:rFonts w:ascii="Arial Narrow" w:hAnsi="Arial Narrow"/>
                <w:sz w:val="20"/>
                <w:szCs w:val="20"/>
              </w:rPr>
              <w:t>Q</w:t>
            </w:r>
            <w:r w:rsidRPr="009F0CD1">
              <w:rPr>
                <w:rFonts w:ascii="Arial Narrow" w:hAnsi="Arial Narrow"/>
                <w:sz w:val="20"/>
                <w:szCs w:val="20"/>
              </w:rPr>
              <w:t>12</w:t>
            </w:r>
            <w:r w:rsidR="00EA6716">
              <w:rPr>
                <w:rFonts w:ascii="Arial Narrow" w:hAnsi="Arial Narrow"/>
                <w:sz w:val="20"/>
                <w:szCs w:val="20"/>
              </w:rPr>
              <w:t>W</w:t>
            </w:r>
            <w:r w:rsidRPr="009F0CD1">
              <w:rPr>
                <w:rFonts w:ascii="Arial Narrow" w:hAnsi="Arial Narrow"/>
                <w:sz w:val="20"/>
                <w:szCs w:val="20"/>
              </w:rPr>
              <w:t xml:space="preserve"> </w:t>
            </w:r>
          </w:p>
        </w:tc>
        <w:tc>
          <w:tcPr>
            <w:tcW w:w="616" w:type="pct"/>
            <w:vMerge/>
            <w:vAlign w:val="center"/>
          </w:tcPr>
          <w:p w14:paraId="169C25C8" w14:textId="77777777" w:rsidR="00E3533A" w:rsidRPr="009F0CD1" w:rsidRDefault="00E3533A" w:rsidP="00E77909">
            <w:pPr>
              <w:keepNext/>
              <w:keepLines/>
              <w:rPr>
                <w:rFonts w:ascii="Arial Narrow" w:hAnsi="Arial Narrow"/>
                <w:sz w:val="20"/>
              </w:rPr>
            </w:pPr>
          </w:p>
        </w:tc>
        <w:tc>
          <w:tcPr>
            <w:tcW w:w="538" w:type="pct"/>
            <w:vMerge/>
            <w:vAlign w:val="center"/>
          </w:tcPr>
          <w:p w14:paraId="7F6221D9" w14:textId="77777777" w:rsidR="00E3533A" w:rsidRPr="009F0CD1" w:rsidRDefault="00E3533A" w:rsidP="00E77909">
            <w:pPr>
              <w:keepNext/>
              <w:keepLines/>
              <w:rPr>
                <w:rFonts w:ascii="Arial Narrow" w:hAnsi="Arial Narrow"/>
                <w:sz w:val="20"/>
              </w:rPr>
            </w:pPr>
          </w:p>
        </w:tc>
      </w:tr>
      <w:tr w:rsidR="009F0CD1" w:rsidRPr="009F0CD1" w14:paraId="5EDCB7A0" w14:textId="77777777" w:rsidTr="00E11511">
        <w:tc>
          <w:tcPr>
            <w:tcW w:w="680" w:type="pct"/>
            <w:vMerge/>
            <w:vAlign w:val="center"/>
          </w:tcPr>
          <w:p w14:paraId="531195C1" w14:textId="77777777" w:rsidR="00E3533A" w:rsidRPr="009F0CD1" w:rsidRDefault="00E3533A" w:rsidP="00EA6716">
            <w:pPr>
              <w:keepNext/>
              <w:keepLines/>
              <w:jc w:val="left"/>
              <w:rPr>
                <w:rFonts w:ascii="Arial Narrow" w:hAnsi="Arial Narrow"/>
                <w:sz w:val="20"/>
              </w:rPr>
            </w:pPr>
          </w:p>
        </w:tc>
        <w:tc>
          <w:tcPr>
            <w:tcW w:w="574" w:type="pct"/>
            <w:tcBorders>
              <w:top w:val="single" w:sz="4" w:space="0" w:color="auto"/>
              <w:bottom w:val="single" w:sz="4" w:space="0" w:color="auto"/>
            </w:tcBorders>
            <w:vAlign w:val="center"/>
          </w:tcPr>
          <w:p w14:paraId="64AAF9FB" w14:textId="77777777" w:rsidR="00E3533A" w:rsidRPr="009F0CD1" w:rsidRDefault="00E3533A" w:rsidP="00EA6716">
            <w:pPr>
              <w:keepNext/>
              <w:keepLines/>
              <w:jc w:val="left"/>
              <w:rPr>
                <w:rFonts w:ascii="Arial Narrow" w:hAnsi="Arial Narrow"/>
                <w:sz w:val="20"/>
                <w:szCs w:val="20"/>
              </w:rPr>
            </w:pPr>
            <w:r w:rsidRPr="009F0CD1">
              <w:rPr>
                <w:rFonts w:ascii="Arial Narrow" w:hAnsi="Arial Narrow"/>
                <w:sz w:val="20"/>
                <w:szCs w:val="20"/>
              </w:rPr>
              <w:t>PBO</w:t>
            </w:r>
          </w:p>
        </w:tc>
        <w:tc>
          <w:tcPr>
            <w:tcW w:w="2592" w:type="pct"/>
            <w:tcBorders>
              <w:top w:val="single" w:sz="4" w:space="0" w:color="auto"/>
              <w:bottom w:val="single" w:sz="4" w:space="0" w:color="auto"/>
            </w:tcBorders>
            <w:vAlign w:val="center"/>
          </w:tcPr>
          <w:p w14:paraId="0E450F78" w14:textId="1152BAC7" w:rsidR="00E3533A" w:rsidRPr="009F0CD1" w:rsidRDefault="00E3533A" w:rsidP="00EA6716">
            <w:pPr>
              <w:keepNext/>
              <w:keepLines/>
              <w:jc w:val="left"/>
              <w:rPr>
                <w:rFonts w:ascii="Arial Narrow" w:hAnsi="Arial Narrow"/>
                <w:sz w:val="20"/>
                <w:szCs w:val="20"/>
              </w:rPr>
            </w:pPr>
            <w:r w:rsidRPr="009F0CD1">
              <w:rPr>
                <w:rFonts w:ascii="Arial Narrow" w:hAnsi="Arial Narrow"/>
                <w:sz w:val="20"/>
                <w:szCs w:val="20"/>
              </w:rPr>
              <w:t xml:space="preserve">Placebo at Weeks 0 and 4, at </w:t>
            </w:r>
            <w:r w:rsidR="00DF6ACC">
              <w:rPr>
                <w:rFonts w:ascii="Arial Narrow" w:hAnsi="Arial Narrow"/>
                <w:sz w:val="20"/>
                <w:szCs w:val="20"/>
              </w:rPr>
              <w:t>W</w:t>
            </w:r>
            <w:r w:rsidRPr="009F0CD1">
              <w:rPr>
                <w:rFonts w:ascii="Arial Narrow" w:hAnsi="Arial Narrow"/>
                <w:sz w:val="20"/>
                <w:szCs w:val="20"/>
              </w:rPr>
              <w:t xml:space="preserve">eek 16 TIL 25 mg </w:t>
            </w:r>
            <w:r w:rsidR="00EA6716">
              <w:rPr>
                <w:rFonts w:ascii="Arial Narrow" w:hAnsi="Arial Narrow"/>
                <w:sz w:val="20"/>
                <w:szCs w:val="20"/>
              </w:rPr>
              <w:t>Q</w:t>
            </w:r>
            <w:r w:rsidRPr="009F0CD1">
              <w:rPr>
                <w:rFonts w:ascii="Arial Narrow" w:hAnsi="Arial Narrow"/>
                <w:sz w:val="20"/>
                <w:szCs w:val="20"/>
              </w:rPr>
              <w:t>12</w:t>
            </w:r>
            <w:r w:rsidR="00EA6716">
              <w:rPr>
                <w:rFonts w:ascii="Arial Narrow" w:hAnsi="Arial Narrow"/>
                <w:sz w:val="20"/>
                <w:szCs w:val="20"/>
              </w:rPr>
              <w:t>W</w:t>
            </w:r>
            <w:r w:rsidRPr="009F0CD1">
              <w:rPr>
                <w:rFonts w:ascii="Arial Narrow" w:hAnsi="Arial Narrow"/>
                <w:sz w:val="20"/>
                <w:szCs w:val="20"/>
              </w:rPr>
              <w:t xml:space="preserve"> thereafter if have PASI75 response, otherwise TIL 100 mg </w:t>
            </w:r>
            <w:r w:rsidR="00EA6716">
              <w:rPr>
                <w:rFonts w:ascii="Arial Narrow" w:hAnsi="Arial Narrow"/>
                <w:sz w:val="20"/>
                <w:szCs w:val="20"/>
              </w:rPr>
              <w:t>Q</w:t>
            </w:r>
            <w:r w:rsidRPr="009F0CD1">
              <w:rPr>
                <w:rFonts w:ascii="Arial Narrow" w:hAnsi="Arial Narrow"/>
                <w:sz w:val="20"/>
                <w:szCs w:val="20"/>
              </w:rPr>
              <w:t>12</w:t>
            </w:r>
            <w:r w:rsidR="00EA6716">
              <w:rPr>
                <w:rFonts w:ascii="Arial Narrow" w:hAnsi="Arial Narrow"/>
                <w:sz w:val="20"/>
                <w:szCs w:val="20"/>
              </w:rPr>
              <w:t>W</w:t>
            </w:r>
          </w:p>
        </w:tc>
        <w:tc>
          <w:tcPr>
            <w:tcW w:w="616" w:type="pct"/>
            <w:vMerge/>
            <w:tcBorders>
              <w:bottom w:val="single" w:sz="4" w:space="0" w:color="auto"/>
            </w:tcBorders>
            <w:vAlign w:val="center"/>
          </w:tcPr>
          <w:p w14:paraId="0A6F16AF" w14:textId="77777777" w:rsidR="00E3533A" w:rsidRPr="009F0CD1" w:rsidRDefault="00E3533A" w:rsidP="00E77909">
            <w:pPr>
              <w:keepNext/>
              <w:keepLines/>
              <w:rPr>
                <w:rFonts w:ascii="Arial Narrow" w:hAnsi="Arial Narrow"/>
                <w:i/>
                <w:iCs/>
                <w:sz w:val="20"/>
              </w:rPr>
            </w:pPr>
          </w:p>
        </w:tc>
        <w:tc>
          <w:tcPr>
            <w:tcW w:w="538" w:type="pct"/>
            <w:vMerge/>
            <w:tcBorders>
              <w:bottom w:val="single" w:sz="4" w:space="0" w:color="auto"/>
            </w:tcBorders>
            <w:vAlign w:val="center"/>
          </w:tcPr>
          <w:p w14:paraId="62C5F1DE" w14:textId="77777777" w:rsidR="00E3533A" w:rsidRPr="009F0CD1" w:rsidRDefault="00E3533A" w:rsidP="00E77909">
            <w:pPr>
              <w:keepNext/>
              <w:keepLines/>
              <w:rPr>
                <w:rFonts w:ascii="Arial Narrow" w:hAnsi="Arial Narrow"/>
                <w:i/>
                <w:sz w:val="20"/>
              </w:rPr>
            </w:pPr>
          </w:p>
        </w:tc>
      </w:tr>
    </w:tbl>
    <w:p w14:paraId="03EBD96F" w14:textId="5ED223D7" w:rsidR="0051702B" w:rsidRDefault="00E3533A" w:rsidP="00E3533A">
      <w:pPr>
        <w:pStyle w:val="TableFooter"/>
      </w:pPr>
      <w:r w:rsidRPr="00AE3721">
        <w:t>Source: Table A2.4.5, p83 of the Commentary on the July 2018 Submission.</w:t>
      </w:r>
      <w:r w:rsidR="005F1191">
        <w:t xml:space="preserve"> </w:t>
      </w:r>
      <w:r w:rsidRPr="00AE3721">
        <w:t xml:space="preserve"> </w:t>
      </w:r>
    </w:p>
    <w:p w14:paraId="0E7687F5" w14:textId="58729449" w:rsidR="00E3533A" w:rsidRDefault="00E3533A" w:rsidP="00E3533A">
      <w:pPr>
        <w:pStyle w:val="TableFooter"/>
        <w:rPr>
          <w:szCs w:val="20"/>
        </w:rPr>
      </w:pPr>
      <w:r w:rsidRPr="00E3533A">
        <w:rPr>
          <w:szCs w:val="20"/>
        </w:rPr>
        <w:t xml:space="preserve">ETN = etanercept, </w:t>
      </w:r>
      <w:r w:rsidR="00DF6ACC">
        <w:rPr>
          <w:szCs w:val="20"/>
        </w:rPr>
        <w:t>PASI</w:t>
      </w:r>
      <w:r w:rsidR="00F65FD0">
        <w:rPr>
          <w:szCs w:val="20"/>
        </w:rPr>
        <w:t>75</w:t>
      </w:r>
      <w:r w:rsidR="00DF6ACC">
        <w:rPr>
          <w:szCs w:val="20"/>
        </w:rPr>
        <w:t xml:space="preserve"> = Psoriasis Activity and Severity Index</w:t>
      </w:r>
      <w:r w:rsidR="00135C85">
        <w:rPr>
          <w:szCs w:val="20"/>
        </w:rPr>
        <w:t xml:space="preserve"> </w:t>
      </w:r>
      <w:r w:rsidR="00135C85">
        <w:t>score reduced by at least 75%</w:t>
      </w:r>
      <w:r w:rsidR="00DF6ACC">
        <w:rPr>
          <w:szCs w:val="20"/>
        </w:rPr>
        <w:t xml:space="preserve">; </w:t>
      </w:r>
      <w:r w:rsidRPr="00C725E4">
        <w:rPr>
          <w:szCs w:val="20"/>
        </w:rPr>
        <w:t xml:space="preserve">PBO=placebo, </w:t>
      </w:r>
      <w:r w:rsidR="00EA6716">
        <w:rPr>
          <w:szCs w:val="20"/>
        </w:rPr>
        <w:t xml:space="preserve">Q12W = every 12 weeks; </w:t>
      </w:r>
      <w:r>
        <w:rPr>
          <w:szCs w:val="20"/>
        </w:rPr>
        <w:t>TIL = tildrakizumab</w:t>
      </w:r>
    </w:p>
    <w:p w14:paraId="014E247A" w14:textId="77777777" w:rsidR="00793515" w:rsidRDefault="00793515" w:rsidP="00E3533A">
      <w:pPr>
        <w:pStyle w:val="TableFooter"/>
        <w:rPr>
          <w:szCs w:val="20"/>
        </w:rPr>
      </w:pPr>
    </w:p>
    <w:p w14:paraId="4A4FE085" w14:textId="1C5613CC" w:rsidR="00B60939" w:rsidRPr="0098262F" w:rsidRDefault="00B60939" w:rsidP="00EC5836">
      <w:pPr>
        <w:pStyle w:val="4-SubsectionHeading"/>
      </w:pPr>
      <w:bookmarkStart w:id="24" w:name="_Toc22897641"/>
      <w:bookmarkStart w:id="25" w:name="_Toc216947692"/>
      <w:r w:rsidRPr="0098262F">
        <w:t>Comparative effectiveness</w:t>
      </w:r>
      <w:bookmarkEnd w:id="24"/>
      <w:bookmarkEnd w:id="25"/>
    </w:p>
    <w:p w14:paraId="3FC98CFA" w14:textId="64399B53" w:rsidR="00AE3721" w:rsidRPr="005077D5" w:rsidRDefault="001308E9">
      <w:pPr>
        <w:pStyle w:val="3-BodyText"/>
        <w:snapToGrid w:val="0"/>
        <w:contextualSpacing/>
        <w:rPr>
          <w:rFonts w:cstheme="minorHAnsi"/>
          <w:i/>
          <w:iCs/>
          <w:szCs w:val="24"/>
        </w:rPr>
      </w:pPr>
      <w:r w:rsidRPr="005077D5">
        <w:t>The PBAC did not previously consider the result</w:t>
      </w:r>
      <w:r w:rsidR="005077D5">
        <w:t>s</w:t>
      </w:r>
      <w:r w:rsidRPr="005077D5">
        <w:t xml:space="preserve"> </w:t>
      </w:r>
      <w:r w:rsidR="008F1F22">
        <w:t xml:space="preserve">for </w:t>
      </w:r>
      <w:r w:rsidR="005077D5">
        <w:t>TIL</w:t>
      </w:r>
      <w:r w:rsidRPr="005077D5">
        <w:t xml:space="preserve"> 100</w:t>
      </w:r>
      <w:r w:rsidR="00CF243F" w:rsidRPr="005077D5">
        <w:t xml:space="preserve"> </w:t>
      </w:r>
      <w:r w:rsidRPr="005077D5">
        <w:t xml:space="preserve">mg vs </w:t>
      </w:r>
      <w:r w:rsidR="005077D5">
        <w:t xml:space="preserve">TIL </w:t>
      </w:r>
      <w:r w:rsidRPr="005077D5">
        <w:t>200</w:t>
      </w:r>
      <w:r w:rsidR="00CF243F" w:rsidRPr="005077D5">
        <w:t xml:space="preserve"> </w:t>
      </w:r>
      <w:r w:rsidRPr="005077D5">
        <w:t xml:space="preserve">mg in detail </w:t>
      </w:r>
      <w:r w:rsidR="00AE3721" w:rsidRPr="005077D5">
        <w:t>but noted that ‘</w:t>
      </w:r>
      <w:r w:rsidR="00AE3721" w:rsidRPr="00795562">
        <w:t>there were no significant differences between TIL 200</w:t>
      </w:r>
      <w:r w:rsidR="00CF243F" w:rsidRPr="00795562">
        <w:t xml:space="preserve"> </w:t>
      </w:r>
      <w:r w:rsidR="00AE3721" w:rsidRPr="00795562">
        <w:t>mg and TIL 100</w:t>
      </w:r>
      <w:r w:rsidR="00CF243F" w:rsidRPr="00795562">
        <w:t xml:space="preserve"> </w:t>
      </w:r>
      <w:r w:rsidR="00AE3721" w:rsidRPr="00795562">
        <w:t xml:space="preserve">mg with respect to PASI responses at </w:t>
      </w:r>
      <w:r w:rsidR="005077D5" w:rsidRPr="00795562">
        <w:t xml:space="preserve">Week </w:t>
      </w:r>
      <w:r w:rsidR="00AE3721" w:rsidRPr="00795562">
        <w:t>12/16 (the timepoint</w:t>
      </w:r>
      <w:r w:rsidR="00984B2F" w:rsidRPr="00795562">
        <w:t>s</w:t>
      </w:r>
      <w:r w:rsidR="00AE3721" w:rsidRPr="00795562">
        <w:t xml:space="preserve"> at which comparative efficacy was assessed</w:t>
      </w:r>
      <w:r w:rsidR="00AE3721" w:rsidRPr="005077D5">
        <w:t>)</w:t>
      </w:r>
      <w:r w:rsidR="008F1F22">
        <w:t xml:space="preserve"> </w:t>
      </w:r>
      <w:r w:rsidR="00AE3721" w:rsidRPr="005077D5">
        <w:t>(</w:t>
      </w:r>
      <w:r w:rsidR="0089480B">
        <w:t>p</w:t>
      </w:r>
      <w:r w:rsidR="005077D5">
        <w:t xml:space="preserve">aragraph 7.3, </w:t>
      </w:r>
      <w:r w:rsidR="00984B2F">
        <w:t>t</w:t>
      </w:r>
      <w:r w:rsidR="005077D5">
        <w:t xml:space="preserve">ildrakizumab </w:t>
      </w:r>
      <w:r w:rsidR="00AE3721" w:rsidRPr="005077D5">
        <w:t xml:space="preserve">PSD, </w:t>
      </w:r>
      <w:r w:rsidR="00C7109D">
        <w:t>July 2018 PBAC meeting</w:t>
      </w:r>
      <w:r w:rsidR="00AE3721" w:rsidRPr="005077D5">
        <w:t>)</w:t>
      </w:r>
      <w:r w:rsidR="008F1F22">
        <w:t xml:space="preserve">. </w:t>
      </w:r>
    </w:p>
    <w:p w14:paraId="7A0B038E" w14:textId="60BF4881" w:rsidR="001308E9" w:rsidRPr="005077D5" w:rsidRDefault="00984B2F">
      <w:pPr>
        <w:pStyle w:val="3-BodyText"/>
        <w:snapToGrid w:val="0"/>
        <w:contextualSpacing/>
        <w:rPr>
          <w:rFonts w:cstheme="minorHAnsi"/>
          <w:i/>
          <w:iCs/>
          <w:szCs w:val="24"/>
        </w:rPr>
      </w:pPr>
      <w:r>
        <w:t>A</w:t>
      </w:r>
      <w:r w:rsidRPr="005077D5">
        <w:t xml:space="preserve"> </w:t>
      </w:r>
      <w:r w:rsidR="001308E9" w:rsidRPr="005077D5">
        <w:t xml:space="preserve">summary of the key results that </w:t>
      </w:r>
      <w:r w:rsidR="00C7109D">
        <w:t>were</w:t>
      </w:r>
      <w:r w:rsidR="00C7109D" w:rsidRPr="005077D5">
        <w:t xml:space="preserve"> </w:t>
      </w:r>
      <w:r w:rsidR="001308E9" w:rsidRPr="005077D5">
        <w:t xml:space="preserve">presented in the July 2018 </w:t>
      </w:r>
      <w:r w:rsidR="00C7109D">
        <w:t xml:space="preserve">submission </w:t>
      </w:r>
      <w:r w:rsidR="001308E9" w:rsidRPr="005077D5">
        <w:t xml:space="preserve">is reproduced </w:t>
      </w:r>
      <w:r w:rsidR="00A53D1A">
        <w:t>in</w:t>
      </w:r>
      <w:r w:rsidR="00E44DA7">
        <w:t xml:space="preserve"> </w:t>
      </w:r>
      <w:r w:rsidR="00E44DA7">
        <w:fldChar w:fldCharType="begin"/>
      </w:r>
      <w:r w:rsidR="00E44DA7">
        <w:instrText xml:space="preserve"> REF _Ref225948994 \h </w:instrText>
      </w:r>
      <w:r w:rsidR="00E44DA7">
        <w:fldChar w:fldCharType="separate"/>
      </w:r>
      <w:r w:rsidR="00E44DA7">
        <w:t xml:space="preserve">Table </w:t>
      </w:r>
      <w:r w:rsidR="00E44DA7">
        <w:rPr>
          <w:noProof/>
        </w:rPr>
        <w:t>6</w:t>
      </w:r>
      <w:r w:rsidR="00E44DA7">
        <w:fldChar w:fldCharType="end"/>
      </w:r>
      <w:r w:rsidR="001308E9" w:rsidRPr="005077D5">
        <w:t>.</w:t>
      </w:r>
      <w:r w:rsidR="005F1191">
        <w:t xml:space="preserve"> </w:t>
      </w:r>
    </w:p>
    <w:p w14:paraId="070FB852" w14:textId="77777777" w:rsidR="005729A0" w:rsidRDefault="005729A0">
      <w:pPr>
        <w:jc w:val="left"/>
        <w:rPr>
          <w:rFonts w:ascii="Arial Narrow" w:hAnsi="Arial Narrow"/>
          <w:b/>
          <w:bCs/>
          <w:sz w:val="20"/>
          <w:szCs w:val="18"/>
        </w:rPr>
      </w:pPr>
      <w:r>
        <w:br w:type="page"/>
      </w:r>
    </w:p>
    <w:p w14:paraId="27574FDE" w14:textId="3099044B" w:rsidR="001308E9" w:rsidRPr="00DF6380" w:rsidRDefault="00E44DA7" w:rsidP="00E44DA7">
      <w:pPr>
        <w:pStyle w:val="Caption"/>
        <w:rPr>
          <w:rStyle w:val="CommentReference"/>
          <w:rFonts w:asciiTheme="minorHAnsi" w:hAnsiTheme="minorHAnsi" w:cstheme="minorHAnsi"/>
          <w:b/>
          <w:i/>
          <w:iCs/>
          <w:sz w:val="24"/>
          <w:szCs w:val="24"/>
        </w:rPr>
      </w:pPr>
      <w:bookmarkStart w:id="26" w:name="_Ref225948994"/>
      <w:r>
        <w:lastRenderedPageBreak/>
        <w:t xml:space="preserve">Table </w:t>
      </w:r>
      <w:fldSimple w:instr=" SEQ Table \* ARABIC ">
        <w:r>
          <w:rPr>
            <w:noProof/>
          </w:rPr>
          <w:t>6</w:t>
        </w:r>
      </w:fldSimple>
      <w:bookmarkEnd w:id="26"/>
      <w:r w:rsidR="003559F8">
        <w:t xml:space="preserve">: </w:t>
      </w:r>
      <w:r w:rsidR="001308E9" w:rsidRPr="003559F8">
        <w:t xml:space="preserve">PASI responses at Weeks 12/16 </w:t>
      </w:r>
      <w:r w:rsidR="005F1191">
        <w:noBreakHyphen/>
      </w:r>
      <w:r w:rsidR="001308E9" w:rsidRPr="003559F8">
        <w:t xml:space="preserve"> TIL 200</w:t>
      </w:r>
      <w:r w:rsidR="00474E23">
        <w:t xml:space="preserve"> </w:t>
      </w:r>
      <w:r w:rsidR="001308E9" w:rsidRPr="003559F8">
        <w:t>mg vs TIL 100</w:t>
      </w:r>
      <w:r w:rsidR="00474E23">
        <w:t xml:space="preserve"> </w:t>
      </w:r>
      <w:r w:rsidR="001308E9" w:rsidRPr="003559F8">
        <w:t>mg (direct comparisons)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PASI responses at Weeks 12/16   TIL 200 mg vs TIL 100 mg (direct comparisons)"/>
      </w:tblPr>
      <w:tblGrid>
        <w:gridCol w:w="1584"/>
        <w:gridCol w:w="1587"/>
        <w:gridCol w:w="1590"/>
        <w:gridCol w:w="1443"/>
        <w:gridCol w:w="1443"/>
        <w:gridCol w:w="1535"/>
      </w:tblGrid>
      <w:tr w:rsidR="00CF243F" w:rsidRPr="003549E4" w14:paraId="455F7D76" w14:textId="77777777" w:rsidTr="00135C85">
        <w:tc>
          <w:tcPr>
            <w:tcW w:w="862" w:type="pct"/>
          </w:tcPr>
          <w:p w14:paraId="5B9FBAA2" w14:textId="77777777" w:rsidR="001308E9" w:rsidRPr="003549E4" w:rsidRDefault="001308E9">
            <w:pPr>
              <w:pStyle w:val="Tabletext"/>
              <w:rPr>
                <w:b/>
              </w:rPr>
            </w:pPr>
          </w:p>
          <w:p w14:paraId="19C7C187" w14:textId="62D04FED" w:rsidR="001308E9" w:rsidRPr="003549E4" w:rsidRDefault="001308E9">
            <w:pPr>
              <w:pStyle w:val="Tabletext"/>
              <w:rPr>
                <w:b/>
              </w:rPr>
            </w:pPr>
          </w:p>
        </w:tc>
        <w:tc>
          <w:tcPr>
            <w:tcW w:w="864" w:type="pct"/>
            <w:vAlign w:val="center"/>
          </w:tcPr>
          <w:p w14:paraId="1F58285E" w14:textId="60CF8CD1" w:rsidR="001308E9" w:rsidRPr="003549E4" w:rsidRDefault="001308E9">
            <w:pPr>
              <w:pStyle w:val="Tabletext"/>
              <w:jc w:val="center"/>
              <w:rPr>
                <w:b/>
              </w:rPr>
            </w:pPr>
            <w:r w:rsidRPr="003549E4">
              <w:rPr>
                <w:b/>
              </w:rPr>
              <w:t>TIL 200</w:t>
            </w:r>
            <w:r w:rsidR="00474E23">
              <w:rPr>
                <w:b/>
              </w:rPr>
              <w:t xml:space="preserve"> </w:t>
            </w:r>
            <w:r w:rsidRPr="003549E4">
              <w:rPr>
                <w:b/>
              </w:rPr>
              <w:t>mg</w:t>
            </w:r>
          </w:p>
        </w:tc>
        <w:tc>
          <w:tcPr>
            <w:tcW w:w="866" w:type="pct"/>
            <w:vAlign w:val="center"/>
          </w:tcPr>
          <w:p w14:paraId="14116D33" w14:textId="77777777" w:rsidR="001308E9" w:rsidRPr="003549E4" w:rsidRDefault="001308E9">
            <w:pPr>
              <w:pStyle w:val="Tabletext"/>
              <w:jc w:val="center"/>
              <w:rPr>
                <w:b/>
              </w:rPr>
            </w:pPr>
            <w:r w:rsidRPr="003549E4">
              <w:rPr>
                <w:b/>
              </w:rPr>
              <w:t>TIL 100 mg</w:t>
            </w:r>
          </w:p>
        </w:tc>
        <w:tc>
          <w:tcPr>
            <w:tcW w:w="786" w:type="pct"/>
          </w:tcPr>
          <w:p w14:paraId="7B970934" w14:textId="77777777" w:rsidR="001308E9" w:rsidRPr="003549E4" w:rsidRDefault="001308E9">
            <w:pPr>
              <w:pStyle w:val="Tabletext"/>
              <w:jc w:val="center"/>
              <w:rPr>
                <w:b/>
              </w:rPr>
            </w:pPr>
            <w:r w:rsidRPr="003549E4">
              <w:rPr>
                <w:b/>
              </w:rPr>
              <w:t>Odds ratio^</w:t>
            </w:r>
          </w:p>
          <w:p w14:paraId="6C48FB43" w14:textId="77777777" w:rsidR="001308E9" w:rsidRPr="003549E4" w:rsidRDefault="001308E9">
            <w:pPr>
              <w:pStyle w:val="Tabletext"/>
              <w:jc w:val="center"/>
              <w:rPr>
                <w:b/>
              </w:rPr>
            </w:pPr>
            <w:r w:rsidRPr="003549E4">
              <w:rPr>
                <w:b/>
              </w:rPr>
              <w:t>(95% CI)</w:t>
            </w:r>
          </w:p>
        </w:tc>
        <w:tc>
          <w:tcPr>
            <w:tcW w:w="786" w:type="pct"/>
            <w:vAlign w:val="center"/>
          </w:tcPr>
          <w:p w14:paraId="46DC1E6B" w14:textId="77777777" w:rsidR="001308E9" w:rsidRPr="003549E4" w:rsidRDefault="001308E9">
            <w:pPr>
              <w:pStyle w:val="Tabletext"/>
              <w:jc w:val="center"/>
              <w:rPr>
                <w:b/>
              </w:rPr>
            </w:pPr>
            <w:r w:rsidRPr="003549E4">
              <w:rPr>
                <w:b/>
              </w:rPr>
              <w:t>Relative risk^ (95% CI)</w:t>
            </w:r>
          </w:p>
        </w:tc>
        <w:tc>
          <w:tcPr>
            <w:tcW w:w="836" w:type="pct"/>
            <w:vAlign w:val="center"/>
          </w:tcPr>
          <w:p w14:paraId="0587CA10" w14:textId="77777777" w:rsidR="001308E9" w:rsidRPr="003549E4" w:rsidRDefault="001308E9">
            <w:pPr>
              <w:pStyle w:val="Tabletext"/>
              <w:jc w:val="center"/>
              <w:rPr>
                <w:b/>
              </w:rPr>
            </w:pPr>
            <w:r w:rsidRPr="003549E4">
              <w:rPr>
                <w:b/>
              </w:rPr>
              <w:t>Risk difference^ (95% CI)</w:t>
            </w:r>
          </w:p>
        </w:tc>
      </w:tr>
      <w:tr w:rsidR="00CF243F" w:rsidRPr="003549E4" w14:paraId="3801FACE" w14:textId="77777777">
        <w:tc>
          <w:tcPr>
            <w:tcW w:w="5000" w:type="pct"/>
            <w:gridSpan w:val="6"/>
            <w:vAlign w:val="center"/>
          </w:tcPr>
          <w:p w14:paraId="7B5CF3CD" w14:textId="77777777" w:rsidR="001308E9" w:rsidRPr="003549E4" w:rsidRDefault="001308E9">
            <w:pPr>
              <w:pStyle w:val="Tabletext"/>
              <w:rPr>
                <w:b/>
              </w:rPr>
            </w:pPr>
            <w:r w:rsidRPr="003549E4">
              <w:rPr>
                <w:rStyle w:val="CommentReference"/>
              </w:rPr>
              <w:t>At Weeks 12/16</w:t>
            </w:r>
          </w:p>
        </w:tc>
      </w:tr>
      <w:tr w:rsidR="00984B2F" w:rsidRPr="003549E4" w14:paraId="7E1B3B8F" w14:textId="77777777" w:rsidTr="00984B2F">
        <w:tc>
          <w:tcPr>
            <w:tcW w:w="5000" w:type="pct"/>
            <w:gridSpan w:val="6"/>
          </w:tcPr>
          <w:p w14:paraId="22A70FF0" w14:textId="54DAB490" w:rsidR="00984B2F" w:rsidRPr="003549E4" w:rsidRDefault="00984B2F" w:rsidP="00984B2F">
            <w:pPr>
              <w:pStyle w:val="Tabletext"/>
              <w:rPr>
                <w:b/>
              </w:rPr>
            </w:pPr>
            <w:r w:rsidRPr="003549E4">
              <w:rPr>
                <w:b/>
              </w:rPr>
              <w:t>PASI75</w:t>
            </w:r>
          </w:p>
        </w:tc>
      </w:tr>
      <w:tr w:rsidR="00CF243F" w:rsidRPr="003549E4" w14:paraId="4C1E844B" w14:textId="77777777" w:rsidTr="00135C85">
        <w:tc>
          <w:tcPr>
            <w:tcW w:w="862" w:type="pct"/>
            <w:vAlign w:val="center"/>
          </w:tcPr>
          <w:p w14:paraId="75C8CC54" w14:textId="0783F2D7" w:rsidR="001308E9" w:rsidRPr="003549E4" w:rsidRDefault="00446DC4">
            <w:pPr>
              <w:pStyle w:val="Tabletext"/>
            </w:pPr>
            <w:proofErr w:type="spellStart"/>
            <w:r>
              <w:t>reSURFACE</w:t>
            </w:r>
            <w:proofErr w:type="spellEnd"/>
            <w:r>
              <w:t xml:space="preserve"> 1</w:t>
            </w:r>
          </w:p>
        </w:tc>
        <w:tc>
          <w:tcPr>
            <w:tcW w:w="864" w:type="pct"/>
            <w:vAlign w:val="center"/>
          </w:tcPr>
          <w:p w14:paraId="33539FD6" w14:textId="77777777" w:rsidR="001308E9" w:rsidRPr="003549E4" w:rsidRDefault="001308E9">
            <w:pPr>
              <w:pStyle w:val="Tabletext"/>
              <w:jc w:val="center"/>
            </w:pPr>
            <w:r w:rsidRPr="003549E4">
              <w:t>192/308 (62.3%)</w:t>
            </w:r>
          </w:p>
        </w:tc>
        <w:tc>
          <w:tcPr>
            <w:tcW w:w="866" w:type="pct"/>
            <w:vAlign w:val="center"/>
          </w:tcPr>
          <w:p w14:paraId="2A27AF2F" w14:textId="77777777" w:rsidR="001308E9" w:rsidRPr="003549E4" w:rsidRDefault="001308E9">
            <w:pPr>
              <w:pStyle w:val="Tabletext"/>
              <w:jc w:val="center"/>
            </w:pPr>
            <w:r w:rsidRPr="003549E4">
              <w:t>197/309 (63.8%)</w:t>
            </w:r>
          </w:p>
        </w:tc>
        <w:tc>
          <w:tcPr>
            <w:tcW w:w="786" w:type="pct"/>
          </w:tcPr>
          <w:p w14:paraId="4F785AC4" w14:textId="77777777" w:rsidR="001308E9" w:rsidRPr="003549E4" w:rsidRDefault="001308E9">
            <w:pPr>
              <w:pStyle w:val="Tabletext"/>
              <w:jc w:val="center"/>
            </w:pPr>
            <w:r w:rsidRPr="003549E4">
              <w:t>0.94 (0.68, 1.30)</w:t>
            </w:r>
          </w:p>
        </w:tc>
        <w:tc>
          <w:tcPr>
            <w:tcW w:w="786" w:type="pct"/>
            <w:vAlign w:val="center"/>
          </w:tcPr>
          <w:p w14:paraId="573EEFFC" w14:textId="77777777" w:rsidR="001308E9" w:rsidRPr="003549E4" w:rsidRDefault="001308E9">
            <w:pPr>
              <w:pStyle w:val="Tabletext"/>
              <w:jc w:val="center"/>
            </w:pPr>
            <w:r w:rsidRPr="003549E4">
              <w:t>0.98 (0.87, 1.10)</w:t>
            </w:r>
          </w:p>
        </w:tc>
        <w:tc>
          <w:tcPr>
            <w:tcW w:w="836" w:type="pct"/>
            <w:vAlign w:val="center"/>
          </w:tcPr>
          <w:p w14:paraId="24898E22" w14:textId="6F531AE1" w:rsidR="001308E9" w:rsidRPr="003549E4" w:rsidRDefault="005F1191">
            <w:pPr>
              <w:pStyle w:val="Tabletext"/>
              <w:jc w:val="center"/>
            </w:pPr>
            <w:r>
              <w:noBreakHyphen/>
            </w:r>
            <w:r w:rsidR="001308E9" w:rsidRPr="003549E4">
              <w:t>0.01 (</w:t>
            </w:r>
            <w:r>
              <w:noBreakHyphen/>
            </w:r>
            <w:r w:rsidR="001308E9" w:rsidRPr="003549E4">
              <w:t>0.09, 0.06)</w:t>
            </w:r>
          </w:p>
        </w:tc>
      </w:tr>
      <w:tr w:rsidR="00CF243F" w:rsidRPr="003549E4" w14:paraId="36C9586D" w14:textId="77777777" w:rsidTr="00135C85">
        <w:tc>
          <w:tcPr>
            <w:tcW w:w="862" w:type="pct"/>
            <w:vAlign w:val="center"/>
          </w:tcPr>
          <w:p w14:paraId="49C61833" w14:textId="19B324F6" w:rsidR="001308E9" w:rsidRPr="003549E4" w:rsidRDefault="00446DC4">
            <w:pPr>
              <w:pStyle w:val="Tabletext"/>
            </w:pPr>
            <w:proofErr w:type="spellStart"/>
            <w:r>
              <w:t>reSURFACE</w:t>
            </w:r>
            <w:proofErr w:type="spellEnd"/>
            <w:r>
              <w:t xml:space="preserve"> 2</w:t>
            </w:r>
          </w:p>
        </w:tc>
        <w:tc>
          <w:tcPr>
            <w:tcW w:w="864" w:type="pct"/>
            <w:vAlign w:val="center"/>
          </w:tcPr>
          <w:p w14:paraId="4F9B2608" w14:textId="77777777" w:rsidR="001308E9" w:rsidRPr="003549E4" w:rsidRDefault="001308E9">
            <w:pPr>
              <w:pStyle w:val="Tabletext"/>
              <w:jc w:val="center"/>
            </w:pPr>
            <w:r w:rsidRPr="003549E4">
              <w:t>206/314 (65.6%)</w:t>
            </w:r>
          </w:p>
        </w:tc>
        <w:tc>
          <w:tcPr>
            <w:tcW w:w="866" w:type="pct"/>
            <w:vAlign w:val="center"/>
          </w:tcPr>
          <w:p w14:paraId="0E0EE204" w14:textId="77777777" w:rsidR="001308E9" w:rsidRPr="003549E4" w:rsidRDefault="001308E9">
            <w:pPr>
              <w:pStyle w:val="Tabletext"/>
              <w:jc w:val="center"/>
            </w:pPr>
            <w:r w:rsidRPr="003549E4">
              <w:t>188/307 (61.2%)</w:t>
            </w:r>
          </w:p>
        </w:tc>
        <w:tc>
          <w:tcPr>
            <w:tcW w:w="786" w:type="pct"/>
          </w:tcPr>
          <w:p w14:paraId="6C017683" w14:textId="77777777" w:rsidR="001308E9" w:rsidRPr="003549E4" w:rsidRDefault="001308E9">
            <w:pPr>
              <w:pStyle w:val="Tabletext"/>
              <w:jc w:val="center"/>
              <w:rPr>
                <w:b/>
                <w:bCs/>
              </w:rPr>
            </w:pPr>
            <w:r w:rsidRPr="003549E4">
              <w:t>1.21 (0.87, 1.67)</w:t>
            </w:r>
          </w:p>
        </w:tc>
        <w:tc>
          <w:tcPr>
            <w:tcW w:w="786" w:type="pct"/>
            <w:vAlign w:val="center"/>
          </w:tcPr>
          <w:p w14:paraId="0F2C6F3C" w14:textId="77777777" w:rsidR="001308E9" w:rsidRPr="003549E4" w:rsidRDefault="001308E9">
            <w:pPr>
              <w:pStyle w:val="Tabletext"/>
              <w:jc w:val="center"/>
              <w:rPr>
                <w:b/>
                <w:bCs/>
              </w:rPr>
            </w:pPr>
            <w:r w:rsidRPr="003549E4">
              <w:t>1.07 (0.95, 1.21)</w:t>
            </w:r>
          </w:p>
        </w:tc>
        <w:tc>
          <w:tcPr>
            <w:tcW w:w="836" w:type="pct"/>
            <w:vAlign w:val="center"/>
          </w:tcPr>
          <w:p w14:paraId="36B41D00" w14:textId="11AB20FA" w:rsidR="001308E9" w:rsidRPr="003549E4" w:rsidRDefault="001308E9">
            <w:pPr>
              <w:pStyle w:val="Tabletext"/>
              <w:jc w:val="center"/>
              <w:rPr>
                <w:b/>
                <w:bCs/>
              </w:rPr>
            </w:pPr>
            <w:r w:rsidRPr="003549E4">
              <w:t>0.04 (</w:t>
            </w:r>
            <w:r w:rsidR="005F1191">
              <w:noBreakHyphen/>
            </w:r>
            <w:r w:rsidRPr="003549E4">
              <w:t>0.03, 0.12)</w:t>
            </w:r>
          </w:p>
        </w:tc>
      </w:tr>
      <w:tr w:rsidR="00CF243F" w:rsidRPr="003549E4" w14:paraId="16F2BDBC" w14:textId="77777777" w:rsidTr="00135C85">
        <w:tc>
          <w:tcPr>
            <w:tcW w:w="862" w:type="pct"/>
            <w:vAlign w:val="center"/>
          </w:tcPr>
          <w:p w14:paraId="655215C0" w14:textId="0F0AA974" w:rsidR="001308E9" w:rsidRPr="003549E4" w:rsidRDefault="0096784A">
            <w:pPr>
              <w:pStyle w:val="Tabletext"/>
            </w:pPr>
            <w:r>
              <w:t xml:space="preserve">Phase IIb </w:t>
            </w:r>
            <w:proofErr w:type="spellStart"/>
            <w:r>
              <w:t>trial</w:t>
            </w:r>
            <w:r w:rsidR="00101374" w:rsidRPr="00101374">
              <w:rPr>
                <w:vertAlign w:val="superscript"/>
              </w:rPr>
              <w:t>a</w:t>
            </w:r>
            <w:proofErr w:type="spellEnd"/>
          </w:p>
        </w:tc>
        <w:tc>
          <w:tcPr>
            <w:tcW w:w="864" w:type="pct"/>
            <w:vAlign w:val="center"/>
          </w:tcPr>
          <w:p w14:paraId="191963E2" w14:textId="77777777" w:rsidR="001308E9" w:rsidRPr="003549E4" w:rsidRDefault="001308E9">
            <w:pPr>
              <w:pStyle w:val="Tabletext"/>
              <w:jc w:val="center"/>
            </w:pPr>
            <w:r w:rsidRPr="003549E4">
              <w:t>64/86 (74.4%)</w:t>
            </w:r>
          </w:p>
        </w:tc>
        <w:tc>
          <w:tcPr>
            <w:tcW w:w="866" w:type="pct"/>
            <w:vAlign w:val="center"/>
          </w:tcPr>
          <w:p w14:paraId="7E19959D" w14:textId="77777777" w:rsidR="001308E9" w:rsidRPr="003549E4" w:rsidRDefault="001308E9">
            <w:pPr>
              <w:pStyle w:val="Tabletext"/>
              <w:jc w:val="center"/>
            </w:pPr>
            <w:r w:rsidRPr="003549E4">
              <w:t>59/89 (66.3%)</w:t>
            </w:r>
          </w:p>
        </w:tc>
        <w:tc>
          <w:tcPr>
            <w:tcW w:w="786" w:type="pct"/>
          </w:tcPr>
          <w:p w14:paraId="368D90F0" w14:textId="77777777" w:rsidR="001308E9" w:rsidRPr="003549E4" w:rsidRDefault="001308E9">
            <w:pPr>
              <w:pStyle w:val="Tabletext"/>
              <w:jc w:val="center"/>
              <w:rPr>
                <w:b/>
                <w:bCs/>
              </w:rPr>
            </w:pPr>
            <w:r w:rsidRPr="003549E4">
              <w:t>1.48 (0.77, 2.84)</w:t>
            </w:r>
          </w:p>
        </w:tc>
        <w:tc>
          <w:tcPr>
            <w:tcW w:w="786" w:type="pct"/>
            <w:vAlign w:val="center"/>
          </w:tcPr>
          <w:p w14:paraId="6FFE060D" w14:textId="77777777" w:rsidR="001308E9" w:rsidRPr="003549E4" w:rsidRDefault="001308E9">
            <w:pPr>
              <w:pStyle w:val="Tabletext"/>
              <w:jc w:val="center"/>
              <w:rPr>
                <w:b/>
                <w:bCs/>
              </w:rPr>
            </w:pPr>
            <w:r w:rsidRPr="003549E4">
              <w:t>1.12 (0.93, 1.36)</w:t>
            </w:r>
          </w:p>
        </w:tc>
        <w:tc>
          <w:tcPr>
            <w:tcW w:w="836" w:type="pct"/>
            <w:vAlign w:val="center"/>
          </w:tcPr>
          <w:p w14:paraId="7F3B09C5" w14:textId="02CC0B55" w:rsidR="001308E9" w:rsidRPr="003549E4" w:rsidRDefault="001308E9">
            <w:pPr>
              <w:pStyle w:val="Tabletext"/>
              <w:jc w:val="center"/>
              <w:rPr>
                <w:b/>
                <w:bCs/>
              </w:rPr>
            </w:pPr>
            <w:r w:rsidRPr="003549E4">
              <w:t>0.08 (</w:t>
            </w:r>
            <w:r w:rsidR="005F1191">
              <w:noBreakHyphen/>
            </w:r>
            <w:r w:rsidRPr="003549E4">
              <w:t>0.05, 0.22)</w:t>
            </w:r>
          </w:p>
        </w:tc>
      </w:tr>
      <w:tr w:rsidR="00CF243F" w:rsidRPr="003549E4" w14:paraId="110FB709" w14:textId="77777777" w:rsidTr="00135C85">
        <w:tc>
          <w:tcPr>
            <w:tcW w:w="2592" w:type="pct"/>
            <w:gridSpan w:val="3"/>
            <w:vAlign w:val="center"/>
          </w:tcPr>
          <w:p w14:paraId="79658FD0" w14:textId="433ADF87" w:rsidR="001308E9" w:rsidRPr="003549E4" w:rsidRDefault="001308E9">
            <w:pPr>
              <w:pStyle w:val="Tabletext"/>
              <w:jc w:val="right"/>
            </w:pPr>
            <w:r w:rsidRPr="003549E4">
              <w:t>Meta</w:t>
            </w:r>
            <w:r w:rsidR="005F1191">
              <w:noBreakHyphen/>
            </w:r>
            <w:r w:rsidRPr="003549E4">
              <w:t>analysis</w:t>
            </w:r>
          </w:p>
        </w:tc>
        <w:tc>
          <w:tcPr>
            <w:tcW w:w="786" w:type="pct"/>
          </w:tcPr>
          <w:p w14:paraId="484B1972" w14:textId="77777777" w:rsidR="001308E9" w:rsidRPr="003549E4" w:rsidRDefault="001308E9">
            <w:pPr>
              <w:pStyle w:val="Tabletext"/>
              <w:jc w:val="center"/>
            </w:pPr>
            <w:r w:rsidRPr="003549E4">
              <w:t>1.11 (0.89, 1.37)</w:t>
            </w:r>
          </w:p>
        </w:tc>
        <w:tc>
          <w:tcPr>
            <w:tcW w:w="786" w:type="pct"/>
            <w:vAlign w:val="center"/>
          </w:tcPr>
          <w:p w14:paraId="041C0010" w14:textId="77777777" w:rsidR="001308E9" w:rsidRPr="003549E4" w:rsidRDefault="001308E9">
            <w:pPr>
              <w:pStyle w:val="Tabletext"/>
              <w:jc w:val="center"/>
            </w:pPr>
            <w:r w:rsidRPr="003549E4">
              <w:t>1.04 (0.96, 1.12)</w:t>
            </w:r>
          </w:p>
        </w:tc>
        <w:tc>
          <w:tcPr>
            <w:tcW w:w="836" w:type="pct"/>
            <w:vAlign w:val="center"/>
          </w:tcPr>
          <w:p w14:paraId="413B0A87" w14:textId="020F535F" w:rsidR="001308E9" w:rsidRPr="003549E4" w:rsidRDefault="001308E9">
            <w:pPr>
              <w:pStyle w:val="Tabletext"/>
              <w:jc w:val="center"/>
            </w:pPr>
            <w:r w:rsidRPr="003549E4">
              <w:t>0.04 (</w:t>
            </w:r>
            <w:r w:rsidR="005F1191">
              <w:noBreakHyphen/>
            </w:r>
            <w:r w:rsidRPr="003549E4">
              <w:t>0.03, 0.12)</w:t>
            </w:r>
          </w:p>
        </w:tc>
      </w:tr>
      <w:tr w:rsidR="00984B2F" w:rsidRPr="003549E4" w14:paraId="52C945DD" w14:textId="77777777" w:rsidTr="00984B2F">
        <w:tc>
          <w:tcPr>
            <w:tcW w:w="5000" w:type="pct"/>
            <w:gridSpan w:val="6"/>
          </w:tcPr>
          <w:p w14:paraId="2C8704A0" w14:textId="654DDFB6" w:rsidR="00984B2F" w:rsidRPr="003549E4" w:rsidRDefault="00984B2F" w:rsidP="00984B2F">
            <w:pPr>
              <w:pStyle w:val="Tabletext"/>
              <w:rPr>
                <w:b/>
              </w:rPr>
            </w:pPr>
            <w:r w:rsidRPr="003549E4">
              <w:rPr>
                <w:b/>
              </w:rPr>
              <w:t>PASI90</w:t>
            </w:r>
          </w:p>
        </w:tc>
      </w:tr>
      <w:tr w:rsidR="00135C85" w:rsidRPr="003549E4" w14:paraId="167163D3" w14:textId="77777777" w:rsidTr="00135C85">
        <w:tc>
          <w:tcPr>
            <w:tcW w:w="862" w:type="pct"/>
            <w:vAlign w:val="center"/>
          </w:tcPr>
          <w:p w14:paraId="0E8A2407" w14:textId="04793105" w:rsidR="0096784A" w:rsidRPr="003549E4" w:rsidRDefault="0096784A" w:rsidP="0096784A">
            <w:pPr>
              <w:pStyle w:val="Tabletext"/>
            </w:pPr>
            <w:proofErr w:type="spellStart"/>
            <w:r>
              <w:t>reSURFACE</w:t>
            </w:r>
            <w:proofErr w:type="spellEnd"/>
            <w:r>
              <w:t xml:space="preserve"> 1</w:t>
            </w:r>
          </w:p>
        </w:tc>
        <w:tc>
          <w:tcPr>
            <w:tcW w:w="864" w:type="pct"/>
            <w:vAlign w:val="center"/>
          </w:tcPr>
          <w:p w14:paraId="6494D3DE" w14:textId="77777777" w:rsidR="0096784A" w:rsidRPr="003549E4" w:rsidRDefault="0096784A" w:rsidP="0096784A">
            <w:pPr>
              <w:pStyle w:val="Tabletext"/>
              <w:jc w:val="center"/>
            </w:pPr>
            <w:r w:rsidRPr="003549E4">
              <w:t>109/308 (35.4%)</w:t>
            </w:r>
          </w:p>
        </w:tc>
        <w:tc>
          <w:tcPr>
            <w:tcW w:w="866" w:type="pct"/>
            <w:vAlign w:val="center"/>
          </w:tcPr>
          <w:p w14:paraId="3C90D5BF" w14:textId="77777777" w:rsidR="0096784A" w:rsidRPr="003549E4" w:rsidRDefault="0096784A" w:rsidP="0096784A">
            <w:pPr>
              <w:pStyle w:val="Tabletext"/>
              <w:jc w:val="center"/>
            </w:pPr>
            <w:r w:rsidRPr="003549E4">
              <w:t>107/309 (34.6%)</w:t>
            </w:r>
          </w:p>
        </w:tc>
        <w:tc>
          <w:tcPr>
            <w:tcW w:w="786" w:type="pct"/>
          </w:tcPr>
          <w:p w14:paraId="1B64E205" w14:textId="77777777" w:rsidR="0096784A" w:rsidRPr="003549E4" w:rsidRDefault="0096784A" w:rsidP="0096784A">
            <w:pPr>
              <w:pStyle w:val="Tabletext"/>
              <w:jc w:val="center"/>
            </w:pPr>
            <w:r w:rsidRPr="003549E4">
              <w:t>1.03 (0.74, 1.44)</w:t>
            </w:r>
          </w:p>
        </w:tc>
        <w:tc>
          <w:tcPr>
            <w:tcW w:w="786" w:type="pct"/>
            <w:vAlign w:val="center"/>
          </w:tcPr>
          <w:p w14:paraId="083FA74C" w14:textId="77777777" w:rsidR="0096784A" w:rsidRPr="003549E4" w:rsidRDefault="0096784A" w:rsidP="0096784A">
            <w:pPr>
              <w:pStyle w:val="Tabletext"/>
              <w:jc w:val="center"/>
            </w:pPr>
            <w:r w:rsidRPr="003549E4">
              <w:t>1.02 (0.82, 1.27)</w:t>
            </w:r>
          </w:p>
        </w:tc>
        <w:tc>
          <w:tcPr>
            <w:tcW w:w="836" w:type="pct"/>
            <w:vAlign w:val="center"/>
          </w:tcPr>
          <w:p w14:paraId="0D01BB0C" w14:textId="4C26F7B8" w:rsidR="0096784A" w:rsidRPr="003549E4" w:rsidRDefault="0096784A" w:rsidP="0096784A">
            <w:pPr>
              <w:pStyle w:val="Tabletext"/>
              <w:jc w:val="center"/>
            </w:pPr>
            <w:r w:rsidRPr="003549E4">
              <w:t>0.01 (</w:t>
            </w:r>
            <w:r w:rsidR="005F1191">
              <w:noBreakHyphen/>
            </w:r>
            <w:r w:rsidRPr="003549E4">
              <w:t>0.07, 0.08)</w:t>
            </w:r>
          </w:p>
        </w:tc>
      </w:tr>
      <w:tr w:rsidR="00135C85" w:rsidRPr="003549E4" w14:paraId="49720344" w14:textId="77777777" w:rsidTr="00135C85">
        <w:tc>
          <w:tcPr>
            <w:tcW w:w="862" w:type="pct"/>
            <w:vAlign w:val="center"/>
          </w:tcPr>
          <w:p w14:paraId="170F4C6E" w14:textId="385A4550" w:rsidR="0096784A" w:rsidRPr="003549E4" w:rsidRDefault="0096784A" w:rsidP="0096784A">
            <w:pPr>
              <w:pStyle w:val="Tabletext"/>
            </w:pPr>
            <w:proofErr w:type="spellStart"/>
            <w:r>
              <w:t>reSURFACE</w:t>
            </w:r>
            <w:proofErr w:type="spellEnd"/>
            <w:r>
              <w:t xml:space="preserve"> 2</w:t>
            </w:r>
          </w:p>
        </w:tc>
        <w:tc>
          <w:tcPr>
            <w:tcW w:w="864" w:type="pct"/>
            <w:vAlign w:val="center"/>
          </w:tcPr>
          <w:p w14:paraId="40F3C2F8" w14:textId="77777777" w:rsidR="0096784A" w:rsidRPr="003549E4" w:rsidRDefault="0096784A" w:rsidP="0096784A">
            <w:pPr>
              <w:pStyle w:val="Tabletext"/>
              <w:jc w:val="center"/>
            </w:pPr>
            <w:r w:rsidRPr="003549E4">
              <w:t>115/314 (36.6%)</w:t>
            </w:r>
          </w:p>
        </w:tc>
        <w:tc>
          <w:tcPr>
            <w:tcW w:w="866" w:type="pct"/>
            <w:vAlign w:val="center"/>
          </w:tcPr>
          <w:p w14:paraId="628B87F9" w14:textId="77777777" w:rsidR="0096784A" w:rsidRPr="003549E4" w:rsidRDefault="0096784A" w:rsidP="0096784A">
            <w:pPr>
              <w:pStyle w:val="Tabletext"/>
              <w:jc w:val="center"/>
            </w:pPr>
            <w:r w:rsidRPr="003549E4">
              <w:t>119/307 (38.8%)</w:t>
            </w:r>
          </w:p>
        </w:tc>
        <w:tc>
          <w:tcPr>
            <w:tcW w:w="786" w:type="pct"/>
          </w:tcPr>
          <w:p w14:paraId="1DEC3A2B" w14:textId="77777777" w:rsidR="0096784A" w:rsidRPr="003549E4" w:rsidRDefault="0096784A" w:rsidP="0096784A">
            <w:pPr>
              <w:pStyle w:val="Tabletext"/>
              <w:jc w:val="center"/>
            </w:pPr>
            <w:r w:rsidRPr="003549E4">
              <w:t>0.91 (0.66, 1.26)</w:t>
            </w:r>
          </w:p>
        </w:tc>
        <w:tc>
          <w:tcPr>
            <w:tcW w:w="786" w:type="pct"/>
            <w:vAlign w:val="center"/>
          </w:tcPr>
          <w:p w14:paraId="0A804DE1" w14:textId="77777777" w:rsidR="0096784A" w:rsidRPr="003549E4" w:rsidRDefault="0096784A" w:rsidP="0096784A">
            <w:pPr>
              <w:pStyle w:val="Tabletext"/>
              <w:jc w:val="center"/>
            </w:pPr>
            <w:r w:rsidRPr="003549E4">
              <w:t>0.94 (0.77, 1.16)</w:t>
            </w:r>
          </w:p>
        </w:tc>
        <w:tc>
          <w:tcPr>
            <w:tcW w:w="836" w:type="pct"/>
            <w:vAlign w:val="center"/>
          </w:tcPr>
          <w:p w14:paraId="77386470" w14:textId="6DE05246" w:rsidR="0096784A" w:rsidRPr="003549E4" w:rsidRDefault="005F1191" w:rsidP="0096784A">
            <w:pPr>
              <w:pStyle w:val="Tabletext"/>
              <w:jc w:val="center"/>
            </w:pPr>
            <w:r>
              <w:noBreakHyphen/>
            </w:r>
            <w:r w:rsidR="0096784A" w:rsidRPr="003549E4">
              <w:t>0.02 (</w:t>
            </w:r>
            <w:r>
              <w:noBreakHyphen/>
            </w:r>
            <w:r w:rsidR="0096784A" w:rsidRPr="003549E4">
              <w:t>0.10, 0.05)</w:t>
            </w:r>
          </w:p>
        </w:tc>
      </w:tr>
      <w:tr w:rsidR="00135C85" w:rsidRPr="003549E4" w14:paraId="32ED5EA8" w14:textId="77777777" w:rsidTr="00135C85">
        <w:tc>
          <w:tcPr>
            <w:tcW w:w="862" w:type="pct"/>
            <w:vAlign w:val="center"/>
          </w:tcPr>
          <w:p w14:paraId="35F414CE" w14:textId="7A21E640" w:rsidR="0096784A" w:rsidRPr="003549E4" w:rsidRDefault="0096784A" w:rsidP="0096784A">
            <w:pPr>
              <w:pStyle w:val="Tabletext"/>
            </w:pPr>
            <w:r>
              <w:t xml:space="preserve">Phase IIb </w:t>
            </w:r>
            <w:proofErr w:type="spellStart"/>
            <w:r>
              <w:t>trial</w:t>
            </w:r>
            <w:r w:rsidRPr="003549E4">
              <w:rPr>
                <w:vertAlign w:val="superscript"/>
              </w:rPr>
              <w:t>a</w:t>
            </w:r>
            <w:proofErr w:type="spellEnd"/>
          </w:p>
        </w:tc>
        <w:tc>
          <w:tcPr>
            <w:tcW w:w="864" w:type="pct"/>
            <w:vAlign w:val="center"/>
          </w:tcPr>
          <w:p w14:paraId="6FCEF927" w14:textId="77777777" w:rsidR="0096784A" w:rsidRPr="003549E4" w:rsidRDefault="0096784A" w:rsidP="0096784A">
            <w:pPr>
              <w:pStyle w:val="Tabletext"/>
              <w:jc w:val="center"/>
            </w:pPr>
            <w:r w:rsidRPr="003549E4">
              <w:t>44/86 (51.2%)</w:t>
            </w:r>
          </w:p>
        </w:tc>
        <w:tc>
          <w:tcPr>
            <w:tcW w:w="866" w:type="pct"/>
            <w:vAlign w:val="center"/>
          </w:tcPr>
          <w:p w14:paraId="72393098" w14:textId="77777777" w:rsidR="0096784A" w:rsidRPr="003549E4" w:rsidRDefault="0096784A" w:rsidP="0096784A">
            <w:pPr>
              <w:pStyle w:val="Tabletext"/>
              <w:jc w:val="center"/>
            </w:pPr>
            <w:r w:rsidRPr="003549E4">
              <w:t>34/89 (38.2%)</w:t>
            </w:r>
          </w:p>
        </w:tc>
        <w:tc>
          <w:tcPr>
            <w:tcW w:w="786" w:type="pct"/>
          </w:tcPr>
          <w:p w14:paraId="170A38EC" w14:textId="77777777" w:rsidR="0096784A" w:rsidRPr="003549E4" w:rsidRDefault="0096784A" w:rsidP="0096784A">
            <w:pPr>
              <w:pStyle w:val="Tabletext"/>
              <w:jc w:val="center"/>
            </w:pPr>
            <w:r w:rsidRPr="003549E4">
              <w:t>1.69 (0.93, 3.09)</w:t>
            </w:r>
          </w:p>
        </w:tc>
        <w:tc>
          <w:tcPr>
            <w:tcW w:w="786" w:type="pct"/>
            <w:vAlign w:val="center"/>
          </w:tcPr>
          <w:p w14:paraId="7E367964" w14:textId="77777777" w:rsidR="0096784A" w:rsidRPr="003549E4" w:rsidRDefault="0096784A" w:rsidP="0096784A">
            <w:pPr>
              <w:pStyle w:val="Tabletext"/>
              <w:jc w:val="center"/>
            </w:pPr>
            <w:r w:rsidRPr="003549E4">
              <w:t>1.34 (0.96, 1.87)</w:t>
            </w:r>
          </w:p>
        </w:tc>
        <w:tc>
          <w:tcPr>
            <w:tcW w:w="836" w:type="pct"/>
            <w:vAlign w:val="center"/>
          </w:tcPr>
          <w:p w14:paraId="0ADBF25C" w14:textId="7CBDFC6D" w:rsidR="0096784A" w:rsidRPr="003549E4" w:rsidRDefault="0096784A" w:rsidP="0096784A">
            <w:pPr>
              <w:pStyle w:val="Tabletext"/>
              <w:jc w:val="center"/>
            </w:pPr>
            <w:r w:rsidRPr="003549E4">
              <w:t>0.13 (</w:t>
            </w:r>
            <w:r w:rsidR="005F1191">
              <w:noBreakHyphen/>
            </w:r>
            <w:r w:rsidRPr="003549E4">
              <w:t>0.02, 0.28)</w:t>
            </w:r>
          </w:p>
        </w:tc>
      </w:tr>
      <w:tr w:rsidR="00CF243F" w:rsidRPr="003549E4" w14:paraId="1518604E" w14:textId="77777777" w:rsidTr="00135C85">
        <w:tc>
          <w:tcPr>
            <w:tcW w:w="2592" w:type="pct"/>
            <w:gridSpan w:val="3"/>
            <w:vAlign w:val="center"/>
          </w:tcPr>
          <w:p w14:paraId="57552574" w14:textId="067A74E1" w:rsidR="001308E9" w:rsidRPr="003549E4" w:rsidRDefault="001308E9">
            <w:pPr>
              <w:pStyle w:val="Tabletext"/>
              <w:jc w:val="right"/>
            </w:pPr>
            <w:r w:rsidRPr="003549E4">
              <w:t>Meta</w:t>
            </w:r>
            <w:r w:rsidR="005F1191">
              <w:noBreakHyphen/>
            </w:r>
            <w:r w:rsidRPr="003549E4">
              <w:t>analysis</w:t>
            </w:r>
          </w:p>
        </w:tc>
        <w:tc>
          <w:tcPr>
            <w:tcW w:w="786" w:type="pct"/>
          </w:tcPr>
          <w:p w14:paraId="788AA57C" w14:textId="77777777" w:rsidR="001308E9" w:rsidRPr="003549E4" w:rsidRDefault="001308E9">
            <w:pPr>
              <w:pStyle w:val="Tabletext"/>
              <w:jc w:val="center"/>
            </w:pPr>
            <w:r w:rsidRPr="003549E4">
              <w:t>1.07 (0.81, 1.43)</w:t>
            </w:r>
          </w:p>
        </w:tc>
        <w:tc>
          <w:tcPr>
            <w:tcW w:w="786" w:type="pct"/>
            <w:vAlign w:val="center"/>
          </w:tcPr>
          <w:p w14:paraId="79FB77C9" w14:textId="77777777" w:rsidR="001308E9" w:rsidRPr="003549E4" w:rsidRDefault="001308E9">
            <w:pPr>
              <w:pStyle w:val="Tabletext"/>
              <w:jc w:val="center"/>
            </w:pPr>
            <w:r w:rsidRPr="003549E4">
              <w:t>1.05 (0.88, 1.24)</w:t>
            </w:r>
          </w:p>
        </w:tc>
        <w:tc>
          <w:tcPr>
            <w:tcW w:w="836" w:type="pct"/>
            <w:vAlign w:val="center"/>
          </w:tcPr>
          <w:p w14:paraId="3F2F4FE2" w14:textId="667DBB18" w:rsidR="001308E9" w:rsidRPr="003549E4" w:rsidRDefault="001308E9">
            <w:pPr>
              <w:pStyle w:val="Tabletext"/>
              <w:jc w:val="center"/>
            </w:pPr>
            <w:r w:rsidRPr="003549E4">
              <w:t>0.02 (</w:t>
            </w:r>
            <w:r w:rsidR="005F1191">
              <w:noBreakHyphen/>
            </w:r>
            <w:r w:rsidRPr="003549E4">
              <w:t>0.05, 0.08)</w:t>
            </w:r>
          </w:p>
        </w:tc>
      </w:tr>
      <w:tr w:rsidR="00984B2F" w:rsidRPr="003549E4" w14:paraId="7B08B0DA" w14:textId="77777777" w:rsidTr="00984B2F">
        <w:tc>
          <w:tcPr>
            <w:tcW w:w="5000" w:type="pct"/>
            <w:gridSpan w:val="6"/>
          </w:tcPr>
          <w:p w14:paraId="67CE93CB" w14:textId="778C3C6E" w:rsidR="00984B2F" w:rsidRPr="003549E4" w:rsidRDefault="00984B2F" w:rsidP="00984B2F">
            <w:pPr>
              <w:pStyle w:val="Tabletext"/>
              <w:rPr>
                <w:b/>
              </w:rPr>
            </w:pPr>
            <w:r w:rsidRPr="003549E4">
              <w:rPr>
                <w:b/>
              </w:rPr>
              <w:t>PASI100</w:t>
            </w:r>
          </w:p>
        </w:tc>
      </w:tr>
      <w:tr w:rsidR="00135C85" w:rsidRPr="003549E4" w14:paraId="6ECC633B" w14:textId="77777777" w:rsidTr="00135C85">
        <w:tc>
          <w:tcPr>
            <w:tcW w:w="862" w:type="pct"/>
            <w:vAlign w:val="center"/>
          </w:tcPr>
          <w:p w14:paraId="1775A0CC" w14:textId="018B1D70" w:rsidR="0096784A" w:rsidRPr="003549E4" w:rsidRDefault="0096784A" w:rsidP="0096784A">
            <w:pPr>
              <w:pStyle w:val="Tabletext"/>
            </w:pPr>
            <w:proofErr w:type="spellStart"/>
            <w:r>
              <w:t>reSURFACE</w:t>
            </w:r>
            <w:proofErr w:type="spellEnd"/>
            <w:r>
              <w:t xml:space="preserve"> 1</w:t>
            </w:r>
          </w:p>
        </w:tc>
        <w:tc>
          <w:tcPr>
            <w:tcW w:w="864" w:type="pct"/>
            <w:vAlign w:val="center"/>
          </w:tcPr>
          <w:p w14:paraId="16A6607E" w14:textId="77777777" w:rsidR="0096784A" w:rsidRPr="003549E4" w:rsidRDefault="0096784A" w:rsidP="0096784A">
            <w:pPr>
              <w:pStyle w:val="Tabletext"/>
              <w:jc w:val="center"/>
            </w:pPr>
            <w:r w:rsidRPr="003549E4">
              <w:t>43/308 (14.0%)</w:t>
            </w:r>
          </w:p>
        </w:tc>
        <w:tc>
          <w:tcPr>
            <w:tcW w:w="866" w:type="pct"/>
            <w:vAlign w:val="center"/>
          </w:tcPr>
          <w:p w14:paraId="07D085F6" w14:textId="77777777" w:rsidR="0096784A" w:rsidRPr="003549E4" w:rsidRDefault="0096784A" w:rsidP="0096784A">
            <w:pPr>
              <w:pStyle w:val="Tabletext"/>
              <w:jc w:val="center"/>
            </w:pPr>
            <w:r w:rsidRPr="003549E4">
              <w:t>43/309 (13.9%)</w:t>
            </w:r>
          </w:p>
        </w:tc>
        <w:tc>
          <w:tcPr>
            <w:tcW w:w="786" w:type="pct"/>
          </w:tcPr>
          <w:p w14:paraId="65AFED15" w14:textId="77777777" w:rsidR="0096784A" w:rsidRPr="003549E4" w:rsidRDefault="0096784A" w:rsidP="0096784A">
            <w:pPr>
              <w:pStyle w:val="Tabletext"/>
              <w:jc w:val="center"/>
            </w:pPr>
            <w:r w:rsidRPr="003549E4">
              <w:t>1.00 (0.64, 1.58)</w:t>
            </w:r>
          </w:p>
        </w:tc>
        <w:tc>
          <w:tcPr>
            <w:tcW w:w="786" w:type="pct"/>
            <w:vAlign w:val="center"/>
          </w:tcPr>
          <w:p w14:paraId="292719BE" w14:textId="77777777" w:rsidR="0096784A" w:rsidRPr="003549E4" w:rsidRDefault="0096784A" w:rsidP="0096784A">
            <w:pPr>
              <w:pStyle w:val="Tabletext"/>
              <w:jc w:val="center"/>
            </w:pPr>
            <w:r w:rsidRPr="003549E4">
              <w:t>1.00 (0.68, 1.48)</w:t>
            </w:r>
          </w:p>
        </w:tc>
        <w:tc>
          <w:tcPr>
            <w:tcW w:w="836" w:type="pct"/>
            <w:vAlign w:val="center"/>
          </w:tcPr>
          <w:p w14:paraId="5C136311" w14:textId="6529951B" w:rsidR="0096784A" w:rsidRPr="003549E4" w:rsidRDefault="0096784A" w:rsidP="0096784A">
            <w:pPr>
              <w:pStyle w:val="Tabletext"/>
              <w:jc w:val="center"/>
            </w:pPr>
            <w:r w:rsidRPr="003549E4">
              <w:t>0.00</w:t>
            </w:r>
            <w:r w:rsidR="005F1191">
              <w:noBreakHyphen/>
            </w:r>
            <w:r w:rsidRPr="003549E4">
              <w:t xml:space="preserve"> (</w:t>
            </w:r>
            <w:r w:rsidR="005F1191">
              <w:noBreakHyphen/>
            </w:r>
            <w:r w:rsidRPr="003549E4">
              <w:t>0.05, 0.06)</w:t>
            </w:r>
          </w:p>
        </w:tc>
      </w:tr>
      <w:tr w:rsidR="00135C85" w:rsidRPr="003549E4" w14:paraId="45E35E42" w14:textId="77777777" w:rsidTr="00135C85">
        <w:tc>
          <w:tcPr>
            <w:tcW w:w="862" w:type="pct"/>
            <w:vAlign w:val="center"/>
          </w:tcPr>
          <w:p w14:paraId="3207C964" w14:textId="50F512A6" w:rsidR="0096784A" w:rsidRPr="003549E4" w:rsidRDefault="0096784A" w:rsidP="0096784A">
            <w:pPr>
              <w:pStyle w:val="Tabletext"/>
            </w:pPr>
            <w:proofErr w:type="spellStart"/>
            <w:r>
              <w:t>reSURFACE</w:t>
            </w:r>
            <w:proofErr w:type="spellEnd"/>
            <w:r>
              <w:t xml:space="preserve"> 2</w:t>
            </w:r>
          </w:p>
        </w:tc>
        <w:tc>
          <w:tcPr>
            <w:tcW w:w="864" w:type="pct"/>
            <w:vAlign w:val="center"/>
          </w:tcPr>
          <w:p w14:paraId="6FC5DE03" w14:textId="77777777" w:rsidR="0096784A" w:rsidRPr="003549E4" w:rsidRDefault="0096784A" w:rsidP="0096784A">
            <w:pPr>
              <w:pStyle w:val="Tabletext"/>
              <w:jc w:val="center"/>
            </w:pPr>
            <w:r w:rsidRPr="003549E4">
              <w:t>37/314 (11.8%)</w:t>
            </w:r>
          </w:p>
        </w:tc>
        <w:tc>
          <w:tcPr>
            <w:tcW w:w="866" w:type="pct"/>
            <w:vAlign w:val="center"/>
          </w:tcPr>
          <w:p w14:paraId="14E30D62" w14:textId="77777777" w:rsidR="0096784A" w:rsidRPr="003549E4" w:rsidRDefault="0096784A" w:rsidP="0096784A">
            <w:pPr>
              <w:pStyle w:val="Tabletext"/>
              <w:jc w:val="center"/>
            </w:pPr>
            <w:r w:rsidRPr="003549E4">
              <w:t>38/307 (12.4%)</w:t>
            </w:r>
          </w:p>
        </w:tc>
        <w:tc>
          <w:tcPr>
            <w:tcW w:w="786" w:type="pct"/>
          </w:tcPr>
          <w:p w14:paraId="6585187B" w14:textId="77777777" w:rsidR="0096784A" w:rsidRPr="003549E4" w:rsidRDefault="0096784A" w:rsidP="0096784A">
            <w:pPr>
              <w:pStyle w:val="Tabletext"/>
              <w:jc w:val="center"/>
            </w:pPr>
            <w:r w:rsidRPr="003549E4">
              <w:t>0.95 (0.58, 1.53)</w:t>
            </w:r>
          </w:p>
        </w:tc>
        <w:tc>
          <w:tcPr>
            <w:tcW w:w="786" w:type="pct"/>
            <w:vAlign w:val="center"/>
          </w:tcPr>
          <w:p w14:paraId="3E090325" w14:textId="77777777" w:rsidR="0096784A" w:rsidRPr="003549E4" w:rsidRDefault="0096784A" w:rsidP="0096784A">
            <w:pPr>
              <w:pStyle w:val="Tabletext"/>
              <w:jc w:val="center"/>
            </w:pPr>
            <w:r w:rsidRPr="003549E4">
              <w:t>0.95 (0.62, 1.46)</w:t>
            </w:r>
          </w:p>
        </w:tc>
        <w:tc>
          <w:tcPr>
            <w:tcW w:w="836" w:type="pct"/>
            <w:vAlign w:val="center"/>
          </w:tcPr>
          <w:p w14:paraId="7ACA81D2" w14:textId="546BE2E0" w:rsidR="0096784A" w:rsidRPr="003549E4" w:rsidRDefault="005F1191" w:rsidP="0096784A">
            <w:pPr>
              <w:pStyle w:val="Tabletext"/>
              <w:jc w:val="center"/>
            </w:pPr>
            <w:r>
              <w:noBreakHyphen/>
            </w:r>
            <w:r w:rsidR="0096784A" w:rsidRPr="003549E4">
              <w:t>0.01 (</w:t>
            </w:r>
            <w:r>
              <w:noBreakHyphen/>
            </w:r>
            <w:r w:rsidR="0096784A" w:rsidRPr="003549E4">
              <w:t>0.06, 0.05)</w:t>
            </w:r>
          </w:p>
        </w:tc>
      </w:tr>
      <w:tr w:rsidR="00135C85" w:rsidRPr="003549E4" w14:paraId="7824FA9D" w14:textId="77777777" w:rsidTr="00135C85">
        <w:tc>
          <w:tcPr>
            <w:tcW w:w="862" w:type="pct"/>
            <w:vAlign w:val="center"/>
          </w:tcPr>
          <w:p w14:paraId="3EA3E551" w14:textId="64D956A6" w:rsidR="0096784A" w:rsidRPr="003549E4" w:rsidRDefault="0096784A" w:rsidP="0096784A">
            <w:pPr>
              <w:pStyle w:val="Tabletext"/>
            </w:pPr>
            <w:r>
              <w:t xml:space="preserve">Phase IIb </w:t>
            </w:r>
            <w:proofErr w:type="spellStart"/>
            <w:r>
              <w:t>trial</w:t>
            </w:r>
            <w:r w:rsidRPr="003549E4">
              <w:rPr>
                <w:vertAlign w:val="superscript"/>
              </w:rPr>
              <w:t>a</w:t>
            </w:r>
            <w:proofErr w:type="spellEnd"/>
          </w:p>
        </w:tc>
        <w:tc>
          <w:tcPr>
            <w:tcW w:w="864" w:type="pct"/>
            <w:vAlign w:val="center"/>
          </w:tcPr>
          <w:p w14:paraId="30A11803" w14:textId="77777777" w:rsidR="0096784A" w:rsidRPr="003549E4" w:rsidRDefault="0096784A" w:rsidP="0096784A">
            <w:pPr>
              <w:pStyle w:val="Tabletext"/>
              <w:jc w:val="center"/>
            </w:pPr>
            <w:r w:rsidRPr="003549E4">
              <w:t>14/86 (16.3%)</w:t>
            </w:r>
          </w:p>
        </w:tc>
        <w:tc>
          <w:tcPr>
            <w:tcW w:w="866" w:type="pct"/>
            <w:vAlign w:val="center"/>
          </w:tcPr>
          <w:p w14:paraId="2F22FEC9" w14:textId="77777777" w:rsidR="0096784A" w:rsidRPr="003549E4" w:rsidRDefault="0096784A" w:rsidP="0096784A">
            <w:pPr>
              <w:pStyle w:val="Tabletext"/>
              <w:jc w:val="center"/>
            </w:pPr>
            <w:r w:rsidRPr="003549E4">
              <w:t>13/89 (14.6%)</w:t>
            </w:r>
          </w:p>
        </w:tc>
        <w:tc>
          <w:tcPr>
            <w:tcW w:w="786" w:type="pct"/>
          </w:tcPr>
          <w:p w14:paraId="6C953ABC" w14:textId="77777777" w:rsidR="0096784A" w:rsidRPr="003549E4" w:rsidRDefault="0096784A" w:rsidP="0096784A">
            <w:pPr>
              <w:pStyle w:val="Tabletext"/>
              <w:jc w:val="center"/>
            </w:pPr>
            <w:r w:rsidRPr="003549E4">
              <w:t>1.14 (0.50, 2.58)</w:t>
            </w:r>
          </w:p>
        </w:tc>
        <w:tc>
          <w:tcPr>
            <w:tcW w:w="786" w:type="pct"/>
            <w:vAlign w:val="center"/>
          </w:tcPr>
          <w:p w14:paraId="33FB36B5" w14:textId="77777777" w:rsidR="0096784A" w:rsidRPr="003549E4" w:rsidRDefault="0096784A" w:rsidP="0096784A">
            <w:pPr>
              <w:pStyle w:val="Tabletext"/>
              <w:jc w:val="center"/>
            </w:pPr>
            <w:r w:rsidRPr="003549E4">
              <w:t>1.11 (0.56, 2.23)</w:t>
            </w:r>
          </w:p>
        </w:tc>
        <w:tc>
          <w:tcPr>
            <w:tcW w:w="836" w:type="pct"/>
            <w:vAlign w:val="center"/>
          </w:tcPr>
          <w:p w14:paraId="476E93B2" w14:textId="6A31AE5C" w:rsidR="0096784A" w:rsidRPr="003549E4" w:rsidRDefault="0096784A" w:rsidP="0096784A">
            <w:pPr>
              <w:pStyle w:val="Tabletext"/>
              <w:jc w:val="center"/>
            </w:pPr>
            <w:r w:rsidRPr="003549E4">
              <w:t>0.02 (</w:t>
            </w:r>
            <w:r w:rsidR="005F1191">
              <w:noBreakHyphen/>
            </w:r>
            <w:r w:rsidRPr="003549E4">
              <w:t>0.09, 0.12)</w:t>
            </w:r>
          </w:p>
        </w:tc>
      </w:tr>
      <w:tr w:rsidR="00CF243F" w:rsidRPr="003549E4" w14:paraId="65D89E42" w14:textId="77777777" w:rsidTr="00135C85">
        <w:tc>
          <w:tcPr>
            <w:tcW w:w="2592" w:type="pct"/>
            <w:gridSpan w:val="3"/>
            <w:vAlign w:val="center"/>
          </w:tcPr>
          <w:p w14:paraId="3DAF48E7" w14:textId="4A95982E" w:rsidR="001308E9" w:rsidRPr="003549E4" w:rsidRDefault="001308E9">
            <w:pPr>
              <w:pStyle w:val="Tabletext"/>
              <w:jc w:val="right"/>
            </w:pPr>
            <w:r w:rsidRPr="003549E4">
              <w:t>Meta</w:t>
            </w:r>
            <w:r w:rsidR="005F1191">
              <w:noBreakHyphen/>
            </w:r>
            <w:r w:rsidRPr="003549E4">
              <w:t>analysis</w:t>
            </w:r>
          </w:p>
        </w:tc>
        <w:tc>
          <w:tcPr>
            <w:tcW w:w="786" w:type="pct"/>
          </w:tcPr>
          <w:p w14:paraId="088CA71B" w14:textId="77777777" w:rsidR="001308E9" w:rsidRPr="003549E4" w:rsidRDefault="001308E9">
            <w:pPr>
              <w:pStyle w:val="Tabletext"/>
              <w:jc w:val="center"/>
            </w:pPr>
            <w:r w:rsidRPr="003549E4">
              <w:t>1.00 (0.73, 1.36)</w:t>
            </w:r>
          </w:p>
        </w:tc>
        <w:tc>
          <w:tcPr>
            <w:tcW w:w="786" w:type="pct"/>
            <w:vAlign w:val="center"/>
          </w:tcPr>
          <w:p w14:paraId="16F35A7A" w14:textId="77777777" w:rsidR="001308E9" w:rsidRPr="003549E4" w:rsidRDefault="001308E9">
            <w:pPr>
              <w:pStyle w:val="Tabletext"/>
              <w:jc w:val="center"/>
            </w:pPr>
            <w:r w:rsidRPr="003549E4">
              <w:t>1.00 (0.76, 1.30)</w:t>
            </w:r>
          </w:p>
        </w:tc>
        <w:tc>
          <w:tcPr>
            <w:tcW w:w="836" w:type="pct"/>
            <w:vAlign w:val="center"/>
          </w:tcPr>
          <w:p w14:paraId="10E2BF7B" w14:textId="4A44F8D7" w:rsidR="001308E9" w:rsidRPr="003549E4" w:rsidRDefault="001308E9">
            <w:pPr>
              <w:pStyle w:val="Tabletext"/>
              <w:jc w:val="center"/>
            </w:pPr>
            <w:r w:rsidRPr="003549E4">
              <w:t>0.00 (</w:t>
            </w:r>
            <w:r w:rsidR="005F1191">
              <w:noBreakHyphen/>
            </w:r>
            <w:r w:rsidRPr="003549E4">
              <w:t>0.04, 0.03)</w:t>
            </w:r>
          </w:p>
        </w:tc>
      </w:tr>
      <w:tr w:rsidR="00CF243F" w:rsidRPr="003549E4" w14:paraId="1BDFF071" w14:textId="77777777">
        <w:tc>
          <w:tcPr>
            <w:tcW w:w="5000" w:type="pct"/>
            <w:gridSpan w:val="6"/>
            <w:vAlign w:val="center"/>
          </w:tcPr>
          <w:p w14:paraId="423C3C3E" w14:textId="77777777" w:rsidR="001308E9" w:rsidRPr="003549E4" w:rsidRDefault="001308E9">
            <w:pPr>
              <w:pStyle w:val="Tabletext"/>
              <w:rPr>
                <w:b/>
              </w:rPr>
            </w:pPr>
            <w:r w:rsidRPr="003549E4">
              <w:rPr>
                <w:b/>
              </w:rPr>
              <w:t>At Week 28</w:t>
            </w:r>
          </w:p>
        </w:tc>
      </w:tr>
      <w:tr w:rsidR="00984B2F" w:rsidRPr="003549E4" w14:paraId="1D0E24D5" w14:textId="77777777" w:rsidTr="00984B2F">
        <w:tc>
          <w:tcPr>
            <w:tcW w:w="5000" w:type="pct"/>
            <w:gridSpan w:val="6"/>
          </w:tcPr>
          <w:p w14:paraId="4F62D18E" w14:textId="59F736B4" w:rsidR="00984B2F" w:rsidRPr="003549E4" w:rsidRDefault="00984B2F" w:rsidP="00984B2F">
            <w:pPr>
              <w:pStyle w:val="Tabletext"/>
              <w:rPr>
                <w:b/>
              </w:rPr>
            </w:pPr>
            <w:r w:rsidRPr="003549E4">
              <w:rPr>
                <w:b/>
              </w:rPr>
              <w:t>PASI75</w:t>
            </w:r>
          </w:p>
        </w:tc>
      </w:tr>
      <w:tr w:rsidR="00135C85" w:rsidRPr="003549E4" w14:paraId="695CD739" w14:textId="77777777" w:rsidTr="00135C85">
        <w:tc>
          <w:tcPr>
            <w:tcW w:w="862" w:type="pct"/>
            <w:vAlign w:val="center"/>
          </w:tcPr>
          <w:p w14:paraId="42A7B69A" w14:textId="00DE1CA3" w:rsidR="0096784A" w:rsidRPr="003549E4" w:rsidRDefault="0096784A" w:rsidP="0096784A">
            <w:pPr>
              <w:pStyle w:val="Tabletext"/>
            </w:pPr>
            <w:proofErr w:type="spellStart"/>
            <w:r>
              <w:t>reSURFACE</w:t>
            </w:r>
            <w:proofErr w:type="spellEnd"/>
            <w:r>
              <w:t xml:space="preserve"> 1</w:t>
            </w:r>
          </w:p>
        </w:tc>
        <w:tc>
          <w:tcPr>
            <w:tcW w:w="864" w:type="pct"/>
            <w:vAlign w:val="center"/>
          </w:tcPr>
          <w:p w14:paraId="371506C4" w14:textId="77777777" w:rsidR="0096784A" w:rsidRPr="003549E4" w:rsidRDefault="0096784A" w:rsidP="0096784A">
            <w:pPr>
              <w:pStyle w:val="Tabletext"/>
              <w:jc w:val="center"/>
            </w:pPr>
            <w:r w:rsidRPr="003549E4">
              <w:t>236/288 (81.9%)</w:t>
            </w:r>
          </w:p>
        </w:tc>
        <w:tc>
          <w:tcPr>
            <w:tcW w:w="866" w:type="pct"/>
            <w:vAlign w:val="center"/>
          </w:tcPr>
          <w:p w14:paraId="3CB1585B" w14:textId="77777777" w:rsidR="0096784A" w:rsidRPr="003549E4" w:rsidRDefault="0096784A" w:rsidP="0096784A">
            <w:pPr>
              <w:pStyle w:val="Tabletext"/>
              <w:jc w:val="center"/>
            </w:pPr>
            <w:r w:rsidRPr="003549E4">
              <w:t>229/285 (80.4%)</w:t>
            </w:r>
          </w:p>
        </w:tc>
        <w:tc>
          <w:tcPr>
            <w:tcW w:w="786" w:type="pct"/>
          </w:tcPr>
          <w:p w14:paraId="7A977C03" w14:textId="77777777" w:rsidR="0096784A" w:rsidRPr="003549E4" w:rsidRDefault="0096784A" w:rsidP="0096784A">
            <w:pPr>
              <w:pStyle w:val="Tabletext"/>
              <w:jc w:val="center"/>
            </w:pPr>
            <w:r w:rsidRPr="003549E4">
              <w:t>1.17 (0.73, 1.69)</w:t>
            </w:r>
          </w:p>
        </w:tc>
        <w:tc>
          <w:tcPr>
            <w:tcW w:w="786" w:type="pct"/>
            <w:vAlign w:val="center"/>
          </w:tcPr>
          <w:p w14:paraId="207D80F1" w14:textId="77777777" w:rsidR="0096784A" w:rsidRPr="003549E4" w:rsidRDefault="0096784A" w:rsidP="0096784A">
            <w:pPr>
              <w:pStyle w:val="Tabletext"/>
              <w:jc w:val="center"/>
            </w:pPr>
            <w:r w:rsidRPr="003549E4">
              <w:t>1.02 (0.94, 1.10)</w:t>
            </w:r>
          </w:p>
        </w:tc>
        <w:tc>
          <w:tcPr>
            <w:tcW w:w="836" w:type="pct"/>
            <w:vAlign w:val="center"/>
          </w:tcPr>
          <w:p w14:paraId="09C86F27" w14:textId="25D15E37" w:rsidR="0096784A" w:rsidRPr="003549E4" w:rsidRDefault="0096784A" w:rsidP="0096784A">
            <w:pPr>
              <w:pStyle w:val="Tabletext"/>
              <w:jc w:val="center"/>
            </w:pPr>
            <w:r w:rsidRPr="003549E4">
              <w:t>0.02 (</w:t>
            </w:r>
            <w:r w:rsidR="005F1191">
              <w:noBreakHyphen/>
            </w:r>
            <w:r w:rsidRPr="003549E4">
              <w:t>0.0</w:t>
            </w:r>
            <w:r w:rsidR="005F1191">
              <w:noBreakHyphen/>
            </w:r>
            <w:r w:rsidRPr="003549E4">
              <w:t>5, 0.08)</w:t>
            </w:r>
          </w:p>
        </w:tc>
      </w:tr>
      <w:tr w:rsidR="00135C85" w:rsidRPr="003549E4" w14:paraId="5FB37C8D" w14:textId="77777777" w:rsidTr="00135C85">
        <w:tc>
          <w:tcPr>
            <w:tcW w:w="862" w:type="pct"/>
            <w:vAlign w:val="center"/>
          </w:tcPr>
          <w:p w14:paraId="29B99E6B" w14:textId="63FD5621" w:rsidR="0096784A" w:rsidRPr="003549E4" w:rsidRDefault="0096784A" w:rsidP="0096784A">
            <w:pPr>
              <w:pStyle w:val="Tabletext"/>
            </w:pPr>
            <w:proofErr w:type="spellStart"/>
            <w:r>
              <w:t>reSURFACE</w:t>
            </w:r>
            <w:proofErr w:type="spellEnd"/>
            <w:r>
              <w:t xml:space="preserve"> 2</w:t>
            </w:r>
          </w:p>
        </w:tc>
        <w:tc>
          <w:tcPr>
            <w:tcW w:w="864" w:type="pct"/>
            <w:vAlign w:val="center"/>
          </w:tcPr>
          <w:p w14:paraId="50FF3A40" w14:textId="77777777" w:rsidR="0096784A" w:rsidRPr="003549E4" w:rsidRDefault="0096784A" w:rsidP="0096784A">
            <w:pPr>
              <w:pStyle w:val="Tabletext"/>
              <w:jc w:val="center"/>
            </w:pPr>
            <w:r w:rsidRPr="003549E4">
              <w:t>217/293 (74.1%)</w:t>
            </w:r>
          </w:p>
        </w:tc>
        <w:tc>
          <w:tcPr>
            <w:tcW w:w="866" w:type="pct"/>
            <w:vAlign w:val="center"/>
          </w:tcPr>
          <w:p w14:paraId="6A6A78BF" w14:textId="77777777" w:rsidR="0096784A" w:rsidRPr="003549E4" w:rsidRDefault="0096784A" w:rsidP="0096784A">
            <w:pPr>
              <w:pStyle w:val="Tabletext"/>
              <w:jc w:val="center"/>
            </w:pPr>
            <w:r w:rsidRPr="003549E4">
              <w:t>216/290 (74.5%)</w:t>
            </w:r>
          </w:p>
        </w:tc>
        <w:tc>
          <w:tcPr>
            <w:tcW w:w="786" w:type="pct"/>
          </w:tcPr>
          <w:p w14:paraId="11A72CE1" w14:textId="77777777" w:rsidR="0096784A" w:rsidRPr="003549E4" w:rsidRDefault="0096784A" w:rsidP="0096784A">
            <w:pPr>
              <w:pStyle w:val="Tabletext"/>
              <w:jc w:val="center"/>
            </w:pPr>
            <w:r w:rsidRPr="003549E4">
              <w:t>0.98 (0.67, 1.42)</w:t>
            </w:r>
          </w:p>
        </w:tc>
        <w:tc>
          <w:tcPr>
            <w:tcW w:w="786" w:type="pct"/>
            <w:vAlign w:val="center"/>
          </w:tcPr>
          <w:p w14:paraId="55716005" w14:textId="77777777" w:rsidR="0096784A" w:rsidRPr="003549E4" w:rsidRDefault="0096784A" w:rsidP="0096784A">
            <w:pPr>
              <w:pStyle w:val="Tabletext"/>
              <w:jc w:val="center"/>
            </w:pPr>
            <w:r w:rsidRPr="003549E4">
              <w:t>0.99 (0.90, 1.09)</w:t>
            </w:r>
          </w:p>
        </w:tc>
        <w:tc>
          <w:tcPr>
            <w:tcW w:w="836" w:type="pct"/>
            <w:vAlign w:val="center"/>
          </w:tcPr>
          <w:p w14:paraId="797D8710" w14:textId="75DAF78F" w:rsidR="0096784A" w:rsidRPr="003549E4" w:rsidRDefault="0096784A" w:rsidP="0096784A">
            <w:pPr>
              <w:pStyle w:val="Tabletext"/>
              <w:jc w:val="center"/>
            </w:pPr>
            <w:r w:rsidRPr="003549E4">
              <w:t>0.00 (</w:t>
            </w:r>
            <w:r w:rsidR="005F1191">
              <w:noBreakHyphen/>
            </w:r>
            <w:r w:rsidRPr="003549E4">
              <w:t>0.08, 0.07)</w:t>
            </w:r>
          </w:p>
        </w:tc>
      </w:tr>
      <w:tr w:rsidR="00CF243F" w:rsidRPr="003549E4" w14:paraId="26579CAC" w14:textId="77777777" w:rsidTr="00135C85">
        <w:tc>
          <w:tcPr>
            <w:tcW w:w="2592" w:type="pct"/>
            <w:gridSpan w:val="3"/>
            <w:vAlign w:val="center"/>
          </w:tcPr>
          <w:p w14:paraId="03BE244A" w14:textId="09AEB745" w:rsidR="001308E9" w:rsidRPr="003549E4" w:rsidRDefault="001308E9">
            <w:pPr>
              <w:pStyle w:val="Tabletext"/>
              <w:jc w:val="right"/>
            </w:pPr>
            <w:r w:rsidRPr="003549E4">
              <w:t>Meta</w:t>
            </w:r>
            <w:r w:rsidR="005F1191">
              <w:noBreakHyphen/>
            </w:r>
            <w:r w:rsidRPr="003549E4">
              <w:t>analysis</w:t>
            </w:r>
          </w:p>
        </w:tc>
        <w:tc>
          <w:tcPr>
            <w:tcW w:w="786" w:type="pct"/>
          </w:tcPr>
          <w:p w14:paraId="3082D00C" w14:textId="77777777" w:rsidR="001308E9" w:rsidRPr="003549E4" w:rsidRDefault="001308E9">
            <w:pPr>
              <w:pStyle w:val="Tabletext"/>
              <w:jc w:val="center"/>
            </w:pPr>
            <w:r w:rsidRPr="003549E4">
              <w:t>1.03 (0.78, 1.37)</w:t>
            </w:r>
          </w:p>
        </w:tc>
        <w:tc>
          <w:tcPr>
            <w:tcW w:w="786" w:type="pct"/>
            <w:vAlign w:val="center"/>
          </w:tcPr>
          <w:p w14:paraId="257439CC" w14:textId="77777777" w:rsidR="001308E9" w:rsidRPr="003549E4" w:rsidRDefault="001308E9">
            <w:pPr>
              <w:pStyle w:val="Tabletext"/>
              <w:jc w:val="center"/>
            </w:pPr>
            <w:r w:rsidRPr="003549E4">
              <w:t>1.01 (0.95, 1.07)</w:t>
            </w:r>
          </w:p>
        </w:tc>
        <w:tc>
          <w:tcPr>
            <w:tcW w:w="836" w:type="pct"/>
            <w:vAlign w:val="center"/>
          </w:tcPr>
          <w:p w14:paraId="76DA0DFD" w14:textId="7C790BDB" w:rsidR="001308E9" w:rsidRPr="003549E4" w:rsidRDefault="001308E9">
            <w:pPr>
              <w:pStyle w:val="Tabletext"/>
              <w:jc w:val="center"/>
            </w:pPr>
            <w:r w:rsidRPr="003549E4">
              <w:t>0.01 (</w:t>
            </w:r>
            <w:r w:rsidR="005F1191">
              <w:noBreakHyphen/>
            </w:r>
            <w:r w:rsidRPr="003549E4">
              <w:t>0.04, 0.05)</w:t>
            </w:r>
          </w:p>
        </w:tc>
      </w:tr>
      <w:tr w:rsidR="00984B2F" w:rsidRPr="003549E4" w14:paraId="01C72A8E" w14:textId="77777777" w:rsidTr="00984B2F">
        <w:tc>
          <w:tcPr>
            <w:tcW w:w="5000" w:type="pct"/>
            <w:gridSpan w:val="6"/>
          </w:tcPr>
          <w:p w14:paraId="68683BB3" w14:textId="7BFA8336" w:rsidR="00984B2F" w:rsidRPr="003549E4" w:rsidRDefault="00984B2F" w:rsidP="00984B2F">
            <w:pPr>
              <w:pStyle w:val="Tabletext"/>
              <w:rPr>
                <w:b/>
              </w:rPr>
            </w:pPr>
            <w:r w:rsidRPr="003549E4">
              <w:rPr>
                <w:b/>
              </w:rPr>
              <w:t>PASI90</w:t>
            </w:r>
          </w:p>
        </w:tc>
      </w:tr>
      <w:tr w:rsidR="00135C85" w:rsidRPr="003549E4" w14:paraId="58C1AF4A" w14:textId="77777777" w:rsidTr="00135C85">
        <w:tc>
          <w:tcPr>
            <w:tcW w:w="862" w:type="pct"/>
            <w:vAlign w:val="center"/>
          </w:tcPr>
          <w:p w14:paraId="50B84BF9" w14:textId="08DE23AF" w:rsidR="0096784A" w:rsidRPr="003549E4" w:rsidRDefault="0096784A" w:rsidP="0096784A">
            <w:pPr>
              <w:pStyle w:val="Tabletext"/>
            </w:pPr>
            <w:proofErr w:type="spellStart"/>
            <w:r>
              <w:t>reSURFACE</w:t>
            </w:r>
            <w:proofErr w:type="spellEnd"/>
            <w:r>
              <w:t xml:space="preserve"> 1</w:t>
            </w:r>
          </w:p>
        </w:tc>
        <w:tc>
          <w:tcPr>
            <w:tcW w:w="864" w:type="pct"/>
            <w:vAlign w:val="center"/>
          </w:tcPr>
          <w:p w14:paraId="494766C0" w14:textId="77777777" w:rsidR="0096784A" w:rsidRPr="003549E4" w:rsidRDefault="0096784A" w:rsidP="0096784A">
            <w:pPr>
              <w:pStyle w:val="Tabletext"/>
              <w:jc w:val="center"/>
            </w:pPr>
            <w:r w:rsidRPr="003549E4">
              <w:t>170/288 (59.0%)</w:t>
            </w:r>
          </w:p>
        </w:tc>
        <w:tc>
          <w:tcPr>
            <w:tcW w:w="866" w:type="pct"/>
            <w:vAlign w:val="center"/>
          </w:tcPr>
          <w:p w14:paraId="533DB5AE" w14:textId="77777777" w:rsidR="0096784A" w:rsidRPr="003549E4" w:rsidRDefault="0096784A" w:rsidP="0096784A">
            <w:pPr>
              <w:pStyle w:val="Tabletext"/>
              <w:jc w:val="center"/>
            </w:pPr>
            <w:r w:rsidRPr="003549E4">
              <w:t>147/285 (51.6%)</w:t>
            </w:r>
          </w:p>
        </w:tc>
        <w:tc>
          <w:tcPr>
            <w:tcW w:w="786" w:type="pct"/>
          </w:tcPr>
          <w:p w14:paraId="016FBD90" w14:textId="77777777" w:rsidR="0096784A" w:rsidRPr="003549E4" w:rsidRDefault="0096784A" w:rsidP="0096784A">
            <w:pPr>
              <w:pStyle w:val="Tabletext"/>
              <w:jc w:val="center"/>
            </w:pPr>
            <w:r w:rsidRPr="003549E4">
              <w:t>1.35 (0.97, 1.88)</w:t>
            </w:r>
          </w:p>
        </w:tc>
        <w:tc>
          <w:tcPr>
            <w:tcW w:w="786" w:type="pct"/>
            <w:vAlign w:val="center"/>
          </w:tcPr>
          <w:p w14:paraId="36C7FFA0" w14:textId="77777777" w:rsidR="0096784A" w:rsidRPr="003549E4" w:rsidRDefault="0096784A" w:rsidP="0096784A">
            <w:pPr>
              <w:pStyle w:val="Tabletext"/>
              <w:jc w:val="center"/>
            </w:pPr>
            <w:r w:rsidRPr="003549E4">
              <w:t>1.14 (0.99, 1.33)</w:t>
            </w:r>
          </w:p>
        </w:tc>
        <w:tc>
          <w:tcPr>
            <w:tcW w:w="836" w:type="pct"/>
            <w:vAlign w:val="center"/>
          </w:tcPr>
          <w:p w14:paraId="31A66D73" w14:textId="16004EF3" w:rsidR="0096784A" w:rsidRPr="003549E4" w:rsidRDefault="0096784A" w:rsidP="0096784A">
            <w:pPr>
              <w:pStyle w:val="Tabletext"/>
              <w:jc w:val="center"/>
            </w:pPr>
            <w:r w:rsidRPr="003549E4">
              <w:t>0.07 (</w:t>
            </w:r>
            <w:r w:rsidR="005F1191">
              <w:noBreakHyphen/>
            </w:r>
            <w:r w:rsidRPr="003549E4">
              <w:t>0.01, 0.16)</w:t>
            </w:r>
          </w:p>
        </w:tc>
      </w:tr>
      <w:tr w:rsidR="00135C85" w:rsidRPr="003549E4" w14:paraId="274356AD" w14:textId="77777777" w:rsidTr="00135C85">
        <w:tc>
          <w:tcPr>
            <w:tcW w:w="862" w:type="pct"/>
            <w:vAlign w:val="center"/>
          </w:tcPr>
          <w:p w14:paraId="196E93E9" w14:textId="4D0B9A89" w:rsidR="0096784A" w:rsidRPr="003549E4" w:rsidRDefault="0096784A" w:rsidP="0096784A">
            <w:pPr>
              <w:pStyle w:val="Tabletext"/>
            </w:pPr>
            <w:proofErr w:type="spellStart"/>
            <w:r>
              <w:t>reSURFACE</w:t>
            </w:r>
            <w:proofErr w:type="spellEnd"/>
            <w:r>
              <w:t xml:space="preserve"> 2</w:t>
            </w:r>
          </w:p>
        </w:tc>
        <w:tc>
          <w:tcPr>
            <w:tcW w:w="864" w:type="pct"/>
            <w:vAlign w:val="center"/>
          </w:tcPr>
          <w:p w14:paraId="422D05F2" w14:textId="77777777" w:rsidR="0096784A" w:rsidRPr="003549E4" w:rsidRDefault="0096784A" w:rsidP="0096784A">
            <w:pPr>
              <w:pStyle w:val="Tabletext"/>
              <w:jc w:val="center"/>
            </w:pPr>
            <w:r w:rsidRPr="003549E4">
              <w:t>169/293 (57.7%)</w:t>
            </w:r>
          </w:p>
        </w:tc>
        <w:tc>
          <w:tcPr>
            <w:tcW w:w="866" w:type="pct"/>
            <w:vAlign w:val="center"/>
          </w:tcPr>
          <w:p w14:paraId="5449E683" w14:textId="77777777" w:rsidR="0096784A" w:rsidRPr="003549E4" w:rsidRDefault="0096784A" w:rsidP="0096784A">
            <w:pPr>
              <w:pStyle w:val="Tabletext"/>
              <w:jc w:val="center"/>
            </w:pPr>
            <w:r w:rsidRPr="003549E4">
              <w:t>161/290 (55.5%)</w:t>
            </w:r>
          </w:p>
        </w:tc>
        <w:tc>
          <w:tcPr>
            <w:tcW w:w="786" w:type="pct"/>
          </w:tcPr>
          <w:p w14:paraId="321D0203" w14:textId="77777777" w:rsidR="0096784A" w:rsidRPr="003549E4" w:rsidRDefault="0096784A" w:rsidP="0096784A">
            <w:pPr>
              <w:pStyle w:val="Tabletext"/>
              <w:jc w:val="center"/>
            </w:pPr>
            <w:r w:rsidRPr="003549E4">
              <w:t>1.09 (0.79, 1.52)</w:t>
            </w:r>
          </w:p>
        </w:tc>
        <w:tc>
          <w:tcPr>
            <w:tcW w:w="786" w:type="pct"/>
            <w:vAlign w:val="center"/>
          </w:tcPr>
          <w:p w14:paraId="1DE2FF70" w14:textId="77777777" w:rsidR="0096784A" w:rsidRPr="003549E4" w:rsidRDefault="0096784A" w:rsidP="0096784A">
            <w:pPr>
              <w:pStyle w:val="Tabletext"/>
              <w:jc w:val="center"/>
            </w:pPr>
            <w:r w:rsidRPr="003549E4">
              <w:t>1.04 (0.90, 1.20)</w:t>
            </w:r>
          </w:p>
        </w:tc>
        <w:tc>
          <w:tcPr>
            <w:tcW w:w="836" w:type="pct"/>
            <w:vAlign w:val="center"/>
          </w:tcPr>
          <w:p w14:paraId="286E3711" w14:textId="7B05438C" w:rsidR="0096784A" w:rsidRPr="003549E4" w:rsidRDefault="0096784A" w:rsidP="0096784A">
            <w:pPr>
              <w:pStyle w:val="Tabletext"/>
              <w:jc w:val="center"/>
            </w:pPr>
            <w:r w:rsidRPr="003549E4">
              <w:t>0.02 (</w:t>
            </w:r>
            <w:r w:rsidR="005F1191">
              <w:noBreakHyphen/>
            </w:r>
            <w:r w:rsidRPr="003549E4">
              <w:t>0.06, 0.10)</w:t>
            </w:r>
          </w:p>
        </w:tc>
      </w:tr>
      <w:tr w:rsidR="00CF243F" w:rsidRPr="003549E4" w14:paraId="1F93A49F" w14:textId="77777777" w:rsidTr="00135C85">
        <w:tc>
          <w:tcPr>
            <w:tcW w:w="2592" w:type="pct"/>
            <w:gridSpan w:val="3"/>
            <w:vAlign w:val="center"/>
          </w:tcPr>
          <w:p w14:paraId="5D60F9F8" w14:textId="74B2CAA1" w:rsidR="001308E9" w:rsidRPr="003549E4" w:rsidRDefault="001308E9">
            <w:pPr>
              <w:pStyle w:val="Tabletext"/>
              <w:jc w:val="right"/>
            </w:pPr>
            <w:r w:rsidRPr="003549E4">
              <w:t>Meta</w:t>
            </w:r>
            <w:r w:rsidR="005F1191">
              <w:noBreakHyphen/>
            </w:r>
            <w:r w:rsidRPr="003549E4">
              <w:t>analysis</w:t>
            </w:r>
          </w:p>
        </w:tc>
        <w:tc>
          <w:tcPr>
            <w:tcW w:w="786" w:type="pct"/>
          </w:tcPr>
          <w:p w14:paraId="6C62981A" w14:textId="77777777" w:rsidR="001308E9" w:rsidRPr="003549E4" w:rsidRDefault="001308E9">
            <w:pPr>
              <w:pStyle w:val="Tabletext"/>
              <w:jc w:val="center"/>
            </w:pPr>
            <w:r w:rsidRPr="003549E4">
              <w:t>1.21 (0.96, 1.53)</w:t>
            </w:r>
          </w:p>
        </w:tc>
        <w:tc>
          <w:tcPr>
            <w:tcW w:w="786" w:type="pct"/>
            <w:vAlign w:val="center"/>
          </w:tcPr>
          <w:p w14:paraId="1D7204B3" w14:textId="77777777" w:rsidR="001308E9" w:rsidRPr="003549E4" w:rsidRDefault="001308E9">
            <w:pPr>
              <w:pStyle w:val="Tabletext"/>
              <w:jc w:val="center"/>
            </w:pPr>
            <w:r w:rsidRPr="003549E4">
              <w:t>1.09 (0.98, 1.21)</w:t>
            </w:r>
          </w:p>
        </w:tc>
        <w:tc>
          <w:tcPr>
            <w:tcW w:w="836" w:type="pct"/>
            <w:vAlign w:val="center"/>
          </w:tcPr>
          <w:p w14:paraId="3A2B060B" w14:textId="4C79D991" w:rsidR="001308E9" w:rsidRPr="003549E4" w:rsidRDefault="001308E9">
            <w:pPr>
              <w:pStyle w:val="Tabletext"/>
              <w:jc w:val="center"/>
            </w:pPr>
            <w:r w:rsidRPr="003549E4">
              <w:t>0.05 (</w:t>
            </w:r>
            <w:r w:rsidR="005F1191">
              <w:noBreakHyphen/>
            </w:r>
            <w:r w:rsidRPr="003549E4">
              <w:t>0.01, 0.10)</w:t>
            </w:r>
          </w:p>
        </w:tc>
      </w:tr>
      <w:tr w:rsidR="00984B2F" w:rsidRPr="003549E4" w14:paraId="242A646C" w14:textId="77777777" w:rsidTr="00984B2F">
        <w:tc>
          <w:tcPr>
            <w:tcW w:w="5000" w:type="pct"/>
            <w:gridSpan w:val="6"/>
          </w:tcPr>
          <w:p w14:paraId="73B28F25" w14:textId="54889711" w:rsidR="00984B2F" w:rsidRPr="003549E4" w:rsidRDefault="00984B2F" w:rsidP="00984B2F">
            <w:pPr>
              <w:pStyle w:val="Tabletext"/>
              <w:rPr>
                <w:b/>
              </w:rPr>
            </w:pPr>
            <w:r w:rsidRPr="003549E4">
              <w:rPr>
                <w:b/>
              </w:rPr>
              <w:t>PASI100</w:t>
            </w:r>
          </w:p>
        </w:tc>
      </w:tr>
      <w:tr w:rsidR="00135C85" w:rsidRPr="003549E4" w14:paraId="09A7D103" w14:textId="77777777" w:rsidTr="00135C85">
        <w:tc>
          <w:tcPr>
            <w:tcW w:w="862" w:type="pct"/>
            <w:vAlign w:val="center"/>
          </w:tcPr>
          <w:p w14:paraId="095B3EF5" w14:textId="513448D1" w:rsidR="0096784A" w:rsidRPr="003549E4" w:rsidRDefault="0096784A" w:rsidP="0096784A">
            <w:pPr>
              <w:pStyle w:val="Tabletext"/>
            </w:pPr>
            <w:proofErr w:type="spellStart"/>
            <w:r>
              <w:t>reSURFACE</w:t>
            </w:r>
            <w:proofErr w:type="spellEnd"/>
            <w:r>
              <w:t xml:space="preserve"> 1</w:t>
            </w:r>
          </w:p>
        </w:tc>
        <w:tc>
          <w:tcPr>
            <w:tcW w:w="864" w:type="pct"/>
            <w:vAlign w:val="center"/>
          </w:tcPr>
          <w:p w14:paraId="0C8AE791" w14:textId="77777777" w:rsidR="0096784A" w:rsidRPr="003549E4" w:rsidRDefault="0096784A" w:rsidP="0096784A">
            <w:pPr>
              <w:pStyle w:val="Tabletext"/>
              <w:jc w:val="center"/>
            </w:pPr>
            <w:r w:rsidRPr="003549E4">
              <w:t>91/288 (31.6%)</w:t>
            </w:r>
          </w:p>
        </w:tc>
        <w:tc>
          <w:tcPr>
            <w:tcW w:w="866" w:type="pct"/>
            <w:vAlign w:val="center"/>
          </w:tcPr>
          <w:p w14:paraId="47E25FBF" w14:textId="77777777" w:rsidR="0096784A" w:rsidRPr="003549E4" w:rsidRDefault="0096784A" w:rsidP="0096784A">
            <w:pPr>
              <w:pStyle w:val="Tabletext"/>
              <w:jc w:val="center"/>
            </w:pPr>
            <w:r w:rsidRPr="003549E4">
              <w:t>67/285 (23.5%)</w:t>
            </w:r>
          </w:p>
        </w:tc>
        <w:tc>
          <w:tcPr>
            <w:tcW w:w="786" w:type="pct"/>
          </w:tcPr>
          <w:p w14:paraId="527FF375" w14:textId="77777777" w:rsidR="0096784A" w:rsidRPr="003549E4" w:rsidRDefault="0096784A" w:rsidP="0096784A">
            <w:pPr>
              <w:pStyle w:val="Tabletext"/>
              <w:jc w:val="center"/>
              <w:rPr>
                <w:b/>
                <w:bCs/>
              </w:rPr>
            </w:pPr>
            <w:r w:rsidRPr="003549E4">
              <w:rPr>
                <w:b/>
                <w:bCs/>
              </w:rPr>
              <w:t>1.50 (1.04, 2.18)</w:t>
            </w:r>
          </w:p>
        </w:tc>
        <w:tc>
          <w:tcPr>
            <w:tcW w:w="786" w:type="pct"/>
            <w:vAlign w:val="center"/>
          </w:tcPr>
          <w:p w14:paraId="11ABBDE0" w14:textId="77777777" w:rsidR="0096784A" w:rsidRPr="003549E4" w:rsidRDefault="0096784A" w:rsidP="0096784A">
            <w:pPr>
              <w:pStyle w:val="Tabletext"/>
              <w:jc w:val="center"/>
              <w:rPr>
                <w:b/>
                <w:bCs/>
              </w:rPr>
            </w:pPr>
            <w:r w:rsidRPr="003549E4">
              <w:rPr>
                <w:b/>
                <w:bCs/>
              </w:rPr>
              <w:t>1.34 (1.03, 1.76)</w:t>
            </w:r>
          </w:p>
        </w:tc>
        <w:tc>
          <w:tcPr>
            <w:tcW w:w="836" w:type="pct"/>
            <w:vAlign w:val="center"/>
          </w:tcPr>
          <w:p w14:paraId="04A00336" w14:textId="77777777" w:rsidR="0096784A" w:rsidRPr="003549E4" w:rsidRDefault="0096784A" w:rsidP="0096784A">
            <w:pPr>
              <w:pStyle w:val="Tabletext"/>
              <w:jc w:val="center"/>
              <w:rPr>
                <w:b/>
                <w:bCs/>
              </w:rPr>
            </w:pPr>
            <w:r w:rsidRPr="003549E4">
              <w:rPr>
                <w:b/>
                <w:bCs/>
              </w:rPr>
              <w:t>0.08 (0.01, 0.15)</w:t>
            </w:r>
          </w:p>
        </w:tc>
      </w:tr>
      <w:tr w:rsidR="00135C85" w:rsidRPr="003549E4" w14:paraId="7D851EE7" w14:textId="77777777" w:rsidTr="00135C85">
        <w:tc>
          <w:tcPr>
            <w:tcW w:w="862" w:type="pct"/>
            <w:vAlign w:val="center"/>
          </w:tcPr>
          <w:p w14:paraId="060A21E1" w14:textId="5DDA6BF7" w:rsidR="0096784A" w:rsidRPr="003549E4" w:rsidRDefault="0096784A" w:rsidP="0096784A">
            <w:pPr>
              <w:pStyle w:val="Tabletext"/>
            </w:pPr>
            <w:proofErr w:type="spellStart"/>
            <w:r>
              <w:t>reSURFACE</w:t>
            </w:r>
            <w:proofErr w:type="spellEnd"/>
            <w:r>
              <w:t xml:space="preserve"> 2</w:t>
            </w:r>
          </w:p>
        </w:tc>
        <w:tc>
          <w:tcPr>
            <w:tcW w:w="864" w:type="pct"/>
            <w:vAlign w:val="center"/>
          </w:tcPr>
          <w:p w14:paraId="4DC27AA5" w14:textId="77777777" w:rsidR="0096784A" w:rsidRPr="003549E4" w:rsidRDefault="0096784A" w:rsidP="0096784A">
            <w:pPr>
              <w:pStyle w:val="Tabletext"/>
              <w:jc w:val="center"/>
            </w:pPr>
            <w:r w:rsidRPr="003549E4">
              <w:t>79 /293 (27.0%)</w:t>
            </w:r>
          </w:p>
        </w:tc>
        <w:tc>
          <w:tcPr>
            <w:tcW w:w="866" w:type="pct"/>
            <w:vAlign w:val="center"/>
          </w:tcPr>
          <w:p w14:paraId="38E7F7D7" w14:textId="77777777" w:rsidR="0096784A" w:rsidRPr="003549E4" w:rsidRDefault="0096784A" w:rsidP="0096784A">
            <w:pPr>
              <w:pStyle w:val="Tabletext"/>
              <w:jc w:val="center"/>
            </w:pPr>
            <w:r w:rsidRPr="003549E4">
              <w:t>66/290 (22.8%)</w:t>
            </w:r>
          </w:p>
        </w:tc>
        <w:tc>
          <w:tcPr>
            <w:tcW w:w="786" w:type="pct"/>
          </w:tcPr>
          <w:p w14:paraId="361BBC29" w14:textId="77777777" w:rsidR="0096784A" w:rsidRPr="003549E4" w:rsidRDefault="0096784A" w:rsidP="0096784A">
            <w:pPr>
              <w:pStyle w:val="Tabletext"/>
              <w:jc w:val="center"/>
            </w:pPr>
            <w:r w:rsidRPr="003549E4">
              <w:t>1.25 (0.86, 1.83)</w:t>
            </w:r>
          </w:p>
        </w:tc>
        <w:tc>
          <w:tcPr>
            <w:tcW w:w="786" w:type="pct"/>
            <w:vAlign w:val="center"/>
          </w:tcPr>
          <w:p w14:paraId="610E4E8E" w14:textId="77777777" w:rsidR="0096784A" w:rsidRPr="003549E4" w:rsidRDefault="0096784A" w:rsidP="0096784A">
            <w:pPr>
              <w:pStyle w:val="Tabletext"/>
              <w:jc w:val="center"/>
            </w:pPr>
            <w:r w:rsidRPr="003549E4">
              <w:t>1.18 (0.89, 1.57)</w:t>
            </w:r>
          </w:p>
        </w:tc>
        <w:tc>
          <w:tcPr>
            <w:tcW w:w="836" w:type="pct"/>
            <w:vAlign w:val="center"/>
          </w:tcPr>
          <w:p w14:paraId="7CE8795F" w14:textId="01325700" w:rsidR="0096784A" w:rsidRPr="003549E4" w:rsidRDefault="0096784A" w:rsidP="0096784A">
            <w:pPr>
              <w:pStyle w:val="Tabletext"/>
              <w:jc w:val="center"/>
            </w:pPr>
            <w:r w:rsidRPr="003549E4">
              <w:t>0.04 (</w:t>
            </w:r>
            <w:r w:rsidR="005F1191">
              <w:noBreakHyphen/>
            </w:r>
            <w:r w:rsidRPr="003549E4">
              <w:t>0.03, 0.11)</w:t>
            </w:r>
          </w:p>
        </w:tc>
      </w:tr>
      <w:tr w:rsidR="00CF243F" w:rsidRPr="003549E4" w14:paraId="18DE8001" w14:textId="77777777" w:rsidTr="00135C85">
        <w:tc>
          <w:tcPr>
            <w:tcW w:w="2592" w:type="pct"/>
            <w:gridSpan w:val="3"/>
            <w:vAlign w:val="center"/>
          </w:tcPr>
          <w:p w14:paraId="76FF8B9C" w14:textId="530FC703" w:rsidR="001308E9" w:rsidRPr="003549E4" w:rsidRDefault="001308E9">
            <w:pPr>
              <w:pStyle w:val="Tabletext"/>
              <w:jc w:val="right"/>
            </w:pPr>
            <w:r w:rsidRPr="003549E4">
              <w:t>Meta</w:t>
            </w:r>
            <w:r w:rsidR="005F1191">
              <w:noBreakHyphen/>
            </w:r>
            <w:r w:rsidRPr="003549E4">
              <w:t>analysis</w:t>
            </w:r>
          </w:p>
        </w:tc>
        <w:tc>
          <w:tcPr>
            <w:tcW w:w="786" w:type="pct"/>
          </w:tcPr>
          <w:p w14:paraId="449BDE13" w14:textId="77777777" w:rsidR="001308E9" w:rsidRPr="003549E4" w:rsidRDefault="001308E9">
            <w:pPr>
              <w:pStyle w:val="Tabletext"/>
              <w:jc w:val="center"/>
              <w:rPr>
                <w:b/>
                <w:bCs/>
              </w:rPr>
            </w:pPr>
            <w:r w:rsidRPr="003549E4">
              <w:rPr>
                <w:b/>
                <w:bCs/>
              </w:rPr>
              <w:t>1.37 (1.06, 1.79)</w:t>
            </w:r>
          </w:p>
        </w:tc>
        <w:tc>
          <w:tcPr>
            <w:tcW w:w="786" w:type="pct"/>
            <w:vAlign w:val="center"/>
          </w:tcPr>
          <w:p w14:paraId="2AA3693A" w14:textId="77777777" w:rsidR="001308E9" w:rsidRPr="003549E4" w:rsidRDefault="001308E9">
            <w:pPr>
              <w:pStyle w:val="Tabletext"/>
              <w:jc w:val="center"/>
              <w:rPr>
                <w:b/>
                <w:bCs/>
              </w:rPr>
            </w:pPr>
            <w:r w:rsidRPr="003549E4">
              <w:rPr>
                <w:b/>
                <w:bCs/>
              </w:rPr>
              <w:t>1.27 (1.04, 1.54)</w:t>
            </w:r>
          </w:p>
        </w:tc>
        <w:tc>
          <w:tcPr>
            <w:tcW w:w="836" w:type="pct"/>
            <w:vAlign w:val="center"/>
          </w:tcPr>
          <w:p w14:paraId="5A08A63E" w14:textId="77777777" w:rsidR="001308E9" w:rsidRPr="003549E4" w:rsidRDefault="001308E9">
            <w:pPr>
              <w:pStyle w:val="Tabletext"/>
              <w:jc w:val="center"/>
              <w:rPr>
                <w:b/>
                <w:bCs/>
              </w:rPr>
            </w:pPr>
            <w:r w:rsidRPr="003549E4">
              <w:rPr>
                <w:b/>
                <w:bCs/>
              </w:rPr>
              <w:t>0.06 (0.01, 0.11)</w:t>
            </w:r>
          </w:p>
        </w:tc>
      </w:tr>
    </w:tbl>
    <w:p w14:paraId="734BF109" w14:textId="25C44961" w:rsidR="00190335" w:rsidRPr="00657A96" w:rsidRDefault="001308E9" w:rsidP="00B34B00">
      <w:pPr>
        <w:keepNext/>
        <w:keepLines/>
        <w:spacing w:after="120"/>
        <w:contextualSpacing/>
        <w:rPr>
          <w:rFonts w:ascii="Arial Narrow" w:hAnsi="Arial Narrow"/>
          <w:sz w:val="18"/>
          <w:szCs w:val="18"/>
        </w:rPr>
      </w:pPr>
      <w:r w:rsidRPr="00657A96">
        <w:rPr>
          <w:rFonts w:ascii="Arial Narrow" w:hAnsi="Arial Narrow"/>
          <w:sz w:val="18"/>
          <w:szCs w:val="18"/>
        </w:rPr>
        <w:t>Source: Table 2.3.1 pp41 and 42 of the Commentary on the JULY 208 submission.</w:t>
      </w:r>
      <w:r w:rsidR="005F1191">
        <w:rPr>
          <w:rFonts w:ascii="Arial Narrow" w:hAnsi="Arial Narrow"/>
          <w:sz w:val="18"/>
          <w:szCs w:val="18"/>
        </w:rPr>
        <w:t xml:space="preserve"> </w:t>
      </w:r>
    </w:p>
    <w:p w14:paraId="7D395431" w14:textId="7DB57835" w:rsidR="00135C85" w:rsidRPr="00657A96" w:rsidRDefault="00657A96" w:rsidP="00B34B00">
      <w:pPr>
        <w:keepNext/>
        <w:keepLines/>
        <w:spacing w:after="120"/>
        <w:contextualSpacing/>
        <w:rPr>
          <w:rFonts w:ascii="Arial Narrow" w:hAnsi="Arial Narrow"/>
          <w:sz w:val="18"/>
          <w:szCs w:val="18"/>
        </w:rPr>
      </w:pPr>
      <w:r w:rsidRPr="00657A96">
        <w:rPr>
          <w:rFonts w:ascii="Arial Narrow" w:hAnsi="Arial Narrow"/>
          <w:sz w:val="18"/>
          <w:szCs w:val="18"/>
        </w:rPr>
        <w:t xml:space="preserve">CI = confidence interval; </w:t>
      </w:r>
      <w:r w:rsidR="00F65FD0" w:rsidRPr="00657A96">
        <w:rPr>
          <w:rFonts w:ascii="Arial Narrow" w:hAnsi="Arial Narrow"/>
          <w:sz w:val="18"/>
          <w:szCs w:val="18"/>
        </w:rPr>
        <w:t>PASI75 = Psoriasis Activity and Severity Index score reduced by at least 75%; PASI90 = Psoriasis Activity and Severity Index score reduced by at least 90%; PASI100 = Psoriasis Activity and Severity Index score reduced by 100%</w:t>
      </w:r>
      <w:r w:rsidRPr="00657A96">
        <w:rPr>
          <w:rFonts w:ascii="Arial Narrow" w:hAnsi="Arial Narrow"/>
          <w:sz w:val="18"/>
          <w:szCs w:val="18"/>
        </w:rPr>
        <w:t>; TIL = tildrakizumab</w:t>
      </w:r>
    </w:p>
    <w:p w14:paraId="215D48FF" w14:textId="3A4997A0" w:rsidR="001308E9" w:rsidRPr="00657A96" w:rsidRDefault="001308E9" w:rsidP="001308E9">
      <w:pPr>
        <w:rPr>
          <w:rFonts w:ascii="Arial Narrow" w:hAnsi="Arial Narrow"/>
          <w:sz w:val="18"/>
          <w:szCs w:val="18"/>
        </w:rPr>
      </w:pPr>
      <w:r w:rsidRPr="00657A96">
        <w:rPr>
          <w:rFonts w:ascii="Arial Narrow" w:hAnsi="Arial Narrow"/>
          <w:sz w:val="18"/>
          <w:szCs w:val="18"/>
        </w:rPr>
        <w:t>^</w:t>
      </w:r>
      <w:r w:rsidR="00B34B00" w:rsidRPr="00657A96">
        <w:rPr>
          <w:rFonts w:ascii="Arial Narrow" w:hAnsi="Arial Narrow"/>
          <w:sz w:val="18"/>
          <w:szCs w:val="18"/>
        </w:rPr>
        <w:t xml:space="preserve"> E</w:t>
      </w:r>
      <w:r w:rsidRPr="00657A96">
        <w:rPr>
          <w:rFonts w:ascii="Arial Narrow" w:hAnsi="Arial Narrow"/>
          <w:sz w:val="18"/>
          <w:szCs w:val="18"/>
        </w:rPr>
        <w:t xml:space="preserve">stimated during the evaluation using </w:t>
      </w:r>
      <w:proofErr w:type="spellStart"/>
      <w:r w:rsidRPr="00657A96">
        <w:rPr>
          <w:rFonts w:ascii="Arial Narrow" w:hAnsi="Arial Narrow"/>
          <w:sz w:val="18"/>
          <w:szCs w:val="18"/>
        </w:rPr>
        <w:t>RevMan</w:t>
      </w:r>
      <w:proofErr w:type="spellEnd"/>
      <w:r w:rsidRPr="00657A96">
        <w:rPr>
          <w:rFonts w:ascii="Arial Narrow" w:hAnsi="Arial Narrow"/>
          <w:sz w:val="18"/>
          <w:szCs w:val="18"/>
        </w:rPr>
        <w:t xml:space="preserve"> Version 5.3</w:t>
      </w:r>
    </w:p>
    <w:p w14:paraId="627CF29A" w14:textId="7434171A" w:rsidR="003C1488" w:rsidRDefault="001308E9" w:rsidP="00F76F88">
      <w:r w:rsidRPr="00984B2F">
        <w:rPr>
          <w:rFonts w:ascii="Arial Narrow" w:hAnsi="Arial Narrow"/>
          <w:sz w:val="18"/>
          <w:szCs w:val="18"/>
          <w:vertAlign w:val="superscript"/>
        </w:rPr>
        <w:t>a</w:t>
      </w:r>
      <w:r w:rsidR="008F1F22" w:rsidRPr="00984B2F">
        <w:rPr>
          <w:rFonts w:ascii="Arial Narrow" w:hAnsi="Arial Narrow"/>
          <w:sz w:val="18"/>
          <w:szCs w:val="18"/>
          <w:vertAlign w:val="superscript"/>
        </w:rPr>
        <w:t xml:space="preserve"> </w:t>
      </w:r>
      <w:r w:rsidRPr="00984B2F">
        <w:rPr>
          <w:rFonts w:ascii="Arial Narrow" w:hAnsi="Arial Narrow"/>
          <w:sz w:val="18"/>
          <w:szCs w:val="18"/>
        </w:rPr>
        <w:t>Results at Week 16</w:t>
      </w:r>
      <w:r w:rsidR="00F518E1" w:rsidRPr="00984B2F">
        <w:rPr>
          <w:rFonts w:ascii="Arial Narrow" w:hAnsi="Arial Narrow"/>
          <w:sz w:val="18"/>
          <w:szCs w:val="18"/>
        </w:rPr>
        <w:t>.</w:t>
      </w:r>
      <w:r w:rsidR="00BC591F" w:rsidRPr="00984B2F">
        <w:rPr>
          <w:color w:val="0066FF"/>
        </w:rPr>
        <w:t xml:space="preserve"> </w:t>
      </w:r>
    </w:p>
    <w:p w14:paraId="0167414D" w14:textId="0AD14ECC" w:rsidR="00F020DB" w:rsidRDefault="00BE5663" w:rsidP="00F020DB">
      <w:pPr>
        <w:pStyle w:val="3-BodyText"/>
        <w:rPr>
          <w:i/>
          <w:iCs/>
        </w:rPr>
      </w:pPr>
      <w:r>
        <w:t xml:space="preserve">In </w:t>
      </w:r>
      <w:r w:rsidR="00B34B00">
        <w:t xml:space="preserve">the </w:t>
      </w:r>
      <w:proofErr w:type="spellStart"/>
      <w:r>
        <w:t>reSURFACE</w:t>
      </w:r>
      <w:proofErr w:type="spellEnd"/>
      <w:r>
        <w:t xml:space="preserve"> 1 and </w:t>
      </w:r>
      <w:proofErr w:type="spellStart"/>
      <w:r>
        <w:t>reSURFACE</w:t>
      </w:r>
      <w:proofErr w:type="spellEnd"/>
      <w:r>
        <w:t xml:space="preserve"> 2</w:t>
      </w:r>
      <w:r w:rsidR="00B34B00">
        <w:t xml:space="preserve"> trials,</w:t>
      </w:r>
      <w:r>
        <w:t xml:space="preserve"> patients randomised to the </w:t>
      </w:r>
      <w:r w:rsidR="00B34B00">
        <w:t xml:space="preserve">TIL </w:t>
      </w:r>
      <w:r>
        <w:t xml:space="preserve">100 mg dose </w:t>
      </w:r>
      <w:r w:rsidR="00586D7D">
        <w:t xml:space="preserve">until </w:t>
      </w:r>
      <w:r w:rsidR="00B34B00">
        <w:t xml:space="preserve">Week </w:t>
      </w:r>
      <w:r>
        <w:t xml:space="preserve">28 </w:t>
      </w:r>
      <w:r w:rsidR="00586D7D">
        <w:t xml:space="preserve">and </w:t>
      </w:r>
      <w:r>
        <w:t>who achieved a PASI50 response</w:t>
      </w:r>
      <w:r w:rsidR="00B34B00">
        <w:t>,</w:t>
      </w:r>
      <w:r>
        <w:t xml:space="preserve"> but not a PASI75 response</w:t>
      </w:r>
      <w:r w:rsidR="00B34B00">
        <w:t>,</w:t>
      </w:r>
      <w:r>
        <w:t xml:space="preserve"> were re</w:t>
      </w:r>
      <w:r w:rsidR="005F1191">
        <w:noBreakHyphen/>
      </w:r>
      <w:r>
        <w:t xml:space="preserve">randomised to either continue </w:t>
      </w:r>
      <w:r w:rsidR="00B34B00">
        <w:t xml:space="preserve">TIL </w:t>
      </w:r>
      <w:r>
        <w:t xml:space="preserve">100 mg or receive </w:t>
      </w:r>
      <w:r w:rsidR="00B34B00">
        <w:t xml:space="preserve">TIL </w:t>
      </w:r>
      <w:r>
        <w:t xml:space="preserve">200 mg </w:t>
      </w:r>
      <w:r w:rsidR="00586D7D">
        <w:t xml:space="preserve">until </w:t>
      </w:r>
      <w:r w:rsidR="00B34B00">
        <w:t xml:space="preserve">Week </w:t>
      </w:r>
      <w:r>
        <w:t>52.</w:t>
      </w:r>
      <w:r w:rsidR="005F1191">
        <w:t xml:space="preserve"> </w:t>
      </w:r>
      <w:r>
        <w:t xml:space="preserve">Data on their responses </w:t>
      </w:r>
      <w:r w:rsidR="001A7C8A">
        <w:t>following re</w:t>
      </w:r>
      <w:r w:rsidR="005F1191">
        <w:noBreakHyphen/>
      </w:r>
      <w:r w:rsidR="001A7C8A">
        <w:t xml:space="preserve">randomisation </w:t>
      </w:r>
      <w:r>
        <w:t xml:space="preserve">were not included in the published reports, the July 2018 submission, or the current submission. In the current submission the reason given </w:t>
      </w:r>
      <w:r w:rsidR="00CF3F6F">
        <w:t xml:space="preserve">for not including this data </w:t>
      </w:r>
      <w:r>
        <w:t xml:space="preserve">was that these patients would not be eligible for continuing treatment under </w:t>
      </w:r>
      <w:r w:rsidRPr="00590DBA">
        <w:t>the current PBS restriction</w:t>
      </w:r>
      <w:r w:rsidR="00CF3F6F" w:rsidRPr="00590DBA">
        <w:t>; however</w:t>
      </w:r>
      <w:r w:rsidRPr="00590DBA">
        <w:t>, the results are relevant to the likelihood of an increased dose of TIL producing an increased response</w:t>
      </w:r>
      <w:r w:rsidR="006D44A3" w:rsidRPr="00590DBA">
        <w:t xml:space="preserve"> in continuing treatment</w:t>
      </w:r>
      <w:r w:rsidRPr="00590DBA">
        <w:t>.</w:t>
      </w:r>
      <w:r w:rsidRPr="00663409">
        <w:rPr>
          <w:i/>
          <w:iCs/>
        </w:rPr>
        <w:t xml:space="preserve"> </w:t>
      </w:r>
    </w:p>
    <w:p w14:paraId="2A98BA1A" w14:textId="1DDA5199" w:rsidR="00BE5198" w:rsidRPr="00F020DB" w:rsidRDefault="004B0461" w:rsidP="00F020DB">
      <w:pPr>
        <w:pStyle w:val="3-BodyText"/>
        <w:rPr>
          <w:i/>
          <w:iCs/>
        </w:rPr>
      </w:pPr>
      <w:r w:rsidRPr="00FA1E46">
        <w:t>The o</w:t>
      </w:r>
      <w:r w:rsidR="00BE5663" w:rsidRPr="00FA1E46">
        <w:t xml:space="preserve">utcomes for patients who had a PASI50 but not PASI75 response to TIL 100 mg and were randomised to continue either TIL 100 mg or TIL 200 mg were included in the EMA </w:t>
      </w:r>
      <w:r w:rsidR="00BE5663" w:rsidRPr="00FA1E46">
        <w:lastRenderedPageBreak/>
        <w:t>Evaluation Report for TIL.</w:t>
      </w:r>
      <w:r w:rsidR="00BE5663" w:rsidRPr="00CE4AC2">
        <w:rPr>
          <w:rStyle w:val="FootnoteReference"/>
          <w:color w:val="000000" w:themeColor="text1"/>
        </w:rPr>
        <w:footnoteReference w:id="3"/>
      </w:r>
      <w:r w:rsidR="00BE5663" w:rsidRPr="00FA1E46">
        <w:t xml:space="preserve"> </w:t>
      </w:r>
      <w:r w:rsidR="00176C98" w:rsidRPr="00FA1E46">
        <w:t xml:space="preserve">In pooled data from </w:t>
      </w:r>
      <w:proofErr w:type="spellStart"/>
      <w:r w:rsidR="00176C98" w:rsidRPr="00FA1E46">
        <w:t>reSURFACE</w:t>
      </w:r>
      <w:proofErr w:type="spellEnd"/>
      <w:r w:rsidR="00176C98" w:rsidRPr="00FA1E46">
        <w:t xml:space="preserve"> 1 and 2</w:t>
      </w:r>
      <w:r w:rsidR="00BE5663" w:rsidRPr="00FA1E46">
        <w:t xml:space="preserve"> the proportion </w:t>
      </w:r>
      <w:r w:rsidR="00176C98" w:rsidRPr="00FA1E46">
        <w:t xml:space="preserve">with PASI75 at </w:t>
      </w:r>
      <w:r w:rsidR="0022747F" w:rsidRPr="00FA1E46">
        <w:t xml:space="preserve">Week </w:t>
      </w:r>
      <w:r w:rsidR="00176C98" w:rsidRPr="00FA1E46">
        <w:t xml:space="preserve">52 was 23/40 (57.5%) among those continuing on </w:t>
      </w:r>
      <w:r w:rsidR="0022747F" w:rsidRPr="00FA1E46">
        <w:t xml:space="preserve">TIL </w:t>
      </w:r>
      <w:r w:rsidR="00176C98" w:rsidRPr="00FA1E46">
        <w:t xml:space="preserve">100 mg and 24/40 (60.0%) among those increasing to </w:t>
      </w:r>
      <w:r w:rsidR="0022747F" w:rsidRPr="00FA1E46">
        <w:t xml:space="preserve">TIL </w:t>
      </w:r>
      <w:r w:rsidR="00176C98" w:rsidRPr="00FA1E46">
        <w:t>200 mg.</w:t>
      </w:r>
      <w:r w:rsidR="005F1191">
        <w:t xml:space="preserve"> </w:t>
      </w:r>
    </w:p>
    <w:p w14:paraId="0BBC7CFE" w14:textId="2AB6F9D3" w:rsidR="00BC5691" w:rsidRPr="00590DBA" w:rsidRDefault="00BE5198" w:rsidP="003C1488">
      <w:pPr>
        <w:pStyle w:val="3-BodyText"/>
        <w:rPr>
          <w:color w:val="000000" w:themeColor="text1"/>
        </w:rPr>
      </w:pPr>
      <w:r w:rsidRPr="00590DBA">
        <w:rPr>
          <w:color w:val="000000" w:themeColor="text1"/>
        </w:rPr>
        <w:t>I</w:t>
      </w:r>
      <w:r w:rsidR="00176C98" w:rsidRPr="00590DBA">
        <w:rPr>
          <w:color w:val="000000" w:themeColor="text1"/>
        </w:rPr>
        <w:t xml:space="preserve">mprovements to PASI90 and PASI100 </w:t>
      </w:r>
      <w:r w:rsidR="006D44A3" w:rsidRPr="00590DBA">
        <w:rPr>
          <w:color w:val="000000" w:themeColor="text1"/>
        </w:rPr>
        <w:t>were</w:t>
      </w:r>
      <w:r w:rsidRPr="00590DBA">
        <w:rPr>
          <w:color w:val="000000" w:themeColor="text1"/>
        </w:rPr>
        <w:t xml:space="preserve"> </w:t>
      </w:r>
      <w:r w:rsidRPr="00CE4AC2">
        <w:rPr>
          <w:color w:val="000000" w:themeColor="text1"/>
        </w:rPr>
        <w:t>more</w:t>
      </w:r>
      <w:r w:rsidRPr="00590DBA">
        <w:rPr>
          <w:color w:val="000000" w:themeColor="text1"/>
        </w:rPr>
        <w:t xml:space="preserve"> common among those continuing on </w:t>
      </w:r>
      <w:r w:rsidR="004B0461" w:rsidRPr="00590DBA">
        <w:rPr>
          <w:color w:val="000000" w:themeColor="text1"/>
        </w:rPr>
        <w:t xml:space="preserve">TIL </w:t>
      </w:r>
      <w:r w:rsidRPr="00590DBA">
        <w:rPr>
          <w:color w:val="000000" w:themeColor="text1"/>
        </w:rPr>
        <w:t>100</w:t>
      </w:r>
      <w:r w:rsidR="00E246F8" w:rsidRPr="00590DBA">
        <w:rPr>
          <w:color w:val="000000" w:themeColor="text1"/>
        </w:rPr>
        <w:t xml:space="preserve"> m</w:t>
      </w:r>
      <w:r w:rsidRPr="00590DBA">
        <w:rPr>
          <w:color w:val="000000" w:themeColor="text1"/>
        </w:rPr>
        <w:t xml:space="preserve">g: </w:t>
      </w:r>
      <w:r w:rsidR="00176C98" w:rsidRPr="00590DBA">
        <w:rPr>
          <w:color w:val="000000" w:themeColor="text1"/>
        </w:rPr>
        <w:t xml:space="preserve">11/40 (27.5%) and 6/40 (15.0%) reached PASI90 in the continuing </w:t>
      </w:r>
      <w:r w:rsidR="004B0461" w:rsidRPr="00590DBA">
        <w:rPr>
          <w:color w:val="000000" w:themeColor="text1"/>
        </w:rPr>
        <w:t xml:space="preserve">TIL </w:t>
      </w:r>
      <w:r w:rsidR="00176C98" w:rsidRPr="00590DBA">
        <w:rPr>
          <w:color w:val="000000" w:themeColor="text1"/>
        </w:rPr>
        <w:t>100</w:t>
      </w:r>
      <w:r w:rsidR="00115942" w:rsidRPr="00590DBA">
        <w:rPr>
          <w:color w:val="000000" w:themeColor="text1"/>
        </w:rPr>
        <w:t xml:space="preserve"> </w:t>
      </w:r>
      <w:r w:rsidR="00176C98" w:rsidRPr="00590DBA">
        <w:rPr>
          <w:color w:val="000000" w:themeColor="text1"/>
        </w:rPr>
        <w:t xml:space="preserve">mg and increasing to </w:t>
      </w:r>
      <w:r w:rsidR="004B0461" w:rsidRPr="00590DBA">
        <w:rPr>
          <w:color w:val="000000" w:themeColor="text1"/>
        </w:rPr>
        <w:t xml:space="preserve">TIL </w:t>
      </w:r>
      <w:r w:rsidR="00176C98" w:rsidRPr="00590DBA">
        <w:rPr>
          <w:color w:val="000000" w:themeColor="text1"/>
        </w:rPr>
        <w:t>200</w:t>
      </w:r>
      <w:r w:rsidR="00115942" w:rsidRPr="00590DBA">
        <w:rPr>
          <w:color w:val="000000" w:themeColor="text1"/>
        </w:rPr>
        <w:t xml:space="preserve"> </w:t>
      </w:r>
      <w:r w:rsidR="00176C98" w:rsidRPr="00590DBA">
        <w:rPr>
          <w:color w:val="000000" w:themeColor="text1"/>
        </w:rPr>
        <w:t>mg groups respectively</w:t>
      </w:r>
      <w:r w:rsidRPr="00590DBA">
        <w:rPr>
          <w:color w:val="000000" w:themeColor="text1"/>
        </w:rPr>
        <w:t>, and</w:t>
      </w:r>
      <w:r w:rsidR="00176C98" w:rsidRPr="00590DBA">
        <w:rPr>
          <w:color w:val="000000" w:themeColor="text1"/>
        </w:rPr>
        <w:t xml:space="preserve"> 7/40 (17.5%) and 2/40 (5.0%) reached PASI100 in the continuing </w:t>
      </w:r>
      <w:r w:rsidR="004B0461" w:rsidRPr="00590DBA">
        <w:rPr>
          <w:color w:val="000000" w:themeColor="text1"/>
        </w:rPr>
        <w:t xml:space="preserve">TIL </w:t>
      </w:r>
      <w:r w:rsidR="00176C98" w:rsidRPr="00590DBA">
        <w:rPr>
          <w:color w:val="000000" w:themeColor="text1"/>
        </w:rPr>
        <w:t>100</w:t>
      </w:r>
      <w:r w:rsidR="00115942" w:rsidRPr="00590DBA">
        <w:rPr>
          <w:color w:val="000000" w:themeColor="text1"/>
        </w:rPr>
        <w:t xml:space="preserve"> </w:t>
      </w:r>
      <w:r w:rsidR="00176C98" w:rsidRPr="00590DBA">
        <w:rPr>
          <w:color w:val="000000" w:themeColor="text1"/>
        </w:rPr>
        <w:t xml:space="preserve">mg and increasing to </w:t>
      </w:r>
      <w:r w:rsidR="004B0461" w:rsidRPr="00590DBA">
        <w:rPr>
          <w:color w:val="000000" w:themeColor="text1"/>
        </w:rPr>
        <w:t xml:space="preserve">TIL </w:t>
      </w:r>
      <w:r w:rsidR="00176C98" w:rsidRPr="00590DBA">
        <w:rPr>
          <w:color w:val="000000" w:themeColor="text1"/>
        </w:rPr>
        <w:t>200</w:t>
      </w:r>
      <w:r w:rsidR="00115942" w:rsidRPr="00590DBA">
        <w:rPr>
          <w:color w:val="000000" w:themeColor="text1"/>
        </w:rPr>
        <w:t xml:space="preserve"> </w:t>
      </w:r>
      <w:r w:rsidR="00176C98" w:rsidRPr="00590DBA">
        <w:rPr>
          <w:color w:val="000000" w:themeColor="text1"/>
        </w:rPr>
        <w:t>mg groups respectively.</w:t>
      </w:r>
    </w:p>
    <w:p w14:paraId="0B6D4284" w14:textId="6BDA9864" w:rsidR="00E246F8" w:rsidRPr="00590DBA" w:rsidRDefault="00BE5198" w:rsidP="003C1488">
      <w:pPr>
        <w:pStyle w:val="3-BodyText"/>
        <w:rPr>
          <w:color w:val="000000" w:themeColor="text1"/>
        </w:rPr>
      </w:pPr>
      <w:r w:rsidRPr="00590DBA">
        <w:rPr>
          <w:color w:val="000000" w:themeColor="text1"/>
        </w:rPr>
        <w:t xml:space="preserve">The proportions </w:t>
      </w:r>
      <w:r w:rsidR="006D44A3" w:rsidRPr="00590DBA">
        <w:rPr>
          <w:color w:val="000000" w:themeColor="text1"/>
        </w:rPr>
        <w:t xml:space="preserve">of initially unresponsive patients </w:t>
      </w:r>
      <w:r w:rsidRPr="00590DBA">
        <w:rPr>
          <w:color w:val="000000" w:themeColor="text1"/>
        </w:rPr>
        <w:t xml:space="preserve">responding at </w:t>
      </w:r>
      <w:r w:rsidR="00115942" w:rsidRPr="00590DBA">
        <w:rPr>
          <w:color w:val="000000" w:themeColor="text1"/>
        </w:rPr>
        <w:t>PASI75, PASI90 and PASI100</w:t>
      </w:r>
      <w:r w:rsidR="006D44A3" w:rsidRPr="00590DBA">
        <w:rPr>
          <w:color w:val="000000" w:themeColor="text1"/>
        </w:rPr>
        <w:t xml:space="preserve"> after 52 weeks </w:t>
      </w:r>
      <w:r w:rsidR="009F10ED" w:rsidRPr="00590DBA">
        <w:rPr>
          <w:color w:val="000000" w:themeColor="text1"/>
        </w:rPr>
        <w:t>we</w:t>
      </w:r>
      <w:r w:rsidRPr="00590DBA">
        <w:rPr>
          <w:color w:val="000000" w:themeColor="text1"/>
        </w:rPr>
        <w:t>re</w:t>
      </w:r>
      <w:r w:rsidR="006D44A3" w:rsidRPr="00590DBA">
        <w:rPr>
          <w:color w:val="000000" w:themeColor="text1"/>
        </w:rPr>
        <w:t xml:space="preserve"> </w:t>
      </w:r>
      <w:r w:rsidRPr="00590DBA">
        <w:rPr>
          <w:color w:val="000000" w:themeColor="text1"/>
        </w:rPr>
        <w:t xml:space="preserve">less than </w:t>
      </w:r>
      <w:r w:rsidR="00115942" w:rsidRPr="00590DBA">
        <w:rPr>
          <w:color w:val="000000" w:themeColor="text1"/>
        </w:rPr>
        <w:t>the proportion</w:t>
      </w:r>
      <w:r w:rsidR="009F10ED" w:rsidRPr="00590DBA">
        <w:rPr>
          <w:color w:val="000000" w:themeColor="text1"/>
        </w:rPr>
        <w:t xml:space="preserve"> of all randomised patients</w:t>
      </w:r>
      <w:r w:rsidR="00115942" w:rsidRPr="00590DBA">
        <w:rPr>
          <w:color w:val="000000" w:themeColor="text1"/>
        </w:rPr>
        <w:t xml:space="preserve"> responding</w:t>
      </w:r>
      <w:r w:rsidRPr="00590DBA">
        <w:rPr>
          <w:color w:val="000000" w:themeColor="text1"/>
        </w:rPr>
        <w:t xml:space="preserve"> at </w:t>
      </w:r>
      <w:r w:rsidR="00B47D9B" w:rsidRPr="00590DBA">
        <w:rPr>
          <w:color w:val="000000" w:themeColor="text1"/>
        </w:rPr>
        <w:t xml:space="preserve">Week </w:t>
      </w:r>
      <w:r w:rsidR="006D44A3" w:rsidRPr="00590DBA">
        <w:rPr>
          <w:color w:val="000000" w:themeColor="text1"/>
        </w:rPr>
        <w:t>28</w:t>
      </w:r>
      <w:r w:rsidRPr="00590DBA">
        <w:rPr>
          <w:color w:val="000000" w:themeColor="text1"/>
        </w:rPr>
        <w:t xml:space="preserve"> </w:t>
      </w:r>
      <w:r w:rsidR="006D44A3" w:rsidRPr="00590DBA">
        <w:rPr>
          <w:color w:val="000000" w:themeColor="text1"/>
        </w:rPr>
        <w:t>(75</w:t>
      </w:r>
      <w:r w:rsidR="005F1191">
        <w:rPr>
          <w:color w:val="000000" w:themeColor="text1"/>
        </w:rPr>
        <w:noBreakHyphen/>
      </w:r>
      <w:r w:rsidR="006D44A3" w:rsidRPr="00590DBA">
        <w:rPr>
          <w:color w:val="000000" w:themeColor="text1"/>
        </w:rPr>
        <w:t>80%, 50</w:t>
      </w:r>
      <w:r w:rsidR="005F1191">
        <w:rPr>
          <w:color w:val="000000" w:themeColor="text1"/>
        </w:rPr>
        <w:noBreakHyphen/>
      </w:r>
      <w:r w:rsidR="006D44A3" w:rsidRPr="00590DBA">
        <w:rPr>
          <w:color w:val="000000" w:themeColor="text1"/>
        </w:rPr>
        <w:t>55% and 23</w:t>
      </w:r>
      <w:r w:rsidR="005F1191">
        <w:rPr>
          <w:color w:val="000000" w:themeColor="text1"/>
        </w:rPr>
        <w:noBreakHyphen/>
      </w:r>
      <w:r w:rsidR="006D44A3" w:rsidRPr="00590DBA">
        <w:rPr>
          <w:color w:val="000000" w:themeColor="text1"/>
        </w:rPr>
        <w:t>24%, respectively, see Table 7)</w:t>
      </w:r>
      <w:r w:rsidRPr="00590DBA">
        <w:rPr>
          <w:color w:val="000000" w:themeColor="text1"/>
        </w:rPr>
        <w:t xml:space="preserve">. </w:t>
      </w:r>
      <w:r w:rsidRPr="00221516">
        <w:rPr>
          <w:color w:val="000000" w:themeColor="text1"/>
        </w:rPr>
        <w:t>These</w:t>
      </w:r>
      <w:r w:rsidR="00E246F8" w:rsidRPr="00221516">
        <w:rPr>
          <w:color w:val="000000" w:themeColor="text1"/>
        </w:rPr>
        <w:t xml:space="preserve"> </w:t>
      </w:r>
      <w:r w:rsidRPr="00221516">
        <w:rPr>
          <w:color w:val="000000" w:themeColor="text1"/>
        </w:rPr>
        <w:t xml:space="preserve">results do not support </w:t>
      </w:r>
      <w:r w:rsidR="00115942" w:rsidRPr="00221516">
        <w:rPr>
          <w:color w:val="000000" w:themeColor="text1"/>
        </w:rPr>
        <w:t xml:space="preserve">a claim that </w:t>
      </w:r>
      <w:r w:rsidRPr="00221516">
        <w:rPr>
          <w:color w:val="000000" w:themeColor="text1"/>
        </w:rPr>
        <w:t xml:space="preserve">dose escalation </w:t>
      </w:r>
      <w:r w:rsidR="00115942" w:rsidRPr="00221516">
        <w:rPr>
          <w:color w:val="000000" w:themeColor="text1"/>
        </w:rPr>
        <w:t xml:space="preserve">is an effective strategy </w:t>
      </w:r>
      <w:r w:rsidRPr="00221516">
        <w:rPr>
          <w:color w:val="000000" w:themeColor="text1"/>
        </w:rPr>
        <w:t>in patients with an unsatisfactory initial response</w:t>
      </w:r>
      <w:r w:rsidR="00115942" w:rsidRPr="00221516">
        <w:rPr>
          <w:color w:val="000000" w:themeColor="text1"/>
        </w:rPr>
        <w:t xml:space="preserve"> to TIL</w:t>
      </w:r>
      <w:r w:rsidR="001B2021" w:rsidRPr="00221516">
        <w:rPr>
          <w:color w:val="000000" w:themeColor="text1"/>
        </w:rPr>
        <w:t xml:space="preserve"> 100 mg</w:t>
      </w:r>
      <w:r w:rsidRPr="00221516">
        <w:rPr>
          <w:color w:val="000000" w:themeColor="text1"/>
        </w:rPr>
        <w:t>.</w:t>
      </w:r>
      <w:r w:rsidRPr="00590DBA">
        <w:rPr>
          <w:color w:val="000000" w:themeColor="text1"/>
        </w:rPr>
        <w:t xml:space="preserve"> </w:t>
      </w:r>
    </w:p>
    <w:p w14:paraId="7B575A12" w14:textId="4934085C" w:rsidR="006B27ED" w:rsidRPr="00590DBA" w:rsidRDefault="006B27ED" w:rsidP="006B27ED">
      <w:pPr>
        <w:pStyle w:val="3-BodyText"/>
      </w:pPr>
      <w:r w:rsidRPr="00590DBA">
        <w:t xml:space="preserve">Although randomisation in the </w:t>
      </w:r>
      <w:proofErr w:type="spellStart"/>
      <w:r w:rsidRPr="00590DBA">
        <w:t>reSURFACE</w:t>
      </w:r>
      <w:proofErr w:type="spellEnd"/>
      <w:r w:rsidRPr="00590DBA">
        <w:t xml:space="preserve"> trials was stratified by body weight less than or greater than 90 kg</w:t>
      </w:r>
      <w:r w:rsidR="00FA1E46" w:rsidRPr="00590DBA">
        <w:t>,</w:t>
      </w:r>
      <w:r w:rsidRPr="00590DBA">
        <w:t xml:space="preserve"> </w:t>
      </w:r>
      <w:r w:rsidR="00CC3BF2" w:rsidRPr="00590DBA">
        <w:t xml:space="preserve">response </w:t>
      </w:r>
      <w:r w:rsidRPr="00590DBA">
        <w:t>data for these groups was not presented in the submission in 2018,</w:t>
      </w:r>
      <w:r w:rsidR="00181936" w:rsidRPr="00590DBA">
        <w:t xml:space="preserve"> or</w:t>
      </w:r>
      <w:r w:rsidRPr="00590DBA">
        <w:t xml:space="preserve"> in the present submission. </w:t>
      </w:r>
    </w:p>
    <w:p w14:paraId="61275F58" w14:textId="388514AA" w:rsidR="006B27ED" w:rsidRPr="00590DBA" w:rsidRDefault="00181936" w:rsidP="006B27ED">
      <w:pPr>
        <w:pStyle w:val="3-BodyText"/>
      </w:pPr>
      <w:r w:rsidRPr="00590DBA">
        <w:t>A</w:t>
      </w:r>
      <w:r w:rsidR="006B27ED" w:rsidRPr="00590DBA">
        <w:t xml:space="preserve"> </w:t>
      </w:r>
      <w:r w:rsidR="006B27ED" w:rsidRPr="00C90B26">
        <w:rPr>
          <w:i/>
          <w:iCs/>
        </w:rPr>
        <w:t>post</w:t>
      </w:r>
      <w:r w:rsidR="005F1191">
        <w:rPr>
          <w:i/>
          <w:iCs/>
        </w:rPr>
        <w:noBreakHyphen/>
      </w:r>
      <w:r w:rsidR="006B27ED" w:rsidRPr="00C90B26">
        <w:rPr>
          <w:i/>
          <w:iCs/>
        </w:rPr>
        <w:t>hoc</w:t>
      </w:r>
      <w:r w:rsidR="006B27ED" w:rsidRPr="00590DBA">
        <w:t xml:space="preserve"> re</w:t>
      </w:r>
      <w:r w:rsidR="005F1191">
        <w:noBreakHyphen/>
      </w:r>
      <w:r w:rsidR="006B27ED" w:rsidRPr="00590DBA">
        <w:t xml:space="preserve">analysis of the </w:t>
      </w:r>
      <w:proofErr w:type="spellStart"/>
      <w:r w:rsidR="006B27ED" w:rsidRPr="00590DBA">
        <w:t>reSURFACE</w:t>
      </w:r>
      <w:proofErr w:type="spellEnd"/>
      <w:r w:rsidR="006B27ED" w:rsidRPr="00590DBA">
        <w:t xml:space="preserve"> trials </w:t>
      </w:r>
      <w:r w:rsidR="009A4A08" w:rsidRPr="00590DBA">
        <w:t>(Thaci</w:t>
      </w:r>
      <w:r w:rsidR="00F960A4" w:rsidRPr="00590DBA">
        <w:t>, 2022</w:t>
      </w:r>
      <w:r w:rsidR="00F960A4" w:rsidRPr="00590DBA">
        <w:rPr>
          <w:rStyle w:val="FootnoteReference"/>
        </w:rPr>
        <w:footnoteReference w:id="4"/>
      </w:r>
      <w:r w:rsidR="00F960A4" w:rsidRPr="00590DBA">
        <w:t xml:space="preserve">) </w:t>
      </w:r>
      <w:r w:rsidR="006B27ED" w:rsidRPr="00590DBA">
        <w:t>provide</w:t>
      </w:r>
      <w:r w:rsidR="00F960A4" w:rsidRPr="00590DBA">
        <w:t>d</w:t>
      </w:r>
      <w:r w:rsidR="006B27ED" w:rsidRPr="00590DBA">
        <w:t xml:space="preserve"> data on the effect of body weight on responses. This analysis was not included in the submission</w:t>
      </w:r>
      <w:r w:rsidR="000554E6" w:rsidRPr="00590DBA">
        <w:t>.</w:t>
      </w:r>
    </w:p>
    <w:p w14:paraId="3E81A815" w14:textId="2A8A937D" w:rsidR="006B27ED" w:rsidRPr="00590DBA" w:rsidRDefault="006B27ED" w:rsidP="006B27ED">
      <w:pPr>
        <w:pStyle w:val="3-BodyText"/>
      </w:pPr>
      <w:r w:rsidRPr="00590DBA">
        <w:t xml:space="preserve">Interpretation of the </w:t>
      </w:r>
      <w:r w:rsidRPr="00C90B26">
        <w:rPr>
          <w:i/>
          <w:iCs/>
        </w:rPr>
        <w:t>post</w:t>
      </w:r>
      <w:r w:rsidR="005F1191">
        <w:rPr>
          <w:i/>
          <w:iCs/>
        </w:rPr>
        <w:noBreakHyphen/>
      </w:r>
      <w:r w:rsidRPr="00C90B26">
        <w:rPr>
          <w:i/>
          <w:iCs/>
        </w:rPr>
        <w:t>hoc</w:t>
      </w:r>
      <w:r w:rsidRPr="00590DBA">
        <w:t xml:space="preserve"> re</w:t>
      </w:r>
      <w:r w:rsidR="005F1191">
        <w:noBreakHyphen/>
      </w:r>
      <w:r w:rsidRPr="00590DBA">
        <w:t xml:space="preserve">analysis is complicated because the specified primary outcome in the trials (PASI75) was not </w:t>
      </w:r>
      <w:r w:rsidR="00814024" w:rsidRPr="00590DBA">
        <w:t>used</w:t>
      </w:r>
      <w:r w:rsidRPr="00590DBA">
        <w:t xml:space="preserve">, instead responses were defined as </w:t>
      </w:r>
      <w:r w:rsidR="00E44DA7">
        <w:br/>
      </w:r>
      <w:r w:rsidRPr="00590DBA">
        <w:t xml:space="preserve">PASI &lt; 3 </w:t>
      </w:r>
      <w:r w:rsidR="00814024" w:rsidRPr="00590DBA">
        <w:t>or</w:t>
      </w:r>
      <w:r w:rsidRPr="00590DBA">
        <w:t xml:space="preserve"> DLQI 0 or 1. The results are shown in</w:t>
      </w:r>
      <w:r w:rsidR="00E44DA7">
        <w:t xml:space="preserve"> </w:t>
      </w:r>
      <w:r w:rsidR="00E44DA7">
        <w:fldChar w:fldCharType="begin"/>
      </w:r>
      <w:r w:rsidR="00E44DA7">
        <w:instrText xml:space="preserve"> REF _Ref225949021 \h </w:instrText>
      </w:r>
      <w:r w:rsidR="00E44DA7">
        <w:fldChar w:fldCharType="separate"/>
      </w:r>
      <w:r w:rsidR="00E44DA7">
        <w:t xml:space="preserve">Table </w:t>
      </w:r>
      <w:r w:rsidR="00E44DA7">
        <w:rPr>
          <w:noProof/>
        </w:rPr>
        <w:t>7</w:t>
      </w:r>
      <w:r w:rsidR="00E44DA7">
        <w:fldChar w:fldCharType="end"/>
      </w:r>
      <w:r w:rsidRPr="00590DBA">
        <w:t>. Numbers of patients in each group are shown in</w:t>
      </w:r>
      <w:r w:rsidR="00395672" w:rsidRPr="00590DBA">
        <w:t xml:space="preserve"> </w:t>
      </w:r>
      <w:r w:rsidR="00E44DA7">
        <w:fldChar w:fldCharType="begin"/>
      </w:r>
      <w:r w:rsidR="00E44DA7">
        <w:instrText xml:space="preserve"> REF _Ref225949043 \h </w:instrText>
      </w:r>
      <w:r w:rsidR="00E44DA7">
        <w:fldChar w:fldCharType="separate"/>
      </w:r>
      <w:r w:rsidR="00E44DA7">
        <w:t xml:space="preserve">Table </w:t>
      </w:r>
      <w:r w:rsidR="00E44DA7">
        <w:rPr>
          <w:noProof/>
        </w:rPr>
        <w:t>8</w:t>
      </w:r>
      <w:r w:rsidR="00E44DA7">
        <w:fldChar w:fldCharType="end"/>
      </w:r>
      <w:r w:rsidRPr="00590DBA">
        <w:t xml:space="preserve">. </w:t>
      </w:r>
    </w:p>
    <w:p w14:paraId="0F1A03CD" w14:textId="4EFE3A6F" w:rsidR="006B27ED" w:rsidRPr="0063200F" w:rsidRDefault="00E44DA7" w:rsidP="00E44DA7">
      <w:pPr>
        <w:pStyle w:val="Caption"/>
      </w:pPr>
      <w:bookmarkStart w:id="27" w:name="_Ref225949021"/>
      <w:r>
        <w:t xml:space="preserve">Table </w:t>
      </w:r>
      <w:fldSimple w:instr=" SEQ Table \* ARABIC ">
        <w:r>
          <w:rPr>
            <w:noProof/>
          </w:rPr>
          <w:t>7</w:t>
        </w:r>
      </w:fldSimple>
      <w:bookmarkEnd w:id="27"/>
      <w:r w:rsidR="003559F8" w:rsidRPr="0063200F">
        <w:t xml:space="preserve">: </w:t>
      </w:r>
      <w:r w:rsidR="006B27ED" w:rsidRPr="0063200F">
        <w:t xml:space="preserve">Responses (PASI &lt; 3 and DLQI 0 or 1) at week 28 according to body weight in pooled </w:t>
      </w:r>
      <w:proofErr w:type="spellStart"/>
      <w:r w:rsidR="006B27ED" w:rsidRPr="0063200F">
        <w:t>reSURFACE</w:t>
      </w:r>
      <w:proofErr w:type="spellEnd"/>
      <w:r w:rsidR="006B27ED" w:rsidRPr="0063200F">
        <w:t xml:space="preserve"> 1 and 2.</w:t>
      </w:r>
    </w:p>
    <w:tbl>
      <w:tblPr>
        <w:tblStyle w:val="TableGrid"/>
        <w:tblW w:w="5000" w:type="pct"/>
        <w:tblLook w:val="04A0" w:firstRow="1" w:lastRow="0" w:firstColumn="1" w:lastColumn="0" w:noHBand="0" w:noVBand="1"/>
        <w:tblCaption w:val="Table 7: Responses (PASI &lt; 3 and DLQI 0 or 1) at week 28 according to body weight in pooled reSURFACE 1 and 2."/>
      </w:tblPr>
      <w:tblGrid>
        <w:gridCol w:w="1837"/>
        <w:gridCol w:w="1837"/>
        <w:gridCol w:w="1836"/>
        <w:gridCol w:w="1836"/>
        <w:gridCol w:w="1836"/>
      </w:tblGrid>
      <w:tr w:rsidR="00F960A4" w:rsidRPr="00C90B26" w14:paraId="13CC7697" w14:textId="77777777" w:rsidTr="00F960A4">
        <w:tc>
          <w:tcPr>
            <w:tcW w:w="1000" w:type="pct"/>
            <w:vMerge w:val="restart"/>
          </w:tcPr>
          <w:p w14:paraId="74107E9A" w14:textId="77777777" w:rsidR="00F960A4" w:rsidRPr="00C90B26" w:rsidRDefault="00F960A4">
            <w:pPr>
              <w:pStyle w:val="TableFigureHeading"/>
            </w:pPr>
          </w:p>
        </w:tc>
        <w:tc>
          <w:tcPr>
            <w:tcW w:w="2000" w:type="pct"/>
            <w:gridSpan w:val="2"/>
          </w:tcPr>
          <w:p w14:paraId="37D5BD73" w14:textId="77777777" w:rsidR="00F960A4" w:rsidRPr="00C90B26" w:rsidRDefault="00F960A4" w:rsidP="00657A96">
            <w:pPr>
              <w:pStyle w:val="TableFigureHeading"/>
              <w:jc w:val="center"/>
            </w:pPr>
            <w:r w:rsidRPr="00C90B26">
              <w:t>PASI &lt; 3, % responders (95% CI)</w:t>
            </w:r>
          </w:p>
        </w:tc>
        <w:tc>
          <w:tcPr>
            <w:tcW w:w="2000" w:type="pct"/>
            <w:gridSpan w:val="2"/>
          </w:tcPr>
          <w:p w14:paraId="1DD1C703" w14:textId="77777777" w:rsidR="00F960A4" w:rsidRPr="00C90B26" w:rsidRDefault="00F960A4" w:rsidP="00657A96">
            <w:pPr>
              <w:pStyle w:val="TableFigureHeading"/>
              <w:jc w:val="center"/>
            </w:pPr>
            <w:r w:rsidRPr="00C90B26">
              <w:t>DLQI 0 or 1, % responders (95% CI)</w:t>
            </w:r>
          </w:p>
        </w:tc>
      </w:tr>
      <w:tr w:rsidR="00F960A4" w:rsidRPr="00C90B26" w14:paraId="79D339C0" w14:textId="77777777" w:rsidTr="000220ED">
        <w:tc>
          <w:tcPr>
            <w:tcW w:w="1000" w:type="pct"/>
            <w:vMerge/>
          </w:tcPr>
          <w:p w14:paraId="25EE30AF" w14:textId="77777777" w:rsidR="00F960A4" w:rsidRPr="00C90B26" w:rsidRDefault="00F960A4">
            <w:pPr>
              <w:pStyle w:val="TableFigureHeading"/>
            </w:pPr>
          </w:p>
        </w:tc>
        <w:tc>
          <w:tcPr>
            <w:tcW w:w="1000" w:type="pct"/>
          </w:tcPr>
          <w:p w14:paraId="3DCE7B65" w14:textId="676902D3" w:rsidR="00F960A4" w:rsidRPr="00C90B26" w:rsidRDefault="00657A96" w:rsidP="00657A96">
            <w:pPr>
              <w:pStyle w:val="TableFigureHeading"/>
              <w:jc w:val="center"/>
            </w:pPr>
            <w:r w:rsidRPr="00C90B26">
              <w:t xml:space="preserve"> TIL </w:t>
            </w:r>
            <w:r w:rsidR="00F960A4" w:rsidRPr="00C90B26">
              <w:t>100 mg</w:t>
            </w:r>
          </w:p>
        </w:tc>
        <w:tc>
          <w:tcPr>
            <w:tcW w:w="1000" w:type="pct"/>
          </w:tcPr>
          <w:p w14:paraId="3560B905" w14:textId="0EE58225" w:rsidR="00F960A4" w:rsidRPr="00C90B26" w:rsidRDefault="00657A96" w:rsidP="00657A96">
            <w:pPr>
              <w:pStyle w:val="TableFigureHeading"/>
              <w:jc w:val="center"/>
            </w:pPr>
            <w:r w:rsidRPr="00C90B26">
              <w:t xml:space="preserve">TIL </w:t>
            </w:r>
            <w:r w:rsidR="00F960A4" w:rsidRPr="00C90B26">
              <w:t>200 mg</w:t>
            </w:r>
          </w:p>
        </w:tc>
        <w:tc>
          <w:tcPr>
            <w:tcW w:w="1000" w:type="pct"/>
          </w:tcPr>
          <w:p w14:paraId="5AA6BACC" w14:textId="50C10C19" w:rsidR="00F960A4" w:rsidRPr="00C90B26" w:rsidRDefault="00657A96" w:rsidP="00657A96">
            <w:pPr>
              <w:pStyle w:val="TableFigureHeading"/>
              <w:jc w:val="center"/>
            </w:pPr>
            <w:r w:rsidRPr="00C90B26">
              <w:t xml:space="preserve">TIL </w:t>
            </w:r>
            <w:r w:rsidR="00F960A4" w:rsidRPr="00C90B26">
              <w:t>100 mg</w:t>
            </w:r>
          </w:p>
        </w:tc>
        <w:tc>
          <w:tcPr>
            <w:tcW w:w="1000" w:type="pct"/>
          </w:tcPr>
          <w:p w14:paraId="495916F9" w14:textId="4C014A1A" w:rsidR="00F960A4" w:rsidRPr="00C90B26" w:rsidRDefault="00657A96" w:rsidP="00657A96">
            <w:pPr>
              <w:pStyle w:val="TableFigureHeading"/>
              <w:jc w:val="center"/>
            </w:pPr>
            <w:r w:rsidRPr="00C90B26">
              <w:t xml:space="preserve">TIL </w:t>
            </w:r>
            <w:r w:rsidR="00F960A4" w:rsidRPr="00C90B26">
              <w:t>200 mg</w:t>
            </w:r>
          </w:p>
        </w:tc>
      </w:tr>
      <w:tr w:rsidR="006B27ED" w:rsidRPr="00C90B26" w14:paraId="2E3252E6" w14:textId="77777777" w:rsidTr="000220ED">
        <w:tc>
          <w:tcPr>
            <w:tcW w:w="1000" w:type="pct"/>
          </w:tcPr>
          <w:p w14:paraId="375B7F26" w14:textId="13CC2284" w:rsidR="006B27ED" w:rsidRPr="00C90B26" w:rsidRDefault="006B27ED">
            <w:pPr>
              <w:pStyle w:val="TableFigureHeading"/>
              <w:rPr>
                <w:b w:val="0"/>
                <w:bCs w:val="0"/>
              </w:rPr>
            </w:pPr>
            <w:r w:rsidRPr="00C90B26">
              <w:rPr>
                <w:b w:val="0"/>
                <w:bCs w:val="0"/>
              </w:rPr>
              <w:t>&lt;</w:t>
            </w:r>
            <w:r w:rsidR="00657A96" w:rsidRPr="00C90B26">
              <w:rPr>
                <w:b w:val="0"/>
                <w:bCs w:val="0"/>
              </w:rPr>
              <w:t xml:space="preserve"> </w:t>
            </w:r>
            <w:r w:rsidRPr="00C90B26">
              <w:rPr>
                <w:b w:val="0"/>
                <w:bCs w:val="0"/>
              </w:rPr>
              <w:t>90 kg</w:t>
            </w:r>
          </w:p>
        </w:tc>
        <w:tc>
          <w:tcPr>
            <w:tcW w:w="1000" w:type="pct"/>
          </w:tcPr>
          <w:p w14:paraId="4C29AD25" w14:textId="77777777" w:rsidR="006B27ED" w:rsidRPr="00C90B26" w:rsidRDefault="006B27ED" w:rsidP="00657A96">
            <w:pPr>
              <w:pStyle w:val="TableFigureHeading"/>
              <w:jc w:val="center"/>
              <w:rPr>
                <w:b w:val="0"/>
                <w:bCs w:val="0"/>
              </w:rPr>
            </w:pPr>
            <w:r w:rsidRPr="00C90B26">
              <w:rPr>
                <w:b w:val="0"/>
                <w:bCs w:val="0"/>
              </w:rPr>
              <w:t>69.0 (63.7, 73.9)</w:t>
            </w:r>
          </w:p>
        </w:tc>
        <w:tc>
          <w:tcPr>
            <w:tcW w:w="1000" w:type="pct"/>
          </w:tcPr>
          <w:p w14:paraId="75E44432" w14:textId="77777777" w:rsidR="006B27ED" w:rsidRPr="00C90B26" w:rsidRDefault="006B27ED" w:rsidP="00657A96">
            <w:pPr>
              <w:pStyle w:val="TableFigureHeading"/>
              <w:jc w:val="center"/>
              <w:rPr>
                <w:b w:val="0"/>
                <w:bCs w:val="0"/>
              </w:rPr>
            </w:pPr>
            <w:r w:rsidRPr="00C90B26">
              <w:rPr>
                <w:b w:val="0"/>
                <w:bCs w:val="0"/>
              </w:rPr>
              <w:t>70.0 (64.8, 74.8)</w:t>
            </w:r>
          </w:p>
        </w:tc>
        <w:tc>
          <w:tcPr>
            <w:tcW w:w="1000" w:type="pct"/>
          </w:tcPr>
          <w:p w14:paraId="5119379C" w14:textId="77777777" w:rsidR="006B27ED" w:rsidRPr="00C90B26" w:rsidRDefault="006B27ED" w:rsidP="00657A96">
            <w:pPr>
              <w:pStyle w:val="TableFigureHeading"/>
              <w:jc w:val="center"/>
              <w:rPr>
                <w:b w:val="0"/>
                <w:bCs w:val="0"/>
              </w:rPr>
            </w:pPr>
            <w:r w:rsidRPr="00C90B26">
              <w:rPr>
                <w:b w:val="0"/>
                <w:bCs w:val="0"/>
              </w:rPr>
              <w:t>56.0 (50.5, 61.4)</w:t>
            </w:r>
          </w:p>
        </w:tc>
        <w:tc>
          <w:tcPr>
            <w:tcW w:w="1000" w:type="pct"/>
          </w:tcPr>
          <w:p w14:paraId="4F7748D7" w14:textId="77777777" w:rsidR="006B27ED" w:rsidRPr="00C90B26" w:rsidRDefault="006B27ED" w:rsidP="00657A96">
            <w:pPr>
              <w:pStyle w:val="TableFigureHeading"/>
              <w:jc w:val="center"/>
              <w:rPr>
                <w:b w:val="0"/>
                <w:bCs w:val="0"/>
              </w:rPr>
            </w:pPr>
            <w:r w:rsidRPr="00C90B26">
              <w:rPr>
                <w:b w:val="0"/>
                <w:bCs w:val="0"/>
              </w:rPr>
              <w:t>62.1 (56.7, 67.2)</w:t>
            </w:r>
          </w:p>
        </w:tc>
      </w:tr>
      <w:tr w:rsidR="006B27ED" w:rsidRPr="00C90B26" w14:paraId="0A874451" w14:textId="77777777" w:rsidTr="000220ED">
        <w:tc>
          <w:tcPr>
            <w:tcW w:w="1000" w:type="pct"/>
          </w:tcPr>
          <w:p w14:paraId="5BA2FF85" w14:textId="00B07221" w:rsidR="006B27ED" w:rsidRPr="00C90B26" w:rsidRDefault="006B27ED">
            <w:pPr>
              <w:pStyle w:val="TableFigureHeading"/>
              <w:rPr>
                <w:b w:val="0"/>
                <w:bCs w:val="0"/>
              </w:rPr>
            </w:pPr>
            <w:r w:rsidRPr="00C90B26">
              <w:rPr>
                <w:b w:val="0"/>
                <w:bCs w:val="0"/>
              </w:rPr>
              <w:sym w:font="Symbol" w:char="F0B3"/>
            </w:r>
            <w:r w:rsidR="00657A96" w:rsidRPr="00C90B26">
              <w:rPr>
                <w:b w:val="0"/>
                <w:bCs w:val="0"/>
              </w:rPr>
              <w:t xml:space="preserve"> </w:t>
            </w:r>
            <w:r w:rsidRPr="00C90B26">
              <w:rPr>
                <w:b w:val="0"/>
                <w:bCs w:val="0"/>
              </w:rPr>
              <w:t>90 kg</w:t>
            </w:r>
          </w:p>
        </w:tc>
        <w:tc>
          <w:tcPr>
            <w:tcW w:w="1000" w:type="pct"/>
          </w:tcPr>
          <w:p w14:paraId="1731737A" w14:textId="77777777" w:rsidR="006B27ED" w:rsidRPr="00C90B26" w:rsidRDefault="006B27ED" w:rsidP="00657A96">
            <w:pPr>
              <w:pStyle w:val="TableFigureHeading"/>
              <w:jc w:val="center"/>
              <w:rPr>
                <w:b w:val="0"/>
                <w:bCs w:val="0"/>
              </w:rPr>
            </w:pPr>
            <w:r w:rsidRPr="00C90B26">
              <w:rPr>
                <w:b w:val="0"/>
                <w:bCs w:val="0"/>
              </w:rPr>
              <w:t>59.2 (53.0, 65.2)</w:t>
            </w:r>
          </w:p>
        </w:tc>
        <w:tc>
          <w:tcPr>
            <w:tcW w:w="1000" w:type="pct"/>
          </w:tcPr>
          <w:p w14:paraId="5F27C0D9" w14:textId="77777777" w:rsidR="006B27ED" w:rsidRPr="00C90B26" w:rsidRDefault="006B27ED" w:rsidP="00657A96">
            <w:pPr>
              <w:pStyle w:val="TableFigureHeading"/>
              <w:jc w:val="center"/>
              <w:rPr>
                <w:b w:val="0"/>
                <w:bCs w:val="0"/>
              </w:rPr>
            </w:pPr>
            <w:r w:rsidRPr="00C90B26">
              <w:rPr>
                <w:b w:val="0"/>
                <w:bCs w:val="0"/>
              </w:rPr>
              <w:t>66.3 (60.1, 72.1)</w:t>
            </w:r>
          </w:p>
        </w:tc>
        <w:tc>
          <w:tcPr>
            <w:tcW w:w="1000" w:type="pct"/>
          </w:tcPr>
          <w:p w14:paraId="131E2126" w14:textId="77777777" w:rsidR="006B27ED" w:rsidRPr="00C90B26" w:rsidRDefault="006B27ED" w:rsidP="00657A96">
            <w:pPr>
              <w:pStyle w:val="TableFigureHeading"/>
              <w:jc w:val="center"/>
              <w:rPr>
                <w:b w:val="0"/>
                <w:bCs w:val="0"/>
              </w:rPr>
            </w:pPr>
            <w:r w:rsidRPr="00C90B26">
              <w:rPr>
                <w:b w:val="0"/>
                <w:bCs w:val="0"/>
              </w:rPr>
              <w:t>49.0 (42.8, 55.2)</w:t>
            </w:r>
          </w:p>
        </w:tc>
        <w:tc>
          <w:tcPr>
            <w:tcW w:w="1000" w:type="pct"/>
          </w:tcPr>
          <w:p w14:paraId="05EA59E4" w14:textId="77777777" w:rsidR="006B27ED" w:rsidRPr="00C90B26" w:rsidRDefault="006B27ED" w:rsidP="00657A96">
            <w:pPr>
              <w:pStyle w:val="TableFigureHeading"/>
              <w:jc w:val="center"/>
              <w:rPr>
                <w:b w:val="0"/>
                <w:bCs w:val="0"/>
              </w:rPr>
            </w:pPr>
            <w:r w:rsidRPr="00C90B26">
              <w:rPr>
                <w:b w:val="0"/>
                <w:bCs w:val="0"/>
              </w:rPr>
              <w:t>55.4 (49.1, 61.6)</w:t>
            </w:r>
          </w:p>
        </w:tc>
      </w:tr>
      <w:tr w:rsidR="006B27ED" w:rsidRPr="00C90B26" w14:paraId="3576559A" w14:textId="77777777" w:rsidTr="000220ED">
        <w:tc>
          <w:tcPr>
            <w:tcW w:w="1000" w:type="pct"/>
          </w:tcPr>
          <w:p w14:paraId="02548BA8" w14:textId="25E67621" w:rsidR="006B27ED" w:rsidRPr="00C90B26" w:rsidRDefault="006B27ED">
            <w:pPr>
              <w:pStyle w:val="TableFigureHeading"/>
              <w:rPr>
                <w:b w:val="0"/>
                <w:bCs w:val="0"/>
              </w:rPr>
            </w:pPr>
            <w:r w:rsidRPr="00C90B26">
              <w:rPr>
                <w:b w:val="0"/>
                <w:bCs w:val="0"/>
              </w:rPr>
              <w:t>&lt;</w:t>
            </w:r>
            <w:r w:rsidR="00657A96" w:rsidRPr="00C90B26">
              <w:rPr>
                <w:b w:val="0"/>
                <w:bCs w:val="0"/>
              </w:rPr>
              <w:t xml:space="preserve"> </w:t>
            </w:r>
            <w:r w:rsidRPr="00C90B26">
              <w:rPr>
                <w:b w:val="0"/>
                <w:bCs w:val="0"/>
              </w:rPr>
              <w:t>120 kg</w:t>
            </w:r>
          </w:p>
        </w:tc>
        <w:tc>
          <w:tcPr>
            <w:tcW w:w="1000" w:type="pct"/>
          </w:tcPr>
          <w:p w14:paraId="007E504D" w14:textId="77777777" w:rsidR="006B27ED" w:rsidRPr="00C90B26" w:rsidRDefault="006B27ED" w:rsidP="00657A96">
            <w:pPr>
              <w:pStyle w:val="TableFigureHeading"/>
              <w:jc w:val="center"/>
              <w:rPr>
                <w:b w:val="0"/>
                <w:bCs w:val="0"/>
              </w:rPr>
            </w:pPr>
            <w:r w:rsidRPr="00C90B26">
              <w:rPr>
                <w:b w:val="0"/>
                <w:bCs w:val="0"/>
              </w:rPr>
              <w:t>66.4 (62.2, 70.4)</w:t>
            </w:r>
          </w:p>
        </w:tc>
        <w:tc>
          <w:tcPr>
            <w:tcW w:w="1000" w:type="pct"/>
          </w:tcPr>
          <w:p w14:paraId="08DB4A28" w14:textId="77777777" w:rsidR="006B27ED" w:rsidRPr="00C90B26" w:rsidRDefault="006B27ED" w:rsidP="00657A96">
            <w:pPr>
              <w:pStyle w:val="TableFigureHeading"/>
              <w:jc w:val="center"/>
              <w:rPr>
                <w:b w:val="0"/>
                <w:bCs w:val="0"/>
              </w:rPr>
            </w:pPr>
            <w:r w:rsidRPr="00C90B26">
              <w:rPr>
                <w:b w:val="0"/>
                <w:bCs w:val="0"/>
              </w:rPr>
              <w:t>68.7 (64.6, 72.6)</w:t>
            </w:r>
          </w:p>
        </w:tc>
        <w:tc>
          <w:tcPr>
            <w:tcW w:w="1000" w:type="pct"/>
          </w:tcPr>
          <w:p w14:paraId="5FB8A323" w14:textId="77777777" w:rsidR="006B27ED" w:rsidRPr="00C90B26" w:rsidRDefault="006B27ED" w:rsidP="00657A96">
            <w:pPr>
              <w:pStyle w:val="TableFigureHeading"/>
              <w:jc w:val="center"/>
              <w:rPr>
                <w:b w:val="0"/>
                <w:bCs w:val="0"/>
              </w:rPr>
            </w:pPr>
            <w:r w:rsidRPr="00C90B26">
              <w:rPr>
                <w:b w:val="0"/>
                <w:bCs w:val="0"/>
              </w:rPr>
              <w:t>54.3 (50.0, 58.6)</w:t>
            </w:r>
          </w:p>
        </w:tc>
        <w:tc>
          <w:tcPr>
            <w:tcW w:w="1000" w:type="pct"/>
          </w:tcPr>
          <w:p w14:paraId="49574EC9" w14:textId="77777777" w:rsidR="006B27ED" w:rsidRPr="00C90B26" w:rsidRDefault="006B27ED" w:rsidP="00657A96">
            <w:pPr>
              <w:pStyle w:val="TableFigureHeading"/>
              <w:jc w:val="center"/>
              <w:rPr>
                <w:b w:val="0"/>
                <w:bCs w:val="0"/>
              </w:rPr>
            </w:pPr>
            <w:r w:rsidRPr="00C90B26">
              <w:rPr>
                <w:b w:val="0"/>
                <w:bCs w:val="0"/>
              </w:rPr>
              <w:t>59.6 (55.3, 53.7)</w:t>
            </w:r>
          </w:p>
        </w:tc>
      </w:tr>
      <w:tr w:rsidR="006B27ED" w:rsidRPr="00C90B26" w14:paraId="120B09A2" w14:textId="77777777" w:rsidTr="000220ED">
        <w:tc>
          <w:tcPr>
            <w:tcW w:w="1000" w:type="pct"/>
          </w:tcPr>
          <w:p w14:paraId="17BED3F5" w14:textId="7B9BDB95" w:rsidR="006B27ED" w:rsidRPr="00C90B26" w:rsidRDefault="006B27ED">
            <w:pPr>
              <w:pStyle w:val="TableFigureHeading"/>
              <w:rPr>
                <w:b w:val="0"/>
                <w:bCs w:val="0"/>
              </w:rPr>
            </w:pPr>
            <w:r w:rsidRPr="00C90B26">
              <w:rPr>
                <w:b w:val="0"/>
                <w:bCs w:val="0"/>
              </w:rPr>
              <w:sym w:font="Symbol" w:char="F0B3"/>
            </w:r>
            <w:r w:rsidR="00657A96" w:rsidRPr="00C90B26">
              <w:rPr>
                <w:b w:val="0"/>
                <w:bCs w:val="0"/>
              </w:rPr>
              <w:t xml:space="preserve"> </w:t>
            </w:r>
            <w:r w:rsidRPr="00C90B26">
              <w:rPr>
                <w:b w:val="0"/>
                <w:bCs w:val="0"/>
              </w:rPr>
              <w:t>120 kg</w:t>
            </w:r>
          </w:p>
        </w:tc>
        <w:tc>
          <w:tcPr>
            <w:tcW w:w="1000" w:type="pct"/>
          </w:tcPr>
          <w:p w14:paraId="0ED61DC5" w14:textId="77777777" w:rsidR="006B27ED" w:rsidRPr="00C90B26" w:rsidRDefault="006B27ED" w:rsidP="00657A96">
            <w:pPr>
              <w:pStyle w:val="TableFigureHeading"/>
              <w:jc w:val="center"/>
              <w:rPr>
                <w:b w:val="0"/>
                <w:bCs w:val="0"/>
              </w:rPr>
            </w:pPr>
            <w:r w:rsidRPr="00C90B26">
              <w:rPr>
                <w:b w:val="0"/>
                <w:bCs w:val="0"/>
              </w:rPr>
              <w:t>48.8 (35.3, 62.4)</w:t>
            </w:r>
          </w:p>
        </w:tc>
        <w:tc>
          <w:tcPr>
            <w:tcW w:w="1000" w:type="pct"/>
          </w:tcPr>
          <w:p w14:paraId="4740D825" w14:textId="77777777" w:rsidR="006B27ED" w:rsidRPr="00C90B26" w:rsidRDefault="006B27ED" w:rsidP="00657A96">
            <w:pPr>
              <w:pStyle w:val="TableFigureHeading"/>
              <w:jc w:val="center"/>
              <w:rPr>
                <w:b w:val="0"/>
                <w:bCs w:val="0"/>
              </w:rPr>
            </w:pPr>
            <w:r w:rsidRPr="00C90B26">
              <w:rPr>
                <w:b w:val="0"/>
                <w:bCs w:val="0"/>
              </w:rPr>
              <w:t>65.2 (50.4, 78.1)</w:t>
            </w:r>
          </w:p>
        </w:tc>
        <w:tc>
          <w:tcPr>
            <w:tcW w:w="1000" w:type="pct"/>
          </w:tcPr>
          <w:p w14:paraId="1DB0EB85" w14:textId="77777777" w:rsidR="006B27ED" w:rsidRPr="00C90B26" w:rsidRDefault="006B27ED" w:rsidP="00657A96">
            <w:pPr>
              <w:pStyle w:val="TableFigureHeading"/>
              <w:jc w:val="center"/>
              <w:rPr>
                <w:b w:val="0"/>
                <w:bCs w:val="0"/>
              </w:rPr>
            </w:pPr>
            <w:r w:rsidRPr="00C90B26">
              <w:rPr>
                <w:b w:val="0"/>
                <w:bCs w:val="0"/>
              </w:rPr>
              <w:t>40.0 (27.3, 53.8)</w:t>
            </w:r>
          </w:p>
        </w:tc>
        <w:tc>
          <w:tcPr>
            <w:tcW w:w="1000" w:type="pct"/>
          </w:tcPr>
          <w:p w14:paraId="27480C42" w14:textId="77777777" w:rsidR="006B27ED" w:rsidRPr="00C90B26" w:rsidRDefault="006B27ED" w:rsidP="00657A96">
            <w:pPr>
              <w:pStyle w:val="TableFigureHeading"/>
              <w:jc w:val="center"/>
              <w:rPr>
                <w:b w:val="0"/>
                <w:bCs w:val="0"/>
              </w:rPr>
            </w:pPr>
            <w:r w:rsidRPr="00C90B26">
              <w:rPr>
                <w:b w:val="0"/>
                <w:bCs w:val="0"/>
              </w:rPr>
              <w:t>55.4 (40.7, 69.5)</w:t>
            </w:r>
          </w:p>
        </w:tc>
      </w:tr>
    </w:tbl>
    <w:p w14:paraId="4C7D5488" w14:textId="77777777" w:rsidR="006B27ED" w:rsidRPr="00C90B26" w:rsidRDefault="006B27ED" w:rsidP="00657A96">
      <w:pPr>
        <w:pStyle w:val="TableFigureFooter"/>
        <w:rPr>
          <w:i w:val="0"/>
          <w:iCs w:val="0"/>
        </w:rPr>
      </w:pPr>
      <w:r w:rsidRPr="00C90B26">
        <w:rPr>
          <w:i w:val="0"/>
          <w:iCs w:val="0"/>
        </w:rPr>
        <w:t xml:space="preserve">Source: Thaci 2022, Table 1. </w:t>
      </w:r>
    </w:p>
    <w:p w14:paraId="7F20C696" w14:textId="09456A4A" w:rsidR="006B27ED" w:rsidRPr="00C90B26" w:rsidRDefault="006B27ED" w:rsidP="00657A96">
      <w:pPr>
        <w:pStyle w:val="TableFigureFooter"/>
        <w:rPr>
          <w:i w:val="0"/>
          <w:iCs w:val="0"/>
        </w:rPr>
      </w:pPr>
      <w:r w:rsidRPr="00C90B26">
        <w:rPr>
          <w:i w:val="0"/>
          <w:iCs w:val="0"/>
        </w:rPr>
        <w:t xml:space="preserve">CI = confidence interval; DLQI = dermatology life quality index; PASI = </w:t>
      </w:r>
      <w:r w:rsidR="00657A96" w:rsidRPr="00C90B26">
        <w:rPr>
          <w:i w:val="0"/>
          <w:iCs w:val="0"/>
        </w:rPr>
        <w:t>P</w:t>
      </w:r>
      <w:r w:rsidRPr="00C90B26">
        <w:rPr>
          <w:i w:val="0"/>
          <w:iCs w:val="0"/>
        </w:rPr>
        <w:t xml:space="preserve">soriasis </w:t>
      </w:r>
      <w:r w:rsidR="00657A96" w:rsidRPr="00C90B26">
        <w:rPr>
          <w:i w:val="0"/>
          <w:iCs w:val="0"/>
        </w:rPr>
        <w:t>A</w:t>
      </w:r>
      <w:r w:rsidRPr="00C90B26">
        <w:rPr>
          <w:i w:val="0"/>
          <w:iCs w:val="0"/>
        </w:rPr>
        <w:t xml:space="preserve">rea and </w:t>
      </w:r>
      <w:r w:rsidR="00657A96" w:rsidRPr="00C90B26">
        <w:rPr>
          <w:i w:val="0"/>
          <w:iCs w:val="0"/>
        </w:rPr>
        <w:t>S</w:t>
      </w:r>
      <w:r w:rsidRPr="00C90B26">
        <w:rPr>
          <w:i w:val="0"/>
          <w:iCs w:val="0"/>
        </w:rPr>
        <w:t xml:space="preserve">everity </w:t>
      </w:r>
      <w:r w:rsidR="00657A96" w:rsidRPr="00C90B26">
        <w:rPr>
          <w:i w:val="0"/>
          <w:iCs w:val="0"/>
        </w:rPr>
        <w:t>I</w:t>
      </w:r>
      <w:r w:rsidRPr="00C90B26">
        <w:rPr>
          <w:i w:val="0"/>
          <w:iCs w:val="0"/>
        </w:rPr>
        <w:t>ndex</w:t>
      </w:r>
      <w:r w:rsidR="00657A96" w:rsidRPr="00C90B26">
        <w:rPr>
          <w:i w:val="0"/>
          <w:iCs w:val="0"/>
        </w:rPr>
        <w:t>; TIL = tildrakizumab</w:t>
      </w:r>
    </w:p>
    <w:p w14:paraId="50598C2E" w14:textId="77777777" w:rsidR="005729A0" w:rsidRDefault="005729A0">
      <w:pPr>
        <w:jc w:val="left"/>
        <w:rPr>
          <w:rFonts w:ascii="Arial Narrow" w:hAnsi="Arial Narrow"/>
          <w:b/>
          <w:bCs/>
          <w:i/>
          <w:iCs/>
          <w:sz w:val="20"/>
          <w:szCs w:val="18"/>
        </w:rPr>
      </w:pPr>
      <w:r>
        <w:rPr>
          <w:i/>
          <w:iCs/>
        </w:rPr>
        <w:br w:type="page"/>
      </w:r>
    </w:p>
    <w:p w14:paraId="276F58E3" w14:textId="72BD44B9" w:rsidR="006B27ED" w:rsidRPr="0063200F" w:rsidRDefault="00E44DA7" w:rsidP="00E44DA7">
      <w:pPr>
        <w:pStyle w:val="Caption"/>
      </w:pPr>
      <w:bookmarkStart w:id="28" w:name="_Ref225949043"/>
      <w:r>
        <w:lastRenderedPageBreak/>
        <w:t xml:space="preserve">Table </w:t>
      </w:r>
      <w:fldSimple w:instr=" SEQ Table \* ARABIC ">
        <w:r>
          <w:rPr>
            <w:noProof/>
          </w:rPr>
          <w:t>8</w:t>
        </w:r>
      </w:fldSimple>
      <w:bookmarkEnd w:id="28"/>
      <w:r w:rsidR="003559F8" w:rsidRPr="0063200F">
        <w:t xml:space="preserve">: </w:t>
      </w:r>
      <w:r w:rsidR="006B27ED" w:rsidRPr="0063200F">
        <w:t xml:space="preserve">Number of patients in each of the body weight and dose groups in Table </w:t>
      </w:r>
      <w:r w:rsidR="0063200F">
        <w:t>7</w:t>
      </w:r>
      <w:r w:rsidR="006B27ED" w:rsidRPr="0063200F">
        <w:t>.</w:t>
      </w:r>
    </w:p>
    <w:tbl>
      <w:tblPr>
        <w:tblStyle w:val="TableGrid"/>
        <w:tblW w:w="5000" w:type="pct"/>
        <w:tblLook w:val="04A0" w:firstRow="1" w:lastRow="0" w:firstColumn="1" w:lastColumn="0" w:noHBand="0" w:noVBand="1"/>
        <w:tblCaption w:val="Table 8: Number of patients in each of the body weight and dose groups in Table 7."/>
      </w:tblPr>
      <w:tblGrid>
        <w:gridCol w:w="3062"/>
        <w:gridCol w:w="3061"/>
        <w:gridCol w:w="3059"/>
      </w:tblGrid>
      <w:tr w:rsidR="006B27ED" w:rsidRPr="00C90B26" w14:paraId="4E16E329" w14:textId="77777777" w:rsidTr="000220ED">
        <w:tc>
          <w:tcPr>
            <w:tcW w:w="1667" w:type="pct"/>
          </w:tcPr>
          <w:p w14:paraId="75B1C19F" w14:textId="77777777" w:rsidR="006B27ED" w:rsidRPr="00C90B26" w:rsidRDefault="006B27ED">
            <w:pPr>
              <w:pStyle w:val="TableFigureHeading"/>
            </w:pPr>
          </w:p>
        </w:tc>
        <w:tc>
          <w:tcPr>
            <w:tcW w:w="1667" w:type="pct"/>
          </w:tcPr>
          <w:p w14:paraId="3F5DE3B4" w14:textId="53E77058" w:rsidR="006B27ED" w:rsidRPr="00C90B26" w:rsidRDefault="00657A96" w:rsidP="00657A96">
            <w:pPr>
              <w:pStyle w:val="TableFigureHeading"/>
              <w:jc w:val="center"/>
            </w:pPr>
            <w:r w:rsidRPr="00C90B26">
              <w:t xml:space="preserve">TIL </w:t>
            </w:r>
            <w:r w:rsidR="006B27ED" w:rsidRPr="00C90B26">
              <w:t>100 mg</w:t>
            </w:r>
          </w:p>
        </w:tc>
        <w:tc>
          <w:tcPr>
            <w:tcW w:w="1667" w:type="pct"/>
          </w:tcPr>
          <w:p w14:paraId="0FF53C4C" w14:textId="778CDC67" w:rsidR="006B27ED" w:rsidRPr="00C90B26" w:rsidRDefault="00657A96" w:rsidP="00657A96">
            <w:pPr>
              <w:pStyle w:val="TableFigureHeading"/>
              <w:jc w:val="center"/>
            </w:pPr>
            <w:r w:rsidRPr="00C90B26">
              <w:t xml:space="preserve">TIL </w:t>
            </w:r>
            <w:r w:rsidR="006B27ED" w:rsidRPr="00C90B26">
              <w:t>200 mg</w:t>
            </w:r>
          </w:p>
        </w:tc>
      </w:tr>
      <w:tr w:rsidR="006B27ED" w:rsidRPr="00C90B26" w14:paraId="1AC26508" w14:textId="77777777" w:rsidTr="000220ED">
        <w:tc>
          <w:tcPr>
            <w:tcW w:w="1667" w:type="pct"/>
          </w:tcPr>
          <w:p w14:paraId="5F157488" w14:textId="6B44653B" w:rsidR="006B27ED" w:rsidRPr="00C90B26" w:rsidRDefault="006B27ED">
            <w:pPr>
              <w:pStyle w:val="TableFigureHeading"/>
              <w:rPr>
                <w:b w:val="0"/>
                <w:bCs w:val="0"/>
              </w:rPr>
            </w:pPr>
            <w:r w:rsidRPr="00C90B26">
              <w:rPr>
                <w:b w:val="0"/>
                <w:bCs w:val="0"/>
              </w:rPr>
              <w:t>&lt;</w:t>
            </w:r>
            <w:r w:rsidR="00657A96" w:rsidRPr="00C90B26">
              <w:rPr>
                <w:b w:val="0"/>
                <w:bCs w:val="0"/>
              </w:rPr>
              <w:t xml:space="preserve"> </w:t>
            </w:r>
            <w:r w:rsidRPr="00C90B26">
              <w:rPr>
                <w:b w:val="0"/>
                <w:bCs w:val="0"/>
              </w:rPr>
              <w:t>90 kg</w:t>
            </w:r>
          </w:p>
        </w:tc>
        <w:tc>
          <w:tcPr>
            <w:tcW w:w="1667" w:type="pct"/>
          </w:tcPr>
          <w:p w14:paraId="55248109" w14:textId="77777777" w:rsidR="006B27ED" w:rsidRPr="00C90B26" w:rsidRDefault="006B27ED" w:rsidP="00657A96">
            <w:pPr>
              <w:pStyle w:val="TableFigureHeading"/>
              <w:jc w:val="center"/>
              <w:rPr>
                <w:b w:val="0"/>
                <w:bCs w:val="0"/>
              </w:rPr>
            </w:pPr>
            <w:r w:rsidRPr="00C90B26">
              <w:rPr>
                <w:b w:val="0"/>
                <w:bCs w:val="0"/>
              </w:rPr>
              <w:t>332</w:t>
            </w:r>
          </w:p>
        </w:tc>
        <w:tc>
          <w:tcPr>
            <w:tcW w:w="1667" w:type="pct"/>
          </w:tcPr>
          <w:p w14:paraId="74772B3B" w14:textId="77777777" w:rsidR="006B27ED" w:rsidRPr="00C90B26" w:rsidRDefault="006B27ED" w:rsidP="00657A96">
            <w:pPr>
              <w:pStyle w:val="TableFigureHeading"/>
              <w:jc w:val="center"/>
              <w:rPr>
                <w:b w:val="0"/>
                <w:bCs w:val="0"/>
              </w:rPr>
            </w:pPr>
            <w:r w:rsidRPr="00C90B26">
              <w:rPr>
                <w:b w:val="0"/>
                <w:bCs w:val="0"/>
              </w:rPr>
              <w:t>343</w:t>
            </w:r>
          </w:p>
        </w:tc>
      </w:tr>
      <w:tr w:rsidR="006B27ED" w:rsidRPr="00C90B26" w14:paraId="0F0D0B10" w14:textId="77777777" w:rsidTr="000220ED">
        <w:tc>
          <w:tcPr>
            <w:tcW w:w="1667" w:type="pct"/>
          </w:tcPr>
          <w:p w14:paraId="2EAA9B48" w14:textId="5D3CA0B7" w:rsidR="006B27ED" w:rsidRPr="00C90B26" w:rsidRDefault="006B27ED">
            <w:pPr>
              <w:pStyle w:val="TableFigureHeading"/>
              <w:rPr>
                <w:b w:val="0"/>
                <w:bCs w:val="0"/>
              </w:rPr>
            </w:pPr>
            <w:r w:rsidRPr="00C90B26">
              <w:rPr>
                <w:b w:val="0"/>
                <w:bCs w:val="0"/>
              </w:rPr>
              <w:sym w:font="Symbol" w:char="F0B3"/>
            </w:r>
            <w:r w:rsidR="00657A96" w:rsidRPr="00C90B26">
              <w:rPr>
                <w:b w:val="0"/>
                <w:bCs w:val="0"/>
              </w:rPr>
              <w:t xml:space="preserve"> </w:t>
            </w:r>
            <w:r w:rsidRPr="00C90B26">
              <w:rPr>
                <w:b w:val="0"/>
                <w:bCs w:val="0"/>
              </w:rPr>
              <w:t>90 kg</w:t>
            </w:r>
          </w:p>
        </w:tc>
        <w:tc>
          <w:tcPr>
            <w:tcW w:w="1667" w:type="pct"/>
          </w:tcPr>
          <w:p w14:paraId="6213D58C" w14:textId="77777777" w:rsidR="006B27ED" w:rsidRPr="00C90B26" w:rsidRDefault="006B27ED" w:rsidP="00657A96">
            <w:pPr>
              <w:pStyle w:val="TableFigureHeading"/>
              <w:jc w:val="center"/>
              <w:rPr>
                <w:b w:val="0"/>
                <w:bCs w:val="0"/>
              </w:rPr>
            </w:pPr>
            <w:r w:rsidRPr="00C90B26">
              <w:rPr>
                <w:b w:val="0"/>
                <w:bCs w:val="0"/>
              </w:rPr>
              <w:t>261</w:t>
            </w:r>
          </w:p>
        </w:tc>
        <w:tc>
          <w:tcPr>
            <w:tcW w:w="1667" w:type="pct"/>
          </w:tcPr>
          <w:p w14:paraId="2DF44523" w14:textId="77777777" w:rsidR="006B27ED" w:rsidRPr="00C90B26" w:rsidRDefault="006B27ED" w:rsidP="00657A96">
            <w:pPr>
              <w:pStyle w:val="TableFigureHeading"/>
              <w:jc w:val="center"/>
              <w:rPr>
                <w:b w:val="0"/>
                <w:bCs w:val="0"/>
              </w:rPr>
            </w:pPr>
            <w:r w:rsidRPr="00C90B26">
              <w:rPr>
                <w:b w:val="0"/>
                <w:bCs w:val="0"/>
              </w:rPr>
              <w:t>254</w:t>
            </w:r>
          </w:p>
        </w:tc>
      </w:tr>
      <w:tr w:rsidR="006B27ED" w:rsidRPr="00C90B26" w14:paraId="74D50D72" w14:textId="77777777" w:rsidTr="000220ED">
        <w:tc>
          <w:tcPr>
            <w:tcW w:w="1667" w:type="pct"/>
          </w:tcPr>
          <w:p w14:paraId="026E12E6" w14:textId="2D66D13E" w:rsidR="006B27ED" w:rsidRPr="00C90B26" w:rsidRDefault="006B27ED">
            <w:pPr>
              <w:pStyle w:val="TableFigureHeading"/>
              <w:rPr>
                <w:b w:val="0"/>
                <w:bCs w:val="0"/>
              </w:rPr>
            </w:pPr>
            <w:r w:rsidRPr="00C90B26">
              <w:rPr>
                <w:b w:val="0"/>
                <w:bCs w:val="0"/>
              </w:rPr>
              <w:t>&lt;</w:t>
            </w:r>
            <w:r w:rsidR="00657A96" w:rsidRPr="00C90B26">
              <w:rPr>
                <w:b w:val="0"/>
                <w:bCs w:val="0"/>
              </w:rPr>
              <w:t xml:space="preserve"> </w:t>
            </w:r>
            <w:r w:rsidRPr="00C90B26">
              <w:rPr>
                <w:b w:val="0"/>
                <w:bCs w:val="0"/>
              </w:rPr>
              <w:t>120 kg</w:t>
            </w:r>
          </w:p>
        </w:tc>
        <w:tc>
          <w:tcPr>
            <w:tcW w:w="1667" w:type="pct"/>
          </w:tcPr>
          <w:p w14:paraId="53D7A9DD" w14:textId="77777777" w:rsidR="006B27ED" w:rsidRPr="00C90B26" w:rsidRDefault="006B27ED" w:rsidP="00657A96">
            <w:pPr>
              <w:pStyle w:val="TableFigureHeading"/>
              <w:jc w:val="center"/>
              <w:rPr>
                <w:b w:val="0"/>
                <w:bCs w:val="0"/>
              </w:rPr>
            </w:pPr>
            <w:r w:rsidRPr="00C90B26">
              <w:rPr>
                <w:b w:val="0"/>
                <w:bCs w:val="0"/>
              </w:rPr>
              <w:t>536</w:t>
            </w:r>
          </w:p>
        </w:tc>
        <w:tc>
          <w:tcPr>
            <w:tcW w:w="1667" w:type="pct"/>
          </w:tcPr>
          <w:p w14:paraId="139C78DA" w14:textId="77777777" w:rsidR="006B27ED" w:rsidRPr="00C90B26" w:rsidRDefault="006B27ED" w:rsidP="00657A96">
            <w:pPr>
              <w:pStyle w:val="TableFigureHeading"/>
              <w:jc w:val="center"/>
              <w:rPr>
                <w:b w:val="0"/>
                <w:bCs w:val="0"/>
              </w:rPr>
            </w:pPr>
            <w:r w:rsidRPr="00C90B26">
              <w:rPr>
                <w:b w:val="0"/>
                <w:bCs w:val="0"/>
              </w:rPr>
              <w:t>547</w:t>
            </w:r>
          </w:p>
        </w:tc>
      </w:tr>
      <w:tr w:rsidR="006B27ED" w:rsidRPr="00C90B26" w14:paraId="5BF0A54B" w14:textId="77777777" w:rsidTr="000220ED">
        <w:tc>
          <w:tcPr>
            <w:tcW w:w="1667" w:type="pct"/>
          </w:tcPr>
          <w:p w14:paraId="2C71CED8" w14:textId="32248EAD" w:rsidR="006B27ED" w:rsidRPr="00C90B26" w:rsidRDefault="006B27ED">
            <w:pPr>
              <w:pStyle w:val="TableFigureHeading"/>
              <w:rPr>
                <w:b w:val="0"/>
                <w:bCs w:val="0"/>
              </w:rPr>
            </w:pPr>
            <w:r w:rsidRPr="00C90B26">
              <w:rPr>
                <w:b w:val="0"/>
                <w:bCs w:val="0"/>
              </w:rPr>
              <w:sym w:font="Symbol" w:char="F0B3"/>
            </w:r>
            <w:r w:rsidR="00657A96" w:rsidRPr="00C90B26">
              <w:rPr>
                <w:b w:val="0"/>
                <w:bCs w:val="0"/>
              </w:rPr>
              <w:t xml:space="preserve"> </w:t>
            </w:r>
            <w:r w:rsidRPr="00C90B26">
              <w:rPr>
                <w:b w:val="0"/>
                <w:bCs w:val="0"/>
              </w:rPr>
              <w:t>120 kg</w:t>
            </w:r>
          </w:p>
        </w:tc>
        <w:tc>
          <w:tcPr>
            <w:tcW w:w="1667" w:type="pct"/>
          </w:tcPr>
          <w:p w14:paraId="2518F4AF" w14:textId="77777777" w:rsidR="006B27ED" w:rsidRPr="00C90B26" w:rsidRDefault="006B27ED" w:rsidP="00657A96">
            <w:pPr>
              <w:pStyle w:val="TableFigureHeading"/>
              <w:jc w:val="center"/>
              <w:rPr>
                <w:b w:val="0"/>
                <w:bCs w:val="0"/>
              </w:rPr>
            </w:pPr>
            <w:r w:rsidRPr="00C90B26">
              <w:rPr>
                <w:b w:val="0"/>
                <w:bCs w:val="0"/>
              </w:rPr>
              <w:t>57</w:t>
            </w:r>
          </w:p>
        </w:tc>
        <w:tc>
          <w:tcPr>
            <w:tcW w:w="1667" w:type="pct"/>
          </w:tcPr>
          <w:p w14:paraId="496FAA9A" w14:textId="77777777" w:rsidR="006B27ED" w:rsidRPr="00C90B26" w:rsidRDefault="006B27ED" w:rsidP="00657A96">
            <w:pPr>
              <w:pStyle w:val="TableFigureHeading"/>
              <w:jc w:val="center"/>
              <w:rPr>
                <w:b w:val="0"/>
                <w:bCs w:val="0"/>
              </w:rPr>
            </w:pPr>
            <w:r w:rsidRPr="00C90B26">
              <w:rPr>
                <w:b w:val="0"/>
                <w:bCs w:val="0"/>
              </w:rPr>
              <w:t>50</w:t>
            </w:r>
          </w:p>
        </w:tc>
      </w:tr>
    </w:tbl>
    <w:p w14:paraId="667ED853" w14:textId="77777777" w:rsidR="00657A96" w:rsidRPr="00C90B26" w:rsidRDefault="006B27ED" w:rsidP="00657A96">
      <w:pPr>
        <w:pStyle w:val="TableFigureFooter"/>
        <w:rPr>
          <w:i w:val="0"/>
          <w:iCs w:val="0"/>
        </w:rPr>
      </w:pPr>
      <w:r w:rsidRPr="00C90B26">
        <w:rPr>
          <w:i w:val="0"/>
          <w:iCs w:val="0"/>
        </w:rPr>
        <w:t>Source: Thaci, 2022, Figure 2.</w:t>
      </w:r>
    </w:p>
    <w:p w14:paraId="3A0215CC" w14:textId="1BE0721B" w:rsidR="006B27ED" w:rsidRPr="00C90B26" w:rsidRDefault="00657A96" w:rsidP="00657A96">
      <w:pPr>
        <w:pStyle w:val="TableFigureFooter"/>
        <w:rPr>
          <w:i w:val="0"/>
          <w:iCs w:val="0"/>
        </w:rPr>
      </w:pPr>
      <w:r w:rsidRPr="00C90B26">
        <w:rPr>
          <w:i w:val="0"/>
          <w:iCs w:val="0"/>
        </w:rPr>
        <w:t>TIL = tildrakizumab</w:t>
      </w:r>
      <w:r w:rsidR="006B27ED" w:rsidRPr="00C90B26">
        <w:rPr>
          <w:i w:val="0"/>
          <w:iCs w:val="0"/>
        </w:rPr>
        <w:t xml:space="preserve"> </w:t>
      </w:r>
    </w:p>
    <w:p w14:paraId="35CC57F6" w14:textId="05EE2CDA" w:rsidR="006B27ED" w:rsidRPr="00590DBA" w:rsidRDefault="006B27ED" w:rsidP="003C1488">
      <w:pPr>
        <w:pStyle w:val="3-BodyText"/>
      </w:pPr>
      <w:r w:rsidRPr="00590DBA">
        <w:t xml:space="preserve">There was no clear benefit of the </w:t>
      </w:r>
      <w:r w:rsidR="007D3015" w:rsidRPr="00590DBA">
        <w:t xml:space="preserve">TIL </w:t>
      </w:r>
      <w:r w:rsidRPr="00590DBA">
        <w:t xml:space="preserve">200 mg dose in patients weighing over 90 kg versus those weighing under 90 kg. </w:t>
      </w:r>
      <w:r w:rsidR="00814024" w:rsidRPr="00590DBA">
        <w:t>In patients weighing over 120 kg, t</w:t>
      </w:r>
      <w:r w:rsidRPr="00590DBA">
        <w:t xml:space="preserve">here appeared to be a trend towards better outcomes with the </w:t>
      </w:r>
      <w:r w:rsidR="007D3015" w:rsidRPr="00590DBA">
        <w:t xml:space="preserve">TIL </w:t>
      </w:r>
      <w:r w:rsidRPr="00590DBA">
        <w:t>200 mg dose, but this was not a pre</w:t>
      </w:r>
      <w:r w:rsidR="005F1191">
        <w:noBreakHyphen/>
      </w:r>
      <w:r w:rsidRPr="00590DBA">
        <w:t xml:space="preserve">specified analysis, </w:t>
      </w:r>
      <w:r w:rsidR="00814024" w:rsidRPr="00590DBA">
        <w:t xml:space="preserve">the differences </w:t>
      </w:r>
      <w:r w:rsidRPr="00590DBA">
        <w:t>w</w:t>
      </w:r>
      <w:r w:rsidR="00814024" w:rsidRPr="00590DBA">
        <w:t>ere</w:t>
      </w:r>
      <w:r w:rsidRPr="00590DBA">
        <w:t xml:space="preserve"> not statistically significant, and the number of patients in this weight group was small. </w:t>
      </w:r>
    </w:p>
    <w:p w14:paraId="4AB6E94A" w14:textId="17CDBBB7" w:rsidR="005200E9" w:rsidRPr="00221516" w:rsidRDefault="00F960A4" w:rsidP="003C1488">
      <w:pPr>
        <w:pStyle w:val="3-BodyText"/>
      </w:pPr>
      <w:r w:rsidRPr="00221516">
        <w:t>Further, i</w:t>
      </w:r>
      <w:r w:rsidR="005200E9" w:rsidRPr="00221516">
        <w:t>t should be noted that this analysis relates to the initial treatment phase, not to continuing treatment.</w:t>
      </w:r>
    </w:p>
    <w:p w14:paraId="1452C351" w14:textId="0D19F1B0" w:rsidR="00B60939" w:rsidRPr="0098262F" w:rsidRDefault="00B60939" w:rsidP="00D86231">
      <w:pPr>
        <w:pStyle w:val="4-SubsectionHeading"/>
      </w:pPr>
      <w:bookmarkStart w:id="29" w:name="_Toc22897642"/>
      <w:bookmarkStart w:id="30" w:name="_Toc216947693"/>
      <w:r w:rsidRPr="0098262F">
        <w:t>Comparative harms</w:t>
      </w:r>
      <w:bookmarkEnd w:id="29"/>
      <w:bookmarkEnd w:id="30"/>
    </w:p>
    <w:p w14:paraId="6824C89E" w14:textId="08463358" w:rsidR="00BC5691" w:rsidRPr="00BC5691" w:rsidRDefault="0010672A" w:rsidP="00D86231">
      <w:pPr>
        <w:pStyle w:val="3-BodyText"/>
        <w:rPr>
          <w:color w:val="0066FF"/>
        </w:rPr>
      </w:pPr>
      <w:r w:rsidRPr="006B4E35">
        <w:rPr>
          <w:color w:val="000000" w:themeColor="text1"/>
        </w:rPr>
        <w:t xml:space="preserve">Adverse events </w:t>
      </w:r>
      <w:r w:rsidR="00590BD2">
        <w:rPr>
          <w:color w:val="000000" w:themeColor="text1"/>
        </w:rPr>
        <w:t xml:space="preserve">reported </w:t>
      </w:r>
      <w:r w:rsidRPr="006B4E35">
        <w:rPr>
          <w:color w:val="000000" w:themeColor="text1"/>
        </w:rPr>
        <w:t xml:space="preserve">during </w:t>
      </w:r>
      <w:r w:rsidR="002F60B2">
        <w:rPr>
          <w:color w:val="000000" w:themeColor="text1"/>
        </w:rPr>
        <w:t>Weeks 0</w:t>
      </w:r>
      <w:r w:rsidR="005F1191">
        <w:rPr>
          <w:color w:val="000000" w:themeColor="text1"/>
        </w:rPr>
        <w:noBreakHyphen/>
      </w:r>
      <w:r w:rsidR="002F60B2">
        <w:rPr>
          <w:color w:val="000000" w:themeColor="text1"/>
        </w:rPr>
        <w:t xml:space="preserve">12 of the </w:t>
      </w:r>
      <w:proofErr w:type="spellStart"/>
      <w:r w:rsidR="001B3479">
        <w:rPr>
          <w:color w:val="000000" w:themeColor="text1"/>
        </w:rPr>
        <w:t>reSURFACE</w:t>
      </w:r>
      <w:proofErr w:type="spellEnd"/>
      <w:r w:rsidR="001B3479">
        <w:rPr>
          <w:color w:val="000000" w:themeColor="text1"/>
        </w:rPr>
        <w:t xml:space="preserve"> </w:t>
      </w:r>
      <w:r w:rsidR="00104C08">
        <w:rPr>
          <w:color w:val="000000" w:themeColor="text1"/>
        </w:rPr>
        <w:t xml:space="preserve">1 and 2 </w:t>
      </w:r>
      <w:r w:rsidRPr="006B4E35">
        <w:rPr>
          <w:color w:val="000000" w:themeColor="text1"/>
        </w:rPr>
        <w:t>trials are shown i</w:t>
      </w:r>
      <w:r w:rsidR="00395672">
        <w:rPr>
          <w:color w:val="000000" w:themeColor="text1"/>
        </w:rPr>
        <w:t>n</w:t>
      </w:r>
      <w:r w:rsidR="00E44DA7">
        <w:rPr>
          <w:color w:val="000000" w:themeColor="text1"/>
        </w:rPr>
        <w:t xml:space="preserve"> </w:t>
      </w:r>
      <w:r w:rsidR="00E44DA7">
        <w:rPr>
          <w:color w:val="000000" w:themeColor="text1"/>
        </w:rPr>
        <w:fldChar w:fldCharType="begin"/>
      </w:r>
      <w:r w:rsidR="00E44DA7">
        <w:rPr>
          <w:color w:val="000000" w:themeColor="text1"/>
        </w:rPr>
        <w:instrText xml:space="preserve"> REF _Ref225949083 \h </w:instrText>
      </w:r>
      <w:r w:rsidR="00E44DA7">
        <w:rPr>
          <w:color w:val="000000" w:themeColor="text1"/>
        </w:rPr>
      </w:r>
      <w:r w:rsidR="00E44DA7">
        <w:rPr>
          <w:color w:val="000000" w:themeColor="text1"/>
        </w:rPr>
        <w:fldChar w:fldCharType="separate"/>
      </w:r>
      <w:r w:rsidR="00E44DA7">
        <w:t xml:space="preserve">Table </w:t>
      </w:r>
      <w:r w:rsidR="00E44DA7">
        <w:rPr>
          <w:noProof/>
        </w:rPr>
        <w:t>9</w:t>
      </w:r>
      <w:r w:rsidR="00E44DA7">
        <w:rPr>
          <w:color w:val="000000" w:themeColor="text1"/>
        </w:rPr>
        <w:fldChar w:fldCharType="end"/>
      </w:r>
      <w:r w:rsidR="003559F8">
        <w:rPr>
          <w:color w:val="000000" w:themeColor="text1"/>
        </w:rPr>
        <w:t>.</w:t>
      </w:r>
    </w:p>
    <w:p w14:paraId="5CAF35E1" w14:textId="1211827E" w:rsidR="00BC5691" w:rsidRDefault="00E44DA7" w:rsidP="00E44DA7">
      <w:pPr>
        <w:pStyle w:val="Caption"/>
      </w:pPr>
      <w:bookmarkStart w:id="31" w:name="_Ref225949083"/>
      <w:r>
        <w:t xml:space="preserve">Table </w:t>
      </w:r>
      <w:fldSimple w:instr=" SEQ Table \* ARABIC ">
        <w:r>
          <w:rPr>
            <w:noProof/>
          </w:rPr>
          <w:t>9</w:t>
        </w:r>
      </w:fldSimple>
      <w:bookmarkEnd w:id="31"/>
      <w:r w:rsidR="00BC5691">
        <w:t xml:space="preserve">: Adverse events in pooled </w:t>
      </w:r>
      <w:proofErr w:type="spellStart"/>
      <w:r w:rsidR="00BC5691">
        <w:t>reSURFACE</w:t>
      </w:r>
      <w:proofErr w:type="spellEnd"/>
      <w:r w:rsidR="00BC5691">
        <w:t xml:space="preserve"> 1 and 2</w:t>
      </w:r>
      <w:r w:rsidR="00657A96">
        <w:t xml:space="preserve"> trials</w:t>
      </w:r>
    </w:p>
    <w:tbl>
      <w:tblPr>
        <w:tblStyle w:val="TableGrid"/>
        <w:tblW w:w="5000" w:type="pct"/>
        <w:tblLook w:val="04A0" w:firstRow="1" w:lastRow="0" w:firstColumn="1" w:lastColumn="0" w:noHBand="0" w:noVBand="1"/>
        <w:tblCaption w:val="Table 9: Adverse events in pooled reSURFACE 1 and 2 trials"/>
      </w:tblPr>
      <w:tblGrid>
        <w:gridCol w:w="3171"/>
        <w:gridCol w:w="2020"/>
        <w:gridCol w:w="2022"/>
        <w:gridCol w:w="1969"/>
      </w:tblGrid>
      <w:tr w:rsidR="00BC5691" w14:paraId="6F2AB390" w14:textId="77777777" w:rsidTr="00E44DA7">
        <w:tc>
          <w:tcPr>
            <w:tcW w:w="1727" w:type="pct"/>
          </w:tcPr>
          <w:p w14:paraId="7B5EF3E6" w14:textId="77777777" w:rsidR="00BC5691" w:rsidRPr="00BC5691" w:rsidRDefault="00BC5691" w:rsidP="00BC5691">
            <w:pPr>
              <w:pStyle w:val="TableFigureHeading"/>
              <w:rPr>
                <w:b w:val="0"/>
                <w:bCs w:val="0"/>
                <w:color w:val="000000" w:themeColor="text1"/>
              </w:rPr>
            </w:pPr>
          </w:p>
        </w:tc>
        <w:tc>
          <w:tcPr>
            <w:tcW w:w="1100" w:type="pct"/>
          </w:tcPr>
          <w:p w14:paraId="141C8DE0" w14:textId="5B65407D" w:rsidR="00BC5691" w:rsidRPr="00BC5691" w:rsidRDefault="00657A96" w:rsidP="001B3479">
            <w:pPr>
              <w:pStyle w:val="TableFigureHeading"/>
              <w:jc w:val="center"/>
              <w:rPr>
                <w:color w:val="000000" w:themeColor="text1"/>
              </w:rPr>
            </w:pPr>
            <w:r>
              <w:rPr>
                <w:color w:val="000000" w:themeColor="text1"/>
              </w:rPr>
              <w:t xml:space="preserve">TIL </w:t>
            </w:r>
            <w:r w:rsidR="00BC5691" w:rsidRPr="00BC5691">
              <w:rPr>
                <w:color w:val="000000" w:themeColor="text1"/>
              </w:rPr>
              <w:t>100 mg</w:t>
            </w:r>
          </w:p>
          <w:p w14:paraId="04BFBE16" w14:textId="021E61A6" w:rsidR="00BC5691" w:rsidRPr="00BC5691" w:rsidRDefault="00BC5691" w:rsidP="001B3479">
            <w:pPr>
              <w:pStyle w:val="TableFigureHeading"/>
              <w:jc w:val="center"/>
              <w:rPr>
                <w:color w:val="000000" w:themeColor="text1"/>
              </w:rPr>
            </w:pPr>
            <w:r w:rsidRPr="00BC5691">
              <w:rPr>
                <w:color w:val="000000" w:themeColor="text1"/>
              </w:rPr>
              <w:t>N = 615</w:t>
            </w:r>
          </w:p>
        </w:tc>
        <w:tc>
          <w:tcPr>
            <w:tcW w:w="1101" w:type="pct"/>
          </w:tcPr>
          <w:p w14:paraId="35D6F5C2" w14:textId="148A999C" w:rsidR="00BC5691" w:rsidRPr="00BC5691" w:rsidRDefault="00657A96" w:rsidP="001B3479">
            <w:pPr>
              <w:pStyle w:val="TableFigureHeading"/>
              <w:jc w:val="center"/>
              <w:rPr>
                <w:color w:val="000000" w:themeColor="text1"/>
              </w:rPr>
            </w:pPr>
            <w:r>
              <w:rPr>
                <w:color w:val="000000" w:themeColor="text1"/>
              </w:rPr>
              <w:t>TIL</w:t>
            </w:r>
            <w:r w:rsidR="00BC5691" w:rsidRPr="00BC5691">
              <w:rPr>
                <w:color w:val="000000" w:themeColor="text1"/>
              </w:rPr>
              <w:t xml:space="preserve"> 200 mg</w:t>
            </w:r>
          </w:p>
          <w:p w14:paraId="4AEC0B50" w14:textId="552CE195" w:rsidR="00BC5691" w:rsidRPr="00BC5691" w:rsidRDefault="00BC5691" w:rsidP="001B3479">
            <w:pPr>
              <w:pStyle w:val="TableFigureHeading"/>
              <w:jc w:val="center"/>
              <w:rPr>
                <w:color w:val="000000" w:themeColor="text1"/>
              </w:rPr>
            </w:pPr>
            <w:r w:rsidRPr="00BC5691">
              <w:rPr>
                <w:color w:val="000000" w:themeColor="text1"/>
              </w:rPr>
              <w:t>N = 622</w:t>
            </w:r>
          </w:p>
        </w:tc>
        <w:tc>
          <w:tcPr>
            <w:tcW w:w="1072" w:type="pct"/>
          </w:tcPr>
          <w:p w14:paraId="75AFB1D8" w14:textId="77777777" w:rsidR="00BC5691" w:rsidRPr="00BC5691" w:rsidRDefault="00BC5691" w:rsidP="001B3479">
            <w:pPr>
              <w:pStyle w:val="TableFigureHeading"/>
              <w:jc w:val="center"/>
              <w:rPr>
                <w:color w:val="000000" w:themeColor="text1"/>
              </w:rPr>
            </w:pPr>
            <w:r w:rsidRPr="00BC5691">
              <w:rPr>
                <w:color w:val="000000" w:themeColor="text1"/>
              </w:rPr>
              <w:t>Placebo</w:t>
            </w:r>
          </w:p>
          <w:p w14:paraId="5C7AD42D" w14:textId="50810B8B" w:rsidR="00BC5691" w:rsidRPr="00BC5691" w:rsidRDefault="00BC5691" w:rsidP="001B3479">
            <w:pPr>
              <w:pStyle w:val="TableFigureHeading"/>
              <w:jc w:val="center"/>
              <w:rPr>
                <w:color w:val="000000" w:themeColor="text1"/>
              </w:rPr>
            </w:pPr>
            <w:r w:rsidRPr="00BC5691">
              <w:rPr>
                <w:color w:val="000000" w:themeColor="text1"/>
              </w:rPr>
              <w:t>N = 310</w:t>
            </w:r>
          </w:p>
        </w:tc>
      </w:tr>
      <w:tr w:rsidR="00BC5691" w14:paraId="27C35841" w14:textId="77777777" w:rsidTr="00E44DA7">
        <w:tc>
          <w:tcPr>
            <w:tcW w:w="1727" w:type="pct"/>
          </w:tcPr>
          <w:p w14:paraId="543786C2" w14:textId="7B7E443C" w:rsidR="00BC5691" w:rsidRPr="00BC5691" w:rsidRDefault="00BC5691" w:rsidP="00BC5691">
            <w:pPr>
              <w:pStyle w:val="TableFigureHeading"/>
              <w:rPr>
                <w:b w:val="0"/>
                <w:bCs w:val="0"/>
                <w:color w:val="000000" w:themeColor="text1"/>
              </w:rPr>
            </w:pPr>
            <w:r w:rsidRPr="00BC5691">
              <w:rPr>
                <w:b w:val="0"/>
                <w:bCs w:val="0"/>
                <w:color w:val="000000" w:themeColor="text1"/>
              </w:rPr>
              <w:t>Patients with any AE, n (%)</w:t>
            </w:r>
          </w:p>
        </w:tc>
        <w:tc>
          <w:tcPr>
            <w:tcW w:w="1100" w:type="pct"/>
          </w:tcPr>
          <w:p w14:paraId="7139AC72" w14:textId="7F4467CA" w:rsidR="00BC5691" w:rsidRPr="00BC5691" w:rsidRDefault="00FD04B5" w:rsidP="001B3479">
            <w:pPr>
              <w:pStyle w:val="TableFigureHeading"/>
              <w:jc w:val="center"/>
              <w:rPr>
                <w:b w:val="0"/>
                <w:bCs w:val="0"/>
                <w:color w:val="000000" w:themeColor="text1"/>
              </w:rPr>
            </w:pPr>
            <w:r>
              <w:rPr>
                <w:b w:val="0"/>
                <w:bCs w:val="0"/>
                <w:color w:val="000000" w:themeColor="text1"/>
              </w:rPr>
              <w:t>282 (46%)</w:t>
            </w:r>
          </w:p>
        </w:tc>
        <w:tc>
          <w:tcPr>
            <w:tcW w:w="1101" w:type="pct"/>
          </w:tcPr>
          <w:p w14:paraId="4C9987CD" w14:textId="3664ED61" w:rsidR="00BC5691" w:rsidRPr="00BC5691" w:rsidRDefault="00FD04B5" w:rsidP="001B3479">
            <w:pPr>
              <w:pStyle w:val="TableFigureHeading"/>
              <w:jc w:val="center"/>
              <w:rPr>
                <w:b w:val="0"/>
                <w:bCs w:val="0"/>
                <w:color w:val="000000" w:themeColor="text1"/>
              </w:rPr>
            </w:pPr>
            <w:r>
              <w:rPr>
                <w:b w:val="0"/>
                <w:bCs w:val="0"/>
                <w:color w:val="000000" w:themeColor="text1"/>
              </w:rPr>
              <w:t>285 (46%)</w:t>
            </w:r>
          </w:p>
        </w:tc>
        <w:tc>
          <w:tcPr>
            <w:tcW w:w="1072" w:type="pct"/>
          </w:tcPr>
          <w:p w14:paraId="38FB9D03" w14:textId="2707F2D3" w:rsidR="00BC5691" w:rsidRPr="00BC5691" w:rsidRDefault="00FD04B5" w:rsidP="001B3479">
            <w:pPr>
              <w:pStyle w:val="TableFigureHeading"/>
              <w:jc w:val="center"/>
              <w:rPr>
                <w:b w:val="0"/>
                <w:bCs w:val="0"/>
                <w:color w:val="000000" w:themeColor="text1"/>
              </w:rPr>
            </w:pPr>
            <w:r>
              <w:rPr>
                <w:b w:val="0"/>
                <w:bCs w:val="0"/>
                <w:color w:val="000000" w:themeColor="text1"/>
              </w:rPr>
              <w:t>160 (52%)</w:t>
            </w:r>
          </w:p>
        </w:tc>
      </w:tr>
      <w:tr w:rsidR="00BC5691" w14:paraId="3A736471" w14:textId="77777777" w:rsidTr="00E44DA7">
        <w:tc>
          <w:tcPr>
            <w:tcW w:w="1727" w:type="pct"/>
          </w:tcPr>
          <w:p w14:paraId="0C1D7921" w14:textId="427E7CDE" w:rsidR="00BC5691" w:rsidRPr="00BC5691" w:rsidRDefault="00FD04B5" w:rsidP="00BC5691">
            <w:pPr>
              <w:pStyle w:val="TableFigureHeading"/>
              <w:rPr>
                <w:b w:val="0"/>
                <w:bCs w:val="0"/>
                <w:color w:val="000000" w:themeColor="text1"/>
              </w:rPr>
            </w:pPr>
            <w:r>
              <w:rPr>
                <w:b w:val="0"/>
                <w:bCs w:val="0"/>
                <w:color w:val="000000" w:themeColor="text1"/>
              </w:rPr>
              <w:t>Serious AEs, n (%)</w:t>
            </w:r>
          </w:p>
        </w:tc>
        <w:tc>
          <w:tcPr>
            <w:tcW w:w="1100" w:type="pct"/>
          </w:tcPr>
          <w:p w14:paraId="61BC8D5A" w14:textId="28ACFA30" w:rsidR="00BC5691" w:rsidRPr="00BC5691" w:rsidRDefault="00FD04B5" w:rsidP="001B3479">
            <w:pPr>
              <w:pStyle w:val="TableFigureHeading"/>
              <w:jc w:val="center"/>
              <w:rPr>
                <w:b w:val="0"/>
                <w:bCs w:val="0"/>
                <w:color w:val="000000" w:themeColor="text1"/>
              </w:rPr>
            </w:pPr>
            <w:r>
              <w:rPr>
                <w:b w:val="0"/>
                <w:bCs w:val="0"/>
                <w:color w:val="000000" w:themeColor="text1"/>
              </w:rPr>
              <w:t>9 (1.5%)</w:t>
            </w:r>
          </w:p>
        </w:tc>
        <w:tc>
          <w:tcPr>
            <w:tcW w:w="1101" w:type="pct"/>
          </w:tcPr>
          <w:p w14:paraId="19878F89" w14:textId="50B4B0AF" w:rsidR="00BC5691" w:rsidRPr="00BC5691" w:rsidRDefault="00FD04B5" w:rsidP="001B3479">
            <w:pPr>
              <w:pStyle w:val="TableFigureHeading"/>
              <w:jc w:val="center"/>
              <w:rPr>
                <w:b w:val="0"/>
                <w:bCs w:val="0"/>
                <w:color w:val="000000" w:themeColor="text1"/>
              </w:rPr>
            </w:pPr>
            <w:r>
              <w:rPr>
                <w:b w:val="0"/>
                <w:bCs w:val="0"/>
                <w:color w:val="000000" w:themeColor="text1"/>
              </w:rPr>
              <w:t>14 (2%)</w:t>
            </w:r>
          </w:p>
        </w:tc>
        <w:tc>
          <w:tcPr>
            <w:tcW w:w="1072" w:type="pct"/>
          </w:tcPr>
          <w:p w14:paraId="009A4C72" w14:textId="11D0E45A" w:rsidR="00BC5691" w:rsidRPr="00BC5691" w:rsidRDefault="00FD04B5" w:rsidP="001B3479">
            <w:pPr>
              <w:pStyle w:val="TableFigureHeading"/>
              <w:jc w:val="center"/>
              <w:rPr>
                <w:b w:val="0"/>
                <w:bCs w:val="0"/>
                <w:color w:val="000000" w:themeColor="text1"/>
              </w:rPr>
            </w:pPr>
            <w:r>
              <w:rPr>
                <w:b w:val="0"/>
                <w:bCs w:val="0"/>
                <w:color w:val="000000" w:themeColor="text1"/>
              </w:rPr>
              <w:t>5 (2%)</w:t>
            </w:r>
          </w:p>
        </w:tc>
      </w:tr>
      <w:tr w:rsidR="00BC5691" w14:paraId="757629AA" w14:textId="77777777" w:rsidTr="00E44DA7">
        <w:tc>
          <w:tcPr>
            <w:tcW w:w="1727" w:type="pct"/>
          </w:tcPr>
          <w:p w14:paraId="77E11146" w14:textId="5C2FD032" w:rsidR="00BC5691" w:rsidRPr="00BC5691" w:rsidRDefault="00FD04B5" w:rsidP="00BC5691">
            <w:pPr>
              <w:pStyle w:val="TableFigureHeading"/>
              <w:rPr>
                <w:b w:val="0"/>
                <w:bCs w:val="0"/>
                <w:color w:val="000000" w:themeColor="text1"/>
              </w:rPr>
            </w:pPr>
            <w:r>
              <w:rPr>
                <w:b w:val="0"/>
                <w:bCs w:val="0"/>
                <w:color w:val="000000" w:themeColor="text1"/>
              </w:rPr>
              <w:t>Discontinued because of AE, n (%)</w:t>
            </w:r>
          </w:p>
        </w:tc>
        <w:tc>
          <w:tcPr>
            <w:tcW w:w="1100" w:type="pct"/>
          </w:tcPr>
          <w:p w14:paraId="1060A803" w14:textId="7022DAF8" w:rsidR="00BC5691" w:rsidRPr="00BC5691" w:rsidRDefault="00FD04B5" w:rsidP="001B3479">
            <w:pPr>
              <w:pStyle w:val="TableFigureHeading"/>
              <w:jc w:val="center"/>
              <w:rPr>
                <w:b w:val="0"/>
                <w:bCs w:val="0"/>
                <w:color w:val="000000" w:themeColor="text1"/>
              </w:rPr>
            </w:pPr>
            <w:r>
              <w:rPr>
                <w:b w:val="0"/>
                <w:bCs w:val="0"/>
                <w:color w:val="000000" w:themeColor="text1"/>
              </w:rPr>
              <w:t>3 (0.5%)</w:t>
            </w:r>
          </w:p>
        </w:tc>
        <w:tc>
          <w:tcPr>
            <w:tcW w:w="1101" w:type="pct"/>
          </w:tcPr>
          <w:p w14:paraId="671A3F0C" w14:textId="07A1C9AF" w:rsidR="00BC5691" w:rsidRPr="00BC5691" w:rsidRDefault="00FD04B5" w:rsidP="001B3479">
            <w:pPr>
              <w:pStyle w:val="TableFigureHeading"/>
              <w:jc w:val="center"/>
              <w:rPr>
                <w:b w:val="0"/>
                <w:bCs w:val="0"/>
                <w:color w:val="000000" w:themeColor="text1"/>
              </w:rPr>
            </w:pPr>
            <w:r>
              <w:rPr>
                <w:b w:val="0"/>
                <w:bCs w:val="0"/>
                <w:color w:val="000000" w:themeColor="text1"/>
              </w:rPr>
              <w:t>8 (2%)</w:t>
            </w:r>
          </w:p>
        </w:tc>
        <w:tc>
          <w:tcPr>
            <w:tcW w:w="1072" w:type="pct"/>
          </w:tcPr>
          <w:p w14:paraId="74F1A5E5" w14:textId="5FA7E4F1" w:rsidR="00BC5691" w:rsidRPr="00BC5691" w:rsidRDefault="00FD04B5" w:rsidP="001B3479">
            <w:pPr>
              <w:pStyle w:val="TableFigureHeading"/>
              <w:jc w:val="center"/>
              <w:rPr>
                <w:b w:val="0"/>
                <w:bCs w:val="0"/>
                <w:color w:val="000000" w:themeColor="text1"/>
              </w:rPr>
            </w:pPr>
            <w:r>
              <w:rPr>
                <w:b w:val="0"/>
                <w:bCs w:val="0"/>
                <w:color w:val="000000" w:themeColor="text1"/>
              </w:rPr>
              <w:t>3 (1%)</w:t>
            </w:r>
          </w:p>
        </w:tc>
      </w:tr>
      <w:tr w:rsidR="00BC5691" w14:paraId="705A80F4" w14:textId="77777777" w:rsidTr="00E44DA7">
        <w:tc>
          <w:tcPr>
            <w:tcW w:w="1727" w:type="pct"/>
          </w:tcPr>
          <w:p w14:paraId="5129591D" w14:textId="73884203" w:rsidR="00BC5691" w:rsidRPr="00BC5691" w:rsidRDefault="00FD04B5" w:rsidP="00BC5691">
            <w:pPr>
              <w:pStyle w:val="TableFigureHeading"/>
              <w:rPr>
                <w:b w:val="0"/>
                <w:bCs w:val="0"/>
                <w:color w:val="000000" w:themeColor="text1"/>
              </w:rPr>
            </w:pPr>
            <w:r>
              <w:rPr>
                <w:b w:val="0"/>
                <w:bCs w:val="0"/>
                <w:color w:val="000000" w:themeColor="text1"/>
              </w:rPr>
              <w:t>Nasopharyngitis, n (%)</w:t>
            </w:r>
          </w:p>
        </w:tc>
        <w:tc>
          <w:tcPr>
            <w:tcW w:w="1100" w:type="pct"/>
          </w:tcPr>
          <w:p w14:paraId="3A4C9F34" w14:textId="37EE9D70" w:rsidR="00BC5691" w:rsidRPr="00BC5691" w:rsidRDefault="00FD04B5" w:rsidP="001B3479">
            <w:pPr>
              <w:pStyle w:val="TableFigureHeading"/>
              <w:jc w:val="center"/>
              <w:rPr>
                <w:b w:val="0"/>
                <w:bCs w:val="0"/>
                <w:color w:val="000000" w:themeColor="text1"/>
              </w:rPr>
            </w:pPr>
            <w:r>
              <w:rPr>
                <w:b w:val="0"/>
                <w:bCs w:val="0"/>
                <w:color w:val="000000" w:themeColor="text1"/>
              </w:rPr>
              <w:t>65 (11%)</w:t>
            </w:r>
          </w:p>
        </w:tc>
        <w:tc>
          <w:tcPr>
            <w:tcW w:w="1101" w:type="pct"/>
          </w:tcPr>
          <w:p w14:paraId="2884566C" w14:textId="0573A4C7" w:rsidR="00BC5691" w:rsidRPr="00BC5691" w:rsidRDefault="00FD04B5" w:rsidP="001B3479">
            <w:pPr>
              <w:pStyle w:val="TableFigureHeading"/>
              <w:jc w:val="center"/>
              <w:rPr>
                <w:b w:val="0"/>
                <w:bCs w:val="0"/>
                <w:color w:val="000000" w:themeColor="text1"/>
              </w:rPr>
            </w:pPr>
            <w:r>
              <w:rPr>
                <w:b w:val="0"/>
                <w:bCs w:val="0"/>
                <w:color w:val="000000" w:themeColor="text1"/>
              </w:rPr>
              <w:t>55 (9%)</w:t>
            </w:r>
          </w:p>
        </w:tc>
        <w:tc>
          <w:tcPr>
            <w:tcW w:w="1072" w:type="pct"/>
          </w:tcPr>
          <w:p w14:paraId="77F4407A" w14:textId="5D00B24D" w:rsidR="00BC5691" w:rsidRPr="00BC5691" w:rsidRDefault="00FD04B5" w:rsidP="001B3479">
            <w:pPr>
              <w:pStyle w:val="TableFigureHeading"/>
              <w:jc w:val="center"/>
              <w:rPr>
                <w:b w:val="0"/>
                <w:bCs w:val="0"/>
                <w:color w:val="000000" w:themeColor="text1"/>
              </w:rPr>
            </w:pPr>
            <w:r>
              <w:rPr>
                <w:b w:val="0"/>
                <w:bCs w:val="0"/>
                <w:color w:val="000000" w:themeColor="text1"/>
              </w:rPr>
              <w:t>20 (6%)</w:t>
            </w:r>
          </w:p>
        </w:tc>
      </w:tr>
      <w:tr w:rsidR="00BC5691" w14:paraId="2176ABB7" w14:textId="77777777" w:rsidTr="00E44DA7">
        <w:tc>
          <w:tcPr>
            <w:tcW w:w="1727" w:type="pct"/>
          </w:tcPr>
          <w:p w14:paraId="5B11FB6A" w14:textId="31E24D00" w:rsidR="00BC5691" w:rsidRPr="00BC5691" w:rsidRDefault="00FD04B5" w:rsidP="00BC5691">
            <w:pPr>
              <w:pStyle w:val="TableFigureHeading"/>
              <w:rPr>
                <w:b w:val="0"/>
                <w:bCs w:val="0"/>
                <w:color w:val="000000" w:themeColor="text1"/>
              </w:rPr>
            </w:pPr>
            <w:r>
              <w:rPr>
                <w:b w:val="0"/>
                <w:bCs w:val="0"/>
                <w:color w:val="000000" w:themeColor="text1"/>
              </w:rPr>
              <w:t>Severe Infections, n (%)</w:t>
            </w:r>
          </w:p>
        </w:tc>
        <w:tc>
          <w:tcPr>
            <w:tcW w:w="1100" w:type="pct"/>
          </w:tcPr>
          <w:p w14:paraId="5BE6E534" w14:textId="7A9FB175" w:rsidR="00BC5691" w:rsidRPr="00BC5691" w:rsidRDefault="00FD04B5" w:rsidP="001B3479">
            <w:pPr>
              <w:pStyle w:val="TableFigureHeading"/>
              <w:jc w:val="center"/>
              <w:rPr>
                <w:b w:val="0"/>
                <w:bCs w:val="0"/>
                <w:color w:val="000000" w:themeColor="text1"/>
              </w:rPr>
            </w:pPr>
            <w:r>
              <w:rPr>
                <w:b w:val="0"/>
                <w:bCs w:val="0"/>
                <w:color w:val="000000" w:themeColor="text1"/>
              </w:rPr>
              <w:t>1 (&lt;0.5%)</w:t>
            </w:r>
          </w:p>
        </w:tc>
        <w:tc>
          <w:tcPr>
            <w:tcW w:w="1101" w:type="pct"/>
          </w:tcPr>
          <w:p w14:paraId="43F3D19C" w14:textId="2C82106E" w:rsidR="00BC5691" w:rsidRPr="00BC5691" w:rsidRDefault="00FD04B5" w:rsidP="001B3479">
            <w:pPr>
              <w:pStyle w:val="TableFigureHeading"/>
              <w:jc w:val="center"/>
              <w:rPr>
                <w:b w:val="0"/>
                <w:bCs w:val="0"/>
                <w:color w:val="000000" w:themeColor="text1"/>
              </w:rPr>
            </w:pPr>
            <w:r>
              <w:rPr>
                <w:b w:val="0"/>
                <w:bCs w:val="0"/>
                <w:color w:val="000000" w:themeColor="text1"/>
              </w:rPr>
              <w:t>2 (&lt;0.5%)</w:t>
            </w:r>
          </w:p>
        </w:tc>
        <w:tc>
          <w:tcPr>
            <w:tcW w:w="1072" w:type="pct"/>
          </w:tcPr>
          <w:p w14:paraId="7BBD1FB7" w14:textId="472F8A33" w:rsidR="00BC5691" w:rsidRPr="00BC5691" w:rsidRDefault="00FD04B5" w:rsidP="001B3479">
            <w:pPr>
              <w:pStyle w:val="TableFigureHeading"/>
              <w:jc w:val="center"/>
              <w:rPr>
                <w:b w:val="0"/>
                <w:bCs w:val="0"/>
                <w:color w:val="000000" w:themeColor="text1"/>
              </w:rPr>
            </w:pPr>
            <w:r>
              <w:rPr>
                <w:b w:val="0"/>
                <w:bCs w:val="0"/>
                <w:color w:val="000000" w:themeColor="text1"/>
              </w:rPr>
              <w:t>1 (&lt;0.5%)</w:t>
            </w:r>
          </w:p>
        </w:tc>
      </w:tr>
      <w:tr w:rsidR="00BC5691" w14:paraId="5C0743F9" w14:textId="77777777" w:rsidTr="00E44DA7">
        <w:tc>
          <w:tcPr>
            <w:tcW w:w="1727" w:type="pct"/>
          </w:tcPr>
          <w:p w14:paraId="60A64519" w14:textId="4B3E14CD" w:rsidR="00BC5691" w:rsidRPr="00BC5691" w:rsidRDefault="00FD04B5" w:rsidP="00BC5691">
            <w:pPr>
              <w:pStyle w:val="TableFigureHeading"/>
              <w:rPr>
                <w:b w:val="0"/>
                <w:bCs w:val="0"/>
                <w:color w:val="000000" w:themeColor="text1"/>
              </w:rPr>
            </w:pPr>
            <w:r>
              <w:rPr>
                <w:b w:val="0"/>
                <w:bCs w:val="0"/>
                <w:color w:val="000000" w:themeColor="text1"/>
              </w:rPr>
              <w:t>Malignancy, n (%)</w:t>
            </w:r>
          </w:p>
        </w:tc>
        <w:tc>
          <w:tcPr>
            <w:tcW w:w="1100" w:type="pct"/>
          </w:tcPr>
          <w:p w14:paraId="65B5C412" w14:textId="69655946" w:rsidR="00BC5691" w:rsidRPr="00BC5691" w:rsidRDefault="00FD04B5" w:rsidP="001B3479">
            <w:pPr>
              <w:pStyle w:val="TableFigureHeading"/>
              <w:jc w:val="center"/>
              <w:rPr>
                <w:b w:val="0"/>
                <w:bCs w:val="0"/>
                <w:color w:val="000000" w:themeColor="text1"/>
              </w:rPr>
            </w:pPr>
            <w:r>
              <w:rPr>
                <w:b w:val="0"/>
                <w:bCs w:val="0"/>
                <w:color w:val="000000" w:themeColor="text1"/>
              </w:rPr>
              <w:t>1 (&lt;0.5%)</w:t>
            </w:r>
          </w:p>
        </w:tc>
        <w:tc>
          <w:tcPr>
            <w:tcW w:w="1101" w:type="pct"/>
          </w:tcPr>
          <w:p w14:paraId="092FC746" w14:textId="49995285" w:rsidR="00BC5691" w:rsidRPr="00BC5691" w:rsidRDefault="00FD04B5" w:rsidP="001B3479">
            <w:pPr>
              <w:pStyle w:val="TableFigureHeading"/>
              <w:jc w:val="center"/>
              <w:rPr>
                <w:b w:val="0"/>
                <w:bCs w:val="0"/>
                <w:color w:val="000000" w:themeColor="text1"/>
              </w:rPr>
            </w:pPr>
            <w:r>
              <w:rPr>
                <w:b w:val="0"/>
                <w:bCs w:val="0"/>
                <w:color w:val="000000" w:themeColor="text1"/>
              </w:rPr>
              <w:t>1 (&lt;0.5%)</w:t>
            </w:r>
          </w:p>
        </w:tc>
        <w:tc>
          <w:tcPr>
            <w:tcW w:w="1072" w:type="pct"/>
          </w:tcPr>
          <w:p w14:paraId="08FC8F04" w14:textId="4FD38EFE" w:rsidR="00BC5691" w:rsidRPr="00BC5691" w:rsidRDefault="00FD04B5" w:rsidP="001B3479">
            <w:pPr>
              <w:pStyle w:val="TableFigureHeading"/>
              <w:jc w:val="center"/>
              <w:rPr>
                <w:b w:val="0"/>
                <w:bCs w:val="0"/>
                <w:color w:val="000000" w:themeColor="text1"/>
              </w:rPr>
            </w:pPr>
            <w:r>
              <w:rPr>
                <w:b w:val="0"/>
                <w:bCs w:val="0"/>
                <w:color w:val="000000" w:themeColor="text1"/>
              </w:rPr>
              <w:t>0</w:t>
            </w:r>
          </w:p>
        </w:tc>
      </w:tr>
      <w:tr w:rsidR="00BC5691" w14:paraId="0A5B094B" w14:textId="77777777" w:rsidTr="00E44DA7">
        <w:tc>
          <w:tcPr>
            <w:tcW w:w="1727" w:type="pct"/>
          </w:tcPr>
          <w:p w14:paraId="1DC79827" w14:textId="28C62291" w:rsidR="00BC5691" w:rsidRPr="00BC5691" w:rsidRDefault="00FD04B5" w:rsidP="00BC5691">
            <w:pPr>
              <w:pStyle w:val="TableFigureHeading"/>
              <w:rPr>
                <w:b w:val="0"/>
                <w:bCs w:val="0"/>
                <w:color w:val="000000" w:themeColor="text1"/>
              </w:rPr>
            </w:pPr>
            <w:r>
              <w:rPr>
                <w:b w:val="0"/>
                <w:bCs w:val="0"/>
                <w:color w:val="000000" w:themeColor="text1"/>
              </w:rPr>
              <w:t>Non</w:t>
            </w:r>
            <w:r w:rsidR="005F1191">
              <w:rPr>
                <w:b w:val="0"/>
                <w:bCs w:val="0"/>
                <w:color w:val="000000" w:themeColor="text1"/>
              </w:rPr>
              <w:noBreakHyphen/>
            </w:r>
            <w:r>
              <w:rPr>
                <w:b w:val="0"/>
                <w:bCs w:val="0"/>
                <w:color w:val="000000" w:themeColor="text1"/>
              </w:rPr>
              <w:t>melanoma skin cancer, n (%)</w:t>
            </w:r>
          </w:p>
        </w:tc>
        <w:tc>
          <w:tcPr>
            <w:tcW w:w="1100" w:type="pct"/>
          </w:tcPr>
          <w:p w14:paraId="0D24CAD7" w14:textId="29B41918" w:rsidR="00FD04B5" w:rsidRPr="00BC5691" w:rsidRDefault="00663E6B" w:rsidP="001B3479">
            <w:pPr>
              <w:pStyle w:val="TableFigureHeading"/>
              <w:jc w:val="center"/>
              <w:rPr>
                <w:b w:val="0"/>
                <w:bCs w:val="0"/>
                <w:color w:val="000000" w:themeColor="text1"/>
              </w:rPr>
            </w:pPr>
            <w:r>
              <w:rPr>
                <w:b w:val="0"/>
                <w:bCs w:val="0"/>
                <w:color w:val="000000" w:themeColor="text1"/>
              </w:rPr>
              <w:t>1 (&lt;0.5%)</w:t>
            </w:r>
          </w:p>
        </w:tc>
        <w:tc>
          <w:tcPr>
            <w:tcW w:w="1101" w:type="pct"/>
          </w:tcPr>
          <w:p w14:paraId="57865632" w14:textId="7CE084E3" w:rsidR="00BC5691" w:rsidRPr="00BC5691" w:rsidRDefault="00663E6B" w:rsidP="001B3479">
            <w:pPr>
              <w:pStyle w:val="TableFigureHeading"/>
              <w:jc w:val="center"/>
              <w:rPr>
                <w:b w:val="0"/>
                <w:bCs w:val="0"/>
                <w:color w:val="000000" w:themeColor="text1"/>
              </w:rPr>
            </w:pPr>
            <w:r>
              <w:rPr>
                <w:b w:val="0"/>
                <w:bCs w:val="0"/>
                <w:color w:val="000000" w:themeColor="text1"/>
              </w:rPr>
              <w:t>1 (&lt;0.5%)</w:t>
            </w:r>
          </w:p>
        </w:tc>
        <w:tc>
          <w:tcPr>
            <w:tcW w:w="1072" w:type="pct"/>
          </w:tcPr>
          <w:p w14:paraId="57A5AFED" w14:textId="12B63C77" w:rsidR="00BC5691" w:rsidRPr="00BC5691" w:rsidRDefault="00663E6B" w:rsidP="001B3479">
            <w:pPr>
              <w:pStyle w:val="TableFigureHeading"/>
              <w:jc w:val="center"/>
              <w:rPr>
                <w:b w:val="0"/>
                <w:bCs w:val="0"/>
                <w:color w:val="000000" w:themeColor="text1"/>
              </w:rPr>
            </w:pPr>
            <w:r>
              <w:rPr>
                <w:b w:val="0"/>
                <w:bCs w:val="0"/>
                <w:color w:val="000000" w:themeColor="text1"/>
              </w:rPr>
              <w:t>0</w:t>
            </w:r>
          </w:p>
        </w:tc>
      </w:tr>
      <w:tr w:rsidR="00BC5691" w14:paraId="597033C9" w14:textId="77777777" w:rsidTr="00E44DA7">
        <w:tc>
          <w:tcPr>
            <w:tcW w:w="1727" w:type="pct"/>
          </w:tcPr>
          <w:p w14:paraId="61802ED4" w14:textId="1BFF014A" w:rsidR="00BC5691" w:rsidRPr="00BC5691" w:rsidRDefault="00663E6B" w:rsidP="00BC5691">
            <w:pPr>
              <w:pStyle w:val="TableFigureHeading"/>
              <w:rPr>
                <w:b w:val="0"/>
                <w:bCs w:val="0"/>
                <w:color w:val="000000" w:themeColor="text1"/>
              </w:rPr>
            </w:pPr>
            <w:r>
              <w:rPr>
                <w:b w:val="0"/>
                <w:bCs w:val="0"/>
                <w:color w:val="000000" w:themeColor="text1"/>
              </w:rPr>
              <w:t>MACE, n (%)</w:t>
            </w:r>
          </w:p>
        </w:tc>
        <w:tc>
          <w:tcPr>
            <w:tcW w:w="1100" w:type="pct"/>
          </w:tcPr>
          <w:p w14:paraId="0D9157C8" w14:textId="635CD89A" w:rsidR="00BC5691" w:rsidRPr="00BC5691" w:rsidRDefault="00663E6B" w:rsidP="001B3479">
            <w:pPr>
              <w:pStyle w:val="TableFigureHeading"/>
              <w:jc w:val="center"/>
              <w:rPr>
                <w:b w:val="0"/>
                <w:bCs w:val="0"/>
                <w:color w:val="000000" w:themeColor="text1"/>
              </w:rPr>
            </w:pPr>
            <w:r>
              <w:rPr>
                <w:b w:val="0"/>
                <w:bCs w:val="0"/>
                <w:color w:val="000000" w:themeColor="text1"/>
              </w:rPr>
              <w:t>1 (&lt;0.5%)</w:t>
            </w:r>
          </w:p>
        </w:tc>
        <w:tc>
          <w:tcPr>
            <w:tcW w:w="1101" w:type="pct"/>
          </w:tcPr>
          <w:p w14:paraId="1BE14230" w14:textId="7C673B49" w:rsidR="00BC5691" w:rsidRPr="00BC5691" w:rsidRDefault="00663E6B" w:rsidP="001B3479">
            <w:pPr>
              <w:pStyle w:val="TableFigureHeading"/>
              <w:jc w:val="center"/>
              <w:rPr>
                <w:b w:val="0"/>
                <w:bCs w:val="0"/>
                <w:color w:val="000000" w:themeColor="text1"/>
              </w:rPr>
            </w:pPr>
            <w:r>
              <w:rPr>
                <w:b w:val="0"/>
                <w:bCs w:val="0"/>
                <w:color w:val="000000" w:themeColor="text1"/>
              </w:rPr>
              <w:t>0</w:t>
            </w:r>
          </w:p>
        </w:tc>
        <w:tc>
          <w:tcPr>
            <w:tcW w:w="1072" w:type="pct"/>
          </w:tcPr>
          <w:p w14:paraId="2BB4FD8F" w14:textId="1F5A49EC" w:rsidR="00BC5691" w:rsidRPr="00BC5691" w:rsidRDefault="00663E6B" w:rsidP="001B3479">
            <w:pPr>
              <w:pStyle w:val="TableFigureHeading"/>
              <w:jc w:val="center"/>
              <w:rPr>
                <w:b w:val="0"/>
                <w:bCs w:val="0"/>
                <w:color w:val="000000" w:themeColor="text1"/>
              </w:rPr>
            </w:pPr>
            <w:r>
              <w:rPr>
                <w:b w:val="0"/>
                <w:bCs w:val="0"/>
                <w:color w:val="000000" w:themeColor="text1"/>
              </w:rPr>
              <w:t>0</w:t>
            </w:r>
          </w:p>
        </w:tc>
      </w:tr>
    </w:tbl>
    <w:p w14:paraId="041ED8F3" w14:textId="77777777" w:rsidR="00551076" w:rsidRPr="00657A96" w:rsidRDefault="00663E6B" w:rsidP="00657A96">
      <w:pPr>
        <w:pStyle w:val="TableFigureFooter"/>
        <w:rPr>
          <w:i w:val="0"/>
          <w:iCs w:val="0"/>
        </w:rPr>
      </w:pPr>
      <w:r w:rsidRPr="00657A96">
        <w:rPr>
          <w:i w:val="0"/>
          <w:iCs w:val="0"/>
        </w:rPr>
        <w:t xml:space="preserve">Source: Reich et al, 2017, Tables 6 and 7. </w:t>
      </w:r>
    </w:p>
    <w:p w14:paraId="1374EA11" w14:textId="66578730" w:rsidR="00BC5691" w:rsidRPr="00657A96" w:rsidRDefault="009A6EE3" w:rsidP="00657A96">
      <w:pPr>
        <w:pStyle w:val="TableFigureFooter"/>
        <w:rPr>
          <w:i w:val="0"/>
          <w:iCs w:val="0"/>
        </w:rPr>
      </w:pPr>
      <w:r w:rsidRPr="00657A96">
        <w:rPr>
          <w:i w:val="0"/>
          <w:iCs w:val="0"/>
        </w:rPr>
        <w:t>AE = adverse event; MACE = major adjudicated cardiovascular even</w:t>
      </w:r>
      <w:r w:rsidR="00657A96">
        <w:rPr>
          <w:i w:val="0"/>
          <w:iCs w:val="0"/>
        </w:rPr>
        <w:t>t; TIL = tildrakizumab</w:t>
      </w:r>
      <w:r w:rsidR="00551076" w:rsidRPr="00657A96">
        <w:rPr>
          <w:i w:val="0"/>
          <w:iCs w:val="0"/>
        </w:rPr>
        <w:t xml:space="preserve"> </w:t>
      </w:r>
    </w:p>
    <w:p w14:paraId="3A50E43A" w14:textId="1D7B726C" w:rsidR="009A6EE3" w:rsidRPr="00590DBA" w:rsidRDefault="00663E6B" w:rsidP="00D86231">
      <w:pPr>
        <w:pStyle w:val="3-BodyText"/>
        <w:rPr>
          <w:color w:val="0066FF"/>
        </w:rPr>
      </w:pPr>
      <w:r w:rsidRPr="008F5F10">
        <w:rPr>
          <w:color w:val="000000" w:themeColor="text1"/>
        </w:rPr>
        <w:t xml:space="preserve">Adverse events seen in </w:t>
      </w:r>
      <w:r w:rsidR="00E8529A">
        <w:rPr>
          <w:color w:val="000000" w:themeColor="text1"/>
        </w:rPr>
        <w:t xml:space="preserve">pooled data from the </w:t>
      </w:r>
      <w:proofErr w:type="spellStart"/>
      <w:r w:rsidRPr="008F5F10">
        <w:rPr>
          <w:color w:val="000000" w:themeColor="text1"/>
        </w:rPr>
        <w:t>reSURFACE</w:t>
      </w:r>
      <w:proofErr w:type="spellEnd"/>
      <w:r w:rsidRPr="008F5F10">
        <w:rPr>
          <w:color w:val="000000" w:themeColor="text1"/>
        </w:rPr>
        <w:t xml:space="preserve"> 1 and 2 and in the four</w:t>
      </w:r>
      <w:r w:rsidR="005F1191">
        <w:rPr>
          <w:color w:val="000000" w:themeColor="text1"/>
        </w:rPr>
        <w:noBreakHyphen/>
      </w:r>
      <w:r w:rsidRPr="008F5F10">
        <w:rPr>
          <w:color w:val="000000" w:themeColor="text1"/>
        </w:rPr>
        <w:t xml:space="preserve">year open label extension </w:t>
      </w:r>
      <w:r w:rsidR="000F774F">
        <w:rPr>
          <w:color w:val="000000" w:themeColor="text1"/>
        </w:rPr>
        <w:t>stud</w:t>
      </w:r>
      <w:r w:rsidR="00555A50">
        <w:rPr>
          <w:color w:val="000000" w:themeColor="text1"/>
        </w:rPr>
        <w:t>ies</w:t>
      </w:r>
      <w:r w:rsidR="000F774F">
        <w:rPr>
          <w:color w:val="000000" w:themeColor="text1"/>
        </w:rPr>
        <w:t xml:space="preserve"> </w:t>
      </w:r>
      <w:r w:rsidRPr="00590DBA">
        <w:rPr>
          <w:color w:val="000000" w:themeColor="text1"/>
        </w:rPr>
        <w:t>are shown in</w:t>
      </w:r>
      <w:r w:rsidR="00E44DA7">
        <w:rPr>
          <w:color w:val="000000" w:themeColor="text1"/>
        </w:rPr>
        <w:t xml:space="preserve"> </w:t>
      </w:r>
      <w:r w:rsidR="00E44DA7">
        <w:rPr>
          <w:color w:val="000000" w:themeColor="text1"/>
        </w:rPr>
        <w:fldChar w:fldCharType="begin"/>
      </w:r>
      <w:r w:rsidR="00E44DA7">
        <w:rPr>
          <w:color w:val="000000" w:themeColor="text1"/>
        </w:rPr>
        <w:instrText xml:space="preserve"> REF _Ref225949122 \h </w:instrText>
      </w:r>
      <w:r w:rsidR="00E44DA7">
        <w:rPr>
          <w:color w:val="000000" w:themeColor="text1"/>
        </w:rPr>
      </w:r>
      <w:r w:rsidR="00E44DA7">
        <w:rPr>
          <w:color w:val="000000" w:themeColor="text1"/>
        </w:rPr>
        <w:fldChar w:fldCharType="separate"/>
      </w:r>
      <w:r w:rsidR="00E44DA7">
        <w:t xml:space="preserve">Table </w:t>
      </w:r>
      <w:r w:rsidR="00E44DA7">
        <w:rPr>
          <w:noProof/>
        </w:rPr>
        <w:t>10</w:t>
      </w:r>
      <w:r w:rsidR="00E44DA7">
        <w:rPr>
          <w:color w:val="000000" w:themeColor="text1"/>
        </w:rPr>
        <w:fldChar w:fldCharType="end"/>
      </w:r>
      <w:r w:rsidRPr="00590DBA">
        <w:rPr>
          <w:color w:val="000000" w:themeColor="text1"/>
        </w:rPr>
        <w:t>.</w:t>
      </w:r>
      <w:r w:rsidR="009A6EE3" w:rsidRPr="00590DBA">
        <w:rPr>
          <w:color w:val="000000" w:themeColor="text1"/>
        </w:rPr>
        <w:t xml:space="preserve"> </w:t>
      </w:r>
      <w:r w:rsidR="005B5430" w:rsidRPr="00590DBA">
        <w:rPr>
          <w:color w:val="000000" w:themeColor="text1"/>
        </w:rPr>
        <w:t>As</w:t>
      </w:r>
      <w:r w:rsidR="009A6EE3" w:rsidRPr="00590DBA">
        <w:rPr>
          <w:color w:val="000000" w:themeColor="text1"/>
        </w:rPr>
        <w:t xml:space="preserve"> IL</w:t>
      </w:r>
      <w:r w:rsidR="005F1191">
        <w:rPr>
          <w:color w:val="000000" w:themeColor="text1"/>
        </w:rPr>
        <w:noBreakHyphen/>
      </w:r>
      <w:r w:rsidR="009A6EE3" w:rsidRPr="00590DBA">
        <w:rPr>
          <w:color w:val="000000" w:themeColor="text1"/>
        </w:rPr>
        <w:t>23 plays a role in immune surveillance of tumours and regulation of inflammatory processes, an increased risk of malignancy and cardio</w:t>
      </w:r>
      <w:r w:rsidR="005F1191">
        <w:rPr>
          <w:color w:val="000000" w:themeColor="text1"/>
        </w:rPr>
        <w:noBreakHyphen/>
      </w:r>
      <w:r w:rsidR="009A6EE3" w:rsidRPr="00590DBA">
        <w:rPr>
          <w:color w:val="000000" w:themeColor="text1"/>
        </w:rPr>
        <w:t>vascular event with long</w:t>
      </w:r>
      <w:r w:rsidR="005F1191">
        <w:rPr>
          <w:color w:val="000000" w:themeColor="text1"/>
        </w:rPr>
        <w:noBreakHyphen/>
      </w:r>
      <w:r w:rsidR="009A6EE3" w:rsidRPr="00590DBA">
        <w:rPr>
          <w:color w:val="000000" w:themeColor="text1"/>
        </w:rPr>
        <w:t>term use of IL</w:t>
      </w:r>
      <w:r w:rsidR="005F1191">
        <w:rPr>
          <w:color w:val="000000" w:themeColor="text1"/>
        </w:rPr>
        <w:noBreakHyphen/>
      </w:r>
      <w:r w:rsidR="009A6EE3" w:rsidRPr="00590DBA">
        <w:rPr>
          <w:color w:val="000000" w:themeColor="text1"/>
        </w:rPr>
        <w:t>23 antagonists has been suggested.</w:t>
      </w:r>
    </w:p>
    <w:p w14:paraId="35D72055" w14:textId="4E56A489" w:rsidR="00663E6B" w:rsidRPr="00590DBA" w:rsidRDefault="009A6EE3" w:rsidP="00D86231">
      <w:pPr>
        <w:pStyle w:val="3-BodyText"/>
        <w:rPr>
          <w:color w:val="0066FF"/>
        </w:rPr>
      </w:pPr>
      <w:r w:rsidRPr="00590DBA">
        <w:rPr>
          <w:color w:val="000000" w:themeColor="text1"/>
        </w:rPr>
        <w:t xml:space="preserve">These data do not exclude an increased risk </w:t>
      </w:r>
      <w:r w:rsidR="00551076" w:rsidRPr="00590DBA">
        <w:rPr>
          <w:color w:val="000000" w:themeColor="text1"/>
        </w:rPr>
        <w:t>of malignancy and cardio</w:t>
      </w:r>
      <w:r w:rsidR="005F1191">
        <w:rPr>
          <w:color w:val="000000" w:themeColor="text1"/>
        </w:rPr>
        <w:noBreakHyphen/>
      </w:r>
      <w:r w:rsidR="00551076" w:rsidRPr="00590DBA">
        <w:rPr>
          <w:color w:val="000000" w:themeColor="text1"/>
        </w:rPr>
        <w:t xml:space="preserve">vascular events </w:t>
      </w:r>
      <w:r w:rsidRPr="00590DBA">
        <w:rPr>
          <w:color w:val="000000" w:themeColor="text1"/>
        </w:rPr>
        <w:t xml:space="preserve">with </w:t>
      </w:r>
      <w:r w:rsidR="00FC572A" w:rsidRPr="00590DBA">
        <w:rPr>
          <w:color w:val="000000" w:themeColor="text1"/>
        </w:rPr>
        <w:t xml:space="preserve">TIL </w:t>
      </w:r>
      <w:proofErr w:type="gramStart"/>
      <w:r w:rsidR="00465707">
        <w:rPr>
          <w:color w:val="000000" w:themeColor="text1"/>
        </w:rPr>
        <w:t>and also</w:t>
      </w:r>
      <w:proofErr w:type="gramEnd"/>
      <w:r w:rsidR="00465707" w:rsidRPr="00590DBA">
        <w:rPr>
          <w:color w:val="000000" w:themeColor="text1"/>
        </w:rPr>
        <w:t xml:space="preserve"> </w:t>
      </w:r>
      <w:r w:rsidRPr="00590DBA">
        <w:rPr>
          <w:color w:val="000000" w:themeColor="text1"/>
        </w:rPr>
        <w:t xml:space="preserve">do not suggest </w:t>
      </w:r>
      <w:r w:rsidR="00551076" w:rsidRPr="00590DBA">
        <w:rPr>
          <w:color w:val="000000" w:themeColor="text1"/>
        </w:rPr>
        <w:t xml:space="preserve">that the risk is materially higher with </w:t>
      </w:r>
      <w:r w:rsidR="005B5430" w:rsidRPr="00590DBA">
        <w:rPr>
          <w:color w:val="000000" w:themeColor="text1"/>
        </w:rPr>
        <w:t xml:space="preserve">TIL </w:t>
      </w:r>
      <w:r w:rsidR="00551076" w:rsidRPr="00590DBA">
        <w:rPr>
          <w:color w:val="000000" w:themeColor="text1"/>
        </w:rPr>
        <w:t xml:space="preserve">200 mg vs </w:t>
      </w:r>
      <w:r w:rsidR="005B5430" w:rsidRPr="00590DBA">
        <w:rPr>
          <w:color w:val="000000" w:themeColor="text1"/>
        </w:rPr>
        <w:t xml:space="preserve">TIL </w:t>
      </w:r>
      <w:r w:rsidR="00551076" w:rsidRPr="00590DBA">
        <w:rPr>
          <w:color w:val="000000" w:themeColor="text1"/>
        </w:rPr>
        <w:t>100 mg</w:t>
      </w:r>
      <w:r w:rsidRPr="00590DBA">
        <w:rPr>
          <w:color w:val="000000" w:themeColor="text1"/>
        </w:rPr>
        <w:t>.</w:t>
      </w:r>
      <w:r w:rsidR="005F1191">
        <w:rPr>
          <w:color w:val="000000" w:themeColor="text1"/>
        </w:rPr>
        <w:t xml:space="preserve"> </w:t>
      </w:r>
    </w:p>
    <w:p w14:paraId="25C31B07" w14:textId="37021142" w:rsidR="00663E6B" w:rsidRDefault="00E44DA7" w:rsidP="00E44DA7">
      <w:pPr>
        <w:pStyle w:val="Caption"/>
      </w:pPr>
      <w:bookmarkStart w:id="32" w:name="_Ref225949122"/>
      <w:r>
        <w:lastRenderedPageBreak/>
        <w:t xml:space="preserve">Table </w:t>
      </w:r>
      <w:fldSimple w:instr=" SEQ Table \* ARABIC ">
        <w:r>
          <w:rPr>
            <w:noProof/>
          </w:rPr>
          <w:t>10</w:t>
        </w:r>
      </w:fldSimple>
      <w:bookmarkEnd w:id="32"/>
      <w:r w:rsidR="00663E6B" w:rsidRPr="00663E6B">
        <w:t xml:space="preserve">: Adverse events in </w:t>
      </w:r>
      <w:r w:rsidR="00E8529A">
        <w:t xml:space="preserve">pooled </w:t>
      </w:r>
      <w:proofErr w:type="spellStart"/>
      <w:r w:rsidR="00663E6B" w:rsidRPr="00663E6B">
        <w:t>reSURFACE</w:t>
      </w:r>
      <w:proofErr w:type="spellEnd"/>
      <w:r w:rsidR="00663E6B" w:rsidRPr="00663E6B">
        <w:t xml:space="preserve"> 1 and 2 plus 4</w:t>
      </w:r>
      <w:r w:rsidR="005F1191">
        <w:noBreakHyphen/>
      </w:r>
      <w:r w:rsidR="00663E6B" w:rsidRPr="00663E6B">
        <w:t>year extension</w:t>
      </w:r>
      <w:r w:rsidR="00E8529A">
        <w:t xml:space="preserve"> studies</w:t>
      </w:r>
      <w:r w:rsidR="00663E6B" w:rsidRPr="00663E6B">
        <w:t>.</w:t>
      </w:r>
    </w:p>
    <w:tbl>
      <w:tblPr>
        <w:tblStyle w:val="TableGrid"/>
        <w:tblW w:w="5000" w:type="pct"/>
        <w:tblLook w:val="04A0" w:firstRow="1" w:lastRow="0" w:firstColumn="1" w:lastColumn="0" w:noHBand="0" w:noVBand="1"/>
        <w:tblCaption w:val="Table 10: Adverse events in pooled reSURFACE 1 and 2 plus 4 year extension studies."/>
      </w:tblPr>
      <w:tblGrid>
        <w:gridCol w:w="4758"/>
        <w:gridCol w:w="2310"/>
        <w:gridCol w:w="2114"/>
      </w:tblGrid>
      <w:tr w:rsidR="00663E6B" w14:paraId="593AA157" w14:textId="77777777" w:rsidTr="00555A50">
        <w:tc>
          <w:tcPr>
            <w:tcW w:w="2591" w:type="pct"/>
          </w:tcPr>
          <w:p w14:paraId="75B7CFFC" w14:textId="77777777" w:rsidR="00663E6B" w:rsidRDefault="00663E6B" w:rsidP="00663E6B">
            <w:pPr>
              <w:pStyle w:val="TableFigureHeading"/>
              <w:rPr>
                <w:color w:val="000000" w:themeColor="text1"/>
              </w:rPr>
            </w:pPr>
          </w:p>
        </w:tc>
        <w:tc>
          <w:tcPr>
            <w:tcW w:w="1258" w:type="pct"/>
          </w:tcPr>
          <w:p w14:paraId="796E7ACC" w14:textId="3E0265FE" w:rsidR="00663E6B" w:rsidRDefault="00E8529A" w:rsidP="00555A50">
            <w:pPr>
              <w:pStyle w:val="TableFigureHeading"/>
              <w:jc w:val="center"/>
              <w:rPr>
                <w:color w:val="000000" w:themeColor="text1"/>
              </w:rPr>
            </w:pPr>
            <w:r>
              <w:rPr>
                <w:color w:val="000000" w:themeColor="text1"/>
              </w:rPr>
              <w:t xml:space="preserve">TIL </w:t>
            </w:r>
            <w:r w:rsidR="00663E6B">
              <w:rPr>
                <w:color w:val="000000" w:themeColor="text1"/>
              </w:rPr>
              <w:t>100 mg</w:t>
            </w:r>
          </w:p>
          <w:p w14:paraId="27B2F999" w14:textId="27BACEB2" w:rsidR="00663E6B" w:rsidRDefault="00663E6B" w:rsidP="00555A50">
            <w:pPr>
              <w:pStyle w:val="TableFigureHeading"/>
              <w:jc w:val="center"/>
              <w:rPr>
                <w:color w:val="000000" w:themeColor="text1"/>
              </w:rPr>
            </w:pPr>
            <w:r>
              <w:rPr>
                <w:color w:val="000000" w:themeColor="text1"/>
              </w:rPr>
              <w:t xml:space="preserve">N = </w:t>
            </w:r>
            <w:r w:rsidR="00FE19C8">
              <w:rPr>
                <w:color w:val="000000" w:themeColor="text1"/>
              </w:rPr>
              <w:t>872</w:t>
            </w:r>
          </w:p>
        </w:tc>
        <w:tc>
          <w:tcPr>
            <w:tcW w:w="1151" w:type="pct"/>
          </w:tcPr>
          <w:p w14:paraId="216CD1B4" w14:textId="7C42FE89" w:rsidR="00663E6B" w:rsidRDefault="00E8529A" w:rsidP="00555A50">
            <w:pPr>
              <w:pStyle w:val="TableFigureHeading"/>
              <w:jc w:val="center"/>
              <w:rPr>
                <w:color w:val="000000" w:themeColor="text1"/>
              </w:rPr>
            </w:pPr>
            <w:r>
              <w:rPr>
                <w:color w:val="000000" w:themeColor="text1"/>
              </w:rPr>
              <w:t>TIL</w:t>
            </w:r>
            <w:r w:rsidR="00663E6B">
              <w:rPr>
                <w:color w:val="000000" w:themeColor="text1"/>
              </w:rPr>
              <w:t xml:space="preserve"> 200 mg</w:t>
            </w:r>
          </w:p>
          <w:p w14:paraId="181E3096" w14:textId="784E7446" w:rsidR="00FE19C8" w:rsidRDefault="00FE19C8" w:rsidP="00555A50">
            <w:pPr>
              <w:pStyle w:val="TableFigureHeading"/>
              <w:jc w:val="center"/>
              <w:rPr>
                <w:color w:val="000000" w:themeColor="text1"/>
              </w:rPr>
            </w:pPr>
            <w:r>
              <w:rPr>
                <w:color w:val="000000" w:themeColor="text1"/>
              </w:rPr>
              <w:t>N = 928</w:t>
            </w:r>
          </w:p>
        </w:tc>
      </w:tr>
      <w:tr w:rsidR="00FE19C8" w14:paraId="65739190" w14:textId="77777777" w:rsidTr="00555A50">
        <w:tc>
          <w:tcPr>
            <w:tcW w:w="2591" w:type="pct"/>
          </w:tcPr>
          <w:p w14:paraId="012F9F68" w14:textId="102D6E60" w:rsidR="00FE19C8" w:rsidRPr="00663E6B" w:rsidRDefault="00FE19C8" w:rsidP="00663E6B">
            <w:pPr>
              <w:pStyle w:val="TableFigureHeading"/>
              <w:rPr>
                <w:b w:val="0"/>
                <w:bCs w:val="0"/>
                <w:color w:val="000000" w:themeColor="text1"/>
              </w:rPr>
            </w:pPr>
            <w:r>
              <w:rPr>
                <w:b w:val="0"/>
                <w:bCs w:val="0"/>
                <w:color w:val="000000" w:themeColor="text1"/>
              </w:rPr>
              <w:t>Serious AE, n (%)</w:t>
            </w:r>
          </w:p>
        </w:tc>
        <w:tc>
          <w:tcPr>
            <w:tcW w:w="1258" w:type="pct"/>
          </w:tcPr>
          <w:p w14:paraId="1B031BC5" w14:textId="7F27F671" w:rsidR="00FE19C8" w:rsidRDefault="00FE19C8" w:rsidP="00555A50">
            <w:pPr>
              <w:pStyle w:val="TableFigureHeading"/>
              <w:jc w:val="center"/>
              <w:rPr>
                <w:b w:val="0"/>
                <w:bCs w:val="0"/>
                <w:color w:val="000000" w:themeColor="text1"/>
              </w:rPr>
            </w:pPr>
            <w:r>
              <w:rPr>
                <w:b w:val="0"/>
                <w:bCs w:val="0"/>
                <w:color w:val="000000" w:themeColor="text1"/>
              </w:rPr>
              <w:t>249</w:t>
            </w:r>
            <w:r w:rsidR="009A6EE3">
              <w:rPr>
                <w:b w:val="0"/>
                <w:bCs w:val="0"/>
                <w:color w:val="000000" w:themeColor="text1"/>
              </w:rPr>
              <w:t xml:space="preserve"> (29%)</w:t>
            </w:r>
          </w:p>
        </w:tc>
        <w:tc>
          <w:tcPr>
            <w:tcW w:w="1151" w:type="pct"/>
          </w:tcPr>
          <w:p w14:paraId="614D16E1" w14:textId="23522D68" w:rsidR="00FE19C8" w:rsidRDefault="00FE19C8" w:rsidP="00555A50">
            <w:pPr>
              <w:pStyle w:val="TableFigureHeading"/>
              <w:jc w:val="center"/>
              <w:rPr>
                <w:b w:val="0"/>
                <w:bCs w:val="0"/>
                <w:color w:val="000000" w:themeColor="text1"/>
              </w:rPr>
            </w:pPr>
            <w:r>
              <w:rPr>
                <w:b w:val="0"/>
                <w:bCs w:val="0"/>
                <w:color w:val="000000" w:themeColor="text1"/>
              </w:rPr>
              <w:t>245</w:t>
            </w:r>
            <w:r w:rsidR="009A6EE3">
              <w:rPr>
                <w:b w:val="0"/>
                <w:bCs w:val="0"/>
                <w:color w:val="000000" w:themeColor="text1"/>
              </w:rPr>
              <w:t xml:space="preserve"> (26%)</w:t>
            </w:r>
          </w:p>
        </w:tc>
      </w:tr>
      <w:tr w:rsidR="00FE19C8" w14:paraId="708A3AEC" w14:textId="77777777" w:rsidTr="00555A50">
        <w:tc>
          <w:tcPr>
            <w:tcW w:w="2591" w:type="pct"/>
          </w:tcPr>
          <w:p w14:paraId="1CA09F36" w14:textId="0E4FCF89" w:rsidR="00FE19C8" w:rsidRDefault="00FE19C8" w:rsidP="00FE19C8">
            <w:pPr>
              <w:pStyle w:val="TableFigureHeading"/>
              <w:rPr>
                <w:b w:val="0"/>
                <w:bCs w:val="0"/>
                <w:color w:val="000000" w:themeColor="text1"/>
              </w:rPr>
            </w:pPr>
            <w:r>
              <w:rPr>
                <w:b w:val="0"/>
                <w:bCs w:val="0"/>
                <w:color w:val="000000" w:themeColor="text1"/>
              </w:rPr>
              <w:t>AE leading to discontinuation, n (%)</w:t>
            </w:r>
          </w:p>
        </w:tc>
        <w:tc>
          <w:tcPr>
            <w:tcW w:w="1258" w:type="pct"/>
          </w:tcPr>
          <w:p w14:paraId="590896DC" w14:textId="391548B0" w:rsidR="00FE19C8" w:rsidRDefault="00FE19C8" w:rsidP="00555A50">
            <w:pPr>
              <w:pStyle w:val="TableFigureHeading"/>
              <w:jc w:val="center"/>
              <w:rPr>
                <w:b w:val="0"/>
                <w:bCs w:val="0"/>
                <w:color w:val="000000" w:themeColor="text1"/>
              </w:rPr>
            </w:pPr>
            <w:r>
              <w:rPr>
                <w:b w:val="0"/>
                <w:bCs w:val="0"/>
                <w:color w:val="000000" w:themeColor="text1"/>
              </w:rPr>
              <w:t>52</w:t>
            </w:r>
            <w:r w:rsidR="009A6EE3">
              <w:rPr>
                <w:b w:val="0"/>
                <w:bCs w:val="0"/>
                <w:color w:val="000000" w:themeColor="text1"/>
              </w:rPr>
              <w:t xml:space="preserve"> (6%)</w:t>
            </w:r>
          </w:p>
        </w:tc>
        <w:tc>
          <w:tcPr>
            <w:tcW w:w="1151" w:type="pct"/>
          </w:tcPr>
          <w:p w14:paraId="39905143" w14:textId="7B3EC504" w:rsidR="00FE19C8" w:rsidRDefault="00FE19C8" w:rsidP="00555A50">
            <w:pPr>
              <w:pStyle w:val="TableFigureHeading"/>
              <w:jc w:val="center"/>
              <w:rPr>
                <w:b w:val="0"/>
                <w:bCs w:val="0"/>
                <w:color w:val="000000" w:themeColor="text1"/>
              </w:rPr>
            </w:pPr>
            <w:r>
              <w:rPr>
                <w:b w:val="0"/>
                <w:bCs w:val="0"/>
                <w:color w:val="000000" w:themeColor="text1"/>
              </w:rPr>
              <w:t>40</w:t>
            </w:r>
            <w:r w:rsidR="009A6EE3">
              <w:rPr>
                <w:b w:val="0"/>
                <w:bCs w:val="0"/>
                <w:color w:val="000000" w:themeColor="text1"/>
              </w:rPr>
              <w:t xml:space="preserve"> (4%)</w:t>
            </w:r>
          </w:p>
        </w:tc>
      </w:tr>
      <w:tr w:rsidR="00FE19C8" w14:paraId="3403E9C6" w14:textId="77777777" w:rsidTr="00555A50">
        <w:tc>
          <w:tcPr>
            <w:tcW w:w="2591" w:type="pct"/>
          </w:tcPr>
          <w:p w14:paraId="394C5EF2" w14:textId="3557C27A" w:rsidR="00FE19C8" w:rsidRPr="00663E6B" w:rsidRDefault="00FE19C8" w:rsidP="00FE19C8">
            <w:pPr>
              <w:pStyle w:val="TableFigureHeading"/>
              <w:rPr>
                <w:b w:val="0"/>
                <w:bCs w:val="0"/>
                <w:color w:val="000000" w:themeColor="text1"/>
              </w:rPr>
            </w:pPr>
            <w:r w:rsidRPr="00663E6B">
              <w:rPr>
                <w:b w:val="0"/>
                <w:bCs w:val="0"/>
                <w:color w:val="000000" w:themeColor="text1"/>
              </w:rPr>
              <w:t>Severe Infection, n (%)</w:t>
            </w:r>
          </w:p>
        </w:tc>
        <w:tc>
          <w:tcPr>
            <w:tcW w:w="1258" w:type="pct"/>
          </w:tcPr>
          <w:p w14:paraId="41E349AC" w14:textId="6D229AC5" w:rsidR="00FE19C8" w:rsidRPr="00663E6B" w:rsidRDefault="00FE19C8" w:rsidP="00555A50">
            <w:pPr>
              <w:pStyle w:val="TableFigureHeading"/>
              <w:jc w:val="center"/>
              <w:rPr>
                <w:b w:val="0"/>
                <w:bCs w:val="0"/>
                <w:color w:val="000000" w:themeColor="text1"/>
              </w:rPr>
            </w:pPr>
            <w:r>
              <w:rPr>
                <w:b w:val="0"/>
                <w:bCs w:val="0"/>
                <w:color w:val="000000" w:themeColor="text1"/>
              </w:rPr>
              <w:t>38 (4%)</w:t>
            </w:r>
          </w:p>
        </w:tc>
        <w:tc>
          <w:tcPr>
            <w:tcW w:w="1151" w:type="pct"/>
          </w:tcPr>
          <w:p w14:paraId="478E2A91" w14:textId="5118336E" w:rsidR="00FE19C8" w:rsidRPr="00663E6B" w:rsidRDefault="00FE19C8" w:rsidP="00555A50">
            <w:pPr>
              <w:pStyle w:val="TableFigureHeading"/>
              <w:jc w:val="center"/>
              <w:rPr>
                <w:b w:val="0"/>
                <w:bCs w:val="0"/>
                <w:color w:val="000000" w:themeColor="text1"/>
              </w:rPr>
            </w:pPr>
            <w:r>
              <w:rPr>
                <w:b w:val="0"/>
                <w:bCs w:val="0"/>
                <w:color w:val="000000" w:themeColor="text1"/>
              </w:rPr>
              <w:t>48 (6%)</w:t>
            </w:r>
          </w:p>
        </w:tc>
      </w:tr>
      <w:tr w:rsidR="00FE19C8" w14:paraId="3CBDC24C" w14:textId="77777777" w:rsidTr="00555A50">
        <w:tc>
          <w:tcPr>
            <w:tcW w:w="2591" w:type="pct"/>
          </w:tcPr>
          <w:p w14:paraId="152C1664" w14:textId="43739CFC" w:rsidR="00FE19C8" w:rsidRPr="00663E6B" w:rsidRDefault="00FE19C8" w:rsidP="00FE19C8">
            <w:pPr>
              <w:pStyle w:val="TableFigureHeading"/>
              <w:rPr>
                <w:b w:val="0"/>
                <w:bCs w:val="0"/>
                <w:color w:val="000000" w:themeColor="text1"/>
              </w:rPr>
            </w:pPr>
            <w:r>
              <w:rPr>
                <w:b w:val="0"/>
                <w:bCs w:val="0"/>
                <w:color w:val="000000" w:themeColor="text1"/>
              </w:rPr>
              <w:t>Malignancy excluding NMSC, n (%)</w:t>
            </w:r>
          </w:p>
        </w:tc>
        <w:tc>
          <w:tcPr>
            <w:tcW w:w="1258" w:type="pct"/>
          </w:tcPr>
          <w:p w14:paraId="5763BC6A" w14:textId="33C8B9E7" w:rsidR="00FE19C8" w:rsidRPr="00663E6B" w:rsidRDefault="00FE19C8" w:rsidP="00555A50">
            <w:pPr>
              <w:pStyle w:val="TableFigureHeading"/>
              <w:jc w:val="center"/>
              <w:rPr>
                <w:b w:val="0"/>
                <w:bCs w:val="0"/>
                <w:color w:val="000000" w:themeColor="text1"/>
              </w:rPr>
            </w:pPr>
            <w:r>
              <w:rPr>
                <w:b w:val="0"/>
                <w:bCs w:val="0"/>
                <w:color w:val="000000" w:themeColor="text1"/>
              </w:rPr>
              <w:t>21</w:t>
            </w:r>
            <w:r w:rsidR="009A6EE3">
              <w:rPr>
                <w:b w:val="0"/>
                <w:bCs w:val="0"/>
                <w:color w:val="000000" w:themeColor="text1"/>
              </w:rPr>
              <w:t xml:space="preserve"> (2%)</w:t>
            </w:r>
          </w:p>
        </w:tc>
        <w:tc>
          <w:tcPr>
            <w:tcW w:w="1151" w:type="pct"/>
          </w:tcPr>
          <w:p w14:paraId="2840104A" w14:textId="4E21F9E6" w:rsidR="00FE19C8" w:rsidRPr="00663E6B" w:rsidRDefault="00FE19C8" w:rsidP="00555A50">
            <w:pPr>
              <w:pStyle w:val="TableFigureHeading"/>
              <w:jc w:val="center"/>
              <w:rPr>
                <w:b w:val="0"/>
                <w:bCs w:val="0"/>
                <w:color w:val="000000" w:themeColor="text1"/>
              </w:rPr>
            </w:pPr>
            <w:r>
              <w:rPr>
                <w:b w:val="0"/>
                <w:bCs w:val="0"/>
                <w:color w:val="000000" w:themeColor="text1"/>
              </w:rPr>
              <w:t>17</w:t>
            </w:r>
            <w:r w:rsidR="009A6EE3">
              <w:rPr>
                <w:b w:val="0"/>
                <w:bCs w:val="0"/>
                <w:color w:val="000000" w:themeColor="text1"/>
              </w:rPr>
              <w:t xml:space="preserve"> (2%)</w:t>
            </w:r>
          </w:p>
        </w:tc>
      </w:tr>
      <w:tr w:rsidR="00FE19C8" w14:paraId="669ABF7B" w14:textId="77777777" w:rsidTr="00555A50">
        <w:tc>
          <w:tcPr>
            <w:tcW w:w="2591" w:type="pct"/>
          </w:tcPr>
          <w:p w14:paraId="56D3A829" w14:textId="3E007660" w:rsidR="00FE19C8" w:rsidRPr="00663E6B" w:rsidRDefault="00FE19C8" w:rsidP="00FE19C8">
            <w:pPr>
              <w:pStyle w:val="TableFigureHeading"/>
              <w:rPr>
                <w:b w:val="0"/>
                <w:bCs w:val="0"/>
                <w:color w:val="000000" w:themeColor="text1"/>
              </w:rPr>
            </w:pPr>
            <w:r>
              <w:rPr>
                <w:b w:val="0"/>
                <w:bCs w:val="0"/>
                <w:color w:val="000000" w:themeColor="text1"/>
              </w:rPr>
              <w:t>NMSC, n (%)</w:t>
            </w:r>
          </w:p>
        </w:tc>
        <w:tc>
          <w:tcPr>
            <w:tcW w:w="1258" w:type="pct"/>
          </w:tcPr>
          <w:p w14:paraId="10E722D6" w14:textId="6EECDBFF" w:rsidR="00FE19C8" w:rsidRPr="00663E6B" w:rsidRDefault="00FE19C8" w:rsidP="00555A50">
            <w:pPr>
              <w:pStyle w:val="TableFigureHeading"/>
              <w:jc w:val="center"/>
              <w:rPr>
                <w:b w:val="0"/>
                <w:bCs w:val="0"/>
                <w:color w:val="000000" w:themeColor="text1"/>
              </w:rPr>
            </w:pPr>
            <w:r>
              <w:rPr>
                <w:b w:val="0"/>
                <w:bCs w:val="0"/>
                <w:color w:val="000000" w:themeColor="text1"/>
              </w:rPr>
              <w:t>14</w:t>
            </w:r>
            <w:r w:rsidR="009A6EE3">
              <w:rPr>
                <w:b w:val="0"/>
                <w:bCs w:val="0"/>
                <w:color w:val="000000" w:themeColor="text1"/>
              </w:rPr>
              <w:t xml:space="preserve"> (2%)</w:t>
            </w:r>
          </w:p>
        </w:tc>
        <w:tc>
          <w:tcPr>
            <w:tcW w:w="1151" w:type="pct"/>
          </w:tcPr>
          <w:p w14:paraId="0E301B7A" w14:textId="50B9F5C4" w:rsidR="00FE19C8" w:rsidRPr="00663E6B" w:rsidRDefault="00FE19C8" w:rsidP="00555A50">
            <w:pPr>
              <w:pStyle w:val="TableFigureHeading"/>
              <w:jc w:val="center"/>
              <w:rPr>
                <w:b w:val="0"/>
                <w:bCs w:val="0"/>
                <w:color w:val="000000" w:themeColor="text1"/>
              </w:rPr>
            </w:pPr>
            <w:r>
              <w:rPr>
                <w:b w:val="0"/>
                <w:bCs w:val="0"/>
                <w:color w:val="000000" w:themeColor="text1"/>
              </w:rPr>
              <w:t>16</w:t>
            </w:r>
            <w:r w:rsidR="009A6EE3">
              <w:rPr>
                <w:b w:val="0"/>
                <w:bCs w:val="0"/>
                <w:color w:val="000000" w:themeColor="text1"/>
              </w:rPr>
              <w:t xml:space="preserve"> (2%)</w:t>
            </w:r>
          </w:p>
        </w:tc>
      </w:tr>
      <w:tr w:rsidR="00FE19C8" w14:paraId="22ECEA9A" w14:textId="77777777" w:rsidTr="00555A50">
        <w:tc>
          <w:tcPr>
            <w:tcW w:w="2591" w:type="pct"/>
          </w:tcPr>
          <w:p w14:paraId="59B0B94F" w14:textId="2BC38CED" w:rsidR="00FE19C8" w:rsidRPr="00663E6B" w:rsidRDefault="00FE19C8" w:rsidP="00FE19C8">
            <w:pPr>
              <w:pStyle w:val="TableFigureHeading"/>
              <w:rPr>
                <w:b w:val="0"/>
                <w:bCs w:val="0"/>
                <w:color w:val="000000" w:themeColor="text1"/>
              </w:rPr>
            </w:pPr>
            <w:r>
              <w:rPr>
                <w:b w:val="0"/>
                <w:bCs w:val="0"/>
                <w:color w:val="000000" w:themeColor="text1"/>
              </w:rPr>
              <w:t>MACE, n (%)</w:t>
            </w:r>
          </w:p>
        </w:tc>
        <w:tc>
          <w:tcPr>
            <w:tcW w:w="1258" w:type="pct"/>
          </w:tcPr>
          <w:p w14:paraId="6BC1ED8E" w14:textId="47B15FA3" w:rsidR="00FE19C8" w:rsidRPr="00663E6B" w:rsidRDefault="00FE19C8" w:rsidP="00555A50">
            <w:pPr>
              <w:pStyle w:val="TableFigureHeading"/>
              <w:jc w:val="center"/>
              <w:rPr>
                <w:b w:val="0"/>
                <w:bCs w:val="0"/>
                <w:color w:val="000000" w:themeColor="text1"/>
              </w:rPr>
            </w:pPr>
            <w:r>
              <w:rPr>
                <w:b w:val="0"/>
                <w:bCs w:val="0"/>
                <w:color w:val="000000" w:themeColor="text1"/>
              </w:rPr>
              <w:t>15</w:t>
            </w:r>
            <w:r w:rsidR="009A6EE3">
              <w:rPr>
                <w:b w:val="0"/>
                <w:bCs w:val="0"/>
                <w:color w:val="000000" w:themeColor="text1"/>
              </w:rPr>
              <w:t xml:space="preserve"> (2%))</w:t>
            </w:r>
          </w:p>
        </w:tc>
        <w:tc>
          <w:tcPr>
            <w:tcW w:w="1151" w:type="pct"/>
          </w:tcPr>
          <w:p w14:paraId="09C342F8" w14:textId="7A65D69E" w:rsidR="00FE19C8" w:rsidRPr="00663E6B" w:rsidRDefault="00FE19C8" w:rsidP="00555A50">
            <w:pPr>
              <w:pStyle w:val="TableFigureHeading"/>
              <w:jc w:val="center"/>
              <w:rPr>
                <w:b w:val="0"/>
                <w:bCs w:val="0"/>
                <w:color w:val="000000" w:themeColor="text1"/>
              </w:rPr>
            </w:pPr>
            <w:r>
              <w:rPr>
                <w:b w:val="0"/>
                <w:bCs w:val="0"/>
                <w:color w:val="000000" w:themeColor="text1"/>
              </w:rPr>
              <w:t>24</w:t>
            </w:r>
            <w:r w:rsidR="009A6EE3">
              <w:rPr>
                <w:b w:val="0"/>
                <w:bCs w:val="0"/>
                <w:color w:val="000000" w:themeColor="text1"/>
              </w:rPr>
              <w:t xml:space="preserve"> (3%)</w:t>
            </w:r>
          </w:p>
        </w:tc>
      </w:tr>
      <w:tr w:rsidR="00FE19C8" w14:paraId="6D449A7C" w14:textId="77777777" w:rsidTr="00555A50">
        <w:tc>
          <w:tcPr>
            <w:tcW w:w="2591" w:type="pct"/>
          </w:tcPr>
          <w:p w14:paraId="75F0ECDC" w14:textId="36841E4D" w:rsidR="00FE19C8" w:rsidRPr="00663E6B" w:rsidRDefault="00FE19C8" w:rsidP="00FE19C8">
            <w:pPr>
              <w:pStyle w:val="TableFigureHeading"/>
              <w:rPr>
                <w:b w:val="0"/>
                <w:bCs w:val="0"/>
                <w:color w:val="000000" w:themeColor="text1"/>
              </w:rPr>
            </w:pPr>
            <w:r>
              <w:rPr>
                <w:b w:val="0"/>
                <w:bCs w:val="0"/>
                <w:color w:val="000000" w:themeColor="text1"/>
              </w:rPr>
              <w:t>Injection</w:t>
            </w:r>
            <w:r w:rsidR="005F1191">
              <w:rPr>
                <w:b w:val="0"/>
                <w:bCs w:val="0"/>
                <w:color w:val="000000" w:themeColor="text1"/>
              </w:rPr>
              <w:noBreakHyphen/>
            </w:r>
            <w:r>
              <w:rPr>
                <w:b w:val="0"/>
                <w:bCs w:val="0"/>
                <w:color w:val="000000" w:themeColor="text1"/>
              </w:rPr>
              <w:t>site re</w:t>
            </w:r>
            <w:r w:rsidR="00814024">
              <w:rPr>
                <w:b w:val="0"/>
                <w:bCs w:val="0"/>
                <w:color w:val="000000" w:themeColor="text1"/>
              </w:rPr>
              <w:t>a</w:t>
            </w:r>
            <w:r>
              <w:rPr>
                <w:b w:val="0"/>
                <w:bCs w:val="0"/>
                <w:color w:val="000000" w:themeColor="text1"/>
              </w:rPr>
              <w:t>ction, n (%)</w:t>
            </w:r>
          </w:p>
        </w:tc>
        <w:tc>
          <w:tcPr>
            <w:tcW w:w="1258" w:type="pct"/>
          </w:tcPr>
          <w:p w14:paraId="36BBA8BC" w14:textId="115B03C4" w:rsidR="00FE19C8" w:rsidRPr="00663E6B" w:rsidRDefault="00FE19C8" w:rsidP="00555A50">
            <w:pPr>
              <w:pStyle w:val="TableFigureHeading"/>
              <w:jc w:val="center"/>
              <w:rPr>
                <w:b w:val="0"/>
                <w:bCs w:val="0"/>
                <w:color w:val="000000" w:themeColor="text1"/>
              </w:rPr>
            </w:pPr>
            <w:r>
              <w:rPr>
                <w:b w:val="0"/>
                <w:bCs w:val="0"/>
                <w:color w:val="000000" w:themeColor="text1"/>
              </w:rPr>
              <w:t>67</w:t>
            </w:r>
            <w:r w:rsidR="009A6EE3">
              <w:rPr>
                <w:b w:val="0"/>
                <w:bCs w:val="0"/>
                <w:color w:val="000000" w:themeColor="text1"/>
              </w:rPr>
              <w:t xml:space="preserve"> (8%)</w:t>
            </w:r>
          </w:p>
        </w:tc>
        <w:tc>
          <w:tcPr>
            <w:tcW w:w="1151" w:type="pct"/>
          </w:tcPr>
          <w:p w14:paraId="58451507" w14:textId="21ECAFF1" w:rsidR="00FE19C8" w:rsidRPr="00663E6B" w:rsidRDefault="00FE19C8" w:rsidP="00555A50">
            <w:pPr>
              <w:pStyle w:val="TableFigureHeading"/>
              <w:jc w:val="center"/>
              <w:rPr>
                <w:b w:val="0"/>
                <w:bCs w:val="0"/>
                <w:color w:val="000000" w:themeColor="text1"/>
              </w:rPr>
            </w:pPr>
            <w:r>
              <w:rPr>
                <w:b w:val="0"/>
                <w:bCs w:val="0"/>
                <w:color w:val="000000" w:themeColor="text1"/>
              </w:rPr>
              <w:t>86</w:t>
            </w:r>
            <w:r w:rsidR="009A6EE3">
              <w:rPr>
                <w:b w:val="0"/>
                <w:bCs w:val="0"/>
                <w:color w:val="000000" w:themeColor="text1"/>
              </w:rPr>
              <w:t xml:space="preserve"> (9%)</w:t>
            </w:r>
          </w:p>
        </w:tc>
      </w:tr>
      <w:tr w:rsidR="00FE19C8" w14:paraId="3D7F14A3" w14:textId="77777777" w:rsidTr="00555A50">
        <w:tc>
          <w:tcPr>
            <w:tcW w:w="2591" w:type="pct"/>
          </w:tcPr>
          <w:p w14:paraId="7BE78B4B" w14:textId="281EAAFA" w:rsidR="00FE19C8" w:rsidRPr="00663E6B" w:rsidRDefault="00FE19C8" w:rsidP="00FE19C8">
            <w:pPr>
              <w:pStyle w:val="TableFigureHeading"/>
              <w:rPr>
                <w:b w:val="0"/>
                <w:bCs w:val="0"/>
                <w:color w:val="000000" w:themeColor="text1"/>
              </w:rPr>
            </w:pPr>
            <w:r>
              <w:rPr>
                <w:b w:val="0"/>
                <w:bCs w:val="0"/>
                <w:color w:val="000000" w:themeColor="text1"/>
              </w:rPr>
              <w:t>Death, n (%)</w:t>
            </w:r>
          </w:p>
        </w:tc>
        <w:tc>
          <w:tcPr>
            <w:tcW w:w="1258" w:type="pct"/>
          </w:tcPr>
          <w:p w14:paraId="7CD7AD03" w14:textId="776C702B" w:rsidR="00FE19C8" w:rsidRPr="00663E6B" w:rsidRDefault="00FE19C8" w:rsidP="00555A50">
            <w:pPr>
              <w:pStyle w:val="TableFigureHeading"/>
              <w:jc w:val="center"/>
              <w:rPr>
                <w:b w:val="0"/>
                <w:bCs w:val="0"/>
                <w:color w:val="000000" w:themeColor="text1"/>
              </w:rPr>
            </w:pPr>
            <w:r>
              <w:rPr>
                <w:b w:val="0"/>
                <w:bCs w:val="0"/>
                <w:color w:val="000000" w:themeColor="text1"/>
              </w:rPr>
              <w:t>11</w:t>
            </w:r>
            <w:r w:rsidR="009A6EE3">
              <w:rPr>
                <w:b w:val="0"/>
                <w:bCs w:val="0"/>
                <w:color w:val="000000" w:themeColor="text1"/>
              </w:rPr>
              <w:t xml:space="preserve"> (1%)</w:t>
            </w:r>
          </w:p>
        </w:tc>
        <w:tc>
          <w:tcPr>
            <w:tcW w:w="1151" w:type="pct"/>
          </w:tcPr>
          <w:p w14:paraId="79153429" w14:textId="652B151D" w:rsidR="00FE19C8" w:rsidRPr="00663E6B" w:rsidRDefault="00FE19C8" w:rsidP="00555A50">
            <w:pPr>
              <w:pStyle w:val="TableFigureHeading"/>
              <w:jc w:val="center"/>
              <w:rPr>
                <w:b w:val="0"/>
                <w:bCs w:val="0"/>
                <w:color w:val="000000" w:themeColor="text1"/>
              </w:rPr>
            </w:pPr>
            <w:r>
              <w:rPr>
                <w:b w:val="0"/>
                <w:bCs w:val="0"/>
                <w:color w:val="000000" w:themeColor="text1"/>
              </w:rPr>
              <w:t>5</w:t>
            </w:r>
            <w:r w:rsidR="009A6EE3">
              <w:rPr>
                <w:b w:val="0"/>
                <w:bCs w:val="0"/>
                <w:color w:val="000000" w:themeColor="text1"/>
              </w:rPr>
              <w:t xml:space="preserve"> (0.5%)</w:t>
            </w:r>
          </w:p>
        </w:tc>
      </w:tr>
      <w:tr w:rsidR="00FE19C8" w14:paraId="7961AA22" w14:textId="77777777" w:rsidTr="00555A50">
        <w:tc>
          <w:tcPr>
            <w:tcW w:w="2591" w:type="pct"/>
          </w:tcPr>
          <w:p w14:paraId="4F4781E9" w14:textId="21CDBB8A" w:rsidR="00FE19C8" w:rsidRPr="00663E6B" w:rsidRDefault="00FE19C8" w:rsidP="00FE19C8">
            <w:pPr>
              <w:pStyle w:val="TableFigureHeading"/>
              <w:rPr>
                <w:b w:val="0"/>
                <w:bCs w:val="0"/>
                <w:color w:val="000000" w:themeColor="text1"/>
              </w:rPr>
            </w:pPr>
            <w:r>
              <w:rPr>
                <w:b w:val="0"/>
                <w:bCs w:val="0"/>
                <w:color w:val="000000" w:themeColor="text1"/>
              </w:rPr>
              <w:t>AE leading to discontinuation, n (%)</w:t>
            </w:r>
          </w:p>
        </w:tc>
        <w:tc>
          <w:tcPr>
            <w:tcW w:w="1258" w:type="pct"/>
          </w:tcPr>
          <w:p w14:paraId="054FB98A" w14:textId="3C83F23C" w:rsidR="00FE19C8" w:rsidRPr="00663E6B" w:rsidRDefault="00FE19C8" w:rsidP="00555A50">
            <w:pPr>
              <w:pStyle w:val="TableFigureHeading"/>
              <w:jc w:val="center"/>
              <w:rPr>
                <w:b w:val="0"/>
                <w:bCs w:val="0"/>
                <w:color w:val="000000" w:themeColor="text1"/>
              </w:rPr>
            </w:pPr>
            <w:r>
              <w:rPr>
                <w:b w:val="0"/>
                <w:bCs w:val="0"/>
                <w:color w:val="000000" w:themeColor="text1"/>
              </w:rPr>
              <w:t>52</w:t>
            </w:r>
            <w:r w:rsidR="009A6EE3">
              <w:rPr>
                <w:b w:val="0"/>
                <w:bCs w:val="0"/>
                <w:color w:val="000000" w:themeColor="text1"/>
              </w:rPr>
              <w:t xml:space="preserve"> (6%)</w:t>
            </w:r>
          </w:p>
        </w:tc>
        <w:tc>
          <w:tcPr>
            <w:tcW w:w="1151" w:type="pct"/>
          </w:tcPr>
          <w:p w14:paraId="5E8D9A34" w14:textId="034BD138" w:rsidR="00FE19C8" w:rsidRPr="00663E6B" w:rsidRDefault="00FE19C8" w:rsidP="00555A50">
            <w:pPr>
              <w:pStyle w:val="TableFigureHeading"/>
              <w:jc w:val="center"/>
              <w:rPr>
                <w:b w:val="0"/>
                <w:bCs w:val="0"/>
                <w:color w:val="000000" w:themeColor="text1"/>
              </w:rPr>
            </w:pPr>
            <w:r>
              <w:rPr>
                <w:b w:val="0"/>
                <w:bCs w:val="0"/>
                <w:color w:val="000000" w:themeColor="text1"/>
              </w:rPr>
              <w:t>40</w:t>
            </w:r>
            <w:r w:rsidR="009A6EE3">
              <w:rPr>
                <w:b w:val="0"/>
                <w:bCs w:val="0"/>
                <w:color w:val="000000" w:themeColor="text1"/>
              </w:rPr>
              <w:t xml:space="preserve"> (4%)</w:t>
            </w:r>
          </w:p>
        </w:tc>
      </w:tr>
    </w:tbl>
    <w:p w14:paraId="3D502BDA" w14:textId="3ED97DF3" w:rsidR="00551076" w:rsidRPr="00DC041E" w:rsidRDefault="009A6EE3" w:rsidP="00657A96">
      <w:pPr>
        <w:pStyle w:val="TableFigureFooter"/>
        <w:rPr>
          <w:i w:val="0"/>
          <w:iCs w:val="0"/>
        </w:rPr>
      </w:pPr>
      <w:r w:rsidRPr="00DC041E">
        <w:rPr>
          <w:i w:val="0"/>
          <w:iCs w:val="0"/>
        </w:rPr>
        <w:t>Source: Thaci, 2022, Table 3.</w:t>
      </w:r>
      <w:r w:rsidR="005F1191">
        <w:rPr>
          <w:i w:val="0"/>
          <w:iCs w:val="0"/>
        </w:rPr>
        <w:t xml:space="preserve"> </w:t>
      </w:r>
    </w:p>
    <w:p w14:paraId="7396DFB3" w14:textId="1794E95E" w:rsidR="00663E6B" w:rsidRPr="00DC041E" w:rsidRDefault="00551076" w:rsidP="00657A96">
      <w:pPr>
        <w:pStyle w:val="TableFigureFooter"/>
        <w:rPr>
          <w:i w:val="0"/>
          <w:iCs w:val="0"/>
          <w:color w:val="0066FF"/>
        </w:rPr>
      </w:pPr>
      <w:r w:rsidRPr="00DC041E">
        <w:rPr>
          <w:i w:val="0"/>
          <w:iCs w:val="0"/>
        </w:rPr>
        <w:t>AE = adverse event; MACE = major adjudicated cardio</w:t>
      </w:r>
      <w:r w:rsidR="005F1191">
        <w:rPr>
          <w:i w:val="0"/>
          <w:iCs w:val="0"/>
        </w:rPr>
        <w:noBreakHyphen/>
      </w:r>
      <w:r w:rsidRPr="00DC041E">
        <w:rPr>
          <w:i w:val="0"/>
          <w:iCs w:val="0"/>
        </w:rPr>
        <w:t>vascular event; NMSC = non</w:t>
      </w:r>
      <w:r w:rsidR="005F1191">
        <w:rPr>
          <w:i w:val="0"/>
          <w:iCs w:val="0"/>
        </w:rPr>
        <w:noBreakHyphen/>
      </w:r>
      <w:r w:rsidRPr="00DC041E">
        <w:rPr>
          <w:i w:val="0"/>
          <w:iCs w:val="0"/>
        </w:rPr>
        <w:t>melanoma skin cancer</w:t>
      </w:r>
      <w:r w:rsidR="00E8529A">
        <w:rPr>
          <w:i w:val="0"/>
          <w:iCs w:val="0"/>
        </w:rPr>
        <w:t>; TIL = tildrakizumab</w:t>
      </w:r>
    </w:p>
    <w:p w14:paraId="04908C7F" w14:textId="415B9B7D" w:rsidR="007F1017" w:rsidRPr="0098262F" w:rsidRDefault="007F1017" w:rsidP="00D86231">
      <w:pPr>
        <w:pStyle w:val="4-SubsectionHeading"/>
      </w:pPr>
      <w:bookmarkStart w:id="33" w:name="_Toc22897643"/>
      <w:bookmarkStart w:id="34" w:name="_Toc216947694"/>
      <w:r w:rsidRPr="0098262F">
        <w:t>Benefits/harms</w:t>
      </w:r>
      <w:bookmarkEnd w:id="33"/>
      <w:bookmarkEnd w:id="34"/>
    </w:p>
    <w:p w14:paraId="02B9BDE3" w14:textId="37D3EB3D" w:rsidR="007A1345" w:rsidRPr="0098262F" w:rsidRDefault="00311D9B" w:rsidP="00D2155B">
      <w:pPr>
        <w:pStyle w:val="3-BodyText"/>
      </w:pPr>
      <w:r w:rsidRPr="0098262F">
        <w:t>A benefits and harms table is not presented as the submission made a claim of non</w:t>
      </w:r>
      <w:r w:rsidR="005F1191">
        <w:noBreakHyphen/>
      </w:r>
      <w:r w:rsidRPr="0098262F">
        <w:t>inferiority.</w:t>
      </w:r>
      <w:r w:rsidR="00E926A5" w:rsidRPr="0098262F">
        <w:t xml:space="preserve"> </w:t>
      </w:r>
    </w:p>
    <w:p w14:paraId="7A1772B6" w14:textId="23BB3145" w:rsidR="00B60939" w:rsidRPr="0098262F" w:rsidRDefault="00B60939" w:rsidP="00E9094A">
      <w:pPr>
        <w:pStyle w:val="4-SubsectionHeading"/>
      </w:pPr>
      <w:bookmarkStart w:id="35" w:name="_Toc22897644"/>
      <w:bookmarkStart w:id="36" w:name="_Toc216947695"/>
      <w:r w:rsidRPr="0098262F">
        <w:t>Clinical claim</w:t>
      </w:r>
      <w:bookmarkEnd w:id="35"/>
      <w:bookmarkEnd w:id="36"/>
    </w:p>
    <w:p w14:paraId="54D3A82D" w14:textId="77F03704" w:rsidR="005F7588" w:rsidRPr="00FF3012" w:rsidRDefault="005F7588" w:rsidP="00E9094A">
      <w:pPr>
        <w:pStyle w:val="3-BodyText"/>
        <w:rPr>
          <w:rFonts w:eastAsia="Calibri"/>
        </w:rPr>
      </w:pPr>
      <w:r w:rsidRPr="00FF3012">
        <w:rPr>
          <w:rFonts w:eastAsia="Calibri"/>
        </w:rPr>
        <w:t xml:space="preserve">The submission described </w:t>
      </w:r>
      <w:r w:rsidR="00FC572A" w:rsidRPr="00FF3012">
        <w:rPr>
          <w:rFonts w:eastAsia="Calibri"/>
        </w:rPr>
        <w:t xml:space="preserve">TIL </w:t>
      </w:r>
      <w:r w:rsidR="00551076" w:rsidRPr="00FF3012">
        <w:rPr>
          <w:rFonts w:eastAsia="Calibri"/>
        </w:rPr>
        <w:t xml:space="preserve">200 mg </w:t>
      </w:r>
      <w:r w:rsidRPr="00FF3012">
        <w:rPr>
          <w:rFonts w:eastAsia="Calibri"/>
        </w:rPr>
        <w:t>as non</w:t>
      </w:r>
      <w:r w:rsidR="005F1191">
        <w:rPr>
          <w:rFonts w:eastAsia="Calibri"/>
        </w:rPr>
        <w:noBreakHyphen/>
      </w:r>
      <w:r w:rsidRPr="00FF3012">
        <w:rPr>
          <w:rFonts w:eastAsia="Calibri"/>
        </w:rPr>
        <w:t xml:space="preserve">inferior in terms of effectiveness compared to </w:t>
      </w:r>
      <w:r w:rsidR="00FC572A" w:rsidRPr="00FF3012">
        <w:rPr>
          <w:rFonts w:eastAsia="Calibri"/>
        </w:rPr>
        <w:t xml:space="preserve">TIL </w:t>
      </w:r>
      <w:r w:rsidR="00551076" w:rsidRPr="00FF3012">
        <w:rPr>
          <w:rFonts w:eastAsia="Calibri"/>
        </w:rPr>
        <w:t>100 mg</w:t>
      </w:r>
      <w:r w:rsidRPr="00FF3012">
        <w:rPr>
          <w:rFonts w:eastAsia="Calibri"/>
        </w:rPr>
        <w:t xml:space="preserve">. </w:t>
      </w:r>
      <w:r w:rsidR="00551076" w:rsidRPr="00FF3012">
        <w:rPr>
          <w:rFonts w:eastAsia="Calibri"/>
        </w:rPr>
        <w:t xml:space="preserve">No evidence was presented that </w:t>
      </w:r>
      <w:r w:rsidR="00F07575">
        <w:rPr>
          <w:rFonts w:eastAsia="Calibri"/>
        </w:rPr>
        <w:t xml:space="preserve">demonstrated that </w:t>
      </w:r>
      <w:r w:rsidR="00551076" w:rsidRPr="00FF3012">
        <w:rPr>
          <w:rFonts w:eastAsia="Calibri"/>
        </w:rPr>
        <w:t xml:space="preserve">an increase of </w:t>
      </w:r>
      <w:r w:rsidR="00181936" w:rsidRPr="00FF3012">
        <w:rPr>
          <w:rFonts w:eastAsia="Calibri"/>
        </w:rPr>
        <w:t xml:space="preserve">the continuing treatment </w:t>
      </w:r>
      <w:r w:rsidR="00551076" w:rsidRPr="00FF3012">
        <w:rPr>
          <w:rFonts w:eastAsia="Calibri"/>
        </w:rPr>
        <w:t xml:space="preserve">dose from </w:t>
      </w:r>
      <w:r w:rsidR="008A1676" w:rsidRPr="00FF3012">
        <w:rPr>
          <w:rFonts w:eastAsia="Calibri"/>
        </w:rPr>
        <w:t>T</w:t>
      </w:r>
      <w:r w:rsidR="008A1676">
        <w:rPr>
          <w:rFonts w:eastAsia="Calibri"/>
        </w:rPr>
        <w:t>IL</w:t>
      </w:r>
      <w:r w:rsidR="008A1676" w:rsidRPr="00FF3012">
        <w:rPr>
          <w:rFonts w:eastAsia="Calibri"/>
        </w:rPr>
        <w:t xml:space="preserve"> </w:t>
      </w:r>
      <w:r w:rsidR="00551076" w:rsidRPr="00FF3012">
        <w:rPr>
          <w:rFonts w:eastAsia="Calibri"/>
        </w:rPr>
        <w:t xml:space="preserve">100 mg to </w:t>
      </w:r>
      <w:r w:rsidR="0096137A" w:rsidRPr="00FF3012">
        <w:rPr>
          <w:rFonts w:eastAsia="Calibri"/>
        </w:rPr>
        <w:t xml:space="preserve">TIL </w:t>
      </w:r>
      <w:r w:rsidR="00551076" w:rsidRPr="00FF3012">
        <w:rPr>
          <w:rFonts w:eastAsia="Calibri"/>
        </w:rPr>
        <w:t>200 mg is associated with improved outcome</w:t>
      </w:r>
      <w:r w:rsidR="00181936" w:rsidRPr="00FF3012">
        <w:rPr>
          <w:rFonts w:eastAsia="Calibri"/>
        </w:rPr>
        <w:t>s.</w:t>
      </w:r>
      <w:r w:rsidR="005F1191">
        <w:rPr>
          <w:rFonts w:eastAsia="Calibri"/>
        </w:rPr>
        <w:t xml:space="preserve"> </w:t>
      </w:r>
    </w:p>
    <w:p w14:paraId="7F613CD1" w14:textId="7EABCAF5" w:rsidR="005F7588" w:rsidRDefault="005F7588" w:rsidP="00E9094A">
      <w:pPr>
        <w:pStyle w:val="3-BodyText"/>
        <w:rPr>
          <w:rFonts w:eastAsia="Calibri"/>
        </w:rPr>
      </w:pPr>
      <w:r w:rsidRPr="00E36017">
        <w:rPr>
          <w:rFonts w:eastAsia="Calibri"/>
        </w:rPr>
        <w:t xml:space="preserve">The submission described </w:t>
      </w:r>
      <w:r w:rsidR="00FC572A" w:rsidRPr="00E36017">
        <w:rPr>
          <w:rFonts w:eastAsia="Calibri"/>
        </w:rPr>
        <w:t xml:space="preserve">TIL </w:t>
      </w:r>
      <w:r w:rsidR="00551076" w:rsidRPr="00E36017">
        <w:rPr>
          <w:rFonts w:eastAsia="Calibri"/>
        </w:rPr>
        <w:t>200 mg</w:t>
      </w:r>
      <w:r w:rsidRPr="00E36017">
        <w:rPr>
          <w:rFonts w:eastAsia="Calibri"/>
        </w:rPr>
        <w:t xml:space="preserve"> as non</w:t>
      </w:r>
      <w:r w:rsidR="005F1191">
        <w:rPr>
          <w:rFonts w:eastAsia="Calibri"/>
        </w:rPr>
        <w:noBreakHyphen/>
      </w:r>
      <w:r w:rsidRPr="00E36017">
        <w:rPr>
          <w:rFonts w:eastAsia="Calibri"/>
        </w:rPr>
        <w:t>inferior in term</w:t>
      </w:r>
      <w:r w:rsidR="00156F8F" w:rsidRPr="00E36017">
        <w:rPr>
          <w:rFonts w:eastAsia="Calibri"/>
        </w:rPr>
        <w:t>s</w:t>
      </w:r>
      <w:r w:rsidRPr="00E36017">
        <w:rPr>
          <w:rFonts w:eastAsia="Calibri"/>
        </w:rPr>
        <w:t xml:space="preserve"> of safety compared to </w:t>
      </w:r>
      <w:r w:rsidR="00FC572A" w:rsidRPr="00E36017">
        <w:rPr>
          <w:rFonts w:eastAsia="Calibri"/>
        </w:rPr>
        <w:t xml:space="preserve">TIL </w:t>
      </w:r>
      <w:r w:rsidR="00551076" w:rsidRPr="00E36017">
        <w:rPr>
          <w:rFonts w:eastAsia="Calibri"/>
        </w:rPr>
        <w:t>100 mg</w:t>
      </w:r>
      <w:r w:rsidRPr="00E36017">
        <w:rPr>
          <w:rFonts w:eastAsia="Calibri"/>
        </w:rPr>
        <w:t xml:space="preserve">. </w:t>
      </w:r>
    </w:p>
    <w:p w14:paraId="6669CC1D" w14:textId="5A215125" w:rsidR="00EE0D0B" w:rsidRPr="00CE42B4" w:rsidRDefault="00EE0D0B" w:rsidP="00EE0D0B">
      <w:pPr>
        <w:pStyle w:val="3-BodyText"/>
        <w:rPr>
          <w:snapToGrid w:val="0"/>
        </w:rPr>
      </w:pPr>
      <w:bookmarkStart w:id="37" w:name="_Hlk76376200"/>
      <w:r w:rsidRPr="00CE42B4">
        <w:rPr>
          <w:iCs/>
          <w:snapToGrid w:val="0"/>
        </w:rPr>
        <w:t>The</w:t>
      </w:r>
      <w:r w:rsidRPr="00CE42B4">
        <w:rPr>
          <w:snapToGrid w:val="0"/>
        </w:rPr>
        <w:t xml:space="preserve"> PBAC considered that the claim non</w:t>
      </w:r>
      <w:r w:rsidR="005F1191">
        <w:rPr>
          <w:snapToGrid w:val="0"/>
        </w:rPr>
        <w:noBreakHyphen/>
      </w:r>
      <w:r w:rsidRPr="00CE42B4">
        <w:rPr>
          <w:snapToGrid w:val="0"/>
        </w:rPr>
        <w:t>inferior comparative effectiveness was reasonable.</w:t>
      </w:r>
    </w:p>
    <w:p w14:paraId="042C59B2" w14:textId="775B0A18" w:rsidR="00EE0D0B" w:rsidRPr="00DB7537" w:rsidRDefault="00EE0D0B" w:rsidP="00DB7537">
      <w:pPr>
        <w:pStyle w:val="3-BodyText"/>
        <w:rPr>
          <w:snapToGrid w:val="0"/>
        </w:rPr>
      </w:pPr>
      <w:r w:rsidRPr="00CE42B4">
        <w:rPr>
          <w:snapToGrid w:val="0"/>
        </w:rPr>
        <w:t>The PBAC considered that the claim of non</w:t>
      </w:r>
      <w:r w:rsidR="005F1191">
        <w:rPr>
          <w:snapToGrid w:val="0"/>
        </w:rPr>
        <w:noBreakHyphen/>
      </w:r>
      <w:r w:rsidRPr="00CE42B4">
        <w:rPr>
          <w:snapToGrid w:val="0"/>
        </w:rPr>
        <w:t>inferior comparative safety was reasonable.</w:t>
      </w:r>
      <w:bookmarkEnd w:id="37"/>
    </w:p>
    <w:p w14:paraId="74A1172E" w14:textId="128C170E" w:rsidR="00B60939" w:rsidRPr="0098262F" w:rsidRDefault="00B60939" w:rsidP="00E9094A">
      <w:pPr>
        <w:pStyle w:val="4-SubsectionHeading"/>
      </w:pPr>
      <w:bookmarkStart w:id="38" w:name="_Toc22897645"/>
      <w:bookmarkStart w:id="39" w:name="_Toc216947696"/>
      <w:r w:rsidRPr="0098262F">
        <w:t>Economic analysis</w:t>
      </w:r>
      <w:bookmarkEnd w:id="38"/>
      <w:bookmarkEnd w:id="39"/>
      <w:r w:rsidR="00491B3A" w:rsidRPr="0098262F">
        <w:t xml:space="preserve"> </w:t>
      </w:r>
    </w:p>
    <w:p w14:paraId="14C1E8F9" w14:textId="5E32AD1E" w:rsidR="00E44DA7" w:rsidRDefault="006F3468" w:rsidP="00641FB3">
      <w:pPr>
        <w:pStyle w:val="3-BodyText"/>
      </w:pPr>
      <w:r>
        <w:t>The submission presented a cost minimisation approach to the economic evaluation</w:t>
      </w:r>
      <w:r w:rsidR="00F07BFF">
        <w:t>, calculated over a 2</w:t>
      </w:r>
      <w:r w:rsidR="005F1191">
        <w:noBreakHyphen/>
      </w:r>
      <w:r w:rsidR="00F07BFF">
        <w:t>year time horizon</w:t>
      </w:r>
      <w:r>
        <w:t xml:space="preserve">. </w:t>
      </w:r>
      <w:r w:rsidR="00F07BFF">
        <w:t>The only costs included in the evaluation were the drug costs. The assumptions and components of the evaluation are shown in</w:t>
      </w:r>
      <w:r w:rsidR="00395672">
        <w:t xml:space="preserve"> </w:t>
      </w:r>
      <w:r w:rsidR="00E44DA7">
        <w:fldChar w:fldCharType="begin"/>
      </w:r>
      <w:r w:rsidR="00E44DA7">
        <w:instrText xml:space="preserve"> REF _Ref225949141 \h </w:instrText>
      </w:r>
      <w:r w:rsidR="00E44DA7">
        <w:fldChar w:fldCharType="separate"/>
      </w:r>
      <w:r w:rsidR="00E44DA7">
        <w:t xml:space="preserve">Table </w:t>
      </w:r>
      <w:r w:rsidR="00E44DA7">
        <w:rPr>
          <w:noProof/>
        </w:rPr>
        <w:t>11</w:t>
      </w:r>
      <w:r w:rsidR="00E44DA7">
        <w:fldChar w:fldCharType="end"/>
      </w:r>
      <w:r w:rsidR="00E44DA7">
        <w:t>.</w:t>
      </w:r>
    </w:p>
    <w:p w14:paraId="34227D00" w14:textId="77777777" w:rsidR="00E44DA7" w:rsidRDefault="00E44DA7">
      <w:pPr>
        <w:jc w:val="left"/>
        <w:rPr>
          <w:rFonts w:asciiTheme="minorHAnsi" w:eastAsiaTheme="minorHAnsi" w:hAnsiTheme="minorHAnsi" w:cstheme="minorBidi"/>
          <w:szCs w:val="22"/>
        </w:rPr>
      </w:pPr>
      <w:r>
        <w:br w:type="page"/>
      </w:r>
    </w:p>
    <w:p w14:paraId="35F479FA" w14:textId="7204BD09" w:rsidR="00F07BFF" w:rsidRDefault="00E44DA7" w:rsidP="00E44DA7">
      <w:pPr>
        <w:pStyle w:val="Caption"/>
      </w:pPr>
      <w:bookmarkStart w:id="40" w:name="_Ref225949141"/>
      <w:r>
        <w:lastRenderedPageBreak/>
        <w:t xml:space="preserve">Table </w:t>
      </w:r>
      <w:fldSimple w:instr=" SEQ Table \* ARABIC ">
        <w:r>
          <w:rPr>
            <w:noProof/>
          </w:rPr>
          <w:t>11</w:t>
        </w:r>
      </w:fldSimple>
      <w:bookmarkEnd w:id="40"/>
      <w:r w:rsidR="003559F8">
        <w:t xml:space="preserve">: </w:t>
      </w:r>
      <w:r w:rsidR="00F07BFF">
        <w:t>Key assumptions and components of the economic evaluation</w:t>
      </w:r>
    </w:p>
    <w:tbl>
      <w:tblPr>
        <w:tblStyle w:val="TableGrid"/>
        <w:tblW w:w="5000" w:type="pct"/>
        <w:tblLook w:val="04A0" w:firstRow="1" w:lastRow="0" w:firstColumn="1" w:lastColumn="0" w:noHBand="0" w:noVBand="1"/>
        <w:tblCaption w:val="Table 11: Key assumptions and components of the economic evaluation"/>
      </w:tblPr>
      <w:tblGrid>
        <w:gridCol w:w="3026"/>
        <w:gridCol w:w="6156"/>
      </w:tblGrid>
      <w:tr w:rsidR="00F07BFF" w:rsidRPr="00B42076" w14:paraId="242DD061" w14:textId="77777777" w:rsidTr="00FC572A">
        <w:tc>
          <w:tcPr>
            <w:tcW w:w="1648" w:type="pct"/>
          </w:tcPr>
          <w:p w14:paraId="7EF8425C" w14:textId="77777777" w:rsidR="00F07BFF" w:rsidRPr="00B42076" w:rsidRDefault="00F07BFF" w:rsidP="00E047B4">
            <w:pPr>
              <w:pStyle w:val="In-tableHeading"/>
            </w:pPr>
            <w:r w:rsidRPr="00B42076">
              <w:t>Component</w:t>
            </w:r>
          </w:p>
        </w:tc>
        <w:tc>
          <w:tcPr>
            <w:tcW w:w="3352" w:type="pct"/>
          </w:tcPr>
          <w:p w14:paraId="1516BBC2" w14:textId="77777777" w:rsidR="00F07BFF" w:rsidRPr="00B42076" w:rsidRDefault="00F07BFF" w:rsidP="00E047B4">
            <w:pPr>
              <w:pStyle w:val="In-tableHeading"/>
            </w:pPr>
            <w:r w:rsidRPr="00B42076">
              <w:t xml:space="preserve">Claim or assumption </w:t>
            </w:r>
          </w:p>
        </w:tc>
      </w:tr>
      <w:tr w:rsidR="00F07BFF" w:rsidRPr="00B42076" w14:paraId="0CA70E95" w14:textId="77777777" w:rsidTr="00FC572A">
        <w:tc>
          <w:tcPr>
            <w:tcW w:w="1648" w:type="pct"/>
          </w:tcPr>
          <w:p w14:paraId="0C9FD6FC" w14:textId="77777777" w:rsidR="00F07BFF" w:rsidRPr="00B42076" w:rsidRDefault="00F07BFF" w:rsidP="00F07BFF">
            <w:pPr>
              <w:pStyle w:val="TableText0"/>
            </w:pPr>
            <w:r>
              <w:t>Therapeutic claim: effectiveness</w:t>
            </w:r>
          </w:p>
        </w:tc>
        <w:tc>
          <w:tcPr>
            <w:tcW w:w="3352" w:type="pct"/>
          </w:tcPr>
          <w:p w14:paraId="6B07286F" w14:textId="7A52FFED" w:rsidR="00F07BFF" w:rsidRPr="004A187D" w:rsidRDefault="00F07BFF" w:rsidP="00F07BFF">
            <w:pPr>
              <w:pStyle w:val="TableText0"/>
            </w:pPr>
            <w:r>
              <w:t>The clinical evaluation showed that TIL 200 mg Q12W is non</w:t>
            </w:r>
            <w:r w:rsidR="005F1191">
              <w:noBreakHyphen/>
            </w:r>
            <w:r>
              <w:t>inferior to TIL 100 mg Q12W in terms of efficacy.</w:t>
            </w:r>
          </w:p>
        </w:tc>
      </w:tr>
      <w:tr w:rsidR="00F07BFF" w:rsidRPr="00B42076" w14:paraId="41BEAC9B" w14:textId="77777777" w:rsidTr="00FC572A">
        <w:tc>
          <w:tcPr>
            <w:tcW w:w="1648" w:type="pct"/>
          </w:tcPr>
          <w:p w14:paraId="7FE71EF3" w14:textId="77777777" w:rsidR="00F07BFF" w:rsidRPr="00B42076" w:rsidRDefault="00F07BFF" w:rsidP="00F07BFF">
            <w:pPr>
              <w:pStyle w:val="TableText0"/>
            </w:pPr>
            <w:r>
              <w:t>Therapeutic claim: safety</w:t>
            </w:r>
          </w:p>
        </w:tc>
        <w:tc>
          <w:tcPr>
            <w:tcW w:w="3352" w:type="pct"/>
          </w:tcPr>
          <w:p w14:paraId="609B52A7" w14:textId="417889D3" w:rsidR="00F07BFF" w:rsidRPr="009978F1" w:rsidRDefault="00F07BFF" w:rsidP="00F07BFF">
            <w:pPr>
              <w:pStyle w:val="TableText0"/>
              <w:rPr>
                <w:iCs/>
              </w:rPr>
            </w:pPr>
            <w:r>
              <w:t>The clinical evaluation showed that TIL 200 mg Q12W is non</w:t>
            </w:r>
            <w:r w:rsidR="005F1191">
              <w:noBreakHyphen/>
            </w:r>
            <w:r>
              <w:t>inferior to TIL 100 mg Q12W in terms of safety.</w:t>
            </w:r>
          </w:p>
        </w:tc>
      </w:tr>
      <w:tr w:rsidR="00F07BFF" w:rsidRPr="00B42076" w14:paraId="119AE5D2" w14:textId="77777777" w:rsidTr="00FC572A">
        <w:tc>
          <w:tcPr>
            <w:tcW w:w="1648" w:type="pct"/>
          </w:tcPr>
          <w:p w14:paraId="4AF08B47" w14:textId="77777777" w:rsidR="00F07BFF" w:rsidRPr="00B42076" w:rsidRDefault="00F07BFF" w:rsidP="00F07BFF">
            <w:pPr>
              <w:pStyle w:val="TableText0"/>
            </w:pPr>
            <w:r>
              <w:t>Evidence base</w:t>
            </w:r>
          </w:p>
        </w:tc>
        <w:tc>
          <w:tcPr>
            <w:tcW w:w="3352" w:type="pct"/>
          </w:tcPr>
          <w:p w14:paraId="091BFBE3" w14:textId="77777777" w:rsidR="00F07BFF" w:rsidRPr="00600FAC" w:rsidRDefault="00F07BFF" w:rsidP="00F07BFF">
            <w:pPr>
              <w:pStyle w:val="TableText0"/>
              <w:rPr>
                <w:iCs/>
              </w:rPr>
            </w:pPr>
            <w:r>
              <w:rPr>
                <w:iCs/>
              </w:rPr>
              <w:t xml:space="preserve">Direct comparison of TIL 200 mg Q12W versus TIL 100 mg Q12W from </w:t>
            </w:r>
            <w:proofErr w:type="spellStart"/>
            <w:r>
              <w:rPr>
                <w:iCs/>
              </w:rPr>
              <w:t>reSURFACE</w:t>
            </w:r>
            <w:proofErr w:type="spellEnd"/>
            <w:r>
              <w:rPr>
                <w:iCs/>
              </w:rPr>
              <w:t xml:space="preserve"> 1, </w:t>
            </w:r>
            <w:proofErr w:type="spellStart"/>
            <w:r>
              <w:rPr>
                <w:iCs/>
              </w:rPr>
              <w:t>reSURFACE</w:t>
            </w:r>
            <w:proofErr w:type="spellEnd"/>
            <w:r>
              <w:rPr>
                <w:iCs/>
              </w:rPr>
              <w:t xml:space="preserve"> 2 and Papp et al. (2025)</w:t>
            </w:r>
          </w:p>
        </w:tc>
      </w:tr>
      <w:tr w:rsidR="00F07BFF" w:rsidRPr="00B42076" w14:paraId="25CA5345" w14:textId="77777777" w:rsidTr="00FC572A">
        <w:tc>
          <w:tcPr>
            <w:tcW w:w="1648" w:type="pct"/>
          </w:tcPr>
          <w:p w14:paraId="7E6F5F29" w14:textId="2E6D0D21" w:rsidR="00F07BFF" w:rsidRDefault="00F07BFF" w:rsidP="00F07BFF">
            <w:pPr>
              <w:pStyle w:val="TableText0"/>
            </w:pPr>
            <w:r>
              <w:t>Equi</w:t>
            </w:r>
            <w:r w:rsidR="005F1191">
              <w:noBreakHyphen/>
            </w:r>
            <w:r>
              <w:t>effective doses</w:t>
            </w:r>
          </w:p>
        </w:tc>
        <w:tc>
          <w:tcPr>
            <w:tcW w:w="3352" w:type="pct"/>
          </w:tcPr>
          <w:p w14:paraId="11A298BD" w14:textId="77777777" w:rsidR="00F07BFF" w:rsidRPr="00CD04C1" w:rsidRDefault="00F07BFF" w:rsidP="00F07BFF">
            <w:pPr>
              <w:pStyle w:val="TableText0"/>
              <w:rPr>
                <w:iCs/>
              </w:rPr>
            </w:pPr>
            <w:r>
              <w:rPr>
                <w:iCs/>
              </w:rPr>
              <w:t xml:space="preserve">TIL 200 mg Q12W </w:t>
            </w:r>
            <w:r w:rsidRPr="00882BF2">
              <w:rPr>
                <w:iCs/>
              </w:rPr>
              <w:sym w:font="Symbol" w:char="F0BA"/>
            </w:r>
            <w:r>
              <w:rPr>
                <w:iCs/>
              </w:rPr>
              <w:t xml:space="preserve"> TIL 100 mg Q12W </w:t>
            </w:r>
          </w:p>
        </w:tc>
      </w:tr>
      <w:tr w:rsidR="00F07BFF" w:rsidRPr="00B42076" w14:paraId="10952378" w14:textId="77777777" w:rsidTr="00FC572A">
        <w:tc>
          <w:tcPr>
            <w:tcW w:w="1648" w:type="pct"/>
          </w:tcPr>
          <w:p w14:paraId="5DE931EA" w14:textId="77777777" w:rsidR="00F07BFF" w:rsidRPr="00B42076" w:rsidRDefault="00F07BFF" w:rsidP="00F07BFF">
            <w:pPr>
              <w:pStyle w:val="TableText0"/>
            </w:pPr>
            <w:r>
              <w:t>Direct medicine costs</w:t>
            </w:r>
          </w:p>
        </w:tc>
        <w:tc>
          <w:tcPr>
            <w:tcW w:w="3352" w:type="pct"/>
          </w:tcPr>
          <w:p w14:paraId="562CD285" w14:textId="77777777" w:rsidR="00F07BFF" w:rsidRPr="004A3597" w:rsidRDefault="00F07BFF" w:rsidP="00F07BFF">
            <w:pPr>
              <w:pStyle w:val="TableText0"/>
            </w:pPr>
            <w:r>
              <w:t>Cost of TIL 100 mg and TIL 200 mg</w:t>
            </w:r>
          </w:p>
        </w:tc>
      </w:tr>
      <w:tr w:rsidR="00F07BFF" w:rsidRPr="00B42076" w14:paraId="701A3538" w14:textId="77777777" w:rsidTr="00FC572A">
        <w:tc>
          <w:tcPr>
            <w:tcW w:w="1648" w:type="pct"/>
          </w:tcPr>
          <w:p w14:paraId="447E5C54" w14:textId="77777777" w:rsidR="00F07BFF" w:rsidRPr="00B42076" w:rsidRDefault="00F07BFF" w:rsidP="00F07BFF">
            <w:pPr>
              <w:pStyle w:val="TableText0"/>
            </w:pPr>
            <w:r>
              <w:t>Other costs or cost offsets</w:t>
            </w:r>
          </w:p>
        </w:tc>
        <w:tc>
          <w:tcPr>
            <w:tcW w:w="3352" w:type="pct"/>
          </w:tcPr>
          <w:p w14:paraId="3EA8E306" w14:textId="3D1A74E8" w:rsidR="00F07BFF" w:rsidRPr="002039E7" w:rsidRDefault="00F07BFF" w:rsidP="00F07BFF">
            <w:pPr>
              <w:pStyle w:val="TableText0"/>
              <w:rPr>
                <w:iCs/>
              </w:rPr>
            </w:pPr>
            <w:r>
              <w:rPr>
                <w:iCs/>
              </w:rPr>
              <w:t>No additional costs of cost</w:t>
            </w:r>
            <w:r w:rsidR="005F1191">
              <w:rPr>
                <w:iCs/>
              </w:rPr>
              <w:noBreakHyphen/>
            </w:r>
            <w:r>
              <w:rPr>
                <w:iCs/>
              </w:rPr>
              <w:t xml:space="preserve">offsets are considered </w:t>
            </w:r>
          </w:p>
        </w:tc>
      </w:tr>
    </w:tbl>
    <w:p w14:paraId="4947F42A" w14:textId="1735B3BA" w:rsidR="004E6F00" w:rsidRPr="00E8529A" w:rsidRDefault="00F07BFF" w:rsidP="00657A96">
      <w:pPr>
        <w:pStyle w:val="TableFigureFooter"/>
        <w:rPr>
          <w:i w:val="0"/>
          <w:iCs w:val="0"/>
        </w:rPr>
      </w:pPr>
      <w:r w:rsidRPr="00E8529A">
        <w:rPr>
          <w:i w:val="0"/>
          <w:iCs w:val="0"/>
        </w:rPr>
        <w:t>Source: Table 3.1</w:t>
      </w:r>
      <w:r w:rsidR="005F1191">
        <w:rPr>
          <w:i w:val="0"/>
          <w:iCs w:val="0"/>
        </w:rPr>
        <w:noBreakHyphen/>
      </w:r>
      <w:r w:rsidRPr="00E8529A">
        <w:rPr>
          <w:i w:val="0"/>
          <w:iCs w:val="0"/>
        </w:rPr>
        <w:t xml:space="preserve">1, p16 of the submission. </w:t>
      </w:r>
    </w:p>
    <w:p w14:paraId="0823EE44" w14:textId="23A53EF0" w:rsidR="005729A0" w:rsidRPr="00020AAA" w:rsidRDefault="00E8529A" w:rsidP="00020AAA">
      <w:pPr>
        <w:pStyle w:val="TableFigureFooter"/>
        <w:rPr>
          <w:i w:val="0"/>
          <w:iCs w:val="0"/>
        </w:rPr>
      </w:pPr>
      <w:r w:rsidRPr="00E8529A">
        <w:rPr>
          <w:i w:val="0"/>
          <w:iCs w:val="0"/>
        </w:rPr>
        <w:t>Q12W = every 12 weeks</w:t>
      </w:r>
      <w:r>
        <w:rPr>
          <w:i w:val="0"/>
          <w:iCs w:val="0"/>
        </w:rPr>
        <w:t xml:space="preserve">; </w:t>
      </w:r>
      <w:r w:rsidR="00F07BFF" w:rsidRPr="00E8529A">
        <w:rPr>
          <w:i w:val="0"/>
          <w:iCs w:val="0"/>
        </w:rPr>
        <w:t xml:space="preserve">TIL = tildrakizumab </w:t>
      </w:r>
    </w:p>
    <w:p w14:paraId="05ECA48F" w14:textId="6944F7A9" w:rsidR="00715D98" w:rsidRDefault="00A86E8B" w:rsidP="00F07BFF">
      <w:pPr>
        <w:pStyle w:val="3-BodyText"/>
      </w:pPr>
      <w:r w:rsidRPr="0098262F">
        <w:t xml:space="preserve">The </w:t>
      </w:r>
      <w:proofErr w:type="spellStart"/>
      <w:r w:rsidRPr="0098262F">
        <w:t>equi</w:t>
      </w:r>
      <w:proofErr w:type="spellEnd"/>
      <w:r w:rsidR="005F1191">
        <w:noBreakHyphen/>
      </w:r>
      <w:r w:rsidRPr="0098262F">
        <w:t xml:space="preserve">effective doses </w:t>
      </w:r>
      <w:r w:rsidR="00F61C18" w:rsidRPr="0098262F">
        <w:t>we</w:t>
      </w:r>
      <w:r w:rsidRPr="0098262F">
        <w:t>re estimated as</w:t>
      </w:r>
      <w:r w:rsidR="00715D98">
        <w:t>:</w:t>
      </w:r>
    </w:p>
    <w:p w14:paraId="271420BB" w14:textId="4A65246F" w:rsidR="00715D98" w:rsidRDefault="00FC572A" w:rsidP="00E44DA7">
      <w:pPr>
        <w:pStyle w:val="3-BodyText"/>
        <w:numPr>
          <w:ilvl w:val="0"/>
          <w:numId w:val="0"/>
        </w:numPr>
        <w:ind w:hanging="11"/>
        <w:jc w:val="center"/>
      </w:pPr>
      <w:r>
        <w:t xml:space="preserve">TIL </w:t>
      </w:r>
      <w:r w:rsidR="006F3468">
        <w:t>200</w:t>
      </w:r>
      <w:r>
        <w:t xml:space="preserve"> </w:t>
      </w:r>
      <w:r w:rsidR="006F3468">
        <w:t xml:space="preserve">mg </w:t>
      </w:r>
      <w:r w:rsidR="00E8529A">
        <w:t>every 12 weeks</w:t>
      </w:r>
      <w:r w:rsidR="006F3468">
        <w:t xml:space="preserve"> = </w:t>
      </w:r>
      <w:r>
        <w:t xml:space="preserve">TIL </w:t>
      </w:r>
      <w:r w:rsidR="006F3468">
        <w:t>100</w:t>
      </w:r>
      <w:r>
        <w:t xml:space="preserve"> </w:t>
      </w:r>
      <w:r w:rsidR="006F3468">
        <w:t xml:space="preserve">mg </w:t>
      </w:r>
      <w:r w:rsidR="00E8529A">
        <w:t>every 12 weeks</w:t>
      </w:r>
    </w:p>
    <w:p w14:paraId="4A11C8F6" w14:textId="01EE782D" w:rsidR="00A86E8B" w:rsidRDefault="00F07BFF" w:rsidP="00715D98">
      <w:pPr>
        <w:pStyle w:val="3-BodyText"/>
      </w:pPr>
      <w:r w:rsidRPr="00F07BFF">
        <w:t xml:space="preserve">The submission stated </w:t>
      </w:r>
      <w:r>
        <w:t>t</w:t>
      </w:r>
      <w:r w:rsidRPr="00F07BFF">
        <w:t xml:space="preserve">hat listing </w:t>
      </w:r>
      <w:r w:rsidR="00FC572A">
        <w:t>TIL</w:t>
      </w:r>
      <w:r w:rsidR="00FC572A" w:rsidRPr="00F07BFF">
        <w:t xml:space="preserve"> </w:t>
      </w:r>
      <w:r w:rsidRPr="00F07BFF">
        <w:t>200</w:t>
      </w:r>
      <w:r w:rsidR="00FC572A">
        <w:t xml:space="preserve"> </w:t>
      </w:r>
      <w:r w:rsidRPr="00F07BFF">
        <w:t xml:space="preserve">mg </w:t>
      </w:r>
      <w:r>
        <w:t>would not change any aspect of resource use. The only difference identified was that patients being treated with 200</w:t>
      </w:r>
      <w:r w:rsidR="00FC572A">
        <w:t xml:space="preserve"> </w:t>
      </w:r>
      <w:r>
        <w:t>mg instead of 100</w:t>
      </w:r>
      <w:r w:rsidR="00FC572A">
        <w:t xml:space="preserve"> </w:t>
      </w:r>
      <w:r>
        <w:t>mg would require 17.33 injections versus 8.67</w:t>
      </w:r>
      <w:r w:rsidR="00D86175">
        <w:t xml:space="preserve"> over two years</w:t>
      </w:r>
      <w:r>
        <w:t>.</w:t>
      </w:r>
      <w:r w:rsidR="005F1191">
        <w:t xml:space="preserve"> </w:t>
      </w:r>
      <w:r>
        <w:t>However, as the submission proposed a flat pricing structure for the 2 pack sizes, the cost of the treatment over 2 years was the same. The results are shown in</w:t>
      </w:r>
      <w:r w:rsidR="00E44DA7">
        <w:t xml:space="preserve"> </w:t>
      </w:r>
      <w:r w:rsidR="00E44DA7">
        <w:fldChar w:fldCharType="begin"/>
      </w:r>
      <w:r w:rsidR="00E44DA7">
        <w:instrText xml:space="preserve"> REF _Ref225949214 \h </w:instrText>
      </w:r>
      <w:r w:rsidR="00E44DA7">
        <w:fldChar w:fldCharType="separate"/>
      </w:r>
      <w:r w:rsidR="00E44DA7">
        <w:t xml:space="preserve">Table </w:t>
      </w:r>
      <w:r w:rsidR="00E44DA7">
        <w:rPr>
          <w:noProof/>
        </w:rPr>
        <w:t>12</w:t>
      </w:r>
      <w:r w:rsidR="00E44DA7">
        <w:fldChar w:fldCharType="end"/>
      </w:r>
      <w:r w:rsidR="003559F8">
        <w:t>.</w:t>
      </w:r>
    </w:p>
    <w:p w14:paraId="5B00AF13" w14:textId="2C0E01A7" w:rsidR="00F07BFF" w:rsidRDefault="00E44DA7" w:rsidP="00E44DA7">
      <w:pPr>
        <w:pStyle w:val="Caption"/>
      </w:pPr>
      <w:bookmarkStart w:id="41" w:name="_Ref225949214"/>
      <w:r>
        <w:t xml:space="preserve">Table </w:t>
      </w:r>
      <w:fldSimple w:instr=" SEQ Table \* ARABIC ">
        <w:r>
          <w:rPr>
            <w:noProof/>
          </w:rPr>
          <w:t>12</w:t>
        </w:r>
      </w:fldSimple>
      <w:bookmarkEnd w:id="41"/>
      <w:r w:rsidR="003559F8">
        <w:t xml:space="preserve">: </w:t>
      </w:r>
      <w:r w:rsidR="00F07BFF">
        <w:t xml:space="preserve">Result of the CMA over 2 years </w:t>
      </w:r>
      <w:r w:rsidR="00F07BFF" w:rsidRPr="00421F6D">
        <w:t>(confidential effective AEMP)</w:t>
      </w:r>
    </w:p>
    <w:tbl>
      <w:tblPr>
        <w:tblStyle w:val="TableGrid"/>
        <w:tblW w:w="0" w:type="auto"/>
        <w:tblLook w:val="04A0" w:firstRow="1" w:lastRow="0" w:firstColumn="1" w:lastColumn="0" w:noHBand="0" w:noVBand="1"/>
        <w:tblCaption w:val="Table 12: Result of the CMA over 2 years (confidential effective AEMP)"/>
      </w:tblPr>
      <w:tblGrid>
        <w:gridCol w:w="2254"/>
        <w:gridCol w:w="2254"/>
        <w:gridCol w:w="2254"/>
        <w:gridCol w:w="2254"/>
      </w:tblGrid>
      <w:tr w:rsidR="00F07BFF" w:rsidRPr="00357622" w14:paraId="53C832EF" w14:textId="77777777" w:rsidTr="00F07BFF">
        <w:tc>
          <w:tcPr>
            <w:tcW w:w="2254" w:type="dxa"/>
          </w:tcPr>
          <w:p w14:paraId="44494764" w14:textId="77777777" w:rsidR="00F07BFF" w:rsidRPr="00357622" w:rsidRDefault="00F07BFF" w:rsidP="00F07BFF">
            <w:pPr>
              <w:pStyle w:val="TableText0"/>
            </w:pPr>
          </w:p>
        </w:tc>
        <w:tc>
          <w:tcPr>
            <w:tcW w:w="2254" w:type="dxa"/>
            <w:vAlign w:val="center"/>
          </w:tcPr>
          <w:p w14:paraId="4A4498DA" w14:textId="77777777" w:rsidR="00F07BFF" w:rsidRPr="00357622" w:rsidRDefault="00F07BFF" w:rsidP="00E8529A">
            <w:pPr>
              <w:pStyle w:val="In-tableHeading"/>
              <w:jc w:val="center"/>
            </w:pPr>
            <w:r>
              <w:t>TIL 100 mg Q12W</w:t>
            </w:r>
          </w:p>
        </w:tc>
        <w:tc>
          <w:tcPr>
            <w:tcW w:w="2254" w:type="dxa"/>
            <w:vAlign w:val="center"/>
          </w:tcPr>
          <w:p w14:paraId="44A8AEA6" w14:textId="77777777" w:rsidR="00F07BFF" w:rsidRPr="00357622" w:rsidRDefault="00F07BFF" w:rsidP="00E8529A">
            <w:pPr>
              <w:pStyle w:val="In-tableHeading"/>
              <w:jc w:val="center"/>
            </w:pPr>
            <w:r>
              <w:t>TIL 200 mg Q12W</w:t>
            </w:r>
          </w:p>
        </w:tc>
        <w:tc>
          <w:tcPr>
            <w:tcW w:w="2254" w:type="dxa"/>
            <w:vAlign w:val="center"/>
          </w:tcPr>
          <w:p w14:paraId="1640ECC6" w14:textId="2564E841" w:rsidR="00F07BFF" w:rsidRPr="00357622" w:rsidRDefault="00F07BFF" w:rsidP="00E8529A">
            <w:pPr>
              <w:pStyle w:val="In-tableHeading"/>
              <w:jc w:val="center"/>
            </w:pPr>
            <w:r w:rsidRPr="00357622">
              <w:t>Increment</w:t>
            </w:r>
          </w:p>
        </w:tc>
      </w:tr>
      <w:tr w:rsidR="00F07BFF" w:rsidRPr="00E709A8" w14:paraId="37DBC4E9" w14:textId="77777777" w:rsidTr="00F07BFF">
        <w:tc>
          <w:tcPr>
            <w:tcW w:w="2254" w:type="dxa"/>
          </w:tcPr>
          <w:p w14:paraId="4256CDD8" w14:textId="77777777" w:rsidR="00F07BFF" w:rsidRPr="00E709A8" w:rsidRDefault="00F07BFF" w:rsidP="00F07BFF">
            <w:pPr>
              <w:pStyle w:val="TableText0"/>
            </w:pPr>
            <w:r>
              <w:t>Administrations</w:t>
            </w:r>
          </w:p>
        </w:tc>
        <w:tc>
          <w:tcPr>
            <w:tcW w:w="2254" w:type="dxa"/>
            <w:vAlign w:val="center"/>
          </w:tcPr>
          <w:p w14:paraId="1723BB33" w14:textId="77777777" w:rsidR="00F07BFF" w:rsidRPr="00E709A8" w:rsidRDefault="00F07BFF" w:rsidP="00E8529A">
            <w:pPr>
              <w:pStyle w:val="TableText0"/>
              <w:jc w:val="center"/>
            </w:pPr>
            <w:r>
              <w:t>8.67</w:t>
            </w:r>
          </w:p>
        </w:tc>
        <w:tc>
          <w:tcPr>
            <w:tcW w:w="2254" w:type="dxa"/>
            <w:vAlign w:val="center"/>
          </w:tcPr>
          <w:p w14:paraId="50D1644D" w14:textId="77777777" w:rsidR="00F07BFF" w:rsidRPr="00E709A8" w:rsidRDefault="00F07BFF" w:rsidP="00E8529A">
            <w:pPr>
              <w:pStyle w:val="TableText0"/>
              <w:jc w:val="center"/>
            </w:pPr>
            <w:r>
              <w:t>17.33</w:t>
            </w:r>
          </w:p>
        </w:tc>
        <w:tc>
          <w:tcPr>
            <w:tcW w:w="2254" w:type="dxa"/>
            <w:vAlign w:val="center"/>
          </w:tcPr>
          <w:p w14:paraId="0C01B079" w14:textId="77777777" w:rsidR="00F07BFF" w:rsidRPr="00E709A8" w:rsidRDefault="00F07BFF" w:rsidP="00E8529A">
            <w:pPr>
              <w:pStyle w:val="TableText0"/>
              <w:jc w:val="center"/>
            </w:pPr>
            <w:r>
              <w:t>8.67</w:t>
            </w:r>
          </w:p>
        </w:tc>
      </w:tr>
      <w:tr w:rsidR="00F07BFF" w:rsidRPr="00E709A8" w14:paraId="5E756C6B" w14:textId="77777777" w:rsidTr="00F07BFF">
        <w:tc>
          <w:tcPr>
            <w:tcW w:w="2254" w:type="dxa"/>
          </w:tcPr>
          <w:p w14:paraId="051DE5E8" w14:textId="77777777" w:rsidR="00F07BFF" w:rsidRPr="00E709A8" w:rsidRDefault="00F07BFF" w:rsidP="00F07BFF">
            <w:pPr>
              <w:pStyle w:val="TableText0"/>
            </w:pPr>
            <w:r>
              <w:t>Packs</w:t>
            </w:r>
          </w:p>
        </w:tc>
        <w:tc>
          <w:tcPr>
            <w:tcW w:w="2254" w:type="dxa"/>
            <w:vAlign w:val="center"/>
          </w:tcPr>
          <w:p w14:paraId="67099ECA" w14:textId="77777777" w:rsidR="00F07BFF" w:rsidRPr="00E709A8" w:rsidRDefault="00F07BFF" w:rsidP="00715D98">
            <w:pPr>
              <w:pStyle w:val="TableText0"/>
              <w:jc w:val="center"/>
            </w:pPr>
            <w:r>
              <w:t>8.67</w:t>
            </w:r>
          </w:p>
        </w:tc>
        <w:tc>
          <w:tcPr>
            <w:tcW w:w="2254" w:type="dxa"/>
            <w:vAlign w:val="center"/>
          </w:tcPr>
          <w:p w14:paraId="771D9D59" w14:textId="77777777" w:rsidR="00F07BFF" w:rsidRPr="00E709A8" w:rsidRDefault="00F07BFF" w:rsidP="00715D98">
            <w:pPr>
              <w:pStyle w:val="TableText0"/>
              <w:jc w:val="center"/>
            </w:pPr>
            <w:r>
              <w:t>8.67</w:t>
            </w:r>
          </w:p>
        </w:tc>
        <w:tc>
          <w:tcPr>
            <w:tcW w:w="2254" w:type="dxa"/>
            <w:vAlign w:val="center"/>
          </w:tcPr>
          <w:p w14:paraId="462A43BC" w14:textId="77777777" w:rsidR="00F07BFF" w:rsidRPr="00E709A8" w:rsidRDefault="00F07BFF" w:rsidP="00715D98">
            <w:pPr>
              <w:pStyle w:val="TableText0"/>
              <w:jc w:val="center"/>
            </w:pPr>
            <w:r>
              <w:t>0</w:t>
            </w:r>
          </w:p>
        </w:tc>
      </w:tr>
      <w:tr w:rsidR="00F07BFF" w:rsidRPr="00E709A8" w14:paraId="62B03352" w14:textId="77777777" w:rsidTr="00F07BFF">
        <w:tc>
          <w:tcPr>
            <w:tcW w:w="2254" w:type="dxa"/>
          </w:tcPr>
          <w:p w14:paraId="59CD3F01" w14:textId="7F0338DF" w:rsidR="00F07BFF" w:rsidRPr="00E709A8" w:rsidRDefault="003E78E7" w:rsidP="00F07BFF">
            <w:pPr>
              <w:pStyle w:val="TableText0"/>
            </w:pPr>
            <w:r>
              <w:t>Effective</w:t>
            </w:r>
            <w:r w:rsidR="00C231E7">
              <w:t xml:space="preserve"> </w:t>
            </w:r>
            <w:r>
              <w:t>ex</w:t>
            </w:r>
            <w:r w:rsidR="005F1191">
              <w:noBreakHyphen/>
            </w:r>
            <w:r>
              <w:t>manufacturer</w:t>
            </w:r>
            <w:r w:rsidR="00F07BFF">
              <w:t xml:space="preserve"> per pack</w:t>
            </w:r>
          </w:p>
        </w:tc>
        <w:tc>
          <w:tcPr>
            <w:tcW w:w="2254" w:type="dxa"/>
            <w:vAlign w:val="center"/>
          </w:tcPr>
          <w:p w14:paraId="31F6E60D" w14:textId="37EE5E44" w:rsidR="00F07BFF" w:rsidRPr="00E709A8" w:rsidRDefault="00F07BFF" w:rsidP="00715D98">
            <w:pPr>
              <w:pStyle w:val="TableText0"/>
              <w:jc w:val="center"/>
            </w:pPr>
            <w:r w:rsidRPr="00AA3EE6">
              <w:t>$</w:t>
            </w:r>
            <w:r w:rsidR="0009628D" w:rsidRPr="0009628D">
              <w:rPr>
                <w:sz w:val="2"/>
                <w:highlight w:val="black"/>
              </w:rPr>
              <w:t>redacted content</w:t>
            </w:r>
          </w:p>
        </w:tc>
        <w:tc>
          <w:tcPr>
            <w:tcW w:w="2254" w:type="dxa"/>
            <w:vAlign w:val="center"/>
          </w:tcPr>
          <w:p w14:paraId="67E44EA5" w14:textId="643CA52B" w:rsidR="00F07BFF" w:rsidRPr="00E709A8" w:rsidRDefault="00F07BFF" w:rsidP="00715D98">
            <w:pPr>
              <w:pStyle w:val="TableText0"/>
              <w:jc w:val="center"/>
            </w:pPr>
            <w:r w:rsidRPr="00AA3EE6">
              <w:t>$</w:t>
            </w:r>
            <w:r w:rsidR="0009628D" w:rsidRPr="0009628D">
              <w:rPr>
                <w:sz w:val="2"/>
                <w:highlight w:val="black"/>
              </w:rPr>
              <w:t>redacted content</w:t>
            </w:r>
          </w:p>
        </w:tc>
        <w:tc>
          <w:tcPr>
            <w:tcW w:w="2254" w:type="dxa"/>
            <w:vAlign w:val="center"/>
          </w:tcPr>
          <w:p w14:paraId="3CAA0C8C" w14:textId="3F9EF325" w:rsidR="00F07BFF" w:rsidRPr="00E709A8" w:rsidRDefault="005F1191" w:rsidP="00715D98">
            <w:pPr>
              <w:pStyle w:val="TableText0"/>
              <w:jc w:val="center"/>
            </w:pPr>
            <w:r>
              <w:noBreakHyphen/>
            </w:r>
          </w:p>
        </w:tc>
      </w:tr>
      <w:tr w:rsidR="00F07BFF" w:rsidRPr="00E709A8" w14:paraId="10E1A473" w14:textId="77777777" w:rsidTr="00F07BFF">
        <w:tc>
          <w:tcPr>
            <w:tcW w:w="2254" w:type="dxa"/>
          </w:tcPr>
          <w:p w14:paraId="1CADB02D" w14:textId="57632043" w:rsidR="00F07BFF" w:rsidRPr="00E709A8" w:rsidRDefault="00364A94" w:rsidP="00F07BFF">
            <w:pPr>
              <w:pStyle w:val="TableText0"/>
            </w:pPr>
            <w:r>
              <w:t>Total c</w:t>
            </w:r>
            <w:r w:rsidR="00F07BFF">
              <w:t xml:space="preserve">ost of treatment </w:t>
            </w:r>
          </w:p>
        </w:tc>
        <w:tc>
          <w:tcPr>
            <w:tcW w:w="2254" w:type="dxa"/>
            <w:vAlign w:val="center"/>
          </w:tcPr>
          <w:p w14:paraId="4E4C6A97" w14:textId="65466ECB" w:rsidR="00F07BFF" w:rsidRPr="00E709A8" w:rsidRDefault="00F07BFF" w:rsidP="00715D98">
            <w:pPr>
              <w:pStyle w:val="TableText0"/>
              <w:jc w:val="center"/>
            </w:pPr>
            <w:r>
              <w:t>$</w:t>
            </w:r>
            <w:r w:rsidR="0009628D" w:rsidRPr="0009628D">
              <w:rPr>
                <w:sz w:val="2"/>
                <w:highlight w:val="black"/>
              </w:rPr>
              <w:t>redacted content</w:t>
            </w:r>
          </w:p>
        </w:tc>
        <w:tc>
          <w:tcPr>
            <w:tcW w:w="2254" w:type="dxa"/>
            <w:vAlign w:val="center"/>
          </w:tcPr>
          <w:p w14:paraId="64A1FE31" w14:textId="7D39A88A" w:rsidR="00F07BFF" w:rsidRPr="00E709A8" w:rsidRDefault="00F07BFF" w:rsidP="00715D98">
            <w:pPr>
              <w:pStyle w:val="TableText0"/>
              <w:jc w:val="center"/>
            </w:pPr>
            <w:r>
              <w:t>$</w:t>
            </w:r>
            <w:r w:rsidR="0009628D" w:rsidRPr="0009628D">
              <w:rPr>
                <w:sz w:val="2"/>
                <w:highlight w:val="black"/>
              </w:rPr>
              <w:t>redacted content</w:t>
            </w:r>
          </w:p>
        </w:tc>
        <w:tc>
          <w:tcPr>
            <w:tcW w:w="2254" w:type="dxa"/>
            <w:vAlign w:val="center"/>
          </w:tcPr>
          <w:p w14:paraId="35A187C0" w14:textId="77777777" w:rsidR="00F07BFF" w:rsidRPr="00E709A8" w:rsidRDefault="00F07BFF" w:rsidP="00715D98">
            <w:pPr>
              <w:pStyle w:val="TableText0"/>
              <w:jc w:val="center"/>
            </w:pPr>
            <w:r>
              <w:t>$0.00</w:t>
            </w:r>
          </w:p>
        </w:tc>
      </w:tr>
    </w:tbl>
    <w:p w14:paraId="46858969" w14:textId="77777777" w:rsidR="00D86175" w:rsidRPr="00E8529A" w:rsidRDefault="00F07BFF" w:rsidP="00657A96">
      <w:pPr>
        <w:pStyle w:val="TableFigureFooter"/>
        <w:rPr>
          <w:i w:val="0"/>
          <w:iCs w:val="0"/>
        </w:rPr>
      </w:pPr>
      <w:r w:rsidRPr="00E8529A">
        <w:rPr>
          <w:i w:val="0"/>
          <w:iCs w:val="0"/>
        </w:rPr>
        <w:t>Sourc</w:t>
      </w:r>
      <w:r w:rsidR="00286899" w:rsidRPr="00E8529A">
        <w:rPr>
          <w:i w:val="0"/>
          <w:iCs w:val="0"/>
        </w:rPr>
        <w:t xml:space="preserve">e: Table 3.4.2, p19 of the submission. </w:t>
      </w:r>
    </w:p>
    <w:p w14:paraId="62DA4E2C" w14:textId="42FE5A19" w:rsidR="00F07BFF" w:rsidRPr="00E8529A" w:rsidRDefault="00F07BFF" w:rsidP="00657A96">
      <w:pPr>
        <w:pStyle w:val="TableFigureFooter"/>
        <w:rPr>
          <w:i w:val="0"/>
          <w:iCs w:val="0"/>
        </w:rPr>
      </w:pPr>
      <w:r w:rsidRPr="00E8529A">
        <w:rPr>
          <w:i w:val="0"/>
          <w:iCs w:val="0"/>
        </w:rPr>
        <w:t xml:space="preserve">AEMP = </w:t>
      </w:r>
      <w:r w:rsidR="00364A94">
        <w:rPr>
          <w:i w:val="0"/>
          <w:iCs w:val="0"/>
        </w:rPr>
        <w:t>a</w:t>
      </w:r>
      <w:r w:rsidRPr="00E8529A">
        <w:rPr>
          <w:i w:val="0"/>
          <w:iCs w:val="0"/>
        </w:rPr>
        <w:t>pproved ex</w:t>
      </w:r>
      <w:r w:rsidR="005F1191">
        <w:rPr>
          <w:i w:val="0"/>
          <w:iCs w:val="0"/>
        </w:rPr>
        <w:noBreakHyphen/>
      </w:r>
      <w:r w:rsidRPr="00E8529A">
        <w:rPr>
          <w:i w:val="0"/>
          <w:iCs w:val="0"/>
        </w:rPr>
        <w:t>manufacturer price; Q12W = every 12 weeks; TIL = tildrakizumab</w:t>
      </w:r>
    </w:p>
    <w:p w14:paraId="108B7EE4" w14:textId="2EB3B2CE" w:rsidR="00494207" w:rsidRPr="0098262F" w:rsidRDefault="00C25D9C" w:rsidP="00286899">
      <w:pPr>
        <w:pStyle w:val="4-SubsectionHeading"/>
      </w:pPr>
      <w:bookmarkStart w:id="42" w:name="_Toc22897646"/>
      <w:bookmarkStart w:id="43" w:name="_Toc216947697"/>
      <w:r w:rsidRPr="0098262F">
        <w:t>Drug cost/patient/year</w:t>
      </w:r>
      <w:bookmarkEnd w:id="42"/>
      <w:bookmarkEnd w:id="43"/>
      <w:r w:rsidR="00D96BAE">
        <w:t>: $</w:t>
      </w:r>
      <w:r w:rsidR="0009628D" w:rsidRPr="0009628D">
        <w:rPr>
          <w:sz w:val="2"/>
          <w:highlight w:val="black"/>
        </w:rPr>
        <w:t>redacted content</w:t>
      </w:r>
    </w:p>
    <w:p w14:paraId="3DBFE151" w14:textId="1886534B" w:rsidR="00494207" w:rsidRPr="0098262F" w:rsidRDefault="00F64417" w:rsidP="002B05A1">
      <w:pPr>
        <w:pStyle w:val="3-BodyText"/>
        <w:rPr>
          <w:color w:val="0066FF"/>
        </w:rPr>
      </w:pPr>
      <w:bookmarkStart w:id="44" w:name="_Hlk107307804"/>
      <w:r>
        <w:t>As shown in</w:t>
      </w:r>
      <w:r w:rsidR="005F1191">
        <w:t xml:space="preserve"> </w:t>
      </w:r>
      <w:r>
        <w:fldChar w:fldCharType="begin"/>
      </w:r>
      <w:r>
        <w:instrText xml:space="preserve"> REF _Ref215997372 \h </w:instrText>
      </w:r>
      <w:r>
        <w:fldChar w:fldCharType="separate"/>
      </w:r>
      <w:r w:rsidR="009B7FDE">
        <w:t>Table 12</w:t>
      </w:r>
      <w:r>
        <w:fldChar w:fldCharType="end"/>
      </w:r>
      <w:r>
        <w:t xml:space="preserve">, the cost of treatment with </w:t>
      </w:r>
      <w:r w:rsidR="00AB7FE7">
        <w:t xml:space="preserve">TIL </w:t>
      </w:r>
      <w:r>
        <w:t>200</w:t>
      </w:r>
      <w:r w:rsidR="00206FEE">
        <w:t xml:space="preserve"> </w:t>
      </w:r>
      <w:r>
        <w:t xml:space="preserve">mg Q12W over 2 years is the same as treatment with </w:t>
      </w:r>
      <w:r w:rsidR="00AB7FE7">
        <w:t xml:space="preserve">TIL </w:t>
      </w:r>
      <w:r>
        <w:t>100</w:t>
      </w:r>
      <w:r w:rsidR="00206FEE">
        <w:t xml:space="preserve"> </w:t>
      </w:r>
      <w:r>
        <w:t>mg Q12W</w:t>
      </w:r>
      <w:r w:rsidR="009B53CC">
        <w:t xml:space="preserve">. The estimated cost per patient per year </w:t>
      </w:r>
      <w:r w:rsidR="00F104B2">
        <w:t xml:space="preserve">of TIL 200 mg (and TIL 100 mg) is </w:t>
      </w:r>
      <w:r>
        <w:t>$</w:t>
      </w:r>
      <w:r w:rsidR="0009628D" w:rsidRPr="0009628D">
        <w:rPr>
          <w:sz w:val="2"/>
          <w:highlight w:val="black"/>
        </w:rPr>
        <w:t>redacted content</w:t>
      </w:r>
      <w:r w:rsidR="00795D5D" w:rsidRPr="00795D5D">
        <w:t xml:space="preserve"> </w:t>
      </w:r>
      <w:r>
        <w:t>(</w:t>
      </w:r>
      <w:r w:rsidR="003E78E7">
        <w:t>effective ex</w:t>
      </w:r>
      <w:r w:rsidR="005F1191">
        <w:noBreakHyphen/>
      </w:r>
      <w:r w:rsidR="003E78E7">
        <w:t>manufacturer price</w:t>
      </w:r>
      <w:r>
        <w:t>)</w:t>
      </w:r>
      <w:r w:rsidR="00BF194C">
        <w:t>, assuming 100% compliance</w:t>
      </w:r>
      <w:r>
        <w:t xml:space="preserve">. </w:t>
      </w:r>
    </w:p>
    <w:p w14:paraId="268768EF" w14:textId="3626F292" w:rsidR="00B60939" w:rsidRPr="0098262F" w:rsidRDefault="00B60939" w:rsidP="002B05A1">
      <w:pPr>
        <w:pStyle w:val="4-SubsectionHeading"/>
      </w:pPr>
      <w:bookmarkStart w:id="45" w:name="_Toc22897647"/>
      <w:bookmarkStart w:id="46" w:name="_Toc216947698"/>
      <w:bookmarkEnd w:id="44"/>
      <w:r w:rsidRPr="0098262F">
        <w:t>Estimated PBS usage &amp; financial implications</w:t>
      </w:r>
      <w:bookmarkEnd w:id="45"/>
      <w:bookmarkEnd w:id="46"/>
    </w:p>
    <w:p w14:paraId="16EF4367" w14:textId="1E065DF1" w:rsidR="002B05A1" w:rsidRPr="0098262F" w:rsidRDefault="00C25D9C" w:rsidP="002B05A1">
      <w:pPr>
        <w:pStyle w:val="3-BodyText"/>
        <w:rPr>
          <w:color w:val="0066FF"/>
        </w:rPr>
      </w:pPr>
      <w:r w:rsidRPr="0098262F">
        <w:t xml:space="preserve">This submission </w:t>
      </w:r>
      <w:r w:rsidR="00A7277F">
        <w:t>was not</w:t>
      </w:r>
      <w:r w:rsidR="00D23D11" w:rsidRPr="0098262F">
        <w:t xml:space="preserve"> </w:t>
      </w:r>
      <w:r w:rsidRPr="0098262F">
        <w:t>considered by DUSC</w:t>
      </w:r>
      <w:r w:rsidRPr="0098262F">
        <w:rPr>
          <w:color w:val="0070C0"/>
        </w:rPr>
        <w:t>.</w:t>
      </w:r>
      <w:r w:rsidR="00570263">
        <w:rPr>
          <w:color w:val="0070C0"/>
        </w:rPr>
        <w:t xml:space="preserve"> </w:t>
      </w:r>
      <w:r w:rsidR="00570263">
        <w:t>The submission presented a market share approach to estimat</w:t>
      </w:r>
      <w:r w:rsidR="003A0F5B">
        <w:t>e</w:t>
      </w:r>
      <w:r w:rsidR="00570263">
        <w:t xml:space="preserve"> the utilisation and cost of listing for </w:t>
      </w:r>
      <w:r w:rsidR="00206FEE">
        <w:t xml:space="preserve">TIL </w:t>
      </w:r>
      <w:r w:rsidR="00570263">
        <w:t>200</w:t>
      </w:r>
      <w:r w:rsidR="00206FEE">
        <w:t xml:space="preserve"> </w:t>
      </w:r>
      <w:r w:rsidR="00570263">
        <w:t>mg. The key inputs are shown in</w:t>
      </w:r>
      <w:r w:rsidR="00F64417">
        <w:t xml:space="preserve"> </w:t>
      </w:r>
      <w:r w:rsidR="00E44DA7">
        <w:fldChar w:fldCharType="begin"/>
      </w:r>
      <w:r w:rsidR="00E44DA7">
        <w:instrText xml:space="preserve"> REF _Ref104805262 \h </w:instrText>
      </w:r>
      <w:r w:rsidR="00E44DA7">
        <w:fldChar w:fldCharType="separate"/>
      </w:r>
      <w:r w:rsidR="00E44DA7">
        <w:t xml:space="preserve">Table </w:t>
      </w:r>
      <w:r w:rsidR="00E44DA7">
        <w:rPr>
          <w:noProof/>
        </w:rPr>
        <w:t>13</w:t>
      </w:r>
      <w:r w:rsidR="00E44DA7">
        <w:fldChar w:fldCharType="end"/>
      </w:r>
      <w:r w:rsidR="00570263">
        <w:t xml:space="preserve">. </w:t>
      </w:r>
    </w:p>
    <w:p w14:paraId="3393BCE7" w14:textId="5703F7D2" w:rsidR="00E42F73" w:rsidRPr="0098262F" w:rsidRDefault="00E44DA7" w:rsidP="00E44DA7">
      <w:pPr>
        <w:pStyle w:val="Caption"/>
        <w:rPr>
          <w:rStyle w:val="CommentReference"/>
          <w:b/>
          <w:szCs w:val="24"/>
        </w:rPr>
      </w:pPr>
      <w:bookmarkStart w:id="47" w:name="_Ref104805262"/>
      <w:r>
        <w:lastRenderedPageBreak/>
        <w:t xml:space="preserve">Table </w:t>
      </w:r>
      <w:fldSimple w:instr=" SEQ Table \* ARABIC ">
        <w:r>
          <w:rPr>
            <w:noProof/>
          </w:rPr>
          <w:t>13</w:t>
        </w:r>
      </w:fldSimple>
      <w:bookmarkEnd w:id="47"/>
      <w:r w:rsidR="00E16AD8" w:rsidRPr="0098262F">
        <w:t>:</w:t>
      </w:r>
      <w:r w:rsidR="00E42F73" w:rsidRPr="0098262F">
        <w:rPr>
          <w:rStyle w:val="CommentReference"/>
          <w:b/>
          <w:szCs w:val="24"/>
        </w:rPr>
        <w:t xml:space="preserve"> Key inputs for financial estimates</w:t>
      </w:r>
    </w:p>
    <w:tbl>
      <w:tblPr>
        <w:tblStyle w:val="TableGrid"/>
        <w:tblW w:w="5000" w:type="pct"/>
        <w:tblLook w:val="04A0" w:firstRow="1" w:lastRow="0" w:firstColumn="1" w:lastColumn="0" w:noHBand="0" w:noVBand="1"/>
        <w:tblCaption w:val="Table 13: Key inputs for financial estimates"/>
      </w:tblPr>
      <w:tblGrid>
        <w:gridCol w:w="1744"/>
        <w:gridCol w:w="4169"/>
        <w:gridCol w:w="3269"/>
      </w:tblGrid>
      <w:tr w:rsidR="00E42F73" w:rsidRPr="0098262F" w14:paraId="7AFD013A" w14:textId="77777777" w:rsidTr="00206FEE">
        <w:tc>
          <w:tcPr>
            <w:tcW w:w="950" w:type="pct"/>
          </w:tcPr>
          <w:p w14:paraId="45C2C4CE" w14:textId="370E9AAB" w:rsidR="00E42F73" w:rsidRPr="0098262F" w:rsidRDefault="004658B5" w:rsidP="00E047B4">
            <w:pPr>
              <w:pStyle w:val="In-tableHeading"/>
            </w:pPr>
            <w:r w:rsidRPr="0098262F">
              <w:t>Parameter</w:t>
            </w:r>
          </w:p>
        </w:tc>
        <w:tc>
          <w:tcPr>
            <w:tcW w:w="2270" w:type="pct"/>
          </w:tcPr>
          <w:p w14:paraId="5C04F956" w14:textId="559E8DB1" w:rsidR="00E42F73" w:rsidRPr="0098262F" w:rsidRDefault="004658B5" w:rsidP="00E047B4">
            <w:pPr>
              <w:pStyle w:val="In-tableHeading"/>
            </w:pPr>
            <w:r w:rsidRPr="0098262F">
              <w:t>Value applied and source</w:t>
            </w:r>
          </w:p>
        </w:tc>
        <w:tc>
          <w:tcPr>
            <w:tcW w:w="1780" w:type="pct"/>
          </w:tcPr>
          <w:p w14:paraId="45DE44AA" w14:textId="4713F72E" w:rsidR="00E42F73" w:rsidRPr="0098262F" w:rsidRDefault="004658B5" w:rsidP="00E047B4">
            <w:pPr>
              <w:pStyle w:val="In-tableHeading"/>
            </w:pPr>
            <w:r w:rsidRPr="0098262F">
              <w:t>Comment</w:t>
            </w:r>
          </w:p>
        </w:tc>
      </w:tr>
      <w:tr w:rsidR="00570263" w:rsidRPr="0098262F" w14:paraId="4BEF206D" w14:textId="77777777" w:rsidTr="00206FEE">
        <w:tc>
          <w:tcPr>
            <w:tcW w:w="950" w:type="pct"/>
          </w:tcPr>
          <w:p w14:paraId="5724F53F" w14:textId="0BCE0AB6" w:rsidR="00570263" w:rsidRPr="0098262F" w:rsidRDefault="00570263" w:rsidP="00570263">
            <w:pPr>
              <w:pStyle w:val="TableText0"/>
            </w:pPr>
            <w:r w:rsidRPr="00570263">
              <w:t xml:space="preserve">Predicted utilisation of </w:t>
            </w:r>
            <w:r w:rsidR="0048618C">
              <w:t xml:space="preserve">TIL </w:t>
            </w:r>
            <w:r w:rsidR="006C7B93">
              <w:t xml:space="preserve">100 mg </w:t>
            </w:r>
            <w:r w:rsidRPr="00570263">
              <w:t>under the continuing treatment restriction</w:t>
            </w:r>
          </w:p>
        </w:tc>
        <w:tc>
          <w:tcPr>
            <w:tcW w:w="2270" w:type="pct"/>
          </w:tcPr>
          <w:p w14:paraId="4729A575" w14:textId="77777777" w:rsidR="00570263" w:rsidRDefault="00570263" w:rsidP="00570263">
            <w:pPr>
              <w:pStyle w:val="TableText0"/>
            </w:pPr>
            <w:r>
              <w:t>Observed: Services Australia PBS item report for item number 11613F in calendar years 2019 to 2024.</w:t>
            </w:r>
          </w:p>
          <w:p w14:paraId="23BD53DF" w14:textId="77777777" w:rsidR="00570263" w:rsidRPr="00C85A77" w:rsidRDefault="00570263" w:rsidP="00570263">
            <w:pPr>
              <w:pStyle w:val="TableText0"/>
              <w:rPr>
                <w:sz w:val="12"/>
                <w:szCs w:val="12"/>
              </w:rPr>
            </w:pPr>
          </w:p>
          <w:p w14:paraId="314747BD" w14:textId="77777777" w:rsidR="00570263" w:rsidRDefault="00570263" w:rsidP="00570263">
            <w:pPr>
              <w:pStyle w:val="TableText0"/>
            </w:pPr>
            <w:r>
              <w:t>Extrapolation: Logarithmic trendline fitted to the number of services in calendar years 2019 to 2024.</w:t>
            </w:r>
          </w:p>
          <w:p w14:paraId="453D9BD3" w14:textId="77777777" w:rsidR="00756100" w:rsidRPr="00C85A77" w:rsidRDefault="00756100" w:rsidP="00570263">
            <w:pPr>
              <w:pStyle w:val="TableText0"/>
              <w:rPr>
                <w:sz w:val="12"/>
                <w:szCs w:val="12"/>
              </w:rPr>
            </w:pPr>
          </w:p>
          <w:p w14:paraId="5A9ACDBD" w14:textId="3CABEAAE" w:rsidR="00570263" w:rsidRDefault="00756100" w:rsidP="00570263">
            <w:pPr>
              <w:pStyle w:val="TableText0"/>
            </w:pPr>
            <w:r>
              <w:t>Estimated s</w:t>
            </w:r>
            <w:r w:rsidR="00570263">
              <w:t>ervices</w:t>
            </w:r>
          </w:p>
          <w:tbl>
            <w:tblPr>
              <w:tblStyle w:val="TableGrid"/>
              <w:tblW w:w="0" w:type="auto"/>
              <w:tblLook w:val="04A0" w:firstRow="1" w:lastRow="0" w:firstColumn="1" w:lastColumn="0" w:noHBand="0" w:noVBand="1"/>
            </w:tblPr>
            <w:tblGrid>
              <w:gridCol w:w="1934"/>
              <w:gridCol w:w="1934"/>
            </w:tblGrid>
            <w:tr w:rsidR="00570263" w14:paraId="4750ECFF" w14:textId="77777777" w:rsidTr="00206FEE">
              <w:tc>
                <w:tcPr>
                  <w:tcW w:w="1934" w:type="dxa"/>
                </w:tcPr>
                <w:p w14:paraId="7FD3A51F" w14:textId="6F5D80C7" w:rsidR="00570263" w:rsidRPr="0048618C" w:rsidRDefault="0048618C" w:rsidP="00570263">
                  <w:pPr>
                    <w:pStyle w:val="TableText0"/>
                    <w:rPr>
                      <w:b/>
                      <w:bCs/>
                    </w:rPr>
                  </w:pPr>
                  <w:r w:rsidRPr="0048618C">
                    <w:rPr>
                      <w:b/>
                      <w:bCs/>
                    </w:rPr>
                    <w:t>Y</w:t>
                  </w:r>
                  <w:r w:rsidR="00570263" w:rsidRPr="0048618C">
                    <w:rPr>
                      <w:b/>
                      <w:bCs/>
                    </w:rPr>
                    <w:t>ear</w:t>
                  </w:r>
                </w:p>
              </w:tc>
              <w:tc>
                <w:tcPr>
                  <w:tcW w:w="1934" w:type="dxa"/>
                </w:tcPr>
                <w:p w14:paraId="757291D1" w14:textId="68AFBDD6" w:rsidR="00570263" w:rsidRPr="0048618C" w:rsidRDefault="0048618C" w:rsidP="00570263">
                  <w:pPr>
                    <w:pStyle w:val="TableText0"/>
                    <w:rPr>
                      <w:b/>
                      <w:bCs/>
                    </w:rPr>
                  </w:pPr>
                  <w:r w:rsidRPr="0048618C">
                    <w:rPr>
                      <w:b/>
                      <w:bCs/>
                    </w:rPr>
                    <w:t>S</w:t>
                  </w:r>
                  <w:r w:rsidR="00570263" w:rsidRPr="0048618C">
                    <w:rPr>
                      <w:b/>
                      <w:bCs/>
                    </w:rPr>
                    <w:t>ervices</w:t>
                  </w:r>
                </w:p>
              </w:tc>
            </w:tr>
            <w:tr w:rsidR="00570263" w14:paraId="26699811" w14:textId="77777777" w:rsidTr="00206FEE">
              <w:tc>
                <w:tcPr>
                  <w:tcW w:w="1934" w:type="dxa"/>
                </w:tcPr>
                <w:p w14:paraId="06A0C609" w14:textId="77777777" w:rsidR="00570263" w:rsidRDefault="00570263" w:rsidP="00570263">
                  <w:pPr>
                    <w:pStyle w:val="TableText0"/>
                  </w:pPr>
                  <w:r>
                    <w:t>2026</w:t>
                  </w:r>
                </w:p>
              </w:tc>
              <w:tc>
                <w:tcPr>
                  <w:tcW w:w="1934" w:type="dxa"/>
                </w:tcPr>
                <w:p w14:paraId="60DA011D" w14:textId="721D499A" w:rsidR="00570263" w:rsidRPr="00634B8B" w:rsidRDefault="0009628D" w:rsidP="00570263">
                  <w:pPr>
                    <w:pStyle w:val="TableText0"/>
                    <w:rPr>
                      <w:vertAlign w:val="superscript"/>
                    </w:rPr>
                  </w:pPr>
                  <w:r w:rsidRPr="0009628D">
                    <w:rPr>
                      <w:sz w:val="2"/>
                      <w:highlight w:val="black"/>
                    </w:rPr>
                    <w:t>redacted content</w:t>
                  </w:r>
                  <w:r w:rsidR="00634B8B">
                    <w:rPr>
                      <w:vertAlign w:val="superscript"/>
                    </w:rPr>
                    <w:t>1</w:t>
                  </w:r>
                </w:p>
              </w:tc>
            </w:tr>
            <w:tr w:rsidR="00570263" w14:paraId="38F45FFF" w14:textId="77777777" w:rsidTr="00206FEE">
              <w:tc>
                <w:tcPr>
                  <w:tcW w:w="1934" w:type="dxa"/>
                </w:tcPr>
                <w:p w14:paraId="3BFB988C" w14:textId="77777777" w:rsidR="00570263" w:rsidRDefault="00570263" w:rsidP="00570263">
                  <w:pPr>
                    <w:pStyle w:val="TableText0"/>
                  </w:pPr>
                  <w:r>
                    <w:t>2027</w:t>
                  </w:r>
                </w:p>
              </w:tc>
              <w:tc>
                <w:tcPr>
                  <w:tcW w:w="1934" w:type="dxa"/>
                </w:tcPr>
                <w:p w14:paraId="3E17FA91" w14:textId="7D99801F" w:rsidR="00570263" w:rsidRPr="00634B8B" w:rsidRDefault="0009628D" w:rsidP="00570263">
                  <w:pPr>
                    <w:pStyle w:val="TableText0"/>
                    <w:rPr>
                      <w:highlight w:val="lightGray"/>
                      <w:vertAlign w:val="superscript"/>
                    </w:rPr>
                  </w:pPr>
                  <w:r w:rsidRPr="0009628D">
                    <w:rPr>
                      <w:sz w:val="2"/>
                      <w:highlight w:val="black"/>
                    </w:rPr>
                    <w:t>redacted content</w:t>
                  </w:r>
                  <w:r w:rsidR="00634B8B" w:rsidRPr="00634B8B">
                    <w:rPr>
                      <w:vertAlign w:val="superscript"/>
                    </w:rPr>
                    <w:t>1</w:t>
                  </w:r>
                </w:p>
              </w:tc>
            </w:tr>
            <w:tr w:rsidR="00570263" w14:paraId="72E71A89" w14:textId="77777777" w:rsidTr="00206FEE">
              <w:tc>
                <w:tcPr>
                  <w:tcW w:w="1934" w:type="dxa"/>
                </w:tcPr>
                <w:p w14:paraId="121392E1" w14:textId="77777777" w:rsidR="00570263" w:rsidRDefault="00570263" w:rsidP="00570263">
                  <w:pPr>
                    <w:pStyle w:val="TableText0"/>
                  </w:pPr>
                  <w:r>
                    <w:t>2028</w:t>
                  </w:r>
                </w:p>
              </w:tc>
              <w:tc>
                <w:tcPr>
                  <w:tcW w:w="1934" w:type="dxa"/>
                </w:tcPr>
                <w:p w14:paraId="13F68208" w14:textId="00477531" w:rsidR="00570263" w:rsidRPr="00634B8B" w:rsidRDefault="0009628D" w:rsidP="00570263">
                  <w:pPr>
                    <w:pStyle w:val="TableText0"/>
                    <w:rPr>
                      <w:highlight w:val="lightGray"/>
                      <w:vertAlign w:val="superscript"/>
                    </w:rPr>
                  </w:pPr>
                  <w:r w:rsidRPr="0009628D">
                    <w:rPr>
                      <w:sz w:val="2"/>
                      <w:highlight w:val="black"/>
                    </w:rPr>
                    <w:t>redacted content</w:t>
                  </w:r>
                  <w:r w:rsidR="00634B8B" w:rsidRPr="00634B8B">
                    <w:rPr>
                      <w:vertAlign w:val="superscript"/>
                    </w:rPr>
                    <w:t>1</w:t>
                  </w:r>
                </w:p>
              </w:tc>
            </w:tr>
            <w:tr w:rsidR="00570263" w14:paraId="6D82FDB2" w14:textId="77777777" w:rsidTr="00206FEE">
              <w:tc>
                <w:tcPr>
                  <w:tcW w:w="1934" w:type="dxa"/>
                </w:tcPr>
                <w:p w14:paraId="26F1EB5D" w14:textId="77777777" w:rsidR="00570263" w:rsidRDefault="00570263" w:rsidP="00570263">
                  <w:pPr>
                    <w:pStyle w:val="TableText0"/>
                  </w:pPr>
                  <w:r>
                    <w:t>2029</w:t>
                  </w:r>
                </w:p>
              </w:tc>
              <w:tc>
                <w:tcPr>
                  <w:tcW w:w="1934" w:type="dxa"/>
                </w:tcPr>
                <w:p w14:paraId="29DF1059" w14:textId="2DF3832F" w:rsidR="00570263" w:rsidRPr="00634B8B" w:rsidRDefault="0009628D" w:rsidP="00570263">
                  <w:pPr>
                    <w:pStyle w:val="TableText0"/>
                    <w:rPr>
                      <w:highlight w:val="lightGray"/>
                      <w:vertAlign w:val="superscript"/>
                    </w:rPr>
                  </w:pPr>
                  <w:r w:rsidRPr="0009628D">
                    <w:rPr>
                      <w:sz w:val="2"/>
                      <w:highlight w:val="black"/>
                    </w:rPr>
                    <w:t>redacted content</w:t>
                  </w:r>
                  <w:r w:rsidR="00634B8B" w:rsidRPr="00634B8B">
                    <w:rPr>
                      <w:vertAlign w:val="superscript"/>
                    </w:rPr>
                    <w:t>1</w:t>
                  </w:r>
                </w:p>
              </w:tc>
            </w:tr>
            <w:tr w:rsidR="00570263" w14:paraId="194F25A4" w14:textId="77777777" w:rsidTr="00206FEE">
              <w:tc>
                <w:tcPr>
                  <w:tcW w:w="1934" w:type="dxa"/>
                </w:tcPr>
                <w:p w14:paraId="554B8DEC" w14:textId="77777777" w:rsidR="00570263" w:rsidRDefault="00570263" w:rsidP="00570263">
                  <w:pPr>
                    <w:pStyle w:val="TableText0"/>
                  </w:pPr>
                  <w:r>
                    <w:t>2030</w:t>
                  </w:r>
                </w:p>
              </w:tc>
              <w:tc>
                <w:tcPr>
                  <w:tcW w:w="1934" w:type="dxa"/>
                </w:tcPr>
                <w:p w14:paraId="4E90851A" w14:textId="7EA06C60" w:rsidR="00570263" w:rsidRPr="00634B8B" w:rsidRDefault="0009628D" w:rsidP="00570263">
                  <w:pPr>
                    <w:pStyle w:val="TableText0"/>
                    <w:rPr>
                      <w:highlight w:val="lightGray"/>
                      <w:vertAlign w:val="superscript"/>
                    </w:rPr>
                  </w:pPr>
                  <w:r w:rsidRPr="0009628D">
                    <w:rPr>
                      <w:sz w:val="2"/>
                      <w:highlight w:val="black"/>
                    </w:rPr>
                    <w:t>redacted content</w:t>
                  </w:r>
                  <w:r w:rsidR="00634B8B" w:rsidRPr="00634B8B">
                    <w:rPr>
                      <w:vertAlign w:val="superscript"/>
                    </w:rPr>
                    <w:t>1</w:t>
                  </w:r>
                </w:p>
              </w:tc>
            </w:tr>
            <w:tr w:rsidR="00570263" w14:paraId="1D91DED1" w14:textId="77777777" w:rsidTr="00206FEE">
              <w:tc>
                <w:tcPr>
                  <w:tcW w:w="1934" w:type="dxa"/>
                </w:tcPr>
                <w:p w14:paraId="0C63CD56" w14:textId="77777777" w:rsidR="00570263" w:rsidRDefault="00570263" w:rsidP="00570263">
                  <w:pPr>
                    <w:pStyle w:val="TableText0"/>
                  </w:pPr>
                  <w:r>
                    <w:t>2031</w:t>
                  </w:r>
                </w:p>
              </w:tc>
              <w:tc>
                <w:tcPr>
                  <w:tcW w:w="1934" w:type="dxa"/>
                </w:tcPr>
                <w:p w14:paraId="6BC91E07" w14:textId="72042F6D" w:rsidR="00570263" w:rsidRPr="00634B8B" w:rsidRDefault="0009628D" w:rsidP="00570263">
                  <w:pPr>
                    <w:pStyle w:val="TableText0"/>
                    <w:rPr>
                      <w:highlight w:val="lightGray"/>
                      <w:vertAlign w:val="superscript"/>
                    </w:rPr>
                  </w:pPr>
                  <w:r w:rsidRPr="0009628D">
                    <w:rPr>
                      <w:sz w:val="2"/>
                      <w:highlight w:val="black"/>
                    </w:rPr>
                    <w:t>redacted content</w:t>
                  </w:r>
                  <w:r w:rsidR="00634B8B" w:rsidRPr="00634B8B">
                    <w:rPr>
                      <w:vertAlign w:val="superscript"/>
                    </w:rPr>
                    <w:t>1</w:t>
                  </w:r>
                </w:p>
              </w:tc>
            </w:tr>
          </w:tbl>
          <w:p w14:paraId="2974F923" w14:textId="2CFFE70C" w:rsidR="00570263" w:rsidRPr="0098262F" w:rsidRDefault="00570263" w:rsidP="00570263">
            <w:pPr>
              <w:pStyle w:val="TableText0"/>
            </w:pPr>
          </w:p>
        </w:tc>
        <w:tc>
          <w:tcPr>
            <w:tcW w:w="1780" w:type="pct"/>
          </w:tcPr>
          <w:p w14:paraId="078672CF" w14:textId="243C73A2" w:rsidR="00570263" w:rsidRPr="00101CE3" w:rsidRDefault="005F1191" w:rsidP="00570263">
            <w:pPr>
              <w:pStyle w:val="TableText0"/>
            </w:pPr>
            <w:r>
              <w:noBreakHyphen/>
            </w:r>
          </w:p>
        </w:tc>
      </w:tr>
      <w:tr w:rsidR="00570263" w:rsidRPr="0098262F" w14:paraId="273D05F4" w14:textId="77777777" w:rsidTr="00206FEE">
        <w:tc>
          <w:tcPr>
            <w:tcW w:w="950" w:type="pct"/>
          </w:tcPr>
          <w:p w14:paraId="0152C8AA" w14:textId="0179F97C" w:rsidR="00570263" w:rsidRPr="0098262F" w:rsidRDefault="00756100" w:rsidP="00570263">
            <w:pPr>
              <w:pStyle w:val="TableText0"/>
            </w:pPr>
            <w:r>
              <w:t xml:space="preserve">TIL </w:t>
            </w:r>
            <w:r w:rsidR="00570263">
              <w:t>200</w:t>
            </w:r>
            <w:r w:rsidR="006C7B93">
              <w:t xml:space="preserve"> </w:t>
            </w:r>
            <w:r w:rsidR="00570263">
              <w:t xml:space="preserve">mg predicted uptake </w:t>
            </w:r>
          </w:p>
        </w:tc>
        <w:tc>
          <w:tcPr>
            <w:tcW w:w="2270" w:type="pct"/>
          </w:tcPr>
          <w:p w14:paraId="0CD6E6D2" w14:textId="50C5B7DA" w:rsidR="00570263" w:rsidRDefault="00570263" w:rsidP="00570263">
            <w:pPr>
              <w:pStyle w:val="TableText0"/>
            </w:pPr>
            <w:r>
              <w:t xml:space="preserve">Sponsor </w:t>
            </w:r>
            <w:r w:rsidR="00AB4952">
              <w:t>assumption</w:t>
            </w:r>
          </w:p>
          <w:tbl>
            <w:tblPr>
              <w:tblStyle w:val="TableGrid"/>
              <w:tblW w:w="0" w:type="auto"/>
              <w:tblLook w:val="04A0" w:firstRow="1" w:lastRow="0" w:firstColumn="1" w:lastColumn="0" w:noHBand="0" w:noVBand="1"/>
            </w:tblPr>
            <w:tblGrid>
              <w:gridCol w:w="1934"/>
              <w:gridCol w:w="1934"/>
            </w:tblGrid>
            <w:tr w:rsidR="00570263" w14:paraId="25E6BC4E" w14:textId="77777777" w:rsidTr="00206FEE">
              <w:tc>
                <w:tcPr>
                  <w:tcW w:w="1934" w:type="dxa"/>
                </w:tcPr>
                <w:p w14:paraId="2B61C71B" w14:textId="63A0ECA2" w:rsidR="00570263" w:rsidRPr="006C7B93" w:rsidRDefault="006C7B93" w:rsidP="00570263">
                  <w:pPr>
                    <w:pStyle w:val="TableText0"/>
                    <w:rPr>
                      <w:b/>
                      <w:bCs/>
                    </w:rPr>
                  </w:pPr>
                  <w:r w:rsidRPr="006C7B93">
                    <w:rPr>
                      <w:b/>
                      <w:bCs/>
                    </w:rPr>
                    <w:t>Y</w:t>
                  </w:r>
                  <w:r w:rsidR="00570263" w:rsidRPr="006C7B93">
                    <w:rPr>
                      <w:b/>
                      <w:bCs/>
                    </w:rPr>
                    <w:t>ear</w:t>
                  </w:r>
                </w:p>
              </w:tc>
              <w:tc>
                <w:tcPr>
                  <w:tcW w:w="1934" w:type="dxa"/>
                </w:tcPr>
                <w:p w14:paraId="61200EDA" w14:textId="3F87E6C8" w:rsidR="00570263" w:rsidRPr="006C7B93" w:rsidRDefault="00570263" w:rsidP="00570263">
                  <w:pPr>
                    <w:pStyle w:val="TableText0"/>
                    <w:rPr>
                      <w:b/>
                      <w:bCs/>
                    </w:rPr>
                  </w:pPr>
                  <w:r w:rsidRPr="006C7B93">
                    <w:rPr>
                      <w:b/>
                      <w:bCs/>
                    </w:rPr>
                    <w:t>Uptake</w:t>
                  </w:r>
                </w:p>
              </w:tc>
            </w:tr>
            <w:tr w:rsidR="00570263" w14:paraId="299364CE" w14:textId="77777777" w:rsidTr="00206FEE">
              <w:tc>
                <w:tcPr>
                  <w:tcW w:w="1934" w:type="dxa"/>
                </w:tcPr>
                <w:p w14:paraId="1FD2C086" w14:textId="77777777" w:rsidR="00570263" w:rsidRDefault="00570263" w:rsidP="00570263">
                  <w:pPr>
                    <w:pStyle w:val="TableText0"/>
                  </w:pPr>
                  <w:r>
                    <w:t>2026</w:t>
                  </w:r>
                </w:p>
              </w:tc>
              <w:tc>
                <w:tcPr>
                  <w:tcW w:w="1934" w:type="dxa"/>
                </w:tcPr>
                <w:p w14:paraId="73309364" w14:textId="7C1CD5D6" w:rsidR="00570263" w:rsidRDefault="0009628D" w:rsidP="00570263">
                  <w:pPr>
                    <w:pStyle w:val="TableText0"/>
                  </w:pPr>
                  <w:r w:rsidRPr="0009628D">
                    <w:rPr>
                      <w:sz w:val="2"/>
                      <w:highlight w:val="black"/>
                    </w:rPr>
                    <w:t>redacted content</w:t>
                  </w:r>
                  <w:r w:rsidR="00570263">
                    <w:t>%</w:t>
                  </w:r>
                </w:p>
              </w:tc>
            </w:tr>
            <w:tr w:rsidR="00570263" w14:paraId="6CF9C0B3" w14:textId="77777777" w:rsidTr="00206FEE">
              <w:tc>
                <w:tcPr>
                  <w:tcW w:w="1934" w:type="dxa"/>
                </w:tcPr>
                <w:p w14:paraId="168F07E2" w14:textId="77777777" w:rsidR="00570263" w:rsidRDefault="00570263" w:rsidP="00570263">
                  <w:pPr>
                    <w:pStyle w:val="TableText0"/>
                  </w:pPr>
                  <w:r>
                    <w:t>2027</w:t>
                  </w:r>
                </w:p>
              </w:tc>
              <w:tc>
                <w:tcPr>
                  <w:tcW w:w="1934" w:type="dxa"/>
                </w:tcPr>
                <w:p w14:paraId="082E22CD" w14:textId="530013F7" w:rsidR="00570263" w:rsidRDefault="0009628D" w:rsidP="00570263">
                  <w:pPr>
                    <w:pStyle w:val="TableText0"/>
                  </w:pPr>
                  <w:r w:rsidRPr="0009628D">
                    <w:rPr>
                      <w:sz w:val="2"/>
                      <w:highlight w:val="black"/>
                    </w:rPr>
                    <w:t>redacted content</w:t>
                  </w:r>
                  <w:r w:rsidR="00570263">
                    <w:t>%</w:t>
                  </w:r>
                </w:p>
              </w:tc>
            </w:tr>
            <w:tr w:rsidR="00570263" w14:paraId="3E1F0327" w14:textId="77777777" w:rsidTr="00206FEE">
              <w:tc>
                <w:tcPr>
                  <w:tcW w:w="1934" w:type="dxa"/>
                </w:tcPr>
                <w:p w14:paraId="44629601" w14:textId="77777777" w:rsidR="00570263" w:rsidRDefault="00570263" w:rsidP="00570263">
                  <w:pPr>
                    <w:pStyle w:val="TableText0"/>
                  </w:pPr>
                  <w:r>
                    <w:t>2028</w:t>
                  </w:r>
                </w:p>
              </w:tc>
              <w:tc>
                <w:tcPr>
                  <w:tcW w:w="1934" w:type="dxa"/>
                </w:tcPr>
                <w:p w14:paraId="15216B53" w14:textId="4C76C06E" w:rsidR="00570263" w:rsidRDefault="0009628D" w:rsidP="00570263">
                  <w:pPr>
                    <w:pStyle w:val="TableText0"/>
                  </w:pPr>
                  <w:r w:rsidRPr="0009628D">
                    <w:rPr>
                      <w:sz w:val="2"/>
                      <w:highlight w:val="black"/>
                    </w:rPr>
                    <w:t>redacted content</w:t>
                  </w:r>
                  <w:r w:rsidR="00570263">
                    <w:t>%</w:t>
                  </w:r>
                </w:p>
              </w:tc>
            </w:tr>
            <w:tr w:rsidR="00570263" w14:paraId="149F422B" w14:textId="77777777" w:rsidTr="00206FEE">
              <w:tc>
                <w:tcPr>
                  <w:tcW w:w="1934" w:type="dxa"/>
                </w:tcPr>
                <w:p w14:paraId="46C8CB41" w14:textId="77777777" w:rsidR="00570263" w:rsidRDefault="00570263" w:rsidP="00570263">
                  <w:pPr>
                    <w:pStyle w:val="TableText0"/>
                  </w:pPr>
                  <w:r>
                    <w:t>2029</w:t>
                  </w:r>
                </w:p>
              </w:tc>
              <w:tc>
                <w:tcPr>
                  <w:tcW w:w="1934" w:type="dxa"/>
                </w:tcPr>
                <w:p w14:paraId="202A5F85" w14:textId="4587DE78" w:rsidR="00570263" w:rsidRDefault="0009628D" w:rsidP="00570263">
                  <w:pPr>
                    <w:pStyle w:val="TableText0"/>
                  </w:pPr>
                  <w:r w:rsidRPr="0009628D">
                    <w:rPr>
                      <w:sz w:val="2"/>
                      <w:highlight w:val="black"/>
                    </w:rPr>
                    <w:t>redacted content</w:t>
                  </w:r>
                  <w:r w:rsidR="00570263">
                    <w:t>%</w:t>
                  </w:r>
                </w:p>
              </w:tc>
            </w:tr>
            <w:tr w:rsidR="00570263" w14:paraId="76335B0C" w14:textId="77777777" w:rsidTr="00206FEE">
              <w:tc>
                <w:tcPr>
                  <w:tcW w:w="1934" w:type="dxa"/>
                </w:tcPr>
                <w:p w14:paraId="3CBA1EB9" w14:textId="77777777" w:rsidR="00570263" w:rsidRDefault="00570263" w:rsidP="00570263">
                  <w:pPr>
                    <w:pStyle w:val="TableText0"/>
                  </w:pPr>
                  <w:r>
                    <w:t>2030</w:t>
                  </w:r>
                </w:p>
              </w:tc>
              <w:tc>
                <w:tcPr>
                  <w:tcW w:w="1934" w:type="dxa"/>
                </w:tcPr>
                <w:p w14:paraId="4B397466" w14:textId="14289B7B" w:rsidR="00570263" w:rsidRDefault="0009628D" w:rsidP="00570263">
                  <w:pPr>
                    <w:pStyle w:val="TableText0"/>
                  </w:pPr>
                  <w:r w:rsidRPr="0009628D">
                    <w:rPr>
                      <w:sz w:val="2"/>
                      <w:highlight w:val="black"/>
                    </w:rPr>
                    <w:t>redacted content</w:t>
                  </w:r>
                  <w:r w:rsidR="00570263">
                    <w:t>%</w:t>
                  </w:r>
                </w:p>
              </w:tc>
            </w:tr>
            <w:tr w:rsidR="00570263" w14:paraId="5682AC7D" w14:textId="77777777" w:rsidTr="00206FEE">
              <w:tc>
                <w:tcPr>
                  <w:tcW w:w="1934" w:type="dxa"/>
                </w:tcPr>
                <w:p w14:paraId="2B38CE14" w14:textId="77777777" w:rsidR="00570263" w:rsidRDefault="00570263" w:rsidP="00570263">
                  <w:pPr>
                    <w:pStyle w:val="TableText0"/>
                  </w:pPr>
                  <w:r>
                    <w:t>2031</w:t>
                  </w:r>
                </w:p>
              </w:tc>
              <w:tc>
                <w:tcPr>
                  <w:tcW w:w="1934" w:type="dxa"/>
                </w:tcPr>
                <w:p w14:paraId="3D468C57" w14:textId="0A0C490F" w:rsidR="00570263" w:rsidRDefault="0009628D" w:rsidP="00570263">
                  <w:pPr>
                    <w:pStyle w:val="TableText0"/>
                  </w:pPr>
                  <w:r w:rsidRPr="0009628D">
                    <w:rPr>
                      <w:sz w:val="2"/>
                      <w:highlight w:val="black"/>
                    </w:rPr>
                    <w:t>redacted content</w:t>
                  </w:r>
                  <w:r w:rsidR="00570263">
                    <w:t>%</w:t>
                  </w:r>
                </w:p>
              </w:tc>
            </w:tr>
          </w:tbl>
          <w:p w14:paraId="5FE8DC6D" w14:textId="441A56AA" w:rsidR="00570263" w:rsidRPr="0098262F" w:rsidRDefault="00570263" w:rsidP="00570263">
            <w:pPr>
              <w:pStyle w:val="TableText0"/>
            </w:pPr>
          </w:p>
        </w:tc>
        <w:tc>
          <w:tcPr>
            <w:tcW w:w="1780" w:type="pct"/>
          </w:tcPr>
          <w:p w14:paraId="035D240F" w14:textId="1D489C54" w:rsidR="00570263" w:rsidRPr="00101CE3" w:rsidRDefault="00DB3A89" w:rsidP="00570263">
            <w:pPr>
              <w:pStyle w:val="TableText0"/>
            </w:pPr>
            <w:r w:rsidRPr="00101CE3">
              <w:t>U</w:t>
            </w:r>
            <w:r w:rsidR="00570263" w:rsidRPr="00101CE3">
              <w:t>nable to be verified</w:t>
            </w:r>
            <w:r w:rsidR="00A52F83" w:rsidRPr="00101CE3">
              <w:t xml:space="preserve">. </w:t>
            </w:r>
            <w:r w:rsidR="004D0B63" w:rsidRPr="00101CE3">
              <w:t>Includes the assumption that there is effectively no market expansion</w:t>
            </w:r>
            <w:r w:rsidR="00C01F9D" w:rsidRPr="00101CE3">
              <w:t>,</w:t>
            </w:r>
            <w:r w:rsidR="004D0B63" w:rsidRPr="00101CE3">
              <w:t xml:space="preserve"> patients simply switch from the </w:t>
            </w:r>
            <w:r w:rsidR="00F03FE9" w:rsidRPr="00101CE3">
              <w:t xml:space="preserve">TIL </w:t>
            </w:r>
            <w:r w:rsidR="004D0B63" w:rsidRPr="00101CE3">
              <w:t>100</w:t>
            </w:r>
            <w:r w:rsidR="006C7B93" w:rsidRPr="00101CE3">
              <w:t xml:space="preserve"> </w:t>
            </w:r>
            <w:r w:rsidR="004D0B63" w:rsidRPr="00101CE3">
              <w:t>m</w:t>
            </w:r>
            <w:r w:rsidR="006C7B93" w:rsidRPr="00101CE3">
              <w:t>g</w:t>
            </w:r>
            <w:r w:rsidR="004D0B63" w:rsidRPr="00101CE3">
              <w:t xml:space="preserve"> to </w:t>
            </w:r>
            <w:r w:rsidR="00F03FE9" w:rsidRPr="00101CE3">
              <w:t xml:space="preserve">the TIL </w:t>
            </w:r>
            <w:r w:rsidR="004D0B63" w:rsidRPr="00101CE3">
              <w:t>200</w:t>
            </w:r>
            <w:r w:rsidR="006C7B93" w:rsidRPr="00101CE3">
              <w:t xml:space="preserve"> </w:t>
            </w:r>
            <w:r w:rsidR="004D0B63" w:rsidRPr="00101CE3">
              <w:t>mg dose so that the uptake of the 200</w:t>
            </w:r>
            <w:r w:rsidR="00F03FE9" w:rsidRPr="00101CE3">
              <w:t xml:space="preserve"> </w:t>
            </w:r>
            <w:r w:rsidR="004D0B63" w:rsidRPr="00101CE3">
              <w:t>mg is offset by the reduction in 100</w:t>
            </w:r>
            <w:r w:rsidR="00F03FE9" w:rsidRPr="00101CE3">
              <w:t xml:space="preserve"> </w:t>
            </w:r>
            <w:r w:rsidR="004D0B63" w:rsidRPr="00101CE3">
              <w:t>mg dose.</w:t>
            </w:r>
          </w:p>
        </w:tc>
      </w:tr>
      <w:tr w:rsidR="00570263" w:rsidRPr="0098262F" w14:paraId="72C9FBDD" w14:textId="77777777" w:rsidTr="00206FEE">
        <w:tc>
          <w:tcPr>
            <w:tcW w:w="950" w:type="pct"/>
          </w:tcPr>
          <w:p w14:paraId="2FBBDC67" w14:textId="34D6E380" w:rsidR="00570263" w:rsidRPr="0098262F" w:rsidRDefault="00A54895" w:rsidP="00570263">
            <w:pPr>
              <w:pStyle w:val="TableText0"/>
            </w:pPr>
            <w:r>
              <w:t xml:space="preserve">Effective </w:t>
            </w:r>
            <w:r w:rsidR="00F03FE9">
              <w:t xml:space="preserve">DPMQ of TIL </w:t>
            </w:r>
          </w:p>
        </w:tc>
        <w:tc>
          <w:tcPr>
            <w:tcW w:w="2270" w:type="pct"/>
          </w:tcPr>
          <w:p w14:paraId="58AD3D30" w14:textId="13E692D7" w:rsidR="00570263" w:rsidRDefault="00570263" w:rsidP="00570263">
            <w:pPr>
              <w:pStyle w:val="TableText0"/>
            </w:pPr>
            <w:r>
              <w:t>1 x 100 mg/mL injection, 1 mL: $</w:t>
            </w:r>
            <w:r w:rsidR="0009628D" w:rsidRPr="0009628D">
              <w:rPr>
                <w:sz w:val="2"/>
                <w:highlight w:val="black"/>
              </w:rPr>
              <w:t>redacted content</w:t>
            </w:r>
          </w:p>
          <w:p w14:paraId="550316FC" w14:textId="7139B7FB" w:rsidR="00570263" w:rsidRPr="0098262F" w:rsidRDefault="00570263" w:rsidP="00570263">
            <w:pPr>
              <w:pStyle w:val="TableText0"/>
            </w:pPr>
            <w:r>
              <w:t>2 x 100 mg/mL injection, 1 mL: $</w:t>
            </w:r>
            <w:r w:rsidR="0009628D" w:rsidRPr="0009628D">
              <w:rPr>
                <w:sz w:val="2"/>
                <w:highlight w:val="black"/>
              </w:rPr>
              <w:t>redacted content</w:t>
            </w:r>
          </w:p>
        </w:tc>
        <w:tc>
          <w:tcPr>
            <w:tcW w:w="1780" w:type="pct"/>
          </w:tcPr>
          <w:p w14:paraId="7295AAE5" w14:textId="57A8122D" w:rsidR="00570263" w:rsidRPr="0098262F" w:rsidRDefault="005F1191" w:rsidP="00570263">
            <w:pPr>
              <w:pStyle w:val="TableText0"/>
            </w:pPr>
            <w:r>
              <w:noBreakHyphen/>
            </w:r>
          </w:p>
        </w:tc>
      </w:tr>
      <w:tr w:rsidR="00570263" w:rsidRPr="0098262F" w14:paraId="512A8938" w14:textId="77777777" w:rsidTr="00206FEE">
        <w:tc>
          <w:tcPr>
            <w:tcW w:w="950" w:type="pct"/>
          </w:tcPr>
          <w:p w14:paraId="006B470A" w14:textId="7C261C59" w:rsidR="00570263" w:rsidRPr="0098262F" w:rsidRDefault="00570263" w:rsidP="00570263">
            <w:pPr>
              <w:pStyle w:val="TableText0"/>
            </w:pPr>
            <w:r>
              <w:t>Patient copayment</w:t>
            </w:r>
          </w:p>
          <w:p w14:paraId="1F4C70A3" w14:textId="1FE45643" w:rsidR="00570263" w:rsidRPr="0098262F" w:rsidRDefault="00570263" w:rsidP="00570263">
            <w:pPr>
              <w:pStyle w:val="TableText0"/>
            </w:pPr>
          </w:p>
        </w:tc>
        <w:tc>
          <w:tcPr>
            <w:tcW w:w="2270" w:type="pct"/>
          </w:tcPr>
          <w:p w14:paraId="42C8AAAC" w14:textId="0E8A8D07" w:rsidR="00570263" w:rsidRDefault="00570263" w:rsidP="00570263">
            <w:pPr>
              <w:pStyle w:val="TableText0"/>
            </w:pPr>
            <w:r>
              <w:t>PBS:</w:t>
            </w:r>
            <w:r w:rsidR="005F1191">
              <w:t xml:space="preserve"> </w:t>
            </w:r>
            <w:r>
              <w:t xml:space="preserve"> $24.86</w:t>
            </w:r>
          </w:p>
          <w:p w14:paraId="5289CDB1" w14:textId="274864F3" w:rsidR="00570263" w:rsidRPr="0098262F" w:rsidRDefault="00570263" w:rsidP="00570263">
            <w:pPr>
              <w:pStyle w:val="TableText0"/>
            </w:pPr>
            <w:r>
              <w:t>RPBS: $5.29</w:t>
            </w:r>
          </w:p>
        </w:tc>
        <w:tc>
          <w:tcPr>
            <w:tcW w:w="1780" w:type="pct"/>
          </w:tcPr>
          <w:p w14:paraId="0BA4ED26" w14:textId="3124B00C" w:rsidR="00570263" w:rsidRPr="0098262F" w:rsidRDefault="005F1191" w:rsidP="00570263">
            <w:pPr>
              <w:pStyle w:val="TableText0"/>
            </w:pPr>
            <w:r>
              <w:noBreakHyphen/>
            </w:r>
          </w:p>
        </w:tc>
      </w:tr>
    </w:tbl>
    <w:p w14:paraId="220DA9D9" w14:textId="368A3FE2" w:rsidR="007925DF" w:rsidRDefault="00E42F73" w:rsidP="00C86418">
      <w:pPr>
        <w:pStyle w:val="FooterTableFigure"/>
      </w:pPr>
      <w:r w:rsidRPr="0098262F">
        <w:t>Source: Table</w:t>
      </w:r>
      <w:r w:rsidR="00F826B7">
        <w:t xml:space="preserve"> 4.2.1</w:t>
      </w:r>
      <w:r w:rsidRPr="0098262F">
        <w:t>, p</w:t>
      </w:r>
      <w:r w:rsidR="00F826B7">
        <w:t xml:space="preserve">21 </w:t>
      </w:r>
      <w:r w:rsidRPr="0098262F">
        <w:t>of the submission.</w:t>
      </w:r>
    </w:p>
    <w:p w14:paraId="552637D1" w14:textId="37ED2DA6" w:rsidR="00FB276D" w:rsidRDefault="00FB276D" w:rsidP="00C86418">
      <w:pPr>
        <w:pStyle w:val="FooterTableFigure"/>
      </w:pPr>
      <w:r>
        <w:t>DPMQ = dispensed price for maximum quantity; TIL = tildrakizumab</w:t>
      </w:r>
    </w:p>
    <w:p w14:paraId="22A7A596" w14:textId="77777777" w:rsidR="00751F47" w:rsidRPr="00751F47" w:rsidRDefault="00751F47" w:rsidP="00751F47">
      <w:pPr>
        <w:pStyle w:val="FooterTableFigure"/>
        <w:rPr>
          <w:i/>
        </w:rPr>
      </w:pPr>
      <w:r w:rsidRPr="00751F47">
        <w:rPr>
          <w:i/>
        </w:rPr>
        <w:t xml:space="preserve">The redacted values correspond to the following ranges: </w:t>
      </w:r>
    </w:p>
    <w:p w14:paraId="511E85FB" w14:textId="1BF9DEEE" w:rsidR="00751F47" w:rsidRPr="00751F47" w:rsidRDefault="00751F47" w:rsidP="00C86418">
      <w:pPr>
        <w:pStyle w:val="FooterTableFigure"/>
        <w:rPr>
          <w:i/>
        </w:rPr>
      </w:pPr>
      <w:r w:rsidRPr="00751F47">
        <w:rPr>
          <w:i/>
          <w:vertAlign w:val="superscript"/>
        </w:rPr>
        <w:t>1</w:t>
      </w:r>
      <w:r w:rsidRPr="00751F47">
        <w:rPr>
          <w:i/>
        </w:rPr>
        <w:t xml:space="preserve"> </w:t>
      </w:r>
      <w:r w:rsidR="00634B8B" w:rsidRPr="00634B8B">
        <w:rPr>
          <w:i/>
        </w:rPr>
        <w:t>5,000 to &lt; 10,000</w:t>
      </w:r>
    </w:p>
    <w:p w14:paraId="26FB6670" w14:textId="2D552297" w:rsidR="00B505C8" w:rsidRPr="0098262F" w:rsidRDefault="00AE3721" w:rsidP="00B505C8">
      <w:pPr>
        <w:pStyle w:val="3-BodyText"/>
        <w:rPr>
          <w:color w:val="0066FF"/>
        </w:rPr>
      </w:pPr>
      <w:r>
        <w:t>The estimates of use and the financial impact of listing TIL 200</w:t>
      </w:r>
      <w:r w:rsidR="00407254">
        <w:t xml:space="preserve"> </w:t>
      </w:r>
      <w:r>
        <w:t xml:space="preserve">mg </w:t>
      </w:r>
      <w:r w:rsidR="002E668A">
        <w:t xml:space="preserve">on the PBS/RPBS </w:t>
      </w:r>
      <w:r w:rsidR="00FB652E">
        <w:t xml:space="preserve">are shown </w:t>
      </w:r>
      <w:r w:rsidR="00E44DA7">
        <w:t xml:space="preserve">in </w:t>
      </w:r>
      <w:r w:rsidR="00E44DA7">
        <w:fldChar w:fldCharType="begin"/>
      </w:r>
      <w:r w:rsidR="00E44DA7">
        <w:instrText xml:space="preserve"> REF _Ref225949259 \h </w:instrText>
      </w:r>
      <w:r w:rsidR="00E44DA7">
        <w:fldChar w:fldCharType="separate"/>
      </w:r>
      <w:r w:rsidR="00E44DA7">
        <w:t xml:space="preserve">Table </w:t>
      </w:r>
      <w:r w:rsidR="00E44DA7">
        <w:rPr>
          <w:noProof/>
        </w:rPr>
        <w:t>14</w:t>
      </w:r>
      <w:r w:rsidR="00E44DA7">
        <w:fldChar w:fldCharType="end"/>
      </w:r>
      <w:r w:rsidR="00FB652E">
        <w:t xml:space="preserve">. </w:t>
      </w:r>
    </w:p>
    <w:p w14:paraId="38EC053C" w14:textId="7DEFA8E9" w:rsidR="00C25D9C" w:rsidRPr="0098262F" w:rsidRDefault="00E44DA7" w:rsidP="00E44DA7">
      <w:pPr>
        <w:pStyle w:val="Caption"/>
      </w:pPr>
      <w:bookmarkStart w:id="48" w:name="_Ref225949259"/>
      <w:r>
        <w:t xml:space="preserve">Table </w:t>
      </w:r>
      <w:fldSimple w:instr=" SEQ Table \* ARABIC ">
        <w:r>
          <w:rPr>
            <w:noProof/>
          </w:rPr>
          <w:t>14</w:t>
        </w:r>
      </w:fldSimple>
      <w:bookmarkEnd w:id="48"/>
      <w:r w:rsidR="00E16AD8" w:rsidRPr="0098262F">
        <w:t>:</w:t>
      </w:r>
      <w:r w:rsidR="002A2F50" w:rsidRPr="0098262F">
        <w:rPr>
          <w:rStyle w:val="CommentReference"/>
          <w:b/>
          <w:szCs w:val="24"/>
        </w:rPr>
        <w:t xml:space="preserve"> Estimated use and financial implications</w:t>
      </w:r>
      <w:r w:rsidR="0011342D">
        <w:rPr>
          <w:rStyle w:val="CommentReference"/>
          <w:b/>
          <w:szCs w:val="24"/>
        </w:rPr>
        <w:t xml:space="preserve"> for TIL 200</w:t>
      </w:r>
      <w:r w:rsidR="00407254">
        <w:rPr>
          <w:rStyle w:val="CommentReference"/>
          <w:b/>
          <w:szCs w:val="24"/>
        </w:rPr>
        <w:t xml:space="preserve"> </w:t>
      </w:r>
      <w:r w:rsidR="0011342D">
        <w:rPr>
          <w:rStyle w:val="CommentReference"/>
          <w:b/>
          <w:szCs w:val="24"/>
        </w:rPr>
        <w:t>mg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for TIL 200 mg (effective price)"/>
      </w:tblPr>
      <w:tblGrid>
        <w:gridCol w:w="2450"/>
        <w:gridCol w:w="1122"/>
        <w:gridCol w:w="1122"/>
        <w:gridCol w:w="1122"/>
        <w:gridCol w:w="1122"/>
        <w:gridCol w:w="1122"/>
        <w:gridCol w:w="1122"/>
      </w:tblGrid>
      <w:tr w:rsidR="00385A9D" w:rsidRPr="0098262F" w14:paraId="43A2A3A1" w14:textId="77777777" w:rsidTr="00407254">
        <w:trPr>
          <w:tblHeader/>
        </w:trPr>
        <w:tc>
          <w:tcPr>
            <w:tcW w:w="1334" w:type="pct"/>
            <w:vAlign w:val="center"/>
          </w:tcPr>
          <w:p w14:paraId="0A4E41E1" w14:textId="77777777" w:rsidR="00385A9D" w:rsidRPr="0098262F" w:rsidRDefault="00385A9D" w:rsidP="00E047B4">
            <w:pPr>
              <w:pStyle w:val="In-tableHeading"/>
            </w:pPr>
          </w:p>
        </w:tc>
        <w:tc>
          <w:tcPr>
            <w:tcW w:w="611" w:type="pct"/>
            <w:vAlign w:val="center"/>
          </w:tcPr>
          <w:p w14:paraId="77420B6F" w14:textId="77777777" w:rsidR="00385A9D" w:rsidRPr="0098262F" w:rsidRDefault="00385A9D" w:rsidP="00F621C9">
            <w:pPr>
              <w:pStyle w:val="In-tableHeading"/>
              <w:jc w:val="center"/>
            </w:pPr>
            <w:r w:rsidRPr="0098262F">
              <w:t>Year 1</w:t>
            </w:r>
          </w:p>
        </w:tc>
        <w:tc>
          <w:tcPr>
            <w:tcW w:w="611" w:type="pct"/>
            <w:vAlign w:val="center"/>
          </w:tcPr>
          <w:p w14:paraId="3BBD9218" w14:textId="77777777" w:rsidR="00385A9D" w:rsidRPr="0098262F" w:rsidRDefault="00385A9D" w:rsidP="00F621C9">
            <w:pPr>
              <w:pStyle w:val="In-tableHeading"/>
              <w:jc w:val="center"/>
            </w:pPr>
            <w:r w:rsidRPr="0098262F">
              <w:t>Year 2</w:t>
            </w:r>
          </w:p>
        </w:tc>
        <w:tc>
          <w:tcPr>
            <w:tcW w:w="611" w:type="pct"/>
            <w:vAlign w:val="center"/>
          </w:tcPr>
          <w:p w14:paraId="729A646E" w14:textId="77777777" w:rsidR="00385A9D" w:rsidRPr="0098262F" w:rsidRDefault="00385A9D" w:rsidP="00F621C9">
            <w:pPr>
              <w:pStyle w:val="In-tableHeading"/>
              <w:jc w:val="center"/>
            </w:pPr>
            <w:r w:rsidRPr="0098262F">
              <w:t>Year 3</w:t>
            </w:r>
          </w:p>
        </w:tc>
        <w:tc>
          <w:tcPr>
            <w:tcW w:w="611" w:type="pct"/>
            <w:vAlign w:val="center"/>
          </w:tcPr>
          <w:p w14:paraId="280BB544" w14:textId="77777777" w:rsidR="00385A9D" w:rsidRPr="0098262F" w:rsidRDefault="00385A9D" w:rsidP="00F621C9">
            <w:pPr>
              <w:pStyle w:val="In-tableHeading"/>
              <w:jc w:val="center"/>
            </w:pPr>
            <w:r w:rsidRPr="0098262F">
              <w:t>Year 4</w:t>
            </w:r>
          </w:p>
        </w:tc>
        <w:tc>
          <w:tcPr>
            <w:tcW w:w="611" w:type="pct"/>
            <w:vAlign w:val="center"/>
          </w:tcPr>
          <w:p w14:paraId="6435BB5B" w14:textId="77777777" w:rsidR="00385A9D" w:rsidRPr="0098262F" w:rsidRDefault="00385A9D" w:rsidP="00F621C9">
            <w:pPr>
              <w:pStyle w:val="In-tableHeading"/>
              <w:jc w:val="center"/>
            </w:pPr>
            <w:r w:rsidRPr="0098262F">
              <w:t>Year 5</w:t>
            </w:r>
          </w:p>
        </w:tc>
        <w:tc>
          <w:tcPr>
            <w:tcW w:w="611" w:type="pct"/>
          </w:tcPr>
          <w:p w14:paraId="7C618119" w14:textId="77777777" w:rsidR="00385A9D" w:rsidRPr="0098262F" w:rsidRDefault="00385A9D" w:rsidP="00F621C9">
            <w:pPr>
              <w:pStyle w:val="In-tableHeading"/>
              <w:jc w:val="center"/>
            </w:pPr>
            <w:r w:rsidRPr="0098262F">
              <w:t>Year 6</w:t>
            </w:r>
          </w:p>
        </w:tc>
      </w:tr>
      <w:tr w:rsidR="00385A9D" w:rsidRPr="0098262F" w14:paraId="3C519059" w14:textId="77777777" w:rsidTr="00407254">
        <w:tc>
          <w:tcPr>
            <w:tcW w:w="5000" w:type="pct"/>
            <w:gridSpan w:val="7"/>
            <w:vAlign w:val="center"/>
          </w:tcPr>
          <w:p w14:paraId="516C2197" w14:textId="77777777" w:rsidR="00385A9D" w:rsidRPr="0098262F" w:rsidRDefault="00385A9D" w:rsidP="00E047B4">
            <w:pPr>
              <w:pStyle w:val="In-tableHeading"/>
            </w:pPr>
            <w:r w:rsidRPr="0098262F">
              <w:t>Estimated extent of use</w:t>
            </w:r>
          </w:p>
        </w:tc>
      </w:tr>
      <w:tr w:rsidR="0011342D" w:rsidRPr="0098262F" w14:paraId="1CEE4D09" w14:textId="77777777" w:rsidTr="00407254">
        <w:tc>
          <w:tcPr>
            <w:tcW w:w="1334" w:type="pct"/>
            <w:vAlign w:val="center"/>
          </w:tcPr>
          <w:p w14:paraId="229A1EDF" w14:textId="5C8CE6BE" w:rsidR="0011342D" w:rsidRPr="0098262F" w:rsidRDefault="0011342D" w:rsidP="0011342D">
            <w:pPr>
              <w:pStyle w:val="TableText0"/>
              <w:rPr>
                <w:rFonts w:ascii="Times" w:hAnsi="Times"/>
              </w:rPr>
            </w:pPr>
            <w:r w:rsidRPr="0098262F">
              <w:t>Number of scripts dispensed</w:t>
            </w:r>
          </w:p>
        </w:tc>
        <w:tc>
          <w:tcPr>
            <w:tcW w:w="611" w:type="pct"/>
          </w:tcPr>
          <w:p w14:paraId="0D9F25C2" w14:textId="0BCDD8FD" w:rsidR="0011342D" w:rsidRPr="00186215" w:rsidRDefault="0009628D" w:rsidP="00333C21">
            <w:pPr>
              <w:pStyle w:val="TableText0"/>
              <w:jc w:val="center"/>
              <w:rPr>
                <w:vertAlign w:val="superscript"/>
              </w:rPr>
            </w:pPr>
            <w:r w:rsidRPr="0009628D">
              <w:rPr>
                <w:sz w:val="2"/>
                <w:highlight w:val="black"/>
              </w:rPr>
              <w:t>redacted content</w:t>
            </w:r>
            <w:r w:rsidR="008B5079" w:rsidRPr="00186215">
              <w:rPr>
                <w:vertAlign w:val="superscript"/>
              </w:rPr>
              <w:t>1</w:t>
            </w:r>
          </w:p>
        </w:tc>
        <w:tc>
          <w:tcPr>
            <w:tcW w:w="611" w:type="pct"/>
          </w:tcPr>
          <w:p w14:paraId="2D7847AA" w14:textId="683EC1F7" w:rsidR="0011342D" w:rsidRPr="00186215" w:rsidRDefault="0009628D" w:rsidP="00333C21">
            <w:pPr>
              <w:pStyle w:val="TableText0"/>
              <w:jc w:val="center"/>
              <w:rPr>
                <w:highlight w:val="lightGray"/>
              </w:rPr>
            </w:pPr>
            <w:r w:rsidRPr="0009628D">
              <w:rPr>
                <w:sz w:val="2"/>
                <w:highlight w:val="black"/>
              </w:rPr>
              <w:t>redacted content</w:t>
            </w:r>
            <w:r w:rsidR="008B5079" w:rsidRPr="00186215">
              <w:rPr>
                <w:vertAlign w:val="superscript"/>
              </w:rPr>
              <w:t>1</w:t>
            </w:r>
          </w:p>
        </w:tc>
        <w:tc>
          <w:tcPr>
            <w:tcW w:w="611" w:type="pct"/>
          </w:tcPr>
          <w:p w14:paraId="7A620378" w14:textId="14D28B09" w:rsidR="0011342D" w:rsidRPr="00186215" w:rsidRDefault="0009628D" w:rsidP="00333C21">
            <w:pPr>
              <w:pStyle w:val="TableText0"/>
              <w:jc w:val="center"/>
              <w:rPr>
                <w:highlight w:val="lightGray"/>
              </w:rPr>
            </w:pPr>
            <w:r w:rsidRPr="0009628D">
              <w:rPr>
                <w:sz w:val="2"/>
                <w:highlight w:val="black"/>
              </w:rPr>
              <w:t>redacted content</w:t>
            </w:r>
            <w:r w:rsidR="008B5079" w:rsidRPr="00186215">
              <w:rPr>
                <w:vertAlign w:val="superscript"/>
              </w:rPr>
              <w:t>1</w:t>
            </w:r>
          </w:p>
        </w:tc>
        <w:tc>
          <w:tcPr>
            <w:tcW w:w="611" w:type="pct"/>
          </w:tcPr>
          <w:p w14:paraId="1D2C1413" w14:textId="046CEAE4" w:rsidR="0011342D" w:rsidRPr="00186215" w:rsidRDefault="0009628D" w:rsidP="00333C21">
            <w:pPr>
              <w:pStyle w:val="TableText0"/>
              <w:jc w:val="center"/>
              <w:rPr>
                <w:highlight w:val="lightGray"/>
              </w:rPr>
            </w:pPr>
            <w:r w:rsidRPr="0009628D">
              <w:rPr>
                <w:sz w:val="2"/>
                <w:highlight w:val="black"/>
              </w:rPr>
              <w:t>redacted content</w:t>
            </w:r>
            <w:r w:rsidR="008B5079" w:rsidRPr="00186215">
              <w:rPr>
                <w:vertAlign w:val="superscript"/>
              </w:rPr>
              <w:t>1</w:t>
            </w:r>
          </w:p>
        </w:tc>
        <w:tc>
          <w:tcPr>
            <w:tcW w:w="611" w:type="pct"/>
          </w:tcPr>
          <w:p w14:paraId="3F0ACB95" w14:textId="6698762E" w:rsidR="0011342D" w:rsidRPr="00186215" w:rsidRDefault="0009628D" w:rsidP="00333C21">
            <w:pPr>
              <w:pStyle w:val="TableText0"/>
              <w:jc w:val="center"/>
              <w:rPr>
                <w:highlight w:val="lightGray"/>
              </w:rPr>
            </w:pPr>
            <w:r w:rsidRPr="0009628D">
              <w:rPr>
                <w:sz w:val="2"/>
                <w:highlight w:val="black"/>
              </w:rPr>
              <w:t>redacted content</w:t>
            </w:r>
            <w:r w:rsidR="008B5079" w:rsidRPr="00186215">
              <w:rPr>
                <w:vertAlign w:val="superscript"/>
              </w:rPr>
              <w:t>1</w:t>
            </w:r>
          </w:p>
        </w:tc>
        <w:tc>
          <w:tcPr>
            <w:tcW w:w="611" w:type="pct"/>
          </w:tcPr>
          <w:p w14:paraId="1C30F331" w14:textId="0A9EAD7F" w:rsidR="0011342D" w:rsidRPr="00186215" w:rsidRDefault="0009628D" w:rsidP="00333C21">
            <w:pPr>
              <w:pStyle w:val="TableText0"/>
              <w:jc w:val="center"/>
              <w:rPr>
                <w:highlight w:val="lightGray"/>
              </w:rPr>
            </w:pPr>
            <w:r w:rsidRPr="0009628D">
              <w:rPr>
                <w:sz w:val="2"/>
                <w:highlight w:val="black"/>
              </w:rPr>
              <w:t>redacted content</w:t>
            </w:r>
            <w:r w:rsidR="008B5079" w:rsidRPr="00186215">
              <w:rPr>
                <w:vertAlign w:val="superscript"/>
              </w:rPr>
              <w:t>1</w:t>
            </w:r>
          </w:p>
        </w:tc>
      </w:tr>
      <w:tr w:rsidR="0011342D" w:rsidRPr="0098262F" w14:paraId="1E699D47" w14:textId="77777777" w:rsidTr="00407254">
        <w:tc>
          <w:tcPr>
            <w:tcW w:w="5000" w:type="pct"/>
            <w:gridSpan w:val="7"/>
            <w:vAlign w:val="center"/>
          </w:tcPr>
          <w:p w14:paraId="7D0E0884" w14:textId="3AE2755D" w:rsidR="0011342D" w:rsidRPr="0098262F" w:rsidRDefault="0011342D" w:rsidP="00E047B4">
            <w:pPr>
              <w:pStyle w:val="In-tableHeading"/>
            </w:pPr>
            <w:r w:rsidRPr="0098262F">
              <w:t xml:space="preserve">Estimated financial implications </w:t>
            </w:r>
            <w:r w:rsidR="00F621C9">
              <w:t>for</w:t>
            </w:r>
            <w:r>
              <w:t xml:space="preserve"> </w:t>
            </w:r>
            <w:r w:rsidR="00333C21">
              <w:t>TIL 200 mg</w:t>
            </w:r>
          </w:p>
        </w:tc>
      </w:tr>
      <w:tr w:rsidR="0011342D" w:rsidRPr="0098262F" w14:paraId="4B4ACF1A" w14:textId="77777777" w:rsidTr="00407254">
        <w:tc>
          <w:tcPr>
            <w:tcW w:w="1334" w:type="pct"/>
            <w:vAlign w:val="center"/>
          </w:tcPr>
          <w:p w14:paraId="467993BD" w14:textId="618A57F1" w:rsidR="0011342D" w:rsidRPr="0098262F" w:rsidRDefault="0011342D" w:rsidP="0011342D">
            <w:pPr>
              <w:pStyle w:val="TableText0"/>
            </w:pPr>
            <w:r w:rsidRPr="0098262F">
              <w:t>Cost to PBS/RPBS less copayments</w:t>
            </w:r>
          </w:p>
        </w:tc>
        <w:tc>
          <w:tcPr>
            <w:tcW w:w="611" w:type="pct"/>
            <w:vAlign w:val="center"/>
          </w:tcPr>
          <w:p w14:paraId="4125A2B6" w14:textId="3A7736CE" w:rsidR="0011342D" w:rsidRPr="00186215" w:rsidRDefault="00186215" w:rsidP="00333C21">
            <w:pPr>
              <w:pStyle w:val="TableText0"/>
              <w:jc w:val="center"/>
              <w:rPr>
                <w:vertAlign w:val="superscript"/>
              </w:rPr>
            </w:pPr>
            <w:r w:rsidRPr="00186215">
              <w:t>$</w:t>
            </w:r>
            <w:r w:rsidR="0009628D" w:rsidRPr="0009628D">
              <w:rPr>
                <w:sz w:val="2"/>
                <w:highlight w:val="black"/>
              </w:rPr>
              <w:t>redacted content</w:t>
            </w:r>
            <w:r w:rsidRPr="00186215">
              <w:rPr>
                <w:vertAlign w:val="superscript"/>
              </w:rPr>
              <w:t>2</w:t>
            </w:r>
          </w:p>
        </w:tc>
        <w:tc>
          <w:tcPr>
            <w:tcW w:w="611" w:type="pct"/>
            <w:vAlign w:val="center"/>
          </w:tcPr>
          <w:p w14:paraId="5BDFECEB" w14:textId="2B6C7502"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3890D42E" w14:textId="56898932"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2728B643" w14:textId="288E8D74"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5FE5021A" w14:textId="36F640E5"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6F8E9082" w14:textId="3183D40F"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r>
      <w:tr w:rsidR="0011342D" w:rsidRPr="0098262F" w14:paraId="344AC0E2" w14:textId="77777777" w:rsidTr="00407254">
        <w:tc>
          <w:tcPr>
            <w:tcW w:w="5000" w:type="pct"/>
            <w:gridSpan w:val="7"/>
            <w:vAlign w:val="center"/>
          </w:tcPr>
          <w:p w14:paraId="0FF7E64D" w14:textId="0249B08A" w:rsidR="0011342D" w:rsidRPr="0098262F" w:rsidRDefault="0011342D" w:rsidP="00E047B4">
            <w:pPr>
              <w:pStyle w:val="In-tableHeading"/>
            </w:pPr>
            <w:r w:rsidRPr="0098262F">
              <w:t xml:space="preserve">Estimated financial implications for </w:t>
            </w:r>
            <w:r w:rsidR="00333C21">
              <w:t xml:space="preserve">TIL </w:t>
            </w:r>
            <w:r>
              <w:t>100mg</w:t>
            </w:r>
          </w:p>
        </w:tc>
      </w:tr>
      <w:tr w:rsidR="0011342D" w:rsidRPr="0098262F" w14:paraId="0CE077D9" w14:textId="77777777" w:rsidTr="00407254">
        <w:tc>
          <w:tcPr>
            <w:tcW w:w="1334" w:type="pct"/>
            <w:vAlign w:val="center"/>
          </w:tcPr>
          <w:p w14:paraId="40F6A2C5" w14:textId="6EB727DF" w:rsidR="0011342D" w:rsidRPr="0098262F" w:rsidRDefault="0011342D" w:rsidP="0011342D">
            <w:pPr>
              <w:pStyle w:val="TableText0"/>
            </w:pPr>
            <w:r w:rsidRPr="0098262F">
              <w:t xml:space="preserve">Cost </w:t>
            </w:r>
            <w:r w:rsidR="00333C21">
              <w:t xml:space="preserve">offsets </w:t>
            </w:r>
            <w:r w:rsidRPr="0098262F">
              <w:t>to PBS/RPBS less copayments</w:t>
            </w:r>
          </w:p>
        </w:tc>
        <w:tc>
          <w:tcPr>
            <w:tcW w:w="611" w:type="pct"/>
            <w:vAlign w:val="center"/>
          </w:tcPr>
          <w:p w14:paraId="50CF2446" w14:textId="0DDF2B17"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35AF80ED" w14:textId="150C4830"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28F1C25D" w14:textId="354D7BD6"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5DBA4173" w14:textId="75D330A1"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4D6DC68C" w14:textId="35714165"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0766C6AC" w14:textId="2EE75935"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r>
      <w:tr w:rsidR="0011342D" w:rsidRPr="0098262F" w14:paraId="4FA07BD8" w14:textId="77777777" w:rsidTr="00407254">
        <w:tc>
          <w:tcPr>
            <w:tcW w:w="5000" w:type="pct"/>
            <w:gridSpan w:val="7"/>
            <w:vAlign w:val="center"/>
          </w:tcPr>
          <w:p w14:paraId="1A627EA0" w14:textId="00A8525C" w:rsidR="0011342D" w:rsidRPr="0098262F" w:rsidRDefault="0011342D" w:rsidP="00E047B4">
            <w:pPr>
              <w:pStyle w:val="In-tableHeading"/>
            </w:pPr>
            <w:r w:rsidRPr="0098262F">
              <w:t>Net financial implications</w:t>
            </w:r>
            <w:r w:rsidRPr="0098262F">
              <w:rPr>
                <w:color w:val="4BACC6" w:themeColor="accent5"/>
              </w:rPr>
              <w:t xml:space="preserve"> </w:t>
            </w:r>
          </w:p>
        </w:tc>
      </w:tr>
      <w:tr w:rsidR="0011342D" w:rsidRPr="0098262F" w14:paraId="3F33D4C6" w14:textId="77777777" w:rsidTr="00407254">
        <w:tc>
          <w:tcPr>
            <w:tcW w:w="1334" w:type="pct"/>
            <w:vAlign w:val="center"/>
          </w:tcPr>
          <w:p w14:paraId="5ABBDE64" w14:textId="77777777" w:rsidR="0011342D" w:rsidRPr="0098262F" w:rsidRDefault="0011342D" w:rsidP="0011342D">
            <w:pPr>
              <w:pStyle w:val="TableText0"/>
            </w:pPr>
            <w:r w:rsidRPr="0098262F">
              <w:t>Net cost to PBS/RPBS</w:t>
            </w:r>
          </w:p>
        </w:tc>
        <w:tc>
          <w:tcPr>
            <w:tcW w:w="611" w:type="pct"/>
            <w:vAlign w:val="center"/>
          </w:tcPr>
          <w:p w14:paraId="744F82C2" w14:textId="0D008294"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295843EA" w14:textId="37FAE606"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3A32302A" w14:textId="4192BBEC"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326E9207" w14:textId="78DB29A8"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56E4D70E" w14:textId="6BC3907D"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c>
          <w:tcPr>
            <w:tcW w:w="611" w:type="pct"/>
            <w:vAlign w:val="center"/>
          </w:tcPr>
          <w:p w14:paraId="241B1CFD" w14:textId="1746CEDC" w:rsidR="0011342D" w:rsidRPr="00186215" w:rsidRDefault="00186215" w:rsidP="00333C21">
            <w:pPr>
              <w:pStyle w:val="TableText0"/>
              <w:jc w:val="center"/>
              <w:rPr>
                <w:highlight w:val="lightGray"/>
              </w:rPr>
            </w:pPr>
            <w:r w:rsidRPr="00186215">
              <w:t>$</w:t>
            </w:r>
            <w:r w:rsidR="0009628D" w:rsidRPr="0009628D">
              <w:rPr>
                <w:sz w:val="2"/>
                <w:highlight w:val="black"/>
              </w:rPr>
              <w:t>redacted content</w:t>
            </w:r>
            <w:r w:rsidRPr="00186215">
              <w:rPr>
                <w:vertAlign w:val="superscript"/>
              </w:rPr>
              <w:t>2</w:t>
            </w:r>
          </w:p>
        </w:tc>
      </w:tr>
    </w:tbl>
    <w:p w14:paraId="484CF5B6" w14:textId="6E37ECBD" w:rsidR="00620C25" w:rsidRDefault="00620C25" w:rsidP="00620C25">
      <w:pPr>
        <w:pStyle w:val="FooterTableFigure"/>
      </w:pPr>
      <w:r w:rsidRPr="0098262F">
        <w:t>Source: Table</w:t>
      </w:r>
      <w:r w:rsidR="00F64417">
        <w:t xml:space="preserve"> 4.3.6, p25 of the submission.</w:t>
      </w:r>
    </w:p>
    <w:p w14:paraId="0A616C49" w14:textId="77777777" w:rsidR="00795D5D" w:rsidRDefault="00F621C9" w:rsidP="009433A9">
      <w:pPr>
        <w:pStyle w:val="FooterTableFigure"/>
      </w:pPr>
      <w:r>
        <w:t>TIL = tildrakizumab</w:t>
      </w:r>
    </w:p>
    <w:p w14:paraId="4DE0DA4B" w14:textId="2F4D20A7" w:rsidR="00186215" w:rsidRDefault="009433A9" w:rsidP="00186215">
      <w:pPr>
        <w:pStyle w:val="FooterTableFigure"/>
        <w:rPr>
          <w:i/>
          <w:szCs w:val="18"/>
        </w:rPr>
      </w:pPr>
      <w:r w:rsidRPr="009433A9">
        <w:rPr>
          <w:i/>
          <w:szCs w:val="18"/>
        </w:rPr>
        <w:t xml:space="preserve">The redacted values correspond to the following ranges: </w:t>
      </w:r>
      <w:r w:rsidRPr="009433A9">
        <w:rPr>
          <w:i/>
          <w:szCs w:val="18"/>
          <w:vertAlign w:val="superscript"/>
        </w:rPr>
        <w:t>1</w:t>
      </w:r>
      <w:r w:rsidRPr="009433A9">
        <w:rPr>
          <w:i/>
          <w:szCs w:val="18"/>
        </w:rPr>
        <w:t xml:space="preserve"> </w:t>
      </w:r>
      <w:r w:rsidR="008B5079" w:rsidRPr="008B5079">
        <w:rPr>
          <w:i/>
          <w:szCs w:val="18"/>
        </w:rPr>
        <w:t>500 to &lt; 5,000</w:t>
      </w:r>
    </w:p>
    <w:p w14:paraId="59ACB3DD" w14:textId="3BC69F7A" w:rsidR="00186215" w:rsidRPr="009433A9" w:rsidRDefault="00186215" w:rsidP="00186215">
      <w:pPr>
        <w:pStyle w:val="FooterTableFigure"/>
        <w:rPr>
          <w:i/>
          <w:szCs w:val="18"/>
        </w:rPr>
      </w:pPr>
      <w:r>
        <w:rPr>
          <w:i/>
          <w:szCs w:val="18"/>
          <w:vertAlign w:val="superscript"/>
        </w:rPr>
        <w:t xml:space="preserve">2 </w:t>
      </w:r>
      <w:r w:rsidRPr="00186215">
        <w:rPr>
          <w:i/>
          <w:szCs w:val="18"/>
        </w:rPr>
        <w:t>$0 to &lt; $10 million</w:t>
      </w:r>
    </w:p>
    <w:p w14:paraId="33DF5641" w14:textId="77777777" w:rsidR="00EE59D0" w:rsidRPr="0098262F" w:rsidRDefault="00EE59D0" w:rsidP="00620C25">
      <w:pPr>
        <w:pStyle w:val="FooterTableFigure"/>
        <w:rPr>
          <w:rStyle w:val="CommentReference"/>
        </w:rPr>
      </w:pPr>
    </w:p>
    <w:p w14:paraId="75586731" w14:textId="027460A6" w:rsidR="000902D9" w:rsidRPr="0098262F" w:rsidRDefault="000902D9" w:rsidP="00D244B6">
      <w:pPr>
        <w:pStyle w:val="3-BodyText"/>
      </w:pPr>
      <w:r w:rsidRPr="0098262F">
        <w:t xml:space="preserve">The total cost to the PBS/RPBS of listing </w:t>
      </w:r>
      <w:r w:rsidR="005200E9">
        <w:t>TIL 200 mg</w:t>
      </w:r>
      <w:r w:rsidRPr="0098262F">
        <w:t xml:space="preserve"> was estimated </w:t>
      </w:r>
      <w:r w:rsidR="00A05C32" w:rsidRPr="0098262F">
        <w:t>to be</w:t>
      </w:r>
      <w:r w:rsidRPr="0098262F">
        <w:t xml:space="preserve"> </w:t>
      </w:r>
      <w:r w:rsidR="00FB652E">
        <w:t>$</w:t>
      </w:r>
      <w:r w:rsidR="00450359" w:rsidRPr="00450359">
        <w:t>0 to &lt; $10 million</w:t>
      </w:r>
      <w:r w:rsidR="00450359">
        <w:t xml:space="preserve"> </w:t>
      </w:r>
      <w:r w:rsidRPr="0098262F">
        <w:t xml:space="preserve">in Year 6, </w:t>
      </w:r>
      <w:r w:rsidR="0011342D">
        <w:t xml:space="preserve">but with a net cost of </w:t>
      </w:r>
      <w:r w:rsidR="002E668A">
        <w:t>$</w:t>
      </w:r>
      <w:r w:rsidR="0011342D">
        <w:t xml:space="preserve">0 over the first 6 years of listing. </w:t>
      </w:r>
    </w:p>
    <w:p w14:paraId="7973017B" w14:textId="09FFF650" w:rsidR="00D43BDF" w:rsidRPr="00D43BDF" w:rsidRDefault="004D0B63" w:rsidP="00D43BDF">
      <w:pPr>
        <w:pStyle w:val="3-BodyText"/>
        <w:rPr>
          <w:i/>
          <w:iCs/>
          <w:color w:val="0066FF"/>
        </w:rPr>
      </w:pPr>
      <w:r>
        <w:lastRenderedPageBreak/>
        <w:t xml:space="preserve">The estimates </w:t>
      </w:r>
      <w:proofErr w:type="gramStart"/>
      <w:r>
        <w:t>are based on the assumption</w:t>
      </w:r>
      <w:proofErr w:type="gramEnd"/>
      <w:r>
        <w:t xml:space="preserve"> that there will be simple switching</w:t>
      </w:r>
      <w:r w:rsidR="007E4EFF">
        <w:t xml:space="preserve"> of patients from</w:t>
      </w:r>
      <w:r>
        <w:t xml:space="preserve"> the </w:t>
      </w:r>
      <w:r w:rsidR="002E668A">
        <w:t xml:space="preserve">TIL </w:t>
      </w:r>
      <w:r>
        <w:t>100</w:t>
      </w:r>
      <w:r w:rsidR="00407254">
        <w:t xml:space="preserve"> </w:t>
      </w:r>
      <w:r>
        <w:t xml:space="preserve">mg to </w:t>
      </w:r>
      <w:r w:rsidR="002E668A">
        <w:t xml:space="preserve">TIL </w:t>
      </w:r>
      <w:r>
        <w:t>200 mg dose.</w:t>
      </w:r>
    </w:p>
    <w:p w14:paraId="494A7571" w14:textId="25E0F54D" w:rsidR="004E7574" w:rsidRPr="00121107" w:rsidRDefault="00D43BDF" w:rsidP="00A870D2">
      <w:pPr>
        <w:pStyle w:val="3-BodyText"/>
        <w:rPr>
          <w:i/>
          <w:color w:val="0066FF"/>
        </w:rPr>
      </w:pPr>
      <w:r w:rsidRPr="00FB652E">
        <w:t xml:space="preserve">The submission requested a Special Pricing Arrangement </w:t>
      </w:r>
      <w:r>
        <w:t xml:space="preserve">(SPA) </w:t>
      </w:r>
      <w:r w:rsidRPr="00FB652E">
        <w:t>in line with the existing SPA for the 100</w:t>
      </w:r>
      <w:r>
        <w:t xml:space="preserve"> </w:t>
      </w:r>
      <w:r w:rsidRPr="00FB652E">
        <w:t xml:space="preserve">mg pack. The requested effective price </w:t>
      </w:r>
      <w:r>
        <w:t xml:space="preserve">for TIL 200 mg (i.e. 2 x 100 mg injections) </w:t>
      </w:r>
      <w:r w:rsidRPr="00FB652E">
        <w:t>is the same as the current effective price</w:t>
      </w:r>
      <w:r>
        <w:t xml:space="preserve"> for TIL 100 mg (i.e. 1 x 100 mg injection).</w:t>
      </w:r>
    </w:p>
    <w:p w14:paraId="33DFC096" w14:textId="76E940EE" w:rsidR="00121107" w:rsidRPr="00121107" w:rsidRDefault="00121107" w:rsidP="00121107">
      <w:pPr>
        <w:pStyle w:val="3-BodyText"/>
        <w:numPr>
          <w:ilvl w:val="0"/>
          <w:numId w:val="0"/>
        </w:numPr>
        <w:ind w:left="720"/>
        <w:rPr>
          <w:i/>
          <w:iCs/>
          <w:color w:val="0066FF"/>
        </w:rPr>
      </w:pPr>
      <w:r w:rsidRPr="00121107">
        <w:rPr>
          <w:i/>
          <w:iCs/>
        </w:rPr>
        <w:t>For more detail on PBAC’s view, see section 7 PBAC outcome.</w:t>
      </w:r>
    </w:p>
    <w:p w14:paraId="5B6BE700" w14:textId="77777777" w:rsidR="00861393" w:rsidRPr="006D74E6" w:rsidRDefault="00861393" w:rsidP="00861393">
      <w:pPr>
        <w:pStyle w:val="2-SectionHeading"/>
        <w:numPr>
          <w:ilvl w:val="0"/>
          <w:numId w:val="1"/>
        </w:numPr>
      </w:pPr>
      <w:r w:rsidRPr="006D74E6">
        <w:t>PBAC Outcome</w:t>
      </w:r>
    </w:p>
    <w:p w14:paraId="5F6D644E" w14:textId="18950B05" w:rsidR="008235C0" w:rsidRPr="006D74E6" w:rsidRDefault="0018212E">
      <w:pPr>
        <w:pStyle w:val="3-BodyText"/>
      </w:pPr>
      <w:r w:rsidRPr="006D74E6">
        <w:t xml:space="preserve">The PBAC recommended the listing of </w:t>
      </w:r>
      <w:r w:rsidR="00D87756" w:rsidRPr="006D74E6">
        <w:t xml:space="preserve">tildrakizumab </w:t>
      </w:r>
      <w:r w:rsidR="003C4DA2" w:rsidRPr="006D74E6">
        <w:t xml:space="preserve">(TIL) </w:t>
      </w:r>
      <w:r w:rsidR="000041DE" w:rsidRPr="006D74E6">
        <w:t>200 mg (</w:t>
      </w:r>
      <w:r w:rsidR="00D87756" w:rsidRPr="006D74E6">
        <w:t>100 mg/mL injection, 2 x 1 mL syringe</w:t>
      </w:r>
      <w:r w:rsidR="000041DE" w:rsidRPr="006D74E6">
        <w:t>)</w:t>
      </w:r>
      <w:r w:rsidR="00D87756" w:rsidRPr="006D74E6">
        <w:t xml:space="preserve"> for the treatme</w:t>
      </w:r>
      <w:r w:rsidR="0081344D" w:rsidRPr="006D74E6">
        <w:t>nt of severe chronic plaque psoriasis</w:t>
      </w:r>
      <w:r w:rsidR="00097CB0" w:rsidRPr="006D74E6">
        <w:t xml:space="preserve"> for continuing treatment only</w:t>
      </w:r>
      <w:r w:rsidR="0081344D" w:rsidRPr="006D74E6">
        <w:t>.</w:t>
      </w:r>
      <w:r w:rsidR="003C4DA2" w:rsidRPr="006D74E6">
        <w:t xml:space="preserve"> The PBAC considered that TIL 200 mg was non</w:t>
      </w:r>
      <w:r w:rsidR="005F1191">
        <w:noBreakHyphen/>
      </w:r>
      <w:r w:rsidR="003C4DA2" w:rsidRPr="006D74E6">
        <w:t xml:space="preserve">inferior compared to TIL 100 mg in terms of efficacy and safety. </w:t>
      </w:r>
      <w:r w:rsidR="00AA0FCF" w:rsidRPr="006D74E6">
        <w:t>The PBAC considered that the cost minimisation approach presented in the submission was reasonable and noted that the listing of TIL 200 mg on the PBS would be cost neutral</w:t>
      </w:r>
      <w:r w:rsidR="00CB5E28" w:rsidRPr="006D74E6">
        <w:t xml:space="preserve">. </w:t>
      </w:r>
    </w:p>
    <w:p w14:paraId="2FB7332C" w14:textId="7C760BB3" w:rsidR="00924B83" w:rsidRPr="006D74E6" w:rsidRDefault="00924B83">
      <w:pPr>
        <w:pStyle w:val="3-BodyText"/>
      </w:pPr>
      <w:r w:rsidRPr="006D74E6">
        <w:t xml:space="preserve">The PBAC </w:t>
      </w:r>
      <w:r w:rsidR="0012250C" w:rsidRPr="006D74E6">
        <w:t xml:space="preserve">considered that the </w:t>
      </w:r>
      <w:r w:rsidR="00097CB0" w:rsidRPr="006D74E6">
        <w:t>nominated comparator, TIL 100 mg, was reasonable</w:t>
      </w:r>
      <w:r w:rsidR="00545769" w:rsidRPr="006D74E6">
        <w:t>.</w:t>
      </w:r>
      <w:r w:rsidR="0012250C" w:rsidRPr="006D74E6">
        <w:t xml:space="preserve"> </w:t>
      </w:r>
    </w:p>
    <w:p w14:paraId="26A631FE" w14:textId="5B53C20F" w:rsidR="00EB3027" w:rsidRPr="00924B83" w:rsidRDefault="00EB3027">
      <w:pPr>
        <w:pStyle w:val="3-BodyText"/>
      </w:pPr>
      <w:r w:rsidRPr="006D74E6">
        <w:t>The PBAC</w:t>
      </w:r>
      <w:r>
        <w:t xml:space="preserve"> noted that the submission was based on </w:t>
      </w:r>
      <w:r w:rsidR="000A200B">
        <w:t xml:space="preserve">three randomised controlled trials, </w:t>
      </w:r>
      <w:proofErr w:type="spellStart"/>
      <w:r w:rsidR="000A200B">
        <w:t>reSURFACE</w:t>
      </w:r>
      <w:proofErr w:type="spellEnd"/>
      <w:r w:rsidR="000A200B">
        <w:t xml:space="preserve"> 1, </w:t>
      </w:r>
      <w:proofErr w:type="spellStart"/>
      <w:r w:rsidR="000A200B">
        <w:t>reSURFACE</w:t>
      </w:r>
      <w:proofErr w:type="spellEnd"/>
      <w:r w:rsidR="000A200B">
        <w:t xml:space="preserve"> 2 and </w:t>
      </w:r>
      <w:r w:rsidR="00D10929">
        <w:t>a Phase IIb trial</w:t>
      </w:r>
      <w:r w:rsidR="007569FB">
        <w:t>, all of which compared TIL 200 mg with TIL 100 mg and placebo from initiation</w:t>
      </w:r>
      <w:r w:rsidR="0018681D">
        <w:t>.</w:t>
      </w:r>
    </w:p>
    <w:p w14:paraId="68F5F7F3" w14:textId="7B4540FD" w:rsidR="004362F9" w:rsidRPr="004362F9" w:rsidRDefault="004C6227" w:rsidP="002E780F">
      <w:pPr>
        <w:pStyle w:val="3-BodyText"/>
      </w:pPr>
      <w:r w:rsidRPr="00E83000">
        <w:rPr>
          <w:color w:val="000000" w:themeColor="text1"/>
        </w:rPr>
        <w:t xml:space="preserve">The PBAC noted that there was no significant difference in comparative effectiveness between </w:t>
      </w:r>
      <w:r>
        <w:rPr>
          <w:color w:val="000000" w:themeColor="text1"/>
        </w:rPr>
        <w:t xml:space="preserve">TIL </w:t>
      </w:r>
      <w:r w:rsidR="00DF1FB5">
        <w:rPr>
          <w:color w:val="000000" w:themeColor="text1"/>
        </w:rPr>
        <w:t>100 mg and TIL 200 mg</w:t>
      </w:r>
      <w:r w:rsidRPr="00E83000">
        <w:rPr>
          <w:color w:val="000000" w:themeColor="text1"/>
        </w:rPr>
        <w:t xml:space="preserve">, measured in Psoriasis Activity and Severity Index (PASI) scores, </w:t>
      </w:r>
      <w:r w:rsidR="00DF1FB5">
        <w:rPr>
          <w:color w:val="000000" w:themeColor="text1"/>
        </w:rPr>
        <w:t xml:space="preserve">at </w:t>
      </w:r>
      <w:r w:rsidRPr="00E83000">
        <w:rPr>
          <w:color w:val="000000" w:themeColor="text1"/>
        </w:rPr>
        <w:t>12/16 weeks after initiation of treatment</w:t>
      </w:r>
      <w:r w:rsidR="00DF1FB5">
        <w:rPr>
          <w:color w:val="000000" w:themeColor="text1"/>
        </w:rPr>
        <w:t xml:space="preserve">. </w:t>
      </w:r>
      <w:r w:rsidR="00465A2D">
        <w:t xml:space="preserve">The PBAC noted that data provided in the submission </w:t>
      </w:r>
      <w:r w:rsidR="00BE32EB">
        <w:t xml:space="preserve">did </w:t>
      </w:r>
      <w:r w:rsidR="00465A2D">
        <w:t xml:space="preserve">not </w:t>
      </w:r>
      <w:r w:rsidR="0094431C">
        <w:t xml:space="preserve">demonstrate that an increase of the continuing dose from TIL 100 mg to TIL 200 mg </w:t>
      </w:r>
      <w:r w:rsidR="00067D99">
        <w:t>in patients is associated with improved outcomes</w:t>
      </w:r>
      <w:r w:rsidR="00221516" w:rsidRPr="00221516">
        <w:rPr>
          <w:color w:val="000000" w:themeColor="text1"/>
        </w:rPr>
        <w:t>.</w:t>
      </w:r>
      <w:r w:rsidR="00C164E3">
        <w:rPr>
          <w:color w:val="000000" w:themeColor="text1"/>
        </w:rPr>
        <w:t xml:space="preserve"> </w:t>
      </w:r>
      <w:r w:rsidR="00067D99">
        <w:rPr>
          <w:color w:val="000000" w:themeColor="text1"/>
        </w:rPr>
        <w:t>T</w:t>
      </w:r>
      <w:r w:rsidR="00C164E3">
        <w:rPr>
          <w:color w:val="000000" w:themeColor="text1"/>
        </w:rPr>
        <w:t>he PBAC consi</w:t>
      </w:r>
      <w:r w:rsidR="00C469B8">
        <w:rPr>
          <w:color w:val="000000" w:themeColor="text1"/>
        </w:rPr>
        <w:t>d</w:t>
      </w:r>
      <w:r w:rsidR="00C164E3">
        <w:rPr>
          <w:color w:val="000000" w:themeColor="text1"/>
        </w:rPr>
        <w:t>ered</w:t>
      </w:r>
      <w:r w:rsidR="00F76FAF">
        <w:rPr>
          <w:color w:val="000000" w:themeColor="text1"/>
        </w:rPr>
        <w:t xml:space="preserve"> that TIL </w:t>
      </w:r>
      <w:r w:rsidR="003D5FD4">
        <w:rPr>
          <w:color w:val="000000" w:themeColor="text1"/>
        </w:rPr>
        <w:t>200 mg was non</w:t>
      </w:r>
      <w:r w:rsidR="005F1191">
        <w:rPr>
          <w:color w:val="000000" w:themeColor="text1"/>
        </w:rPr>
        <w:noBreakHyphen/>
      </w:r>
      <w:r w:rsidR="003D5FD4">
        <w:rPr>
          <w:color w:val="000000" w:themeColor="text1"/>
        </w:rPr>
        <w:t>inferior to TIL 100 mg in the continuing treatment phase.</w:t>
      </w:r>
      <w:r w:rsidR="00363ADF">
        <w:rPr>
          <w:color w:val="000000" w:themeColor="text1"/>
        </w:rPr>
        <w:t xml:space="preserve"> </w:t>
      </w:r>
    </w:p>
    <w:p w14:paraId="634C5680" w14:textId="2F0AB127" w:rsidR="00C620BC" w:rsidRDefault="000C2D9C" w:rsidP="002E780F">
      <w:pPr>
        <w:pStyle w:val="3-BodyText"/>
      </w:pPr>
      <w:r>
        <w:rPr>
          <w:color w:val="000000" w:themeColor="text1"/>
        </w:rPr>
        <w:t>T</w:t>
      </w:r>
      <w:r w:rsidR="00F8651E">
        <w:t xml:space="preserve">he PBAC considered that treating clinicians, at their discretion, may escalate </w:t>
      </w:r>
      <w:r>
        <w:t xml:space="preserve">the dose from TIL 100 mg to TIL 200 mg in any </w:t>
      </w:r>
      <w:r w:rsidR="00F8651E">
        <w:t xml:space="preserve">patient </w:t>
      </w:r>
      <w:r w:rsidR="00067D99">
        <w:t xml:space="preserve">who has </w:t>
      </w:r>
      <w:r w:rsidR="004B6D2D">
        <w:t>achieved a 75% PASI</w:t>
      </w:r>
      <w:r w:rsidR="003F17AA">
        <w:t xml:space="preserve"> response</w:t>
      </w:r>
      <w:r w:rsidR="00067D99">
        <w:t xml:space="preserve"> </w:t>
      </w:r>
      <w:r w:rsidR="00CC5B47">
        <w:t>at the</w:t>
      </w:r>
      <w:r w:rsidR="00067D99">
        <w:t xml:space="preserve"> </w:t>
      </w:r>
      <w:r>
        <w:t>initial</w:t>
      </w:r>
      <w:r w:rsidR="003F17AA">
        <w:t xml:space="preserve"> or continuing </w:t>
      </w:r>
      <w:r w:rsidR="003B2C21">
        <w:t>phase</w:t>
      </w:r>
      <w:r w:rsidR="00AD37FD">
        <w:t>. The PBAC considered that these patients</w:t>
      </w:r>
      <w:r>
        <w:t xml:space="preserve"> may achieve a deeper response with a</w:t>
      </w:r>
      <w:r w:rsidR="00F8651E">
        <w:t xml:space="preserve"> higher dosage</w:t>
      </w:r>
      <w:r w:rsidR="00AA011F">
        <w:t>, noting that the magnitude of benefit may be modest</w:t>
      </w:r>
      <w:r w:rsidR="00F8651E">
        <w:t>.</w:t>
      </w:r>
    </w:p>
    <w:p w14:paraId="195CB0FE" w14:textId="0A96E516" w:rsidR="00DB4970" w:rsidRDefault="00E332A4" w:rsidP="002E780F">
      <w:pPr>
        <w:pStyle w:val="3-BodyText"/>
      </w:pPr>
      <w:r>
        <w:t xml:space="preserve">The PBAC also stated that for patients to </w:t>
      </w:r>
      <w:proofErr w:type="gramStart"/>
      <w:r>
        <w:t>continue</w:t>
      </w:r>
      <w:r w:rsidR="0062323A">
        <w:t xml:space="preserve"> on</w:t>
      </w:r>
      <w:proofErr w:type="gramEnd"/>
      <w:r w:rsidR="0062323A">
        <w:t xml:space="preserve"> the</w:t>
      </w:r>
      <w:r>
        <w:t xml:space="preserve"> TIL 200 mg, they must have demonstrated an adequate response at </w:t>
      </w:r>
      <w:r w:rsidR="00486F7F">
        <w:t>the</w:t>
      </w:r>
      <w:r>
        <w:t xml:space="preserve"> TIL 200 mg</w:t>
      </w:r>
      <w:r w:rsidR="0062323A">
        <w:t xml:space="preserve"> continuing phase</w:t>
      </w:r>
      <w:r>
        <w:t xml:space="preserve">. As such, the PBS restrictions </w:t>
      </w:r>
      <w:r w:rsidR="0062323A">
        <w:t>include</w:t>
      </w:r>
      <w:r>
        <w:t xml:space="preserve"> the following clinical criteria. </w:t>
      </w:r>
    </w:p>
    <w:p w14:paraId="113C5120" w14:textId="2EAE9976" w:rsidR="00EB085B" w:rsidRDefault="00EB085B" w:rsidP="00EB085B">
      <w:pPr>
        <w:pStyle w:val="3-BodyText"/>
        <w:numPr>
          <w:ilvl w:val="0"/>
          <w:numId w:val="49"/>
        </w:numPr>
      </w:pPr>
      <w:r w:rsidRPr="00EB085B">
        <w:t>Patient must be both: (</w:t>
      </w:r>
      <w:proofErr w:type="spellStart"/>
      <w:r w:rsidRPr="00EB085B">
        <w:t>i</w:t>
      </w:r>
      <w:proofErr w:type="spellEnd"/>
      <w:r w:rsidRPr="00EB085B">
        <w:t>) experienced an adequate response following the most recent course of treatment at the 100 mg dosage regimen and (iii) the treating physician determined that a more satisfactory response can be achieved at the 200 mg dosage regimen; or</w:t>
      </w:r>
    </w:p>
    <w:p w14:paraId="439BA1D8" w14:textId="6F100E5B" w:rsidR="00E332A4" w:rsidRDefault="00EB085B" w:rsidP="00013C35">
      <w:pPr>
        <w:pStyle w:val="3-BodyText"/>
        <w:numPr>
          <w:ilvl w:val="0"/>
          <w:numId w:val="49"/>
        </w:numPr>
      </w:pPr>
      <w:r w:rsidRPr="00EB085B">
        <w:t>Patient must have demonstrated an adequate response to the most recent course of treatment with this drug at the 200 mg dosage regimen</w:t>
      </w:r>
    </w:p>
    <w:p w14:paraId="49A080EE" w14:textId="359504BA" w:rsidR="0088474C" w:rsidRDefault="00D116CB" w:rsidP="00D40506">
      <w:pPr>
        <w:pStyle w:val="3-BodyText"/>
      </w:pPr>
      <w:r>
        <w:lastRenderedPageBreak/>
        <w:t>In terms of safety, the PBAC considered that TIL 200 mg was non</w:t>
      </w:r>
      <w:r w:rsidR="005F1191">
        <w:noBreakHyphen/>
      </w:r>
      <w:r>
        <w:t>inferior to TIL 100 mg.</w:t>
      </w:r>
    </w:p>
    <w:p w14:paraId="4D62388D" w14:textId="166605EA" w:rsidR="00D116CB" w:rsidRDefault="00D116CB" w:rsidP="0088474C">
      <w:pPr>
        <w:pStyle w:val="3-BodyText"/>
      </w:pPr>
      <w:r>
        <w:t xml:space="preserve">The PBAC considered that the cost minimisation approach presented in the submission was appropriate. </w:t>
      </w:r>
      <w:r w:rsidR="0088680A">
        <w:t>T</w:t>
      </w:r>
      <w:r w:rsidR="00752474">
        <w:t>he PBAC advised t</w:t>
      </w:r>
      <w:r w:rsidR="00057A94">
        <w:t xml:space="preserve">he </w:t>
      </w:r>
      <w:proofErr w:type="spellStart"/>
      <w:r w:rsidR="00057A94">
        <w:t>equi</w:t>
      </w:r>
      <w:proofErr w:type="spellEnd"/>
      <w:r w:rsidR="005F1191">
        <w:noBreakHyphen/>
      </w:r>
      <w:r w:rsidR="00057A94">
        <w:t xml:space="preserve">effective </w:t>
      </w:r>
      <w:r w:rsidR="00691C24">
        <w:t xml:space="preserve">doses </w:t>
      </w:r>
      <w:r>
        <w:t>were:</w:t>
      </w:r>
      <w:r w:rsidR="00691C24">
        <w:t xml:space="preserve"> </w:t>
      </w:r>
    </w:p>
    <w:p w14:paraId="7365DBD4" w14:textId="20D77297" w:rsidR="00CD4E6F" w:rsidRDefault="00D116CB" w:rsidP="00E44DA7">
      <w:pPr>
        <w:pStyle w:val="3-BodyText"/>
        <w:numPr>
          <w:ilvl w:val="0"/>
          <w:numId w:val="0"/>
        </w:numPr>
        <w:ind w:hanging="11"/>
        <w:jc w:val="center"/>
      </w:pPr>
      <w:r>
        <w:t xml:space="preserve">TIL </w:t>
      </w:r>
      <w:r w:rsidR="00691C24">
        <w:t xml:space="preserve">100 mg = </w:t>
      </w:r>
      <w:r>
        <w:t xml:space="preserve">TIL </w:t>
      </w:r>
      <w:r w:rsidR="00691C24">
        <w:t>200 mg.</w:t>
      </w:r>
    </w:p>
    <w:p w14:paraId="767A2AEB" w14:textId="5F997B91" w:rsidR="00EC23DC" w:rsidRDefault="00EC23DC" w:rsidP="00D40506">
      <w:pPr>
        <w:pStyle w:val="3-BodyText"/>
      </w:pPr>
      <w:r>
        <w:t>The PBAC</w:t>
      </w:r>
      <w:r w:rsidR="0014732A">
        <w:t>,</w:t>
      </w:r>
      <w:r w:rsidR="005F1191">
        <w:t xml:space="preserve"> </w:t>
      </w:r>
      <w:r w:rsidR="0014732A">
        <w:t xml:space="preserve">noting the flat pricing structure for TIL 100 mg and TIL 200 mg, </w:t>
      </w:r>
      <w:r>
        <w:t>considered th</w:t>
      </w:r>
      <w:r w:rsidR="0014732A">
        <w:t>at the addition of TIL 200 mg to the PBS would be cost neutral</w:t>
      </w:r>
      <w:r w:rsidR="0030100E">
        <w:t xml:space="preserve">. </w:t>
      </w:r>
    </w:p>
    <w:p w14:paraId="7B21F7DF" w14:textId="36B85812" w:rsidR="00EA348D" w:rsidRPr="00287FB1" w:rsidRDefault="00EA348D" w:rsidP="00EA348D">
      <w:pPr>
        <w:pStyle w:val="3-BodyText"/>
      </w:pPr>
      <w:r w:rsidRPr="00D121C5">
        <w:rPr>
          <w:lang w:val="en-GB"/>
        </w:rPr>
        <w:t>The PBAC noted that its recommendation was on a cost</w:t>
      </w:r>
      <w:r w:rsidR="005F1191">
        <w:rPr>
          <w:lang w:val="en-GB"/>
        </w:rPr>
        <w:noBreakHyphen/>
      </w:r>
      <w:r w:rsidRPr="00D121C5">
        <w:rPr>
          <w:lang w:val="en-GB"/>
        </w:rPr>
        <w:t>minimisation basis and advised that, because</w:t>
      </w:r>
      <w:r>
        <w:rPr>
          <w:lang w:val="en-GB"/>
        </w:rPr>
        <w:t xml:space="preserve"> tildrakizumab 200 mg</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w:t>
      </w:r>
      <w:r>
        <w:rPr>
          <w:bCs/>
          <w:lang w:val="en-GB"/>
        </w:rPr>
        <w:t xml:space="preserve"> tildrakizumab 100 mg</w:t>
      </w:r>
      <w:r w:rsidRPr="00531A05">
        <w:rPr>
          <w:bCs/>
          <w:lang w:val="en-GB"/>
        </w:rPr>
        <w:t xml:space="preserve">, or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612F246A" w14:textId="77777777" w:rsidR="00EA348D" w:rsidRPr="002D18BD" w:rsidRDefault="00EA348D" w:rsidP="00EA348D">
      <w:pPr>
        <w:pStyle w:val="3-BodyText"/>
      </w:pPr>
      <w:r>
        <w:rPr>
          <w:lang w:val="en-GB"/>
        </w:rPr>
        <w:t>The PBAC noted that this submission is not eligible for an Independent Review as it received a positive recommendation.</w:t>
      </w:r>
    </w:p>
    <w:p w14:paraId="15215CFD" w14:textId="77777777" w:rsidR="001D029F" w:rsidRPr="00AD3286" w:rsidRDefault="001D029F">
      <w:pPr>
        <w:jc w:val="left"/>
      </w:pPr>
    </w:p>
    <w:p w14:paraId="71322DCD" w14:textId="42B94597" w:rsidR="00861393" w:rsidRPr="00AD3286" w:rsidRDefault="00861393">
      <w:pPr>
        <w:jc w:val="left"/>
        <w:rPr>
          <w:b/>
          <w:bCs/>
        </w:rPr>
      </w:pPr>
      <w:r w:rsidRPr="00AD3286">
        <w:rPr>
          <w:b/>
          <w:bCs/>
        </w:rPr>
        <w:t>Outcome:</w:t>
      </w:r>
    </w:p>
    <w:p w14:paraId="1FDB19CC" w14:textId="2C0E8ECF" w:rsidR="00535F85" w:rsidRDefault="00861393">
      <w:pPr>
        <w:jc w:val="left"/>
      </w:pPr>
      <w:r w:rsidRPr="00AD3286">
        <w:t>Recommended</w:t>
      </w:r>
    </w:p>
    <w:p w14:paraId="05DD0EB9" w14:textId="3B31B386" w:rsidR="00081C75" w:rsidRPr="002E28B5" w:rsidRDefault="0045770F" w:rsidP="00081C75">
      <w:pPr>
        <w:pStyle w:val="2-SectionHeading"/>
        <w:numPr>
          <w:ilvl w:val="0"/>
          <w:numId w:val="1"/>
        </w:numPr>
      </w:pPr>
      <w:r w:rsidRPr="00907671">
        <w:t>Recommended listing</w:t>
      </w:r>
    </w:p>
    <w:p w14:paraId="589D5C79" w14:textId="306DEC11" w:rsidR="0045770F" w:rsidRPr="0045770F" w:rsidRDefault="003F69ED" w:rsidP="00081C75">
      <w:pPr>
        <w:rPr>
          <w:rFonts w:cs="Calibri"/>
        </w:rPr>
      </w:pPr>
      <w:r>
        <w:rPr>
          <w:rFonts w:cs="Calibri"/>
        </w:rPr>
        <w:t>Add new medicinal product pack</w:t>
      </w:r>
      <w:r w:rsidR="0045770F" w:rsidRPr="0045770F">
        <w:rPr>
          <w:rFonts w:cs="Calibri"/>
        </w:rPr>
        <w:t xml:space="preserve"> as follows:</w:t>
      </w:r>
    </w:p>
    <w:p w14:paraId="2E7EC8D1" w14:textId="77777777" w:rsidR="0045770F" w:rsidRDefault="0045770F" w:rsidP="00081C75">
      <w:pPr>
        <w:rPr>
          <w:rFonts w:cs="Calibri"/>
          <w:b/>
          <w:bCs/>
        </w:rPr>
      </w:pPr>
    </w:p>
    <w:p w14:paraId="1F6E6D06" w14:textId="14A7D683" w:rsidR="008573C2" w:rsidRPr="00081C75" w:rsidRDefault="00773BE1" w:rsidP="00081C75">
      <w:pPr>
        <w:rPr>
          <w:rFonts w:cs="Calibri"/>
          <w:b/>
          <w:bCs/>
        </w:rPr>
      </w:pPr>
      <w:r w:rsidRPr="00B76BB4">
        <w:rPr>
          <w:rFonts w:cs="Calibri"/>
          <w:b/>
          <w:bCs/>
        </w:rPr>
        <w:t xml:space="preserve">Continuing treatment – Whole body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inuing treatment – Whole body "/>
      </w:tblPr>
      <w:tblGrid>
        <w:gridCol w:w="571"/>
        <w:gridCol w:w="723"/>
        <w:gridCol w:w="2717"/>
        <w:gridCol w:w="826"/>
        <w:gridCol w:w="827"/>
        <w:gridCol w:w="826"/>
        <w:gridCol w:w="827"/>
        <w:gridCol w:w="1865"/>
      </w:tblGrid>
      <w:tr w:rsidR="007433F7" w:rsidRPr="001428E9" w14:paraId="22089097" w14:textId="77777777" w:rsidTr="00795D5D">
        <w:trPr>
          <w:cantSplit/>
          <w:trHeight w:val="20"/>
        </w:trPr>
        <w:tc>
          <w:tcPr>
            <w:tcW w:w="4011" w:type="dxa"/>
            <w:gridSpan w:val="3"/>
            <w:vAlign w:val="center"/>
          </w:tcPr>
          <w:p w14:paraId="3811E73F" w14:textId="77777777" w:rsidR="007433F7" w:rsidRPr="001428E9" w:rsidRDefault="007433F7">
            <w:pPr>
              <w:keepLines/>
              <w:rPr>
                <w:rFonts w:ascii="Arial Narrow" w:hAnsi="Arial Narrow"/>
                <w:b/>
                <w:bCs/>
                <w:sz w:val="20"/>
                <w:szCs w:val="20"/>
              </w:rPr>
            </w:pPr>
            <w:r w:rsidRPr="001428E9">
              <w:rPr>
                <w:rFonts w:ascii="Arial Narrow" w:hAnsi="Arial Narrow"/>
                <w:b/>
                <w:bCs/>
                <w:sz w:val="20"/>
                <w:szCs w:val="20"/>
              </w:rPr>
              <w:t>MEDICINAL PRODUCT</w:t>
            </w:r>
          </w:p>
          <w:p w14:paraId="21E13AAC" w14:textId="77777777" w:rsidR="007433F7" w:rsidRPr="001428E9" w:rsidRDefault="007433F7">
            <w:pPr>
              <w:keepLines/>
              <w:rPr>
                <w:rFonts w:ascii="Arial Narrow" w:hAnsi="Arial Narrow"/>
                <w:b/>
                <w:sz w:val="20"/>
                <w:szCs w:val="20"/>
              </w:rPr>
            </w:pPr>
            <w:r w:rsidRPr="001428E9">
              <w:rPr>
                <w:rFonts w:ascii="Arial Narrow" w:hAnsi="Arial Narrow"/>
                <w:b/>
                <w:bCs/>
                <w:sz w:val="20"/>
                <w:szCs w:val="20"/>
              </w:rPr>
              <w:t>medicinal product pack</w:t>
            </w:r>
          </w:p>
        </w:tc>
        <w:tc>
          <w:tcPr>
            <w:tcW w:w="826" w:type="dxa"/>
            <w:vAlign w:val="center"/>
          </w:tcPr>
          <w:p w14:paraId="5894A9B5" w14:textId="77777777" w:rsidR="007433F7" w:rsidRPr="001428E9" w:rsidRDefault="007433F7">
            <w:pPr>
              <w:keepLines/>
              <w:jc w:val="center"/>
              <w:rPr>
                <w:rFonts w:ascii="Arial Narrow" w:hAnsi="Arial Narrow"/>
                <w:b/>
                <w:sz w:val="20"/>
                <w:szCs w:val="20"/>
              </w:rPr>
            </w:pPr>
            <w:r w:rsidRPr="001428E9">
              <w:rPr>
                <w:rFonts w:ascii="Arial Narrow" w:hAnsi="Arial Narrow"/>
                <w:b/>
                <w:sz w:val="20"/>
                <w:szCs w:val="20"/>
              </w:rPr>
              <w:t>PBS item code</w:t>
            </w:r>
          </w:p>
        </w:tc>
        <w:tc>
          <w:tcPr>
            <w:tcW w:w="827" w:type="dxa"/>
            <w:vAlign w:val="center"/>
          </w:tcPr>
          <w:p w14:paraId="5A3F5AB2" w14:textId="77777777" w:rsidR="007433F7" w:rsidRPr="001428E9" w:rsidRDefault="007433F7">
            <w:pPr>
              <w:keepLines/>
              <w:jc w:val="center"/>
              <w:rPr>
                <w:rFonts w:ascii="Arial Narrow" w:hAnsi="Arial Narrow"/>
                <w:b/>
                <w:sz w:val="20"/>
                <w:szCs w:val="20"/>
              </w:rPr>
            </w:pPr>
            <w:r w:rsidRPr="001428E9">
              <w:rPr>
                <w:rFonts w:ascii="Arial Narrow" w:hAnsi="Arial Narrow"/>
                <w:b/>
                <w:sz w:val="20"/>
                <w:szCs w:val="20"/>
              </w:rPr>
              <w:t>Max. qty packs</w:t>
            </w:r>
          </w:p>
        </w:tc>
        <w:tc>
          <w:tcPr>
            <w:tcW w:w="826" w:type="dxa"/>
            <w:vAlign w:val="center"/>
          </w:tcPr>
          <w:p w14:paraId="4B87459D" w14:textId="77777777" w:rsidR="007433F7" w:rsidRPr="001428E9" w:rsidRDefault="007433F7">
            <w:pPr>
              <w:keepLines/>
              <w:jc w:val="center"/>
              <w:rPr>
                <w:rFonts w:ascii="Arial Narrow" w:hAnsi="Arial Narrow"/>
                <w:b/>
                <w:sz w:val="20"/>
                <w:szCs w:val="20"/>
              </w:rPr>
            </w:pPr>
            <w:r w:rsidRPr="001428E9">
              <w:rPr>
                <w:rFonts w:ascii="Arial Narrow" w:hAnsi="Arial Narrow"/>
                <w:b/>
                <w:sz w:val="20"/>
                <w:szCs w:val="20"/>
              </w:rPr>
              <w:t>Max. qty units</w:t>
            </w:r>
          </w:p>
        </w:tc>
        <w:tc>
          <w:tcPr>
            <w:tcW w:w="827" w:type="dxa"/>
            <w:vAlign w:val="center"/>
          </w:tcPr>
          <w:p w14:paraId="1F8687E8" w14:textId="77777777" w:rsidR="007433F7" w:rsidRPr="001428E9" w:rsidRDefault="007433F7">
            <w:pPr>
              <w:keepLines/>
              <w:jc w:val="center"/>
              <w:rPr>
                <w:rFonts w:ascii="Arial Narrow" w:hAnsi="Arial Narrow"/>
                <w:b/>
                <w:sz w:val="20"/>
                <w:szCs w:val="20"/>
              </w:rPr>
            </w:pPr>
            <w:proofErr w:type="gramStart"/>
            <w:r w:rsidRPr="001428E9">
              <w:rPr>
                <w:rFonts w:ascii="Arial Narrow" w:hAnsi="Arial Narrow"/>
                <w:b/>
                <w:sz w:val="20"/>
                <w:szCs w:val="20"/>
              </w:rPr>
              <w:t>№.of</w:t>
            </w:r>
            <w:proofErr w:type="gramEnd"/>
          </w:p>
          <w:p w14:paraId="07188A07" w14:textId="77777777" w:rsidR="007433F7" w:rsidRPr="001428E9" w:rsidRDefault="007433F7">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865" w:type="dxa"/>
            <w:vAlign w:val="center"/>
          </w:tcPr>
          <w:p w14:paraId="5373F19A" w14:textId="77777777" w:rsidR="007433F7" w:rsidRPr="001428E9" w:rsidRDefault="007433F7">
            <w:pPr>
              <w:keepLines/>
              <w:rPr>
                <w:rFonts w:ascii="Arial Narrow" w:hAnsi="Arial Narrow"/>
                <w:b/>
                <w:sz w:val="20"/>
                <w:szCs w:val="20"/>
                <w:lang w:val="fr-FR"/>
              </w:rPr>
            </w:pPr>
            <w:r w:rsidRPr="001428E9">
              <w:rPr>
                <w:rFonts w:ascii="Arial Narrow" w:hAnsi="Arial Narrow"/>
                <w:b/>
                <w:sz w:val="20"/>
                <w:szCs w:val="20"/>
              </w:rPr>
              <w:t>Available brands</w:t>
            </w:r>
          </w:p>
        </w:tc>
      </w:tr>
      <w:tr w:rsidR="007433F7" w:rsidRPr="001428E9" w14:paraId="3424B7E0" w14:textId="77777777" w:rsidTr="00795D5D">
        <w:trPr>
          <w:cantSplit/>
          <w:trHeight w:val="20"/>
        </w:trPr>
        <w:tc>
          <w:tcPr>
            <w:tcW w:w="9182" w:type="dxa"/>
            <w:gridSpan w:val="8"/>
            <w:vAlign w:val="center"/>
          </w:tcPr>
          <w:p w14:paraId="3D9FBD0F" w14:textId="5A072190" w:rsidR="007433F7" w:rsidRPr="001428E9" w:rsidRDefault="00740B2A">
            <w:pPr>
              <w:keepLines/>
              <w:rPr>
                <w:rFonts w:ascii="Arial Narrow" w:hAnsi="Arial Narrow"/>
                <w:sz w:val="20"/>
                <w:szCs w:val="20"/>
              </w:rPr>
            </w:pPr>
            <w:r>
              <w:rPr>
                <w:rFonts w:ascii="Arial Narrow" w:hAnsi="Arial Narrow"/>
                <w:sz w:val="20"/>
                <w:szCs w:val="20"/>
              </w:rPr>
              <w:t>TILDRAKIZUMAB</w:t>
            </w:r>
          </w:p>
        </w:tc>
      </w:tr>
      <w:tr w:rsidR="009B70FD" w:rsidRPr="001428E9" w14:paraId="4F4E3EAA" w14:textId="77777777" w:rsidTr="00795D5D">
        <w:trPr>
          <w:cantSplit/>
          <w:trHeight w:val="20"/>
        </w:trPr>
        <w:tc>
          <w:tcPr>
            <w:tcW w:w="4011" w:type="dxa"/>
            <w:gridSpan w:val="3"/>
            <w:vAlign w:val="center"/>
          </w:tcPr>
          <w:p w14:paraId="17989F04" w14:textId="7953AB61" w:rsidR="009B70FD" w:rsidRPr="008B6B50" w:rsidRDefault="009B70FD" w:rsidP="009B70FD">
            <w:pPr>
              <w:keepLines/>
              <w:rPr>
                <w:rFonts w:ascii="Arial Narrow" w:hAnsi="Arial Narrow"/>
                <w:i/>
                <w:iCs/>
                <w:color w:val="FF0000"/>
                <w:sz w:val="20"/>
                <w:szCs w:val="20"/>
              </w:rPr>
            </w:pPr>
            <w:r w:rsidRPr="008B6B50">
              <w:rPr>
                <w:rFonts w:ascii="Arial Narrow" w:hAnsi="Arial Narrow"/>
                <w:i/>
                <w:iCs/>
                <w:color w:val="FF0000"/>
                <w:sz w:val="20"/>
                <w:szCs w:val="20"/>
              </w:rPr>
              <w:t xml:space="preserve">tildrakizumab 100 mg/mL injection, </w:t>
            </w:r>
            <w:r w:rsidR="00B06D10">
              <w:rPr>
                <w:rFonts w:ascii="Arial Narrow" w:hAnsi="Arial Narrow"/>
                <w:i/>
                <w:iCs/>
                <w:color w:val="FF0000"/>
                <w:sz w:val="20"/>
                <w:szCs w:val="20"/>
              </w:rPr>
              <w:t xml:space="preserve">2 x </w:t>
            </w:r>
            <w:r w:rsidRPr="008B6B50">
              <w:rPr>
                <w:rFonts w:ascii="Arial Narrow" w:hAnsi="Arial Narrow"/>
                <w:i/>
                <w:iCs/>
                <w:color w:val="FF0000"/>
                <w:sz w:val="20"/>
                <w:szCs w:val="20"/>
              </w:rPr>
              <w:t>1 mL syringe</w:t>
            </w:r>
          </w:p>
        </w:tc>
        <w:tc>
          <w:tcPr>
            <w:tcW w:w="826" w:type="dxa"/>
            <w:vAlign w:val="center"/>
          </w:tcPr>
          <w:p w14:paraId="13A04E5D" w14:textId="77777777" w:rsidR="009B70FD" w:rsidRDefault="009B70FD" w:rsidP="009B70FD">
            <w:pPr>
              <w:keepLines/>
              <w:jc w:val="center"/>
              <w:rPr>
                <w:rFonts w:ascii="Arial Narrow" w:hAnsi="Arial Narrow"/>
                <w:i/>
                <w:iCs/>
                <w:color w:val="FF0000"/>
                <w:sz w:val="20"/>
                <w:szCs w:val="20"/>
              </w:rPr>
            </w:pPr>
            <w:r w:rsidRPr="008B6B50">
              <w:rPr>
                <w:rFonts w:ascii="Arial Narrow" w:hAnsi="Arial Narrow"/>
                <w:i/>
                <w:iCs/>
                <w:color w:val="FF0000"/>
                <w:sz w:val="20"/>
                <w:szCs w:val="20"/>
              </w:rPr>
              <w:t>NEW</w:t>
            </w:r>
          </w:p>
          <w:p w14:paraId="5519207D" w14:textId="5D1B2D04" w:rsidR="00E21126" w:rsidRPr="008B6B50" w:rsidRDefault="00E21126" w:rsidP="009B70FD">
            <w:pPr>
              <w:keepLines/>
              <w:jc w:val="center"/>
              <w:rPr>
                <w:rFonts w:ascii="Arial Narrow" w:hAnsi="Arial Narrow"/>
                <w:i/>
                <w:iCs/>
                <w:color w:val="FF0000"/>
                <w:sz w:val="20"/>
                <w:szCs w:val="20"/>
              </w:rPr>
            </w:pPr>
            <w:r w:rsidRPr="00E21126">
              <w:rPr>
                <w:rFonts w:ascii="Arial Narrow" w:hAnsi="Arial Narrow"/>
                <w:i/>
                <w:iCs/>
                <w:color w:val="FF0000"/>
                <w:sz w:val="16"/>
                <w:szCs w:val="16"/>
              </w:rPr>
              <w:t>MP</w:t>
            </w:r>
          </w:p>
        </w:tc>
        <w:tc>
          <w:tcPr>
            <w:tcW w:w="827" w:type="dxa"/>
            <w:vAlign w:val="center"/>
          </w:tcPr>
          <w:p w14:paraId="4000328D" w14:textId="61ADDD64" w:rsidR="009B70FD" w:rsidRPr="008B6B50" w:rsidRDefault="009B70FD" w:rsidP="009B70FD">
            <w:pPr>
              <w:keepLines/>
              <w:jc w:val="center"/>
              <w:rPr>
                <w:rFonts w:ascii="Arial Narrow" w:hAnsi="Arial Narrow"/>
                <w:i/>
                <w:iCs/>
                <w:color w:val="FF0000"/>
                <w:sz w:val="20"/>
                <w:szCs w:val="20"/>
              </w:rPr>
            </w:pPr>
            <w:r w:rsidRPr="008B6B50">
              <w:rPr>
                <w:rFonts w:ascii="Arial Narrow" w:hAnsi="Arial Narrow"/>
                <w:i/>
                <w:iCs/>
                <w:color w:val="FF0000"/>
                <w:sz w:val="20"/>
                <w:szCs w:val="20"/>
              </w:rPr>
              <w:t>1</w:t>
            </w:r>
          </w:p>
        </w:tc>
        <w:tc>
          <w:tcPr>
            <w:tcW w:w="826" w:type="dxa"/>
            <w:vAlign w:val="center"/>
          </w:tcPr>
          <w:p w14:paraId="62A02E93" w14:textId="66132A68" w:rsidR="009B70FD" w:rsidRPr="008B6B50" w:rsidRDefault="009B70FD" w:rsidP="009B70FD">
            <w:pPr>
              <w:keepLines/>
              <w:jc w:val="center"/>
              <w:rPr>
                <w:rFonts w:ascii="Arial Narrow" w:hAnsi="Arial Narrow"/>
                <w:i/>
                <w:iCs/>
                <w:color w:val="FF0000"/>
                <w:sz w:val="20"/>
                <w:szCs w:val="20"/>
              </w:rPr>
            </w:pPr>
            <w:r w:rsidRPr="008B6B50">
              <w:rPr>
                <w:rFonts w:ascii="Arial Narrow" w:hAnsi="Arial Narrow"/>
                <w:i/>
                <w:iCs/>
                <w:color w:val="FF0000"/>
                <w:sz w:val="20"/>
                <w:szCs w:val="20"/>
              </w:rPr>
              <w:t>2</w:t>
            </w:r>
          </w:p>
        </w:tc>
        <w:tc>
          <w:tcPr>
            <w:tcW w:w="827" w:type="dxa"/>
            <w:vAlign w:val="center"/>
          </w:tcPr>
          <w:p w14:paraId="3627B810" w14:textId="4FE99C73" w:rsidR="009B70FD" w:rsidRPr="008B6B50" w:rsidRDefault="009B70FD" w:rsidP="009B70FD">
            <w:pPr>
              <w:keepLines/>
              <w:jc w:val="center"/>
              <w:rPr>
                <w:rFonts w:ascii="Arial Narrow" w:hAnsi="Arial Narrow"/>
                <w:i/>
                <w:iCs/>
                <w:color w:val="FF0000"/>
                <w:sz w:val="20"/>
                <w:szCs w:val="20"/>
              </w:rPr>
            </w:pPr>
            <w:r w:rsidRPr="008B6B50">
              <w:rPr>
                <w:rFonts w:ascii="Arial Narrow" w:hAnsi="Arial Narrow"/>
                <w:i/>
                <w:iCs/>
                <w:color w:val="FF0000"/>
                <w:sz w:val="20"/>
                <w:szCs w:val="20"/>
              </w:rPr>
              <w:t>1</w:t>
            </w:r>
          </w:p>
        </w:tc>
        <w:tc>
          <w:tcPr>
            <w:tcW w:w="1865" w:type="dxa"/>
            <w:vAlign w:val="center"/>
          </w:tcPr>
          <w:p w14:paraId="2CCCFE8D" w14:textId="05352E2E" w:rsidR="009B70FD" w:rsidRPr="008B6B50" w:rsidRDefault="009B70FD" w:rsidP="009B70FD">
            <w:pPr>
              <w:keepLines/>
              <w:rPr>
                <w:rFonts w:ascii="Arial Narrow" w:hAnsi="Arial Narrow"/>
                <w:i/>
                <w:iCs/>
                <w:color w:val="FF0000"/>
                <w:sz w:val="20"/>
                <w:szCs w:val="20"/>
              </w:rPr>
            </w:pPr>
            <w:proofErr w:type="spellStart"/>
            <w:r w:rsidRPr="008B6B50">
              <w:rPr>
                <w:rFonts w:ascii="Arial Narrow" w:hAnsi="Arial Narrow"/>
                <w:i/>
                <w:iCs/>
                <w:color w:val="FF0000"/>
                <w:sz w:val="20"/>
                <w:szCs w:val="20"/>
              </w:rPr>
              <w:t>Ilumya</w:t>
            </w:r>
            <w:proofErr w:type="spellEnd"/>
          </w:p>
        </w:tc>
      </w:tr>
      <w:tr w:rsidR="007433F7" w:rsidRPr="001428E9" w14:paraId="2D36D97B" w14:textId="77777777" w:rsidTr="00795D5D">
        <w:tblPrEx>
          <w:tblCellMar>
            <w:top w:w="15" w:type="dxa"/>
            <w:bottom w:w="15" w:type="dxa"/>
          </w:tblCellMar>
          <w:tblLook w:val="04A0" w:firstRow="1" w:lastRow="0" w:firstColumn="1" w:lastColumn="0" w:noHBand="0" w:noVBand="1"/>
        </w:tblPrEx>
        <w:trPr>
          <w:trHeight w:val="20"/>
        </w:trPr>
        <w:tc>
          <w:tcPr>
            <w:tcW w:w="9182" w:type="dxa"/>
            <w:gridSpan w:val="8"/>
            <w:tcBorders>
              <w:top w:val="single" w:sz="4" w:space="0" w:color="auto"/>
              <w:left w:val="single" w:sz="4" w:space="0" w:color="auto"/>
              <w:right w:val="single" w:sz="4" w:space="0" w:color="auto"/>
            </w:tcBorders>
            <w:vAlign w:val="center"/>
          </w:tcPr>
          <w:p w14:paraId="0345F0E3" w14:textId="47E68A4F" w:rsidR="007433F7" w:rsidRPr="001428E9" w:rsidRDefault="007433F7">
            <w:pPr>
              <w:rPr>
                <w:rFonts w:ascii="Arial Narrow" w:hAnsi="Arial Narrow"/>
                <w:sz w:val="20"/>
                <w:szCs w:val="20"/>
              </w:rPr>
            </w:pPr>
          </w:p>
        </w:tc>
      </w:tr>
      <w:tr w:rsidR="007433F7" w:rsidRPr="001428E9" w14:paraId="033C0B36"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val="restart"/>
            <w:tcBorders>
              <w:top w:val="single" w:sz="4" w:space="0" w:color="auto"/>
              <w:left w:val="single" w:sz="4" w:space="0" w:color="auto"/>
              <w:right w:val="single" w:sz="4" w:space="0" w:color="auto"/>
            </w:tcBorders>
          </w:tcPr>
          <w:p w14:paraId="1C010C79" w14:textId="77777777" w:rsidR="007433F7" w:rsidRPr="001428E9" w:rsidRDefault="007433F7">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28B6ADF3" w14:textId="762FEF8E" w:rsidR="007433F7" w:rsidRPr="001428E9" w:rsidRDefault="007433F7">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sidR="002E09F4">
              <w:rPr>
                <w:rFonts w:ascii="Arial Narrow" w:eastAsia="Calibri" w:hAnsi="Arial Narrow"/>
                <w:sz w:val="20"/>
                <w:szCs w:val="20"/>
              </w:rPr>
              <w:fldChar w:fldCharType="begin">
                <w:ffData>
                  <w:name w:val=""/>
                  <w:enabled/>
                  <w:calcOnExit w:val="0"/>
                  <w:checkBox>
                    <w:sizeAuto/>
                    <w:default w:val="1"/>
                  </w:checkBox>
                </w:ffData>
              </w:fldChar>
            </w:r>
            <w:r w:rsidR="002E09F4">
              <w:rPr>
                <w:rFonts w:ascii="Arial Narrow" w:eastAsia="Calibri" w:hAnsi="Arial Narrow"/>
                <w:sz w:val="20"/>
                <w:szCs w:val="20"/>
              </w:rPr>
              <w:instrText xml:space="preserve"> FORMCHECKBOX </w:instrText>
            </w:r>
            <w:r w:rsidR="002E09F4">
              <w:rPr>
                <w:rFonts w:ascii="Arial Narrow" w:eastAsia="Calibri" w:hAnsi="Arial Narrow"/>
                <w:sz w:val="20"/>
                <w:szCs w:val="20"/>
              </w:rPr>
            </w:r>
            <w:r w:rsidR="002E09F4">
              <w:rPr>
                <w:rFonts w:ascii="Arial Narrow" w:eastAsia="Calibri" w:hAnsi="Arial Narrow"/>
                <w:sz w:val="20"/>
                <w:szCs w:val="20"/>
              </w:rPr>
              <w:fldChar w:fldCharType="separate"/>
            </w:r>
            <w:r w:rsidR="002E09F4">
              <w:rPr>
                <w:rFonts w:ascii="Arial Narrow" w:eastAsia="Calibri" w:hAnsi="Arial Narrow"/>
                <w:sz w:val="20"/>
                <w:szCs w:val="20"/>
              </w:rPr>
              <w:fldChar w:fldCharType="end"/>
            </w:r>
            <w:r>
              <w:rPr>
                <w:rFonts w:ascii="Arial Narrow" w:eastAsia="Calibri" w:hAnsi="Arial Narrow"/>
                <w:sz w:val="20"/>
                <w:szCs w:val="20"/>
              </w:rPr>
              <w:t xml:space="preserve"> GENERAL </w:t>
            </w:r>
            <w:r w:rsidR="005F1191">
              <w:rPr>
                <w:rFonts w:ascii="Arial Narrow" w:eastAsia="Calibri" w:hAnsi="Arial Narrow"/>
                <w:sz w:val="20"/>
                <w:szCs w:val="20"/>
              </w:rPr>
              <w:noBreakHyphen/>
            </w:r>
            <w:r>
              <w:rPr>
                <w:rFonts w:ascii="Arial Narrow" w:eastAsia="Calibri" w:hAnsi="Arial Narrow"/>
                <w:sz w:val="20"/>
                <w:szCs w:val="20"/>
              </w:rPr>
              <w:t xml:space="preserve"> </w:t>
            </w:r>
            <w:proofErr w:type="spellStart"/>
            <w:r>
              <w:rPr>
                <w:rFonts w:ascii="Arial Narrow" w:eastAsia="Calibri" w:hAnsi="Arial Narrow"/>
                <w:sz w:val="20"/>
                <w:szCs w:val="20"/>
              </w:rPr>
              <w:t>General</w:t>
            </w:r>
            <w:proofErr w:type="spellEnd"/>
            <w:r>
              <w:rPr>
                <w:rFonts w:ascii="Arial Narrow" w:eastAsia="Calibri" w:hAnsi="Arial Narrow"/>
                <w:sz w:val="20"/>
                <w:szCs w:val="20"/>
              </w:rPr>
              <w:t xml:space="preserve"> Schedule (Code GE)</w:t>
            </w:r>
          </w:p>
        </w:tc>
      </w:tr>
      <w:tr w:rsidR="007433F7" w:rsidRPr="001428E9" w14:paraId="4A288D4C"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tcBorders>
              <w:left w:val="single" w:sz="4" w:space="0" w:color="auto"/>
              <w:right w:val="single" w:sz="4" w:space="0" w:color="auto"/>
            </w:tcBorders>
          </w:tcPr>
          <w:p w14:paraId="3186D87B" w14:textId="77777777" w:rsidR="007433F7" w:rsidRPr="001428E9" w:rsidRDefault="007433F7">
            <w:pPr>
              <w:rPr>
                <w:rFonts w:ascii="Arial Narrow" w:hAnsi="Arial Narrow"/>
                <w:sz w:val="20"/>
                <w:szCs w:val="20"/>
              </w:rPr>
            </w:pP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309473BB" w14:textId="35D369AE" w:rsidR="007433F7" w:rsidRPr="001428E9" w:rsidRDefault="007433F7">
            <w:pPr>
              <w:keepLines/>
              <w:rPr>
                <w:rFonts w:ascii="Arial Narrow" w:hAnsi="Arial Narrow"/>
                <w:b/>
                <w:sz w:val="20"/>
                <w:szCs w:val="20"/>
              </w:rPr>
            </w:pPr>
            <w:r w:rsidRPr="001428E9">
              <w:rPr>
                <w:rFonts w:ascii="Arial Narrow" w:hAnsi="Arial Narrow"/>
                <w:b/>
                <w:sz w:val="20"/>
                <w:szCs w:val="20"/>
              </w:rPr>
              <w:t>Prescriber type:</w:t>
            </w:r>
            <w:r w:rsidR="002E09F4">
              <w:rPr>
                <w:rFonts w:ascii="Arial Narrow" w:hAnsi="Arial Narrow"/>
                <w:b/>
                <w:sz w:val="20"/>
                <w:szCs w:val="20"/>
              </w:rPr>
              <w:t xml:space="preserve"> </w:t>
            </w:r>
            <w:r w:rsidR="002E09F4">
              <w:rPr>
                <w:rFonts w:ascii="Arial Narrow" w:hAnsi="Arial Narrow"/>
                <w:sz w:val="20"/>
                <w:szCs w:val="20"/>
              </w:rPr>
              <w:fldChar w:fldCharType="begin">
                <w:ffData>
                  <w:name w:val=""/>
                  <w:enabled/>
                  <w:calcOnExit w:val="0"/>
                  <w:checkBox>
                    <w:sizeAuto/>
                    <w:default w:val="1"/>
                  </w:checkBox>
                </w:ffData>
              </w:fldChar>
            </w:r>
            <w:r w:rsidR="002E09F4">
              <w:rPr>
                <w:rFonts w:ascii="Arial Narrow" w:hAnsi="Arial Narrow"/>
                <w:sz w:val="20"/>
                <w:szCs w:val="20"/>
              </w:rPr>
              <w:instrText xml:space="preserve"> FORMCHECKBOX </w:instrText>
            </w:r>
            <w:r w:rsidR="002E09F4">
              <w:rPr>
                <w:rFonts w:ascii="Arial Narrow" w:hAnsi="Arial Narrow"/>
                <w:sz w:val="20"/>
                <w:szCs w:val="20"/>
              </w:rPr>
            </w:r>
            <w:r w:rsidR="002E09F4">
              <w:rPr>
                <w:rFonts w:ascii="Arial Narrow" w:hAnsi="Arial Narrow"/>
                <w:sz w:val="20"/>
                <w:szCs w:val="20"/>
              </w:rPr>
              <w:fldChar w:fldCharType="separate"/>
            </w:r>
            <w:r w:rsidR="002E09F4">
              <w:rPr>
                <w:rFonts w:ascii="Arial Narrow" w:hAnsi="Arial Narrow"/>
                <w:sz w:val="20"/>
                <w:szCs w:val="20"/>
              </w:rPr>
              <w:fldChar w:fldCharType="end"/>
            </w:r>
            <w:r w:rsidR="00FA7599">
              <w:rPr>
                <w:rFonts w:ascii="Arial Narrow" w:hAnsi="Arial Narrow"/>
                <w:sz w:val="20"/>
                <w:szCs w:val="20"/>
              </w:rPr>
              <w:t xml:space="preserve"> </w:t>
            </w:r>
            <w:r w:rsidRPr="001428E9">
              <w:rPr>
                <w:rFonts w:ascii="Arial Narrow" w:hAnsi="Arial Narrow"/>
                <w:sz w:val="20"/>
                <w:szCs w:val="20"/>
              </w:rPr>
              <w:t xml:space="preserve">Medical Practitioners </w:t>
            </w:r>
          </w:p>
        </w:tc>
      </w:tr>
      <w:tr w:rsidR="007433F7" w:rsidRPr="00D56F94" w14:paraId="04C016E4"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tcBorders>
              <w:left w:val="single" w:sz="4" w:space="0" w:color="auto"/>
              <w:right w:val="single" w:sz="4" w:space="0" w:color="auto"/>
            </w:tcBorders>
          </w:tcPr>
          <w:p w14:paraId="10C17793" w14:textId="77777777" w:rsidR="007433F7" w:rsidRPr="001428E9" w:rsidRDefault="007433F7">
            <w:pPr>
              <w:rPr>
                <w:rFonts w:ascii="Arial Narrow" w:hAnsi="Arial Narrow"/>
                <w:sz w:val="20"/>
                <w:szCs w:val="20"/>
              </w:rPr>
            </w:pP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671AA886" w14:textId="1C9D39D5" w:rsidR="007433F7" w:rsidRPr="00D56F94" w:rsidRDefault="007433F7" w:rsidP="00E96120">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sidR="00E96120">
              <w:rPr>
                <w:rFonts w:ascii="Arial Narrow" w:eastAsia="Calibri" w:hAnsi="Arial Narrow"/>
                <w:sz w:val="20"/>
                <w:szCs w:val="20"/>
              </w:rPr>
              <w:fldChar w:fldCharType="begin">
                <w:ffData>
                  <w:name w:val=""/>
                  <w:enabled/>
                  <w:calcOnExit w:val="0"/>
                  <w:checkBox>
                    <w:sizeAuto/>
                    <w:default w:val="1"/>
                  </w:checkBox>
                </w:ffData>
              </w:fldChar>
            </w:r>
            <w:r w:rsidR="00E96120">
              <w:rPr>
                <w:rFonts w:ascii="Arial Narrow" w:eastAsia="Calibri" w:hAnsi="Arial Narrow"/>
                <w:sz w:val="20"/>
                <w:szCs w:val="20"/>
              </w:rPr>
              <w:instrText xml:space="preserve"> FORMCHECKBOX </w:instrText>
            </w:r>
            <w:r w:rsidR="00E96120">
              <w:rPr>
                <w:rFonts w:ascii="Arial Narrow" w:eastAsia="Calibri" w:hAnsi="Arial Narrow"/>
                <w:sz w:val="20"/>
                <w:szCs w:val="20"/>
              </w:rPr>
            </w:r>
            <w:r w:rsidR="00E96120">
              <w:rPr>
                <w:rFonts w:ascii="Arial Narrow" w:eastAsia="Calibri" w:hAnsi="Arial Narrow"/>
                <w:sz w:val="20"/>
                <w:szCs w:val="20"/>
              </w:rPr>
              <w:fldChar w:fldCharType="separate"/>
            </w:r>
            <w:r w:rsidR="00E96120">
              <w:rPr>
                <w:rFonts w:ascii="Arial Narrow" w:eastAsia="Calibri" w:hAnsi="Arial Narrow"/>
                <w:sz w:val="20"/>
                <w:szCs w:val="20"/>
              </w:rPr>
              <w:fldChar w:fldCharType="end"/>
            </w:r>
            <w:r w:rsidR="00E96120">
              <w:rPr>
                <w:rFonts w:ascii="Arial Narrow" w:eastAsia="Calibri" w:hAnsi="Arial Narrow"/>
                <w:sz w:val="20"/>
                <w:szCs w:val="20"/>
              </w:rPr>
              <w:t xml:space="preserve"> </w:t>
            </w:r>
            <w:r w:rsidRPr="001428E9">
              <w:rPr>
                <w:rFonts w:ascii="Arial Narrow" w:eastAsia="Calibri" w:hAnsi="Arial Narrow"/>
                <w:sz w:val="20"/>
                <w:szCs w:val="20"/>
              </w:rPr>
              <w:t>Authority Required (</w:t>
            </w:r>
            <w:r w:rsidR="00C939AB">
              <w:rPr>
                <w:rFonts w:ascii="Arial Narrow" w:eastAsia="Calibri" w:hAnsi="Arial Narrow"/>
                <w:sz w:val="20"/>
                <w:szCs w:val="20"/>
              </w:rPr>
              <w:t>W</w:t>
            </w:r>
            <w:r w:rsidRPr="00175787">
              <w:rPr>
                <w:rFonts w:ascii="Arial Narrow" w:eastAsia="Calibri" w:hAnsi="Arial Narrow"/>
                <w:sz w:val="20"/>
                <w:szCs w:val="20"/>
              </w:rPr>
              <w:t>ritten/</w:t>
            </w:r>
            <w:r w:rsidR="00C939AB">
              <w:rPr>
                <w:rFonts w:ascii="Arial Narrow" w:eastAsia="Calibri" w:hAnsi="Arial Narrow"/>
                <w:sz w:val="20"/>
                <w:szCs w:val="20"/>
              </w:rPr>
              <w:t>O</w:t>
            </w:r>
            <w:r w:rsidRPr="00175787">
              <w:rPr>
                <w:rFonts w:ascii="Arial Narrow" w:eastAsia="Calibri" w:hAnsi="Arial Narrow"/>
                <w:sz w:val="20"/>
                <w:szCs w:val="20"/>
              </w:rPr>
              <w:t xml:space="preserve">nline PBS </w:t>
            </w:r>
            <w:r w:rsidR="002E6229">
              <w:rPr>
                <w:rFonts w:ascii="Arial Narrow" w:eastAsia="Calibri" w:hAnsi="Arial Narrow"/>
                <w:sz w:val="20"/>
                <w:szCs w:val="20"/>
              </w:rPr>
              <w:t>A</w:t>
            </w:r>
            <w:r w:rsidRPr="00175787">
              <w:rPr>
                <w:rFonts w:ascii="Arial Narrow" w:eastAsia="Calibri" w:hAnsi="Arial Narrow"/>
                <w:sz w:val="20"/>
                <w:szCs w:val="20"/>
              </w:rPr>
              <w:t>uthorities systems</w:t>
            </w:r>
            <w:r w:rsidRPr="001428E9">
              <w:rPr>
                <w:rFonts w:ascii="Arial Narrow" w:eastAsia="Calibri" w:hAnsi="Arial Narrow"/>
                <w:sz w:val="20"/>
                <w:szCs w:val="20"/>
              </w:rPr>
              <w:t>)</w:t>
            </w:r>
          </w:p>
        </w:tc>
      </w:tr>
      <w:tr w:rsidR="007003CF" w:rsidRPr="001428E9" w14:paraId="1C315967" w14:textId="77777777" w:rsidTr="00795D5D">
        <w:tblPrEx>
          <w:tblCellMar>
            <w:top w:w="15" w:type="dxa"/>
            <w:bottom w:w="15" w:type="dxa"/>
          </w:tblCellMar>
          <w:tblLook w:val="04A0" w:firstRow="1" w:lastRow="0" w:firstColumn="1" w:lastColumn="0" w:noHBand="0" w:noVBand="1"/>
        </w:tblPrEx>
        <w:trPr>
          <w:trHeight w:val="20"/>
        </w:trPr>
        <w:tc>
          <w:tcPr>
            <w:tcW w:w="571" w:type="dxa"/>
            <w:vMerge w:val="restart"/>
            <w:tcBorders>
              <w:left w:val="single" w:sz="4" w:space="0" w:color="auto"/>
              <w:right w:val="single" w:sz="4" w:space="0" w:color="auto"/>
            </w:tcBorders>
            <w:textDirection w:val="btLr"/>
            <w:vAlign w:val="center"/>
          </w:tcPr>
          <w:p w14:paraId="3C13C1B7" w14:textId="77777777" w:rsidR="007003CF" w:rsidRPr="00432EBF" w:rsidRDefault="007003CF">
            <w:pPr>
              <w:jc w:val="center"/>
              <w:rPr>
                <w:rFonts w:ascii="Arial Narrow" w:hAnsi="Arial Narrow"/>
                <w:sz w:val="20"/>
                <w:szCs w:val="20"/>
              </w:rPr>
            </w:pPr>
            <w:r w:rsidRPr="00432EBF">
              <w:rPr>
                <w:rFonts w:ascii="Arial Narrow" w:hAnsi="Arial Narrow"/>
                <w:sz w:val="20"/>
                <w:szCs w:val="20"/>
              </w:rPr>
              <w:t>Prescribing rule level</w:t>
            </w:r>
          </w:p>
        </w:tc>
        <w:tc>
          <w:tcPr>
            <w:tcW w:w="723" w:type="dxa"/>
            <w:vAlign w:val="center"/>
          </w:tcPr>
          <w:p w14:paraId="5CFB6E1C" w14:textId="6FD8FA40" w:rsidR="007003CF" w:rsidRPr="001428E9" w:rsidRDefault="007003CF">
            <w:pPr>
              <w:jc w:val="center"/>
              <w:rPr>
                <w:rFonts w:ascii="Arial Narrow" w:hAnsi="Arial Narrow"/>
                <w:color w:val="333333"/>
                <w:sz w:val="20"/>
                <w:szCs w:val="20"/>
              </w:rPr>
            </w:pPr>
          </w:p>
        </w:tc>
        <w:tc>
          <w:tcPr>
            <w:tcW w:w="7888" w:type="dxa"/>
            <w:gridSpan w:val="6"/>
            <w:vAlign w:val="center"/>
          </w:tcPr>
          <w:p w14:paraId="2B52A284" w14:textId="2DBCAC83" w:rsidR="007003CF" w:rsidRPr="006074EB" w:rsidRDefault="007003CF">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 ABRIGED: </w:t>
            </w:r>
            <w:r w:rsidRPr="007C52FF">
              <w:rPr>
                <w:rFonts w:ascii="Arial Narrow" w:hAnsi="Arial Narrow"/>
                <w:sz w:val="20"/>
                <w:szCs w:val="20"/>
              </w:rPr>
              <w:t>TREATMENT OF ADULT PATIENTS WITH SEVERE CHRONIC PLAQUE PSORIASIS</w:t>
            </w:r>
          </w:p>
        </w:tc>
      </w:tr>
      <w:tr w:rsidR="007003CF" w:rsidRPr="00432EBF" w14:paraId="1206E610"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right w:val="single" w:sz="4" w:space="0" w:color="auto"/>
            </w:tcBorders>
          </w:tcPr>
          <w:p w14:paraId="2C3F87C8" w14:textId="77777777" w:rsidR="007003CF" w:rsidRPr="00432EBF" w:rsidRDefault="007003CF">
            <w:pPr>
              <w:rPr>
                <w:rFonts w:ascii="Arial Narrow" w:hAnsi="Arial Narrow"/>
                <w:sz w:val="20"/>
                <w:szCs w:val="20"/>
              </w:rPr>
            </w:pPr>
          </w:p>
        </w:tc>
        <w:tc>
          <w:tcPr>
            <w:tcW w:w="723" w:type="dxa"/>
            <w:vAlign w:val="center"/>
          </w:tcPr>
          <w:p w14:paraId="1C48C273" w14:textId="7B22CD8E" w:rsidR="007003CF" w:rsidRPr="00432EBF" w:rsidRDefault="007003CF">
            <w:pPr>
              <w:jc w:val="center"/>
              <w:rPr>
                <w:rFonts w:ascii="Arial Narrow" w:hAnsi="Arial Narrow"/>
                <w:sz w:val="20"/>
                <w:szCs w:val="20"/>
              </w:rPr>
            </w:pPr>
          </w:p>
        </w:tc>
        <w:tc>
          <w:tcPr>
            <w:tcW w:w="7888" w:type="dxa"/>
            <w:gridSpan w:val="6"/>
            <w:vAlign w:val="center"/>
          </w:tcPr>
          <w:p w14:paraId="2E58717F" w14:textId="4B64F358" w:rsidR="007003CF" w:rsidRPr="00432EBF" w:rsidRDefault="007003CF">
            <w:pPr>
              <w:rPr>
                <w:rFonts w:ascii="Arial Narrow" w:hAnsi="Arial Narrow"/>
                <w:b/>
                <w:bCs/>
                <w:sz w:val="20"/>
                <w:szCs w:val="20"/>
              </w:rPr>
            </w:pPr>
            <w:r w:rsidRPr="00432EBF">
              <w:rPr>
                <w:rFonts w:ascii="Arial Narrow" w:hAnsi="Arial Narrow"/>
                <w:b/>
                <w:bCs/>
                <w:sz w:val="20"/>
                <w:szCs w:val="20"/>
              </w:rPr>
              <w:t>Administrative Advice:</w:t>
            </w:r>
            <w:r w:rsidRPr="007C52FF">
              <w:rPr>
                <w:rFonts w:ascii="Arial Narrow" w:hAnsi="Arial Narrow"/>
                <w:sz w:val="20"/>
                <w:szCs w:val="20"/>
              </w:rPr>
              <w:t xml:space="preserve"> No increase in the maximum quantity or number of units may be authorised.</w:t>
            </w:r>
          </w:p>
        </w:tc>
      </w:tr>
      <w:tr w:rsidR="007003CF" w:rsidRPr="00432EBF" w14:paraId="599FE1E3"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right w:val="single" w:sz="4" w:space="0" w:color="auto"/>
            </w:tcBorders>
          </w:tcPr>
          <w:p w14:paraId="2DB4ADE2" w14:textId="77777777" w:rsidR="007003CF" w:rsidRPr="00432EBF" w:rsidRDefault="007003CF">
            <w:pPr>
              <w:rPr>
                <w:rFonts w:ascii="Arial Narrow" w:hAnsi="Arial Narrow"/>
                <w:sz w:val="20"/>
                <w:szCs w:val="20"/>
              </w:rPr>
            </w:pPr>
          </w:p>
        </w:tc>
        <w:tc>
          <w:tcPr>
            <w:tcW w:w="723" w:type="dxa"/>
            <w:vAlign w:val="center"/>
          </w:tcPr>
          <w:p w14:paraId="077F882E" w14:textId="61C1C337" w:rsidR="007003CF" w:rsidRPr="00432EBF" w:rsidRDefault="007003CF">
            <w:pPr>
              <w:jc w:val="center"/>
              <w:rPr>
                <w:rFonts w:ascii="Arial Narrow" w:hAnsi="Arial Narrow"/>
                <w:sz w:val="20"/>
                <w:szCs w:val="20"/>
              </w:rPr>
            </w:pPr>
          </w:p>
        </w:tc>
        <w:tc>
          <w:tcPr>
            <w:tcW w:w="7888" w:type="dxa"/>
            <w:gridSpan w:val="6"/>
            <w:vAlign w:val="center"/>
          </w:tcPr>
          <w:p w14:paraId="4297EE5B" w14:textId="25315B8E" w:rsidR="007003CF" w:rsidRPr="00432EBF" w:rsidRDefault="007003CF">
            <w:pPr>
              <w:rPr>
                <w:rFonts w:ascii="Arial Narrow" w:hAnsi="Arial Narrow"/>
                <w:b/>
                <w:bCs/>
                <w:sz w:val="20"/>
                <w:szCs w:val="20"/>
              </w:rPr>
            </w:pPr>
            <w:r w:rsidRPr="00432EBF">
              <w:rPr>
                <w:rFonts w:ascii="Arial Narrow" w:hAnsi="Arial Narrow"/>
                <w:b/>
                <w:bCs/>
                <w:sz w:val="20"/>
                <w:szCs w:val="20"/>
              </w:rPr>
              <w:t>Administrative Advice:</w:t>
            </w:r>
            <w:r w:rsidRPr="007C52FF">
              <w:rPr>
                <w:rFonts w:ascii="Arial Narrow" w:hAnsi="Arial Narrow"/>
                <w:sz w:val="20"/>
                <w:szCs w:val="20"/>
              </w:rPr>
              <w:t xml:space="preserve"> No increase in the maximum number of repeats may be authorised.</w:t>
            </w:r>
          </w:p>
        </w:tc>
      </w:tr>
      <w:tr w:rsidR="007003CF" w:rsidRPr="00432EBF" w14:paraId="312C58B5"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bottom w:val="single" w:sz="4" w:space="0" w:color="auto"/>
              <w:right w:val="single" w:sz="4" w:space="0" w:color="auto"/>
            </w:tcBorders>
          </w:tcPr>
          <w:p w14:paraId="38F4C54E" w14:textId="77777777" w:rsidR="007003CF" w:rsidRPr="00432EBF" w:rsidRDefault="007003CF">
            <w:pPr>
              <w:rPr>
                <w:rFonts w:ascii="Arial Narrow" w:hAnsi="Arial Narrow"/>
                <w:sz w:val="20"/>
                <w:szCs w:val="20"/>
              </w:rPr>
            </w:pPr>
          </w:p>
        </w:tc>
        <w:tc>
          <w:tcPr>
            <w:tcW w:w="723" w:type="dxa"/>
            <w:vAlign w:val="center"/>
          </w:tcPr>
          <w:p w14:paraId="21421D93" w14:textId="23D92095" w:rsidR="007003CF" w:rsidRPr="007C52FF" w:rsidRDefault="007003CF">
            <w:pPr>
              <w:jc w:val="center"/>
              <w:rPr>
                <w:rFonts w:ascii="Arial Narrow" w:hAnsi="Arial Narrow"/>
                <w:sz w:val="20"/>
                <w:szCs w:val="20"/>
              </w:rPr>
            </w:pPr>
          </w:p>
        </w:tc>
        <w:tc>
          <w:tcPr>
            <w:tcW w:w="7888" w:type="dxa"/>
            <w:gridSpan w:val="6"/>
            <w:vAlign w:val="center"/>
          </w:tcPr>
          <w:p w14:paraId="00755AE3" w14:textId="5D0129A2" w:rsidR="007003CF" w:rsidRPr="00432EBF" w:rsidRDefault="007003CF">
            <w:pPr>
              <w:rPr>
                <w:rFonts w:ascii="Arial Narrow" w:hAnsi="Arial Narrow"/>
                <w:b/>
                <w:bCs/>
                <w:sz w:val="20"/>
                <w:szCs w:val="20"/>
              </w:rPr>
            </w:pPr>
            <w:r>
              <w:rPr>
                <w:rFonts w:ascii="Arial Narrow" w:hAnsi="Arial Narrow"/>
                <w:b/>
                <w:bCs/>
                <w:sz w:val="20"/>
                <w:szCs w:val="20"/>
              </w:rPr>
              <w:t xml:space="preserve">Administrative Advice: </w:t>
            </w:r>
            <w:r w:rsidRPr="007C52FF">
              <w:rPr>
                <w:rFonts w:ascii="Arial Narrow" w:hAnsi="Arial Narrow"/>
                <w:sz w:val="20"/>
                <w:szCs w:val="20"/>
              </w:rPr>
              <w:t>Special Pricing Arrangements apply.</w:t>
            </w:r>
          </w:p>
        </w:tc>
      </w:tr>
      <w:tr w:rsidR="007433F7" w:rsidRPr="001428E9" w14:paraId="77B335E3"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2E8A586" w14:textId="6F3994F4" w:rsidR="007433F7" w:rsidRPr="00432EBF" w:rsidRDefault="007433F7">
            <w:pPr>
              <w:keepLines/>
              <w:jc w:val="center"/>
              <w:rPr>
                <w:rFonts w:ascii="Arial Narrow" w:hAnsi="Arial Narrow"/>
                <w:sz w:val="20"/>
                <w:szCs w:val="20"/>
              </w:rPr>
            </w:pPr>
          </w:p>
        </w:tc>
        <w:tc>
          <w:tcPr>
            <w:tcW w:w="7888" w:type="dxa"/>
            <w:gridSpan w:val="6"/>
            <w:vAlign w:val="center"/>
            <w:hideMark/>
          </w:tcPr>
          <w:p w14:paraId="3222AF7E" w14:textId="7CAF4262" w:rsidR="007433F7" w:rsidRPr="001428E9" w:rsidRDefault="007433F7">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D45DAE" w:rsidRPr="007C52FF">
              <w:rPr>
                <w:rFonts w:ascii="Arial Narrow" w:hAnsi="Arial Narrow"/>
                <w:sz w:val="20"/>
                <w:szCs w:val="20"/>
              </w:rPr>
              <w:t>Severe chronic plaque psoriasis</w:t>
            </w:r>
          </w:p>
        </w:tc>
      </w:tr>
      <w:tr w:rsidR="007433F7" w:rsidRPr="001428E9" w14:paraId="6793E60E"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31273064" w14:textId="77777777" w:rsidR="007433F7" w:rsidRPr="00432EBF" w:rsidRDefault="007433F7">
            <w:pPr>
              <w:jc w:val="center"/>
              <w:rPr>
                <w:rFonts w:ascii="Arial Narrow" w:hAnsi="Arial Narrow"/>
                <w:sz w:val="20"/>
                <w:szCs w:val="20"/>
              </w:rPr>
            </w:pPr>
          </w:p>
        </w:tc>
        <w:tc>
          <w:tcPr>
            <w:tcW w:w="7888" w:type="dxa"/>
            <w:gridSpan w:val="6"/>
            <w:vAlign w:val="center"/>
            <w:hideMark/>
          </w:tcPr>
          <w:p w14:paraId="47782799" w14:textId="6F52DD20" w:rsidR="007433F7" w:rsidRPr="001428E9" w:rsidRDefault="007433F7">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003B27BA" w:rsidRPr="007C52FF">
              <w:rPr>
                <w:rFonts w:ascii="Arial Narrow" w:hAnsi="Arial Narrow"/>
                <w:sz w:val="20"/>
                <w:szCs w:val="20"/>
              </w:rPr>
              <w:t>Continuing treatment, Whole body</w:t>
            </w:r>
          </w:p>
        </w:tc>
      </w:tr>
      <w:tr w:rsidR="007433F7" w:rsidRPr="00432EBF" w14:paraId="0A7B080D"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31D0FCBF" w14:textId="2D40CA9B" w:rsidR="007433F7" w:rsidRPr="00432EBF" w:rsidRDefault="007433F7">
            <w:pPr>
              <w:jc w:val="center"/>
              <w:rPr>
                <w:rFonts w:ascii="Arial Narrow" w:hAnsi="Arial Narrow"/>
                <w:sz w:val="20"/>
                <w:szCs w:val="20"/>
              </w:rPr>
            </w:pPr>
          </w:p>
        </w:tc>
        <w:tc>
          <w:tcPr>
            <w:tcW w:w="7888" w:type="dxa"/>
            <w:gridSpan w:val="6"/>
            <w:vAlign w:val="center"/>
            <w:hideMark/>
          </w:tcPr>
          <w:p w14:paraId="397CF976" w14:textId="77777777" w:rsidR="007433F7" w:rsidRPr="00432EBF" w:rsidRDefault="007433F7">
            <w:pPr>
              <w:jc w:val="left"/>
              <w:rPr>
                <w:rFonts w:ascii="Arial Narrow" w:hAnsi="Arial Narrow"/>
                <w:sz w:val="20"/>
                <w:szCs w:val="20"/>
              </w:rPr>
            </w:pPr>
            <w:r w:rsidRPr="00432EBF">
              <w:rPr>
                <w:rFonts w:ascii="Arial Narrow" w:hAnsi="Arial Narrow"/>
                <w:b/>
                <w:bCs/>
                <w:sz w:val="20"/>
                <w:szCs w:val="20"/>
              </w:rPr>
              <w:t>Clinical criteria:</w:t>
            </w:r>
          </w:p>
        </w:tc>
      </w:tr>
      <w:tr w:rsidR="007433F7" w:rsidRPr="001428E9" w14:paraId="001BD41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CF08895" w14:textId="5B54D7B3" w:rsidR="007433F7" w:rsidRPr="00432EBF" w:rsidRDefault="007433F7">
            <w:pPr>
              <w:jc w:val="center"/>
              <w:rPr>
                <w:rFonts w:ascii="Arial Narrow" w:hAnsi="Arial Narrow"/>
                <w:sz w:val="20"/>
                <w:szCs w:val="20"/>
              </w:rPr>
            </w:pPr>
          </w:p>
        </w:tc>
        <w:tc>
          <w:tcPr>
            <w:tcW w:w="7888" w:type="dxa"/>
            <w:gridSpan w:val="6"/>
            <w:vAlign w:val="center"/>
            <w:hideMark/>
          </w:tcPr>
          <w:p w14:paraId="22B475E7" w14:textId="0A84087C" w:rsidR="007433F7" w:rsidRPr="00991316" w:rsidRDefault="00991316">
            <w:pPr>
              <w:rPr>
                <w:rFonts w:ascii="Arial Narrow" w:hAnsi="Arial Narrow"/>
                <w:sz w:val="20"/>
                <w:szCs w:val="20"/>
              </w:rPr>
            </w:pPr>
            <w:r w:rsidRPr="007C52FF">
              <w:rPr>
                <w:rFonts w:ascii="Arial Narrow" w:hAnsi="Arial Narrow"/>
                <w:sz w:val="20"/>
                <w:szCs w:val="20"/>
              </w:rPr>
              <w:t>Patient must have received this drug as their most recent course of PBS</w:t>
            </w:r>
            <w:r w:rsidR="005F1191">
              <w:rPr>
                <w:rFonts w:ascii="Arial Narrow" w:hAnsi="Arial Narrow"/>
                <w:sz w:val="20"/>
                <w:szCs w:val="20"/>
              </w:rPr>
              <w:noBreakHyphen/>
            </w:r>
            <w:r w:rsidRPr="007C52FF">
              <w:rPr>
                <w:rFonts w:ascii="Arial Narrow" w:hAnsi="Arial Narrow"/>
                <w:sz w:val="20"/>
                <w:szCs w:val="20"/>
              </w:rPr>
              <w:t>subsidised biological medicine treatment for this condition</w:t>
            </w:r>
          </w:p>
        </w:tc>
      </w:tr>
      <w:tr w:rsidR="007433F7" w:rsidRPr="00432EBF" w14:paraId="043182A0"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6A55B63" w14:textId="77777777" w:rsidR="007433F7" w:rsidRPr="00432EBF" w:rsidRDefault="007433F7">
            <w:pPr>
              <w:jc w:val="center"/>
              <w:rPr>
                <w:rFonts w:ascii="Arial Narrow" w:hAnsi="Arial Narrow"/>
                <w:sz w:val="20"/>
                <w:szCs w:val="20"/>
              </w:rPr>
            </w:pPr>
          </w:p>
        </w:tc>
        <w:tc>
          <w:tcPr>
            <w:tcW w:w="7888" w:type="dxa"/>
            <w:gridSpan w:val="6"/>
            <w:vAlign w:val="center"/>
            <w:hideMark/>
          </w:tcPr>
          <w:p w14:paraId="50AFD2A9" w14:textId="77777777" w:rsidR="007433F7" w:rsidRPr="00432EBF" w:rsidRDefault="007433F7">
            <w:pPr>
              <w:rPr>
                <w:rFonts w:ascii="Arial Narrow" w:hAnsi="Arial Narrow"/>
                <w:sz w:val="20"/>
                <w:szCs w:val="20"/>
              </w:rPr>
            </w:pPr>
            <w:r w:rsidRPr="00432EBF">
              <w:rPr>
                <w:rFonts w:ascii="Arial Narrow" w:hAnsi="Arial Narrow"/>
                <w:b/>
                <w:bCs/>
                <w:sz w:val="20"/>
                <w:szCs w:val="20"/>
              </w:rPr>
              <w:t>AND</w:t>
            </w:r>
          </w:p>
        </w:tc>
      </w:tr>
      <w:tr w:rsidR="007433F7" w:rsidRPr="00432EBF" w14:paraId="1C0F0EAC"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A6CF6CF" w14:textId="7A2FCC68" w:rsidR="007433F7" w:rsidRPr="00B06D10" w:rsidRDefault="007433F7">
            <w:pPr>
              <w:jc w:val="center"/>
              <w:rPr>
                <w:rFonts w:ascii="Arial Narrow" w:hAnsi="Arial Narrow"/>
                <w:i/>
                <w:iCs/>
                <w:color w:val="FF0000"/>
                <w:sz w:val="20"/>
                <w:szCs w:val="20"/>
              </w:rPr>
            </w:pPr>
          </w:p>
        </w:tc>
        <w:tc>
          <w:tcPr>
            <w:tcW w:w="7888" w:type="dxa"/>
            <w:gridSpan w:val="6"/>
            <w:vAlign w:val="center"/>
            <w:hideMark/>
          </w:tcPr>
          <w:p w14:paraId="4145565D" w14:textId="77777777" w:rsidR="007433F7" w:rsidRPr="00432EBF" w:rsidRDefault="007433F7">
            <w:pPr>
              <w:rPr>
                <w:rFonts w:ascii="Arial Narrow" w:hAnsi="Arial Narrow"/>
                <w:sz w:val="20"/>
                <w:szCs w:val="20"/>
              </w:rPr>
            </w:pPr>
            <w:r w:rsidRPr="00432EBF">
              <w:rPr>
                <w:rFonts w:ascii="Arial Narrow" w:hAnsi="Arial Narrow"/>
                <w:b/>
                <w:bCs/>
                <w:sz w:val="20"/>
                <w:szCs w:val="20"/>
              </w:rPr>
              <w:t>Clinical criteria:</w:t>
            </w:r>
          </w:p>
        </w:tc>
      </w:tr>
      <w:tr w:rsidR="00A06DBC" w:rsidRPr="00432EBF" w14:paraId="4CFB949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45344C3" w14:textId="6F24FFBB" w:rsidR="00A06DBC" w:rsidRPr="009F7E2B" w:rsidDel="009D7804" w:rsidRDefault="00A06DBC" w:rsidP="00A06DBC">
            <w:pPr>
              <w:jc w:val="center"/>
              <w:rPr>
                <w:rFonts w:ascii="Arial Narrow" w:hAnsi="Arial Narrow"/>
                <w:i/>
                <w:iCs/>
                <w:strike/>
                <w:sz w:val="20"/>
                <w:szCs w:val="20"/>
              </w:rPr>
            </w:pPr>
          </w:p>
        </w:tc>
        <w:tc>
          <w:tcPr>
            <w:tcW w:w="7888" w:type="dxa"/>
            <w:gridSpan w:val="6"/>
            <w:vAlign w:val="center"/>
          </w:tcPr>
          <w:p w14:paraId="0981A09E" w14:textId="6B8E22C3" w:rsidR="00A06DBC" w:rsidRPr="00432EBF" w:rsidRDefault="00A06DBC" w:rsidP="00A06DBC">
            <w:pPr>
              <w:rPr>
                <w:rFonts w:ascii="Arial Narrow" w:hAnsi="Arial Narrow"/>
                <w:b/>
                <w:bCs/>
                <w:sz w:val="20"/>
                <w:szCs w:val="20"/>
              </w:rPr>
            </w:pPr>
            <w:r w:rsidRPr="00DF6177">
              <w:rPr>
                <w:rFonts w:ascii="Arial Narrow" w:hAnsi="Arial Narrow"/>
                <w:i/>
                <w:iCs/>
                <w:color w:val="FF0000"/>
                <w:sz w:val="20"/>
                <w:szCs w:val="20"/>
              </w:rPr>
              <w:t xml:space="preserve">Patient must </w:t>
            </w:r>
            <w:r>
              <w:rPr>
                <w:rFonts w:ascii="Arial Narrow" w:hAnsi="Arial Narrow"/>
                <w:i/>
                <w:iCs/>
                <w:color w:val="FF0000"/>
                <w:sz w:val="20"/>
                <w:szCs w:val="20"/>
              </w:rPr>
              <w:t xml:space="preserve">be </w:t>
            </w:r>
            <w:r w:rsidR="002B561E">
              <w:rPr>
                <w:rFonts w:ascii="Arial Narrow" w:hAnsi="Arial Narrow"/>
                <w:i/>
                <w:iCs/>
                <w:color w:val="FF0000"/>
                <w:sz w:val="20"/>
                <w:szCs w:val="20"/>
              </w:rPr>
              <w:t>both</w:t>
            </w:r>
            <w:r w:rsidR="002049D1">
              <w:rPr>
                <w:rFonts w:ascii="Arial Narrow" w:hAnsi="Arial Narrow"/>
                <w:i/>
                <w:iCs/>
                <w:color w:val="FF0000"/>
                <w:sz w:val="20"/>
                <w:szCs w:val="20"/>
              </w:rPr>
              <w:t>:</w:t>
            </w:r>
            <w:r>
              <w:rPr>
                <w:rFonts w:ascii="Arial Narrow" w:hAnsi="Arial Narrow"/>
                <w:i/>
                <w:iCs/>
                <w:color w:val="FF0000"/>
                <w:sz w:val="20"/>
                <w:szCs w:val="20"/>
              </w:rPr>
              <w:t xml:space="preserve"> (</w:t>
            </w:r>
            <w:proofErr w:type="spellStart"/>
            <w:r>
              <w:rPr>
                <w:rFonts w:ascii="Arial Narrow" w:hAnsi="Arial Narrow"/>
                <w:i/>
                <w:iCs/>
                <w:color w:val="FF0000"/>
                <w:sz w:val="20"/>
                <w:szCs w:val="20"/>
              </w:rPr>
              <w:t>i</w:t>
            </w:r>
            <w:proofErr w:type="spellEnd"/>
            <w:r>
              <w:rPr>
                <w:rFonts w:ascii="Arial Narrow" w:hAnsi="Arial Narrow"/>
                <w:i/>
                <w:iCs/>
                <w:color w:val="FF0000"/>
                <w:sz w:val="20"/>
                <w:szCs w:val="20"/>
              </w:rPr>
              <w:t>) experienced an</w:t>
            </w:r>
            <w:r w:rsidRPr="00DF6177">
              <w:rPr>
                <w:rFonts w:ascii="Arial Narrow" w:hAnsi="Arial Narrow"/>
                <w:i/>
                <w:iCs/>
                <w:color w:val="FF0000"/>
                <w:sz w:val="20"/>
                <w:szCs w:val="20"/>
              </w:rPr>
              <w:t xml:space="preserve"> adequate</w:t>
            </w:r>
            <w:r>
              <w:rPr>
                <w:rFonts w:ascii="Arial Narrow" w:hAnsi="Arial Narrow"/>
                <w:i/>
                <w:iCs/>
                <w:color w:val="FF0000"/>
                <w:sz w:val="20"/>
                <w:szCs w:val="20"/>
              </w:rPr>
              <w:t xml:space="preserve"> response fo</w:t>
            </w:r>
            <w:r w:rsidR="00C962FB">
              <w:rPr>
                <w:rFonts w:ascii="Arial Narrow" w:hAnsi="Arial Narrow"/>
                <w:i/>
                <w:iCs/>
                <w:color w:val="FF0000"/>
                <w:sz w:val="20"/>
                <w:szCs w:val="20"/>
              </w:rPr>
              <w:t xml:space="preserve">llowing </w:t>
            </w:r>
            <w:r w:rsidR="00F75351">
              <w:rPr>
                <w:rFonts w:ascii="Arial Narrow" w:hAnsi="Arial Narrow"/>
                <w:i/>
                <w:iCs/>
                <w:color w:val="FF0000"/>
                <w:sz w:val="20"/>
                <w:szCs w:val="20"/>
              </w:rPr>
              <w:t>the most</w:t>
            </w:r>
            <w:r w:rsidR="00C962FB">
              <w:rPr>
                <w:rFonts w:ascii="Arial Narrow" w:hAnsi="Arial Narrow"/>
                <w:i/>
                <w:iCs/>
                <w:color w:val="FF0000"/>
                <w:sz w:val="20"/>
                <w:szCs w:val="20"/>
              </w:rPr>
              <w:t xml:space="preserve"> </w:t>
            </w:r>
            <w:r w:rsidR="00673491">
              <w:rPr>
                <w:rFonts w:ascii="Arial Narrow" w:hAnsi="Arial Narrow"/>
                <w:i/>
                <w:iCs/>
                <w:color w:val="FF0000"/>
                <w:sz w:val="20"/>
                <w:szCs w:val="20"/>
              </w:rPr>
              <w:t>recent course of</w:t>
            </w:r>
            <w:r w:rsidR="00C962FB">
              <w:rPr>
                <w:rFonts w:ascii="Arial Narrow" w:hAnsi="Arial Narrow"/>
                <w:i/>
                <w:iCs/>
                <w:color w:val="FF0000"/>
                <w:sz w:val="20"/>
                <w:szCs w:val="20"/>
              </w:rPr>
              <w:t xml:space="preserve"> treatment </w:t>
            </w:r>
            <w:r w:rsidR="00673491">
              <w:rPr>
                <w:rFonts w:ascii="Arial Narrow" w:hAnsi="Arial Narrow"/>
                <w:i/>
                <w:iCs/>
                <w:color w:val="FF0000"/>
                <w:sz w:val="20"/>
                <w:szCs w:val="20"/>
              </w:rPr>
              <w:t>at the 100 mg dosage regimen</w:t>
            </w:r>
            <w:r w:rsidR="00C962FB">
              <w:rPr>
                <w:rFonts w:ascii="Arial Narrow" w:hAnsi="Arial Narrow"/>
                <w:i/>
                <w:iCs/>
                <w:color w:val="FF0000"/>
                <w:sz w:val="20"/>
                <w:szCs w:val="20"/>
              </w:rPr>
              <w:t xml:space="preserve"> and (ii) the treating </w:t>
            </w:r>
            <w:r w:rsidR="0038662C">
              <w:rPr>
                <w:rFonts w:ascii="Arial Narrow" w:hAnsi="Arial Narrow"/>
                <w:i/>
                <w:iCs/>
                <w:color w:val="FF0000"/>
                <w:sz w:val="20"/>
                <w:szCs w:val="20"/>
              </w:rPr>
              <w:t>p</w:t>
            </w:r>
            <w:r w:rsidR="00C7371C">
              <w:rPr>
                <w:rFonts w:ascii="Arial Narrow" w:hAnsi="Arial Narrow"/>
                <w:i/>
                <w:iCs/>
                <w:color w:val="FF0000"/>
                <w:sz w:val="20"/>
                <w:szCs w:val="20"/>
              </w:rPr>
              <w:t>hysician</w:t>
            </w:r>
            <w:r w:rsidR="00C962FB">
              <w:rPr>
                <w:rFonts w:ascii="Arial Narrow" w:hAnsi="Arial Narrow"/>
                <w:i/>
                <w:iCs/>
                <w:color w:val="FF0000"/>
                <w:sz w:val="20"/>
                <w:szCs w:val="20"/>
              </w:rPr>
              <w:t xml:space="preserve"> determined that a more satisfactory response can be achieved at the 200 mg dosage regimen</w:t>
            </w:r>
            <w:r w:rsidR="002049D1">
              <w:rPr>
                <w:rFonts w:ascii="Arial Narrow" w:hAnsi="Arial Narrow"/>
                <w:i/>
                <w:iCs/>
                <w:color w:val="FF0000"/>
                <w:sz w:val="20"/>
                <w:szCs w:val="20"/>
              </w:rPr>
              <w:t>;</w:t>
            </w:r>
            <w:r w:rsidR="00AF232E">
              <w:rPr>
                <w:rFonts w:ascii="Arial Narrow" w:hAnsi="Arial Narrow"/>
                <w:i/>
                <w:iCs/>
                <w:color w:val="FF0000"/>
                <w:sz w:val="20"/>
                <w:szCs w:val="20"/>
              </w:rPr>
              <w:t xml:space="preserve"> or</w:t>
            </w:r>
          </w:p>
        </w:tc>
      </w:tr>
      <w:tr w:rsidR="00A06DBC" w:rsidRPr="00432EBF" w14:paraId="09D48667" w14:textId="77777777" w:rsidTr="00795D5D">
        <w:tblPrEx>
          <w:tblCellMar>
            <w:top w:w="15" w:type="dxa"/>
            <w:bottom w:w="15" w:type="dxa"/>
          </w:tblCellMar>
          <w:tblLook w:val="04A0" w:firstRow="1" w:lastRow="0" w:firstColumn="1" w:lastColumn="0" w:noHBand="0" w:noVBand="1"/>
        </w:tblPrEx>
        <w:trPr>
          <w:cantSplit/>
          <w:trHeight w:val="521"/>
        </w:trPr>
        <w:tc>
          <w:tcPr>
            <w:tcW w:w="1294" w:type="dxa"/>
            <w:gridSpan w:val="2"/>
            <w:vAlign w:val="center"/>
          </w:tcPr>
          <w:p w14:paraId="725A2964" w14:textId="061153E2" w:rsidR="00A06DBC" w:rsidRPr="006C1C75" w:rsidDel="009D7804" w:rsidRDefault="00A06DBC" w:rsidP="00A06DBC">
            <w:pPr>
              <w:jc w:val="center"/>
              <w:rPr>
                <w:rFonts w:ascii="Arial Narrow" w:hAnsi="Arial Narrow"/>
                <w:i/>
                <w:iCs/>
                <w:strike/>
                <w:sz w:val="20"/>
                <w:szCs w:val="20"/>
              </w:rPr>
            </w:pPr>
          </w:p>
        </w:tc>
        <w:tc>
          <w:tcPr>
            <w:tcW w:w="7888" w:type="dxa"/>
            <w:gridSpan w:val="6"/>
            <w:vAlign w:val="center"/>
          </w:tcPr>
          <w:p w14:paraId="07F2D4A6" w14:textId="61A1BF07" w:rsidR="00A06DBC" w:rsidRPr="006C1C75" w:rsidRDefault="00A06DBC" w:rsidP="00A06DBC">
            <w:pPr>
              <w:rPr>
                <w:rFonts w:ascii="Arial Narrow" w:hAnsi="Arial Narrow"/>
                <w:b/>
                <w:bCs/>
                <w:i/>
                <w:iCs/>
                <w:sz w:val="20"/>
                <w:szCs w:val="20"/>
              </w:rPr>
            </w:pPr>
            <w:r w:rsidRPr="006C1C75">
              <w:rPr>
                <w:rFonts w:ascii="Arial Narrow" w:hAnsi="Arial Narrow"/>
                <w:i/>
                <w:iCs/>
                <w:sz w:val="20"/>
                <w:szCs w:val="20"/>
              </w:rPr>
              <w:t xml:space="preserve">Patient must have demonstrated an adequate response to </w:t>
            </w:r>
            <w:r w:rsidRPr="006C1C75">
              <w:rPr>
                <w:rFonts w:ascii="Arial Narrow" w:hAnsi="Arial Narrow"/>
                <w:i/>
                <w:iCs/>
                <w:color w:val="FF0000"/>
                <w:sz w:val="20"/>
                <w:szCs w:val="20"/>
              </w:rPr>
              <w:t xml:space="preserve">the most recent course of </w:t>
            </w:r>
            <w:r w:rsidRPr="006C1C75">
              <w:rPr>
                <w:rFonts w:ascii="Arial Narrow" w:hAnsi="Arial Narrow"/>
                <w:i/>
                <w:iCs/>
                <w:sz w:val="20"/>
                <w:szCs w:val="20"/>
              </w:rPr>
              <w:t xml:space="preserve">treatment with this drug </w:t>
            </w:r>
            <w:r w:rsidRPr="00A06DBC">
              <w:rPr>
                <w:rFonts w:ascii="Arial Narrow" w:hAnsi="Arial Narrow"/>
                <w:i/>
                <w:iCs/>
                <w:color w:val="FF0000"/>
                <w:sz w:val="20"/>
                <w:szCs w:val="20"/>
              </w:rPr>
              <w:t>at the 200 mg dosage</w:t>
            </w:r>
            <w:r w:rsidR="000A17DE">
              <w:rPr>
                <w:rFonts w:ascii="Arial Narrow" w:hAnsi="Arial Narrow"/>
                <w:i/>
                <w:iCs/>
                <w:color w:val="FF0000"/>
                <w:sz w:val="20"/>
                <w:szCs w:val="20"/>
              </w:rPr>
              <w:t xml:space="preserve"> </w:t>
            </w:r>
            <w:r w:rsidR="001D7F70">
              <w:rPr>
                <w:rFonts w:ascii="Arial Narrow" w:hAnsi="Arial Narrow"/>
                <w:i/>
                <w:iCs/>
                <w:color w:val="FF0000"/>
                <w:sz w:val="20"/>
                <w:szCs w:val="20"/>
              </w:rPr>
              <w:t>regimen</w:t>
            </w:r>
          </w:p>
        </w:tc>
      </w:tr>
      <w:tr w:rsidR="007904CC" w:rsidRPr="00432EBF" w14:paraId="332292DB"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5FE5EE7" w14:textId="77777777" w:rsidR="007904CC" w:rsidRDefault="007904CC" w:rsidP="007904CC">
            <w:pPr>
              <w:jc w:val="center"/>
              <w:rPr>
                <w:rFonts w:ascii="Arial Narrow" w:hAnsi="Arial Narrow"/>
                <w:sz w:val="20"/>
                <w:szCs w:val="20"/>
              </w:rPr>
            </w:pPr>
          </w:p>
        </w:tc>
        <w:tc>
          <w:tcPr>
            <w:tcW w:w="7888" w:type="dxa"/>
            <w:gridSpan w:val="6"/>
            <w:vAlign w:val="center"/>
          </w:tcPr>
          <w:p w14:paraId="5A8B755F" w14:textId="24DD3978" w:rsidR="007904CC" w:rsidRPr="007C52FF" w:rsidRDefault="007904CC" w:rsidP="007904CC">
            <w:pPr>
              <w:rPr>
                <w:rFonts w:ascii="Arial Narrow" w:hAnsi="Arial Narrow"/>
                <w:sz w:val="20"/>
                <w:szCs w:val="20"/>
              </w:rPr>
            </w:pPr>
            <w:r w:rsidRPr="00432EBF">
              <w:rPr>
                <w:rFonts w:ascii="Arial Narrow" w:hAnsi="Arial Narrow"/>
                <w:b/>
                <w:bCs/>
                <w:sz w:val="20"/>
                <w:szCs w:val="20"/>
              </w:rPr>
              <w:t>AND</w:t>
            </w:r>
          </w:p>
        </w:tc>
      </w:tr>
      <w:tr w:rsidR="007904CC" w:rsidRPr="00432EBF" w14:paraId="5CBC7CF0"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D63B432" w14:textId="61CBC1A4" w:rsidR="007904CC" w:rsidRDefault="007904CC" w:rsidP="007904CC">
            <w:pPr>
              <w:jc w:val="center"/>
              <w:rPr>
                <w:rFonts w:ascii="Arial Narrow" w:hAnsi="Arial Narrow"/>
                <w:sz w:val="20"/>
                <w:szCs w:val="20"/>
              </w:rPr>
            </w:pPr>
          </w:p>
        </w:tc>
        <w:tc>
          <w:tcPr>
            <w:tcW w:w="7888" w:type="dxa"/>
            <w:gridSpan w:val="6"/>
            <w:vAlign w:val="center"/>
          </w:tcPr>
          <w:p w14:paraId="45049B09" w14:textId="52377E35" w:rsidR="007904CC" w:rsidRPr="007C52FF" w:rsidRDefault="007904CC" w:rsidP="007904CC">
            <w:pPr>
              <w:rPr>
                <w:rFonts w:ascii="Arial Narrow" w:hAnsi="Arial Narrow"/>
                <w:sz w:val="20"/>
                <w:szCs w:val="20"/>
              </w:rPr>
            </w:pPr>
            <w:r w:rsidRPr="00432EBF">
              <w:rPr>
                <w:rFonts w:ascii="Arial Narrow" w:hAnsi="Arial Narrow"/>
                <w:b/>
                <w:bCs/>
                <w:sz w:val="20"/>
                <w:szCs w:val="20"/>
              </w:rPr>
              <w:t>Clinical criteria:</w:t>
            </w:r>
          </w:p>
        </w:tc>
      </w:tr>
      <w:tr w:rsidR="007904CC" w:rsidRPr="00432EBF" w14:paraId="2EE4F062"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5040829" w14:textId="60D0A7CA" w:rsidR="007904CC" w:rsidRDefault="007904CC" w:rsidP="007904CC">
            <w:pPr>
              <w:jc w:val="center"/>
              <w:rPr>
                <w:rFonts w:ascii="Arial Narrow" w:hAnsi="Arial Narrow"/>
                <w:sz w:val="20"/>
                <w:szCs w:val="20"/>
              </w:rPr>
            </w:pPr>
          </w:p>
        </w:tc>
        <w:tc>
          <w:tcPr>
            <w:tcW w:w="7888" w:type="dxa"/>
            <w:gridSpan w:val="6"/>
            <w:vAlign w:val="center"/>
          </w:tcPr>
          <w:p w14:paraId="56B9BF18" w14:textId="32DDA816" w:rsidR="007904CC" w:rsidRPr="007C52FF" w:rsidRDefault="001F20C3" w:rsidP="007904CC">
            <w:pPr>
              <w:rPr>
                <w:rFonts w:ascii="Arial Narrow" w:hAnsi="Arial Narrow"/>
                <w:sz w:val="20"/>
                <w:szCs w:val="20"/>
              </w:rPr>
            </w:pPr>
            <w:r w:rsidRPr="007C52FF">
              <w:rPr>
                <w:rFonts w:ascii="Arial Narrow" w:hAnsi="Arial Narrow"/>
                <w:sz w:val="20"/>
                <w:szCs w:val="20"/>
              </w:rPr>
              <w:t>The treatment must be as systemic monotherapy (other than methotrexate)</w:t>
            </w:r>
          </w:p>
        </w:tc>
      </w:tr>
      <w:tr w:rsidR="001F20C3" w:rsidRPr="00432EBF" w14:paraId="0943FEA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5D1247FB" w14:textId="25FAE50E" w:rsidR="001F20C3" w:rsidRDefault="001F20C3" w:rsidP="001F20C3">
            <w:pPr>
              <w:jc w:val="center"/>
              <w:rPr>
                <w:rFonts w:ascii="Arial Narrow" w:hAnsi="Arial Narrow"/>
                <w:sz w:val="20"/>
                <w:szCs w:val="20"/>
              </w:rPr>
            </w:pPr>
          </w:p>
        </w:tc>
        <w:tc>
          <w:tcPr>
            <w:tcW w:w="7888" w:type="dxa"/>
            <w:gridSpan w:val="6"/>
            <w:vAlign w:val="center"/>
          </w:tcPr>
          <w:p w14:paraId="21605FB2" w14:textId="334C2CF5" w:rsidR="001F20C3" w:rsidRPr="007C52FF" w:rsidRDefault="001F20C3" w:rsidP="001F20C3">
            <w:pPr>
              <w:rPr>
                <w:rFonts w:ascii="Arial Narrow" w:hAnsi="Arial Narrow"/>
                <w:sz w:val="20"/>
                <w:szCs w:val="20"/>
              </w:rPr>
            </w:pPr>
            <w:r w:rsidRPr="00432EBF">
              <w:rPr>
                <w:rFonts w:ascii="Arial Narrow" w:hAnsi="Arial Narrow"/>
                <w:b/>
                <w:bCs/>
                <w:sz w:val="20"/>
                <w:szCs w:val="20"/>
              </w:rPr>
              <w:t>AND</w:t>
            </w:r>
          </w:p>
        </w:tc>
      </w:tr>
      <w:tr w:rsidR="001F20C3" w:rsidRPr="00432EBF" w14:paraId="1D1877D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F07C5B8" w14:textId="6E43570A" w:rsidR="001F20C3" w:rsidRDefault="001F20C3" w:rsidP="001F20C3">
            <w:pPr>
              <w:jc w:val="center"/>
              <w:rPr>
                <w:rFonts w:ascii="Arial Narrow" w:hAnsi="Arial Narrow"/>
                <w:sz w:val="20"/>
                <w:szCs w:val="20"/>
              </w:rPr>
            </w:pPr>
          </w:p>
        </w:tc>
        <w:tc>
          <w:tcPr>
            <w:tcW w:w="7888" w:type="dxa"/>
            <w:gridSpan w:val="6"/>
            <w:vAlign w:val="center"/>
          </w:tcPr>
          <w:p w14:paraId="5838FB95" w14:textId="0C657A6A" w:rsidR="001F20C3" w:rsidRPr="007C52FF" w:rsidRDefault="001F20C3" w:rsidP="001F20C3">
            <w:pPr>
              <w:rPr>
                <w:rFonts w:ascii="Arial Narrow" w:hAnsi="Arial Narrow"/>
                <w:sz w:val="20"/>
                <w:szCs w:val="20"/>
              </w:rPr>
            </w:pPr>
            <w:r w:rsidRPr="00432EBF">
              <w:rPr>
                <w:rFonts w:ascii="Arial Narrow" w:hAnsi="Arial Narrow"/>
                <w:b/>
                <w:bCs/>
                <w:sz w:val="20"/>
                <w:szCs w:val="20"/>
              </w:rPr>
              <w:t>Clinical criteria:</w:t>
            </w:r>
          </w:p>
        </w:tc>
      </w:tr>
      <w:tr w:rsidR="001F20C3" w:rsidRPr="00432EBF" w14:paraId="42806D11"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1FF6F6F" w14:textId="286EFA78" w:rsidR="001F20C3" w:rsidRDefault="001F20C3">
            <w:pPr>
              <w:jc w:val="center"/>
              <w:rPr>
                <w:rFonts w:ascii="Arial Narrow" w:hAnsi="Arial Narrow"/>
                <w:sz w:val="20"/>
                <w:szCs w:val="20"/>
              </w:rPr>
            </w:pPr>
          </w:p>
        </w:tc>
        <w:tc>
          <w:tcPr>
            <w:tcW w:w="7888" w:type="dxa"/>
            <w:gridSpan w:val="6"/>
            <w:vAlign w:val="center"/>
          </w:tcPr>
          <w:p w14:paraId="6F62F5E6" w14:textId="18EB132D" w:rsidR="001F20C3" w:rsidRPr="007C52FF" w:rsidRDefault="001B3D54">
            <w:pPr>
              <w:rPr>
                <w:rFonts w:ascii="Arial Narrow" w:hAnsi="Arial Narrow"/>
                <w:sz w:val="20"/>
                <w:szCs w:val="20"/>
              </w:rPr>
            </w:pPr>
            <w:r w:rsidRPr="007C52FF">
              <w:rPr>
                <w:rFonts w:ascii="Arial Narrow" w:hAnsi="Arial Narrow"/>
                <w:sz w:val="20"/>
                <w:szCs w:val="20"/>
              </w:rPr>
              <w:t>Patient must not receive more than 24 weeks of treatment under this restriction</w:t>
            </w:r>
          </w:p>
        </w:tc>
      </w:tr>
      <w:tr w:rsidR="00BD589E" w:rsidRPr="00432EBF" w14:paraId="0ADA8355"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B4D0FBF" w14:textId="448B8D5C" w:rsidR="00BD589E" w:rsidRPr="007C52FF" w:rsidRDefault="00BD589E" w:rsidP="00BD589E">
            <w:pPr>
              <w:jc w:val="center"/>
              <w:rPr>
                <w:rFonts w:ascii="Arial Narrow" w:hAnsi="Arial Narrow"/>
                <w:sz w:val="20"/>
                <w:szCs w:val="20"/>
              </w:rPr>
            </w:pPr>
          </w:p>
        </w:tc>
        <w:tc>
          <w:tcPr>
            <w:tcW w:w="7888" w:type="dxa"/>
            <w:gridSpan w:val="6"/>
            <w:vAlign w:val="center"/>
          </w:tcPr>
          <w:p w14:paraId="56620EB1" w14:textId="5EC704B5" w:rsidR="00BD589E" w:rsidRPr="007C52FF" w:rsidRDefault="00BD589E" w:rsidP="00BD589E">
            <w:pPr>
              <w:rPr>
                <w:rFonts w:ascii="Arial Narrow" w:hAnsi="Arial Narrow"/>
                <w:sz w:val="20"/>
                <w:szCs w:val="20"/>
              </w:rPr>
            </w:pPr>
            <w:r w:rsidRPr="00432EBF">
              <w:rPr>
                <w:rFonts w:ascii="Arial Narrow" w:hAnsi="Arial Narrow"/>
                <w:b/>
                <w:bCs/>
                <w:sz w:val="20"/>
                <w:szCs w:val="20"/>
              </w:rPr>
              <w:t>Population criteria:</w:t>
            </w:r>
          </w:p>
        </w:tc>
      </w:tr>
      <w:tr w:rsidR="00BD589E" w:rsidRPr="00432EBF" w14:paraId="72322980"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2FDD3E7" w14:textId="08F8E5A3" w:rsidR="00BD589E" w:rsidRPr="007C52FF" w:rsidRDefault="00BD589E" w:rsidP="00BD589E">
            <w:pPr>
              <w:jc w:val="center"/>
              <w:rPr>
                <w:rFonts w:ascii="Arial Narrow" w:hAnsi="Arial Narrow"/>
                <w:sz w:val="20"/>
                <w:szCs w:val="20"/>
              </w:rPr>
            </w:pPr>
          </w:p>
        </w:tc>
        <w:tc>
          <w:tcPr>
            <w:tcW w:w="7888" w:type="dxa"/>
            <w:gridSpan w:val="6"/>
            <w:vAlign w:val="center"/>
          </w:tcPr>
          <w:p w14:paraId="1EB71F22" w14:textId="3D61E00B" w:rsidR="00BD589E" w:rsidRPr="007C52FF" w:rsidRDefault="00BD589E" w:rsidP="00BD589E">
            <w:pPr>
              <w:rPr>
                <w:rFonts w:ascii="Arial Narrow" w:hAnsi="Arial Narrow"/>
                <w:sz w:val="20"/>
                <w:szCs w:val="20"/>
              </w:rPr>
            </w:pPr>
            <w:r w:rsidRPr="007C52FF">
              <w:rPr>
                <w:rFonts w:ascii="Arial Narrow" w:hAnsi="Arial Narrow"/>
                <w:sz w:val="20"/>
                <w:szCs w:val="20"/>
              </w:rPr>
              <w:t>Patient must be aged 18 years or older</w:t>
            </w:r>
          </w:p>
        </w:tc>
      </w:tr>
      <w:tr w:rsidR="00BD589E" w:rsidRPr="00432EBF" w14:paraId="4A47AC4D"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52C1556" w14:textId="4F8E60AD" w:rsidR="00BD589E" w:rsidRPr="00432EBF" w:rsidRDefault="00BD589E" w:rsidP="00BD589E">
            <w:pPr>
              <w:keepNext/>
              <w:jc w:val="center"/>
              <w:rPr>
                <w:rFonts w:ascii="Arial Narrow" w:hAnsi="Arial Narrow"/>
                <w:sz w:val="20"/>
                <w:szCs w:val="20"/>
              </w:rPr>
            </w:pPr>
          </w:p>
        </w:tc>
        <w:tc>
          <w:tcPr>
            <w:tcW w:w="7888" w:type="dxa"/>
            <w:gridSpan w:val="6"/>
            <w:vAlign w:val="center"/>
            <w:hideMark/>
          </w:tcPr>
          <w:p w14:paraId="473B5564" w14:textId="77777777" w:rsidR="00BD589E" w:rsidRPr="00432EBF" w:rsidRDefault="00BD589E" w:rsidP="00BD589E">
            <w:pPr>
              <w:keepNext/>
              <w:rPr>
                <w:rFonts w:ascii="Arial Narrow" w:hAnsi="Arial Narrow"/>
                <w:sz w:val="20"/>
                <w:szCs w:val="20"/>
              </w:rPr>
            </w:pPr>
            <w:r w:rsidRPr="00432EBF">
              <w:rPr>
                <w:rFonts w:ascii="Arial Narrow" w:hAnsi="Arial Narrow"/>
                <w:b/>
                <w:bCs/>
                <w:sz w:val="20"/>
                <w:szCs w:val="20"/>
              </w:rPr>
              <w:t>Treatment criteria:</w:t>
            </w:r>
          </w:p>
        </w:tc>
      </w:tr>
      <w:tr w:rsidR="00BD589E" w:rsidRPr="001428E9" w14:paraId="34923688"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491227E" w14:textId="241FAB1C" w:rsidR="00BD589E" w:rsidRPr="00432EBF" w:rsidRDefault="00BD589E" w:rsidP="00BD589E">
            <w:pPr>
              <w:jc w:val="center"/>
              <w:rPr>
                <w:rFonts w:ascii="Arial Narrow" w:hAnsi="Arial Narrow"/>
                <w:sz w:val="20"/>
                <w:szCs w:val="20"/>
              </w:rPr>
            </w:pPr>
          </w:p>
        </w:tc>
        <w:tc>
          <w:tcPr>
            <w:tcW w:w="7888" w:type="dxa"/>
            <w:gridSpan w:val="6"/>
            <w:vAlign w:val="center"/>
            <w:hideMark/>
          </w:tcPr>
          <w:p w14:paraId="6159294C" w14:textId="799F7C8A" w:rsidR="00BD589E" w:rsidRPr="001428E9" w:rsidRDefault="00BD589E" w:rsidP="00BD589E">
            <w:pPr>
              <w:autoSpaceDE w:val="0"/>
              <w:autoSpaceDN w:val="0"/>
              <w:adjustRightInd w:val="0"/>
              <w:jc w:val="left"/>
              <w:rPr>
                <w:rFonts w:ascii="Arial Narrow" w:hAnsi="Arial Narrow" w:cs="Arial Narrow"/>
                <w:i/>
                <w:iCs/>
                <w:sz w:val="20"/>
                <w:szCs w:val="20"/>
              </w:rPr>
            </w:pPr>
            <w:r w:rsidRPr="007C52FF">
              <w:rPr>
                <w:rFonts w:ascii="Arial Narrow" w:hAnsi="Arial Narrow"/>
                <w:sz w:val="20"/>
                <w:szCs w:val="20"/>
              </w:rPr>
              <w:t>Must be treated by a dermatologist</w:t>
            </w:r>
          </w:p>
        </w:tc>
      </w:tr>
      <w:tr w:rsidR="00BD589E" w:rsidRPr="00C02D56" w14:paraId="19B3ADCC"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C90EDCE" w14:textId="6996044E" w:rsidR="00BD589E" w:rsidRPr="00432EBF" w:rsidRDefault="00BD589E" w:rsidP="00BD589E">
            <w:pPr>
              <w:jc w:val="center"/>
              <w:rPr>
                <w:rFonts w:ascii="Arial Narrow" w:hAnsi="Arial Narrow"/>
                <w:sz w:val="20"/>
                <w:szCs w:val="20"/>
              </w:rPr>
            </w:pPr>
          </w:p>
        </w:tc>
        <w:tc>
          <w:tcPr>
            <w:tcW w:w="7888" w:type="dxa"/>
            <w:gridSpan w:val="6"/>
            <w:vAlign w:val="center"/>
            <w:hideMark/>
          </w:tcPr>
          <w:p w14:paraId="756BFF86" w14:textId="152EC75C" w:rsidR="00D0463F" w:rsidRDefault="00BD589E" w:rsidP="00BD589E">
            <w:pPr>
              <w:rPr>
                <w:rFonts w:ascii="Arial Narrow" w:hAnsi="Arial Narrow"/>
                <w:sz w:val="20"/>
                <w:szCs w:val="20"/>
              </w:rPr>
            </w:pPr>
            <w:r w:rsidRPr="00432EBF">
              <w:rPr>
                <w:rFonts w:ascii="Arial Narrow" w:hAnsi="Arial Narrow"/>
                <w:b/>
                <w:bCs/>
                <w:sz w:val="20"/>
                <w:szCs w:val="20"/>
              </w:rPr>
              <w:t>Prescribing Instructions</w:t>
            </w:r>
            <w:r>
              <w:rPr>
                <w:rFonts w:ascii="Arial Narrow" w:hAnsi="Arial Narrow"/>
                <w:b/>
                <w:bCs/>
                <w:sz w:val="20"/>
                <w:szCs w:val="20"/>
              </w:rPr>
              <w:t>:</w:t>
            </w:r>
            <w:r w:rsidRPr="00432EBF">
              <w:rPr>
                <w:rFonts w:ascii="Arial Narrow" w:hAnsi="Arial Narrow"/>
                <w:b/>
                <w:bCs/>
                <w:sz w:val="20"/>
                <w:szCs w:val="20"/>
              </w:rPr>
              <w:t xml:space="preserve"> </w:t>
            </w:r>
            <w:r w:rsidRPr="007C52FF">
              <w:rPr>
                <w:rFonts w:ascii="Arial Narrow" w:hAnsi="Arial Narrow"/>
                <w:sz w:val="20"/>
                <w:szCs w:val="20"/>
              </w:rPr>
              <w:t xml:space="preserve">An adequate response to treatment is defined as: </w:t>
            </w:r>
          </w:p>
          <w:p w14:paraId="5EFFE2FB" w14:textId="5BC37BAA" w:rsidR="00BD589E" w:rsidRPr="00C02D56" w:rsidRDefault="00BD589E" w:rsidP="00BD589E">
            <w:pPr>
              <w:rPr>
                <w:rFonts w:ascii="Arial Narrow" w:hAnsi="Arial Narrow"/>
                <w:sz w:val="20"/>
                <w:szCs w:val="20"/>
              </w:rPr>
            </w:pPr>
            <w:r w:rsidRPr="007C52FF">
              <w:rPr>
                <w:rFonts w:ascii="Arial Narrow" w:hAnsi="Arial Narrow"/>
                <w:sz w:val="20"/>
                <w:szCs w:val="20"/>
              </w:rPr>
              <w:t xml:space="preserve">A Psoriasis Area and Severity Index (PASI) </w:t>
            </w:r>
            <w:proofErr w:type="gramStart"/>
            <w:r w:rsidRPr="007C52FF">
              <w:rPr>
                <w:rFonts w:ascii="Arial Narrow" w:hAnsi="Arial Narrow"/>
                <w:sz w:val="20"/>
                <w:szCs w:val="20"/>
              </w:rPr>
              <w:t>score</w:t>
            </w:r>
            <w:proofErr w:type="gramEnd"/>
            <w:r w:rsidRPr="007C52FF">
              <w:rPr>
                <w:rFonts w:ascii="Arial Narrow" w:hAnsi="Arial Narrow"/>
                <w:sz w:val="20"/>
                <w:szCs w:val="20"/>
              </w:rPr>
              <w:t xml:space="preserve"> which is reduced by 75% or more, or is sustained at this level, when compared with the baseline value for this treatment cycle.</w:t>
            </w:r>
          </w:p>
        </w:tc>
      </w:tr>
      <w:tr w:rsidR="00BD589E" w:rsidRPr="00C02D56" w14:paraId="79B34BB5"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4553F5B" w14:textId="04727883" w:rsidR="006074C5" w:rsidRPr="007C52FF" w:rsidRDefault="006074C5" w:rsidP="00BD589E">
            <w:pPr>
              <w:jc w:val="center"/>
              <w:rPr>
                <w:rFonts w:ascii="Arial Narrow" w:hAnsi="Arial Narrow"/>
                <w:sz w:val="20"/>
                <w:szCs w:val="20"/>
              </w:rPr>
            </w:pPr>
          </w:p>
        </w:tc>
        <w:tc>
          <w:tcPr>
            <w:tcW w:w="7888" w:type="dxa"/>
            <w:gridSpan w:val="6"/>
            <w:vAlign w:val="center"/>
          </w:tcPr>
          <w:p w14:paraId="4A1DE100" w14:textId="1802289D" w:rsidR="00D0463F" w:rsidRDefault="00BD589E" w:rsidP="00BD589E">
            <w:pPr>
              <w:rPr>
                <w:rFonts w:ascii="Arial Narrow" w:hAnsi="Arial Narrow"/>
                <w:sz w:val="20"/>
                <w:szCs w:val="20"/>
              </w:rPr>
            </w:pPr>
            <w:r>
              <w:rPr>
                <w:rFonts w:ascii="Arial Narrow" w:hAnsi="Arial Narrow"/>
                <w:b/>
                <w:bCs/>
                <w:sz w:val="20"/>
                <w:szCs w:val="20"/>
              </w:rPr>
              <w:t xml:space="preserve">Prescribing Instructions: </w:t>
            </w:r>
            <w:r w:rsidRPr="007C52FF">
              <w:rPr>
                <w:rFonts w:ascii="Arial Narrow" w:hAnsi="Arial Narrow"/>
                <w:sz w:val="20"/>
                <w:szCs w:val="20"/>
              </w:rPr>
              <w:t xml:space="preserve">The authority application must be made in writing and must include: </w:t>
            </w:r>
          </w:p>
          <w:p w14:paraId="2C37D404" w14:textId="6AB86941" w:rsidR="00D0463F" w:rsidRPr="00D0463F" w:rsidRDefault="00BD589E" w:rsidP="00653063">
            <w:pPr>
              <w:pStyle w:val="ListParagraph"/>
              <w:numPr>
                <w:ilvl w:val="0"/>
                <w:numId w:val="34"/>
              </w:numPr>
              <w:jc w:val="both"/>
              <w:rPr>
                <w:rFonts w:ascii="Arial Narrow" w:hAnsi="Arial Narrow"/>
                <w:sz w:val="20"/>
                <w:szCs w:val="20"/>
              </w:rPr>
            </w:pPr>
            <w:r w:rsidRPr="00D0463F">
              <w:rPr>
                <w:rFonts w:ascii="Arial Narrow" w:hAnsi="Arial Narrow"/>
                <w:sz w:val="20"/>
                <w:szCs w:val="20"/>
              </w:rPr>
              <w:t>a completed authority prescription form(s); and</w:t>
            </w:r>
          </w:p>
          <w:p w14:paraId="33C3648B" w14:textId="4E477046" w:rsidR="00653063" w:rsidRPr="00653063" w:rsidRDefault="00BD589E" w:rsidP="00653063">
            <w:pPr>
              <w:pStyle w:val="ListParagraph"/>
              <w:numPr>
                <w:ilvl w:val="0"/>
                <w:numId w:val="34"/>
              </w:numPr>
              <w:jc w:val="both"/>
              <w:rPr>
                <w:rFonts w:ascii="Arial Narrow" w:hAnsi="Arial Narrow"/>
                <w:sz w:val="20"/>
                <w:szCs w:val="20"/>
              </w:rPr>
            </w:pPr>
            <w:r w:rsidRPr="00653063">
              <w:rPr>
                <w:rFonts w:ascii="Arial Narrow" w:hAnsi="Arial Narrow"/>
                <w:sz w:val="20"/>
                <w:szCs w:val="20"/>
              </w:rPr>
              <w:t xml:space="preserve">a completed Severe Chronic Plaque Psoriasis PBS Authority Application </w:t>
            </w:r>
            <w:r w:rsidR="005F1191">
              <w:rPr>
                <w:rFonts w:ascii="Arial Narrow" w:hAnsi="Arial Narrow"/>
                <w:sz w:val="20"/>
                <w:szCs w:val="20"/>
              </w:rPr>
              <w:noBreakHyphen/>
            </w:r>
            <w:r w:rsidRPr="00653063">
              <w:rPr>
                <w:rFonts w:ascii="Arial Narrow" w:hAnsi="Arial Narrow"/>
                <w:sz w:val="20"/>
                <w:szCs w:val="20"/>
              </w:rPr>
              <w:t xml:space="preserve"> Supporting Information Form which includes the completed Psoriasis Area and Severity Index (PASI) calculation sheet including the date of the assessment of the patient's condition.</w:t>
            </w:r>
          </w:p>
          <w:p w14:paraId="156C6033" w14:textId="662BD671" w:rsidR="00BD589E" w:rsidRPr="00653063" w:rsidRDefault="00BD589E" w:rsidP="00653063">
            <w:pPr>
              <w:ind w:left="360"/>
              <w:rPr>
                <w:rFonts w:ascii="Arial Narrow" w:hAnsi="Arial Narrow"/>
                <w:b/>
                <w:bCs/>
                <w:sz w:val="20"/>
                <w:szCs w:val="20"/>
              </w:rPr>
            </w:pPr>
            <w:r w:rsidRPr="00653063">
              <w:rPr>
                <w:rFonts w:ascii="Arial Narrow" w:hAnsi="Arial Narrow"/>
                <w:sz w:val="20"/>
                <w:szCs w:val="20"/>
              </w:rPr>
              <w:t>The most recent PASI assessment must be no more than 4 weeks old at the time of application. Approval will be based on the PASI assessment of response to the most recent course of treatment with this drug.</w:t>
            </w:r>
          </w:p>
        </w:tc>
      </w:tr>
      <w:tr w:rsidR="00BD589E" w:rsidRPr="00C02D56" w14:paraId="49B7006B"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52AA60E4" w14:textId="3685E533" w:rsidR="00BD589E" w:rsidRPr="007C52FF" w:rsidRDefault="00BD589E" w:rsidP="00BD589E">
            <w:pPr>
              <w:jc w:val="center"/>
              <w:rPr>
                <w:rFonts w:ascii="Arial Narrow" w:hAnsi="Arial Narrow"/>
                <w:sz w:val="20"/>
                <w:szCs w:val="20"/>
              </w:rPr>
            </w:pPr>
          </w:p>
        </w:tc>
        <w:tc>
          <w:tcPr>
            <w:tcW w:w="7888" w:type="dxa"/>
            <w:gridSpan w:val="6"/>
            <w:vAlign w:val="center"/>
          </w:tcPr>
          <w:p w14:paraId="6D53FA52" w14:textId="2CE997C0" w:rsidR="00BD589E" w:rsidRPr="00432EBF" w:rsidRDefault="00BD589E" w:rsidP="00BD589E">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w:t>
            </w:r>
            <w:r w:rsidR="005F1191">
              <w:rPr>
                <w:rFonts w:ascii="Arial Narrow" w:hAnsi="Arial Narrow"/>
                <w:sz w:val="20"/>
                <w:szCs w:val="20"/>
              </w:rPr>
              <w:noBreakHyphen/>
            </w:r>
            <w:r w:rsidRPr="007C52FF">
              <w:rPr>
                <w:rFonts w:ascii="Arial Narrow" w:hAnsi="Arial Narrow"/>
                <w:sz w:val="20"/>
                <w:szCs w:val="20"/>
              </w:rPr>
              <w:t>subsidised treatment</w:t>
            </w:r>
          </w:p>
        </w:tc>
      </w:tr>
      <w:tr w:rsidR="00BD589E" w:rsidRPr="00C02D56" w14:paraId="0CB410F5"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F8C56D5" w14:textId="49B6A46D" w:rsidR="00BD589E" w:rsidRPr="009243D9" w:rsidRDefault="00BD589E" w:rsidP="00BD589E">
            <w:pPr>
              <w:jc w:val="center"/>
              <w:rPr>
                <w:rFonts w:ascii="Arial Narrow" w:hAnsi="Arial Narrow"/>
                <w:i/>
                <w:iCs/>
                <w:color w:val="FF0000"/>
                <w:sz w:val="20"/>
                <w:szCs w:val="20"/>
              </w:rPr>
            </w:pPr>
          </w:p>
        </w:tc>
        <w:tc>
          <w:tcPr>
            <w:tcW w:w="7888" w:type="dxa"/>
            <w:gridSpan w:val="6"/>
            <w:vAlign w:val="center"/>
          </w:tcPr>
          <w:p w14:paraId="45EC137A" w14:textId="37ED5567" w:rsidR="00BD589E" w:rsidRPr="00432EBF" w:rsidRDefault="00BD589E" w:rsidP="00BD589E">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 xml:space="preserve">Where a response assessment is not conducted within the required timeframe, the patient will be deemed </w:t>
            </w:r>
            <w:r w:rsidRPr="008B5012">
              <w:rPr>
                <w:rFonts w:ascii="Arial Narrow" w:hAnsi="Arial Narrow"/>
                <w:i/>
                <w:color w:val="FF0000"/>
                <w:sz w:val="20"/>
                <w:szCs w:val="20"/>
              </w:rPr>
              <w:t xml:space="preserve">to </w:t>
            </w:r>
            <w:r w:rsidR="00FA3C1B" w:rsidRPr="008B5012">
              <w:rPr>
                <w:rFonts w:ascii="Arial Narrow" w:hAnsi="Arial Narrow"/>
                <w:i/>
                <w:color w:val="FF0000"/>
                <w:sz w:val="20"/>
                <w:szCs w:val="20"/>
              </w:rPr>
              <w:t xml:space="preserve">not </w:t>
            </w:r>
            <w:r w:rsidRPr="008B5012" w:rsidDel="0099332A">
              <w:rPr>
                <w:rFonts w:ascii="Arial Narrow" w:hAnsi="Arial Narrow"/>
                <w:i/>
                <w:color w:val="FF0000"/>
                <w:sz w:val="20"/>
                <w:szCs w:val="20"/>
              </w:rPr>
              <w:t>have</w:t>
            </w:r>
            <w:r w:rsidRPr="008B5012">
              <w:rPr>
                <w:rFonts w:ascii="Arial Narrow" w:hAnsi="Arial Narrow"/>
                <w:i/>
                <w:color w:val="FF0000"/>
                <w:sz w:val="20"/>
                <w:szCs w:val="20"/>
              </w:rPr>
              <w:t xml:space="preserve"> respon</w:t>
            </w:r>
            <w:r w:rsidR="00461011" w:rsidRPr="008B5012">
              <w:rPr>
                <w:rFonts w:ascii="Arial Narrow" w:hAnsi="Arial Narrow"/>
                <w:i/>
                <w:color w:val="FF0000"/>
                <w:sz w:val="20"/>
                <w:szCs w:val="20"/>
              </w:rPr>
              <w:t>ded</w:t>
            </w:r>
            <w:r w:rsidRPr="008B5012">
              <w:rPr>
                <w:rFonts w:ascii="Arial Narrow" w:hAnsi="Arial Narrow"/>
                <w:color w:val="FF0000"/>
                <w:sz w:val="20"/>
                <w:szCs w:val="20"/>
              </w:rPr>
              <w:t xml:space="preserve"> </w:t>
            </w:r>
            <w:r w:rsidRPr="007C52FF">
              <w:rPr>
                <w:rFonts w:ascii="Arial Narrow" w:hAnsi="Arial Narrow"/>
                <w:sz w:val="20"/>
                <w:szCs w:val="20"/>
              </w:rPr>
              <w:t>to treatment with this drug, unless the patient has experienced a serious adverse reaction of a severity resulting in the necessity for permanent withdrawal of treatment.</w:t>
            </w:r>
          </w:p>
        </w:tc>
      </w:tr>
      <w:tr w:rsidR="00BD589E" w:rsidRPr="00C02D56" w14:paraId="5172241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CA50691" w14:textId="7ECECDB3" w:rsidR="00BD589E" w:rsidRPr="006C4D95" w:rsidRDefault="00BD589E" w:rsidP="00BD589E">
            <w:pPr>
              <w:jc w:val="center"/>
              <w:rPr>
                <w:rFonts w:ascii="Arial Narrow" w:hAnsi="Arial Narrow"/>
                <w:i/>
                <w:iCs/>
                <w:sz w:val="20"/>
                <w:szCs w:val="20"/>
              </w:rPr>
            </w:pPr>
          </w:p>
        </w:tc>
        <w:tc>
          <w:tcPr>
            <w:tcW w:w="7888" w:type="dxa"/>
            <w:gridSpan w:val="6"/>
            <w:vAlign w:val="center"/>
          </w:tcPr>
          <w:p w14:paraId="31F9A66B" w14:textId="03D391AB" w:rsidR="00BD589E" w:rsidRPr="00432EBF" w:rsidRDefault="00BD589E" w:rsidP="00BD589E">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 xml:space="preserve">If a patient </w:t>
            </w:r>
            <w:r w:rsidR="008D4FDD" w:rsidRPr="008D4FDD">
              <w:rPr>
                <w:rFonts w:ascii="Arial Narrow" w:hAnsi="Arial Narrow"/>
                <w:i/>
                <w:iCs/>
                <w:color w:val="FF0000"/>
                <w:sz w:val="20"/>
                <w:szCs w:val="20"/>
              </w:rPr>
              <w:t>does not</w:t>
            </w:r>
            <w:r w:rsidRPr="008D4FDD">
              <w:rPr>
                <w:rFonts w:ascii="Arial Narrow" w:hAnsi="Arial Narrow"/>
                <w:color w:val="FF0000"/>
                <w:sz w:val="20"/>
                <w:szCs w:val="20"/>
              </w:rPr>
              <w:t xml:space="preserve"> </w:t>
            </w:r>
            <w:r w:rsidRPr="007C52FF">
              <w:rPr>
                <w:rFonts w:ascii="Arial Narrow" w:hAnsi="Arial Narrow"/>
                <w:sz w:val="20"/>
                <w:szCs w:val="20"/>
              </w:rPr>
              <w:t xml:space="preserve">demonstrate a response to treatment with this drug under this </w:t>
            </w:r>
            <w:proofErr w:type="gramStart"/>
            <w:r w:rsidRPr="007C52FF">
              <w:rPr>
                <w:rFonts w:ascii="Arial Narrow" w:hAnsi="Arial Narrow"/>
                <w:sz w:val="20"/>
                <w:szCs w:val="20"/>
              </w:rPr>
              <w:t>restriction</w:t>
            </w:r>
            <w:proofErr w:type="gramEnd"/>
            <w:r w:rsidRPr="007C52FF">
              <w:rPr>
                <w:rFonts w:ascii="Arial Narrow" w:hAnsi="Arial Narrow"/>
                <w:sz w:val="20"/>
                <w:szCs w:val="20"/>
              </w:rPr>
              <w:t xml:space="preserve"> they will not be eligible to receive further PBS</w:t>
            </w:r>
            <w:r w:rsidR="005F1191">
              <w:rPr>
                <w:rFonts w:ascii="Arial Narrow" w:hAnsi="Arial Narrow"/>
                <w:sz w:val="20"/>
                <w:szCs w:val="20"/>
              </w:rPr>
              <w:noBreakHyphen/>
            </w:r>
            <w:r w:rsidRPr="007C52FF">
              <w:rPr>
                <w:rFonts w:ascii="Arial Narrow" w:hAnsi="Arial Narrow"/>
                <w:sz w:val="20"/>
                <w:szCs w:val="20"/>
              </w:rPr>
              <w:t>subsidised treatment with this drug for this condition within this treatment cycle.</w:t>
            </w:r>
          </w:p>
        </w:tc>
      </w:tr>
      <w:tr w:rsidR="00BD589E" w:rsidRPr="00C02D56" w14:paraId="0E07E98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6DFFAE4E" w14:textId="5EB63FA4" w:rsidR="00BD589E" w:rsidRPr="007C52FF" w:rsidRDefault="00BD589E" w:rsidP="00BD589E">
            <w:pPr>
              <w:jc w:val="center"/>
              <w:rPr>
                <w:rFonts w:ascii="Arial Narrow" w:hAnsi="Arial Narrow"/>
                <w:sz w:val="20"/>
                <w:szCs w:val="20"/>
              </w:rPr>
            </w:pPr>
          </w:p>
        </w:tc>
        <w:tc>
          <w:tcPr>
            <w:tcW w:w="7888" w:type="dxa"/>
            <w:gridSpan w:val="6"/>
            <w:vAlign w:val="center"/>
          </w:tcPr>
          <w:p w14:paraId="04CED682" w14:textId="50D02073" w:rsidR="00BD589E" w:rsidRDefault="00BD589E" w:rsidP="00BD589E">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A patient may re</w:t>
            </w:r>
            <w:r w:rsidR="005F1191">
              <w:rPr>
                <w:rFonts w:ascii="Arial Narrow" w:hAnsi="Arial Narrow"/>
                <w:sz w:val="20"/>
                <w:szCs w:val="20"/>
              </w:rPr>
              <w:noBreakHyphen/>
            </w:r>
            <w:r w:rsidRPr="007C52FF">
              <w:rPr>
                <w:rFonts w:ascii="Arial Narrow" w:hAnsi="Arial Narrow"/>
                <w:sz w:val="20"/>
                <w:szCs w:val="20"/>
              </w:rPr>
              <w:t>trial this drug after a minimum of 5 years have elapsed between the date the last prescription for a PBS</w:t>
            </w:r>
            <w:r w:rsidR="005F1191">
              <w:rPr>
                <w:rFonts w:ascii="Arial Narrow" w:hAnsi="Arial Narrow"/>
                <w:sz w:val="20"/>
                <w:szCs w:val="20"/>
              </w:rPr>
              <w:noBreakHyphen/>
            </w:r>
            <w:r w:rsidRPr="007C52FF">
              <w:rPr>
                <w:rFonts w:ascii="Arial Narrow" w:hAnsi="Arial Narrow"/>
                <w:sz w:val="20"/>
                <w:szCs w:val="20"/>
              </w:rPr>
              <w:t>subsidised biological medicine was approved in this cycle and the date of the first application under a new cycle under the Initial 3 treatment restriction.</w:t>
            </w:r>
          </w:p>
        </w:tc>
      </w:tr>
      <w:tr w:rsidR="00BD589E" w:rsidRPr="001428E9" w14:paraId="004A2C4B"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hideMark/>
          </w:tcPr>
          <w:p w14:paraId="50FBAE99" w14:textId="3C9F7952" w:rsidR="00BD4946" w:rsidRPr="00432EBF" w:rsidRDefault="00BD4946" w:rsidP="00BD589E">
            <w:pPr>
              <w:jc w:val="center"/>
              <w:rPr>
                <w:rFonts w:ascii="Arial Narrow" w:hAnsi="Arial Narrow"/>
                <w:sz w:val="20"/>
                <w:szCs w:val="20"/>
              </w:rPr>
            </w:pPr>
          </w:p>
        </w:tc>
        <w:tc>
          <w:tcPr>
            <w:tcW w:w="7888" w:type="dxa"/>
            <w:gridSpan w:val="6"/>
            <w:vAlign w:val="center"/>
            <w:hideMark/>
          </w:tcPr>
          <w:p w14:paraId="415EC1B2" w14:textId="7F060B9B" w:rsidR="005A15B8" w:rsidRDefault="00BD589E" w:rsidP="00BD589E">
            <w:pPr>
              <w:rPr>
                <w:rFonts w:ascii="Arial Narrow" w:hAnsi="Arial Narrow"/>
                <w:sz w:val="20"/>
                <w:szCs w:val="20"/>
              </w:rPr>
            </w:pPr>
            <w:r w:rsidRPr="00432EBF">
              <w:rPr>
                <w:rFonts w:ascii="Arial Narrow" w:hAnsi="Arial Narrow"/>
                <w:b/>
                <w:bCs/>
                <w:sz w:val="20"/>
                <w:szCs w:val="20"/>
              </w:rPr>
              <w:t xml:space="preserve">Administrative Advice: </w:t>
            </w:r>
            <w:r w:rsidRPr="007C52FF">
              <w:rPr>
                <w:rFonts w:ascii="Arial Narrow" w:hAnsi="Arial Narrow"/>
                <w:sz w:val="20"/>
                <w:szCs w:val="20"/>
              </w:rPr>
              <w:t>Any queries concerning the arrangements to prescribe may be directed to Services Australia on 1800 700 270 (hours of operation 8 a.m. to 5 p.m.</w:t>
            </w:r>
            <w:r w:rsidRPr="007C52FF" w:rsidDel="00165A8C">
              <w:rPr>
                <w:rFonts w:ascii="Arial Narrow" w:hAnsi="Arial Narrow"/>
                <w:sz w:val="20"/>
                <w:szCs w:val="20"/>
              </w:rPr>
              <w:t xml:space="preserve"> </w:t>
            </w:r>
            <w:r w:rsidRPr="007C52FF">
              <w:rPr>
                <w:rFonts w:ascii="Arial Narrow" w:hAnsi="Arial Narrow"/>
                <w:sz w:val="20"/>
                <w:szCs w:val="20"/>
              </w:rPr>
              <w:t>Monday to Friday).</w:t>
            </w:r>
          </w:p>
          <w:p w14:paraId="43123DB7" w14:textId="06C0780A" w:rsidR="005A15B8" w:rsidRDefault="00BD589E" w:rsidP="00BD589E">
            <w:pPr>
              <w:rPr>
                <w:rFonts w:ascii="Arial Narrow" w:hAnsi="Arial Narrow"/>
                <w:sz w:val="20"/>
                <w:szCs w:val="20"/>
              </w:rPr>
            </w:pPr>
            <w:r w:rsidRPr="007C52FF">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1" w:history="1">
              <w:r w:rsidR="005A15B8" w:rsidRPr="00D615A4">
                <w:rPr>
                  <w:rStyle w:val="Hyperlink"/>
                  <w:rFonts w:ascii="Arial Narrow" w:hAnsi="Arial Narrow"/>
                  <w:sz w:val="20"/>
                  <w:szCs w:val="20"/>
                </w:rPr>
                <w:t>www.servicesaustralia.gov.au</w:t>
              </w:r>
            </w:hyperlink>
          </w:p>
          <w:p w14:paraId="7344A6C4" w14:textId="0AC135AF" w:rsidR="00B76BB4" w:rsidRDefault="00BD589E" w:rsidP="00BD589E">
            <w:pPr>
              <w:rPr>
                <w:rFonts w:ascii="Arial Narrow" w:hAnsi="Arial Narrow"/>
                <w:sz w:val="20"/>
                <w:szCs w:val="20"/>
              </w:rPr>
            </w:pPr>
            <w:r w:rsidRPr="007C52FF">
              <w:rPr>
                <w:rFonts w:ascii="Arial Narrow" w:hAnsi="Arial Narrow"/>
                <w:sz w:val="20"/>
                <w:szCs w:val="20"/>
              </w:rPr>
              <w:t xml:space="preserve">Applications for authority to prescribe should be submitted online using the form upload facility in Health Professional Online Services (HPOS) at </w:t>
            </w:r>
            <w:hyperlink r:id="rId12" w:history="1">
              <w:r w:rsidR="00B76BB4" w:rsidRPr="00D615A4">
                <w:rPr>
                  <w:rStyle w:val="Hyperlink"/>
                  <w:rFonts w:ascii="Arial Narrow" w:hAnsi="Arial Narrow"/>
                  <w:sz w:val="20"/>
                  <w:szCs w:val="20"/>
                </w:rPr>
                <w:t>www.servicesaustralia.gov.au/hpos</w:t>
              </w:r>
            </w:hyperlink>
          </w:p>
          <w:p w14:paraId="22B8C350" w14:textId="1FF2ED29" w:rsidR="00B76BB4" w:rsidRDefault="00BD589E" w:rsidP="00BD589E">
            <w:pPr>
              <w:rPr>
                <w:rFonts w:ascii="Arial Narrow" w:hAnsi="Arial Narrow"/>
                <w:sz w:val="20"/>
                <w:szCs w:val="20"/>
              </w:rPr>
            </w:pPr>
            <w:r w:rsidRPr="007C52FF">
              <w:rPr>
                <w:rFonts w:ascii="Arial Narrow" w:hAnsi="Arial Narrow"/>
                <w:sz w:val="20"/>
                <w:szCs w:val="20"/>
              </w:rPr>
              <w:t>Or mailed to:</w:t>
            </w:r>
          </w:p>
          <w:p w14:paraId="7482AE27" w14:textId="6D1515BD" w:rsidR="00B76BB4" w:rsidRDefault="00BD589E" w:rsidP="00BD589E">
            <w:pPr>
              <w:rPr>
                <w:rFonts w:ascii="Arial Narrow" w:hAnsi="Arial Narrow"/>
                <w:sz w:val="20"/>
                <w:szCs w:val="20"/>
              </w:rPr>
            </w:pPr>
            <w:r w:rsidRPr="007C52FF">
              <w:rPr>
                <w:rFonts w:ascii="Arial Narrow" w:hAnsi="Arial Narrow"/>
                <w:sz w:val="20"/>
                <w:szCs w:val="20"/>
              </w:rPr>
              <w:t>Services Australia</w:t>
            </w:r>
          </w:p>
          <w:p w14:paraId="6718E2D4" w14:textId="77777777" w:rsidR="00B76BB4" w:rsidRDefault="00BD589E" w:rsidP="00BD589E">
            <w:pPr>
              <w:rPr>
                <w:rFonts w:ascii="Arial Narrow" w:hAnsi="Arial Narrow"/>
                <w:sz w:val="20"/>
                <w:szCs w:val="20"/>
              </w:rPr>
            </w:pPr>
            <w:r w:rsidRPr="007C52FF">
              <w:rPr>
                <w:rFonts w:ascii="Arial Narrow" w:hAnsi="Arial Narrow"/>
                <w:sz w:val="20"/>
                <w:szCs w:val="20"/>
              </w:rPr>
              <w:t>Complex Drugs</w:t>
            </w:r>
          </w:p>
          <w:p w14:paraId="39668069" w14:textId="24EA1D41" w:rsidR="00B76BB4" w:rsidRDefault="00BD589E" w:rsidP="00BD589E">
            <w:pPr>
              <w:rPr>
                <w:rFonts w:ascii="Arial Narrow" w:hAnsi="Arial Narrow"/>
                <w:sz w:val="20"/>
                <w:szCs w:val="20"/>
              </w:rPr>
            </w:pPr>
            <w:r w:rsidRPr="007C52FF">
              <w:rPr>
                <w:rFonts w:ascii="Arial Narrow" w:hAnsi="Arial Narrow"/>
                <w:sz w:val="20"/>
                <w:szCs w:val="20"/>
              </w:rPr>
              <w:t>Reply Paid 9826</w:t>
            </w:r>
          </w:p>
          <w:p w14:paraId="62660E94" w14:textId="24200059" w:rsidR="00BD589E" w:rsidRPr="001428E9" w:rsidRDefault="00BD589E" w:rsidP="00BD589E">
            <w:pPr>
              <w:rPr>
                <w:rFonts w:ascii="Arial Narrow" w:hAnsi="Arial Narrow"/>
                <w:color w:val="333333"/>
                <w:sz w:val="20"/>
                <w:szCs w:val="20"/>
              </w:rPr>
            </w:pPr>
            <w:r w:rsidRPr="007C52FF">
              <w:rPr>
                <w:rFonts w:ascii="Arial Narrow" w:hAnsi="Arial Narrow"/>
                <w:sz w:val="20"/>
                <w:szCs w:val="20"/>
              </w:rPr>
              <w:t>HOBART TAS 7001</w:t>
            </w:r>
          </w:p>
        </w:tc>
      </w:tr>
    </w:tbl>
    <w:p w14:paraId="575A0513" w14:textId="77777777" w:rsidR="007433F7" w:rsidRDefault="007433F7">
      <w:pPr>
        <w:jc w:val="left"/>
      </w:pPr>
    </w:p>
    <w:p w14:paraId="201F3804" w14:textId="67757D62" w:rsidR="000B3CE5" w:rsidRPr="009F5337" w:rsidRDefault="00DA5906" w:rsidP="009F5337">
      <w:pPr>
        <w:jc w:val="left"/>
        <w:rPr>
          <w:b/>
          <w:bCs/>
        </w:rPr>
      </w:pPr>
      <w:r w:rsidRPr="00B76BB4">
        <w:rPr>
          <w:b/>
          <w:bCs/>
        </w:rPr>
        <w:t>Continuing treatment – Face, hand, foot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inuing treatment – Face, hand, foot"/>
      </w:tblPr>
      <w:tblGrid>
        <w:gridCol w:w="571"/>
        <w:gridCol w:w="723"/>
        <w:gridCol w:w="2717"/>
        <w:gridCol w:w="826"/>
        <w:gridCol w:w="827"/>
        <w:gridCol w:w="826"/>
        <w:gridCol w:w="827"/>
        <w:gridCol w:w="1865"/>
      </w:tblGrid>
      <w:tr w:rsidR="00203F56" w:rsidRPr="001428E9" w14:paraId="4BCCE828" w14:textId="77777777" w:rsidTr="00795D5D">
        <w:trPr>
          <w:cantSplit/>
          <w:trHeight w:val="20"/>
        </w:trPr>
        <w:tc>
          <w:tcPr>
            <w:tcW w:w="4011" w:type="dxa"/>
            <w:gridSpan w:val="3"/>
            <w:vAlign w:val="center"/>
          </w:tcPr>
          <w:p w14:paraId="7FA61F5C" w14:textId="77777777" w:rsidR="00203F56" w:rsidRPr="001428E9" w:rsidRDefault="00203F56">
            <w:pPr>
              <w:keepLines/>
              <w:rPr>
                <w:rFonts w:ascii="Arial Narrow" w:hAnsi="Arial Narrow"/>
                <w:b/>
                <w:bCs/>
                <w:sz w:val="20"/>
                <w:szCs w:val="20"/>
              </w:rPr>
            </w:pPr>
            <w:r w:rsidRPr="001428E9">
              <w:rPr>
                <w:rFonts w:ascii="Arial Narrow" w:hAnsi="Arial Narrow"/>
                <w:b/>
                <w:bCs/>
                <w:sz w:val="20"/>
                <w:szCs w:val="20"/>
              </w:rPr>
              <w:t>MEDICINAL PRODUCT</w:t>
            </w:r>
          </w:p>
          <w:p w14:paraId="230DF77F" w14:textId="77777777" w:rsidR="00203F56" w:rsidRPr="001428E9" w:rsidRDefault="00203F56">
            <w:pPr>
              <w:keepLines/>
              <w:rPr>
                <w:rFonts w:ascii="Arial Narrow" w:hAnsi="Arial Narrow"/>
                <w:b/>
                <w:sz w:val="20"/>
                <w:szCs w:val="20"/>
              </w:rPr>
            </w:pPr>
            <w:r w:rsidRPr="001428E9">
              <w:rPr>
                <w:rFonts w:ascii="Arial Narrow" w:hAnsi="Arial Narrow"/>
                <w:b/>
                <w:bCs/>
                <w:sz w:val="20"/>
                <w:szCs w:val="20"/>
              </w:rPr>
              <w:t>medicinal product pack</w:t>
            </w:r>
          </w:p>
        </w:tc>
        <w:tc>
          <w:tcPr>
            <w:tcW w:w="826" w:type="dxa"/>
            <w:vAlign w:val="center"/>
          </w:tcPr>
          <w:p w14:paraId="69DC8C57" w14:textId="77777777" w:rsidR="00203F56" w:rsidRPr="001428E9" w:rsidRDefault="00203F56">
            <w:pPr>
              <w:keepLines/>
              <w:jc w:val="center"/>
              <w:rPr>
                <w:rFonts w:ascii="Arial Narrow" w:hAnsi="Arial Narrow"/>
                <w:b/>
                <w:sz w:val="20"/>
                <w:szCs w:val="20"/>
              </w:rPr>
            </w:pPr>
            <w:r w:rsidRPr="001428E9">
              <w:rPr>
                <w:rFonts w:ascii="Arial Narrow" w:hAnsi="Arial Narrow"/>
                <w:b/>
                <w:sz w:val="20"/>
                <w:szCs w:val="20"/>
              </w:rPr>
              <w:t>PBS item code</w:t>
            </w:r>
          </w:p>
        </w:tc>
        <w:tc>
          <w:tcPr>
            <w:tcW w:w="827" w:type="dxa"/>
            <w:vAlign w:val="center"/>
          </w:tcPr>
          <w:p w14:paraId="4D00D134" w14:textId="77777777" w:rsidR="00203F56" w:rsidRPr="001428E9" w:rsidRDefault="00203F56">
            <w:pPr>
              <w:keepLines/>
              <w:jc w:val="center"/>
              <w:rPr>
                <w:rFonts w:ascii="Arial Narrow" w:hAnsi="Arial Narrow"/>
                <w:b/>
                <w:sz w:val="20"/>
                <w:szCs w:val="20"/>
              </w:rPr>
            </w:pPr>
            <w:r w:rsidRPr="001428E9">
              <w:rPr>
                <w:rFonts w:ascii="Arial Narrow" w:hAnsi="Arial Narrow"/>
                <w:b/>
                <w:sz w:val="20"/>
                <w:szCs w:val="20"/>
              </w:rPr>
              <w:t>Max. qty packs</w:t>
            </w:r>
          </w:p>
        </w:tc>
        <w:tc>
          <w:tcPr>
            <w:tcW w:w="826" w:type="dxa"/>
            <w:vAlign w:val="center"/>
          </w:tcPr>
          <w:p w14:paraId="33668B70" w14:textId="77777777" w:rsidR="00203F56" w:rsidRPr="001428E9" w:rsidRDefault="00203F56">
            <w:pPr>
              <w:keepLines/>
              <w:jc w:val="center"/>
              <w:rPr>
                <w:rFonts w:ascii="Arial Narrow" w:hAnsi="Arial Narrow"/>
                <w:b/>
                <w:sz w:val="20"/>
                <w:szCs w:val="20"/>
              </w:rPr>
            </w:pPr>
            <w:r w:rsidRPr="001428E9">
              <w:rPr>
                <w:rFonts w:ascii="Arial Narrow" w:hAnsi="Arial Narrow"/>
                <w:b/>
                <w:sz w:val="20"/>
                <w:szCs w:val="20"/>
              </w:rPr>
              <w:t>Max. qty units</w:t>
            </w:r>
          </w:p>
        </w:tc>
        <w:tc>
          <w:tcPr>
            <w:tcW w:w="827" w:type="dxa"/>
            <w:vAlign w:val="center"/>
          </w:tcPr>
          <w:p w14:paraId="00000F79" w14:textId="77777777" w:rsidR="00203F56" w:rsidRPr="001428E9" w:rsidRDefault="00203F56">
            <w:pPr>
              <w:keepLines/>
              <w:jc w:val="center"/>
              <w:rPr>
                <w:rFonts w:ascii="Arial Narrow" w:hAnsi="Arial Narrow"/>
                <w:b/>
                <w:sz w:val="20"/>
                <w:szCs w:val="20"/>
              </w:rPr>
            </w:pPr>
            <w:proofErr w:type="gramStart"/>
            <w:r w:rsidRPr="001428E9">
              <w:rPr>
                <w:rFonts w:ascii="Arial Narrow" w:hAnsi="Arial Narrow"/>
                <w:b/>
                <w:sz w:val="20"/>
                <w:szCs w:val="20"/>
              </w:rPr>
              <w:t>№.of</w:t>
            </w:r>
            <w:proofErr w:type="gramEnd"/>
          </w:p>
          <w:p w14:paraId="1D5E48E3" w14:textId="77777777" w:rsidR="00203F56" w:rsidRPr="001428E9" w:rsidRDefault="00203F56">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865" w:type="dxa"/>
            <w:vAlign w:val="center"/>
          </w:tcPr>
          <w:p w14:paraId="451EDB39" w14:textId="77777777" w:rsidR="00203F56" w:rsidRPr="001428E9" w:rsidRDefault="00203F56">
            <w:pPr>
              <w:keepLines/>
              <w:rPr>
                <w:rFonts w:ascii="Arial Narrow" w:hAnsi="Arial Narrow"/>
                <w:b/>
                <w:sz w:val="20"/>
                <w:szCs w:val="20"/>
                <w:lang w:val="fr-FR"/>
              </w:rPr>
            </w:pPr>
            <w:r w:rsidRPr="001428E9">
              <w:rPr>
                <w:rFonts w:ascii="Arial Narrow" w:hAnsi="Arial Narrow"/>
                <w:b/>
                <w:sz w:val="20"/>
                <w:szCs w:val="20"/>
              </w:rPr>
              <w:t>Available brands</w:t>
            </w:r>
          </w:p>
        </w:tc>
      </w:tr>
      <w:tr w:rsidR="00203F56" w:rsidRPr="001428E9" w14:paraId="2133426B" w14:textId="77777777" w:rsidTr="00795D5D">
        <w:trPr>
          <w:cantSplit/>
          <w:trHeight w:val="20"/>
        </w:trPr>
        <w:tc>
          <w:tcPr>
            <w:tcW w:w="9182" w:type="dxa"/>
            <w:gridSpan w:val="8"/>
            <w:vAlign w:val="center"/>
          </w:tcPr>
          <w:p w14:paraId="0EF32731" w14:textId="77777777" w:rsidR="00203F56" w:rsidRPr="001428E9" w:rsidRDefault="00203F56">
            <w:pPr>
              <w:keepLines/>
              <w:rPr>
                <w:rFonts w:ascii="Arial Narrow" w:hAnsi="Arial Narrow"/>
                <w:sz w:val="20"/>
                <w:szCs w:val="20"/>
              </w:rPr>
            </w:pPr>
            <w:r>
              <w:rPr>
                <w:rFonts w:ascii="Arial Narrow" w:hAnsi="Arial Narrow"/>
                <w:sz w:val="20"/>
                <w:szCs w:val="20"/>
              </w:rPr>
              <w:t>TILDRAKIZUMAB</w:t>
            </w:r>
          </w:p>
        </w:tc>
      </w:tr>
      <w:tr w:rsidR="009B70FD" w:rsidRPr="001428E9" w14:paraId="4A9EB608" w14:textId="77777777" w:rsidTr="00795D5D">
        <w:trPr>
          <w:cantSplit/>
          <w:trHeight w:val="20"/>
        </w:trPr>
        <w:tc>
          <w:tcPr>
            <w:tcW w:w="4011" w:type="dxa"/>
            <w:gridSpan w:val="3"/>
            <w:vAlign w:val="center"/>
          </w:tcPr>
          <w:p w14:paraId="2F74E390" w14:textId="159C4F6B" w:rsidR="009B70FD" w:rsidRPr="00A56E6D" w:rsidRDefault="009B70FD" w:rsidP="009B70FD">
            <w:pPr>
              <w:keepLines/>
              <w:rPr>
                <w:rFonts w:ascii="Arial Narrow" w:hAnsi="Arial Narrow"/>
                <w:color w:val="FF0000"/>
                <w:sz w:val="20"/>
                <w:szCs w:val="20"/>
              </w:rPr>
            </w:pPr>
            <w:r w:rsidRPr="00A56E6D">
              <w:rPr>
                <w:rFonts w:ascii="Arial Narrow" w:hAnsi="Arial Narrow"/>
                <w:i/>
                <w:iCs/>
                <w:color w:val="FF0000"/>
                <w:sz w:val="20"/>
                <w:szCs w:val="20"/>
              </w:rPr>
              <w:t xml:space="preserve">tildrakizumab 100 mg/mL injection, </w:t>
            </w:r>
            <w:r w:rsidR="00B06D10">
              <w:rPr>
                <w:rFonts w:ascii="Arial Narrow" w:hAnsi="Arial Narrow"/>
                <w:i/>
                <w:iCs/>
                <w:color w:val="FF0000"/>
                <w:sz w:val="20"/>
                <w:szCs w:val="20"/>
              </w:rPr>
              <w:t xml:space="preserve">2 x </w:t>
            </w:r>
            <w:r w:rsidRPr="00A56E6D">
              <w:rPr>
                <w:rFonts w:ascii="Arial Narrow" w:hAnsi="Arial Narrow"/>
                <w:i/>
                <w:iCs/>
                <w:color w:val="FF0000"/>
                <w:sz w:val="20"/>
                <w:szCs w:val="20"/>
              </w:rPr>
              <w:t>1 mL syringe</w:t>
            </w:r>
          </w:p>
        </w:tc>
        <w:tc>
          <w:tcPr>
            <w:tcW w:w="826" w:type="dxa"/>
            <w:vAlign w:val="center"/>
          </w:tcPr>
          <w:p w14:paraId="3D4D880E" w14:textId="77777777" w:rsidR="009B70FD" w:rsidRDefault="009B70FD" w:rsidP="009B70FD">
            <w:pPr>
              <w:keepLines/>
              <w:jc w:val="center"/>
              <w:rPr>
                <w:rFonts w:ascii="Arial Narrow" w:hAnsi="Arial Narrow"/>
                <w:i/>
                <w:iCs/>
                <w:color w:val="FF0000"/>
                <w:sz w:val="20"/>
                <w:szCs w:val="20"/>
              </w:rPr>
            </w:pPr>
            <w:r w:rsidRPr="00A56E6D">
              <w:rPr>
                <w:rFonts w:ascii="Arial Narrow" w:hAnsi="Arial Narrow"/>
                <w:i/>
                <w:iCs/>
                <w:color w:val="FF0000"/>
                <w:sz w:val="20"/>
                <w:szCs w:val="20"/>
              </w:rPr>
              <w:t>NEW</w:t>
            </w:r>
          </w:p>
          <w:p w14:paraId="324AD2CC" w14:textId="6269487E" w:rsidR="008412E8" w:rsidRPr="00A56E6D" w:rsidRDefault="008412E8" w:rsidP="009B70FD">
            <w:pPr>
              <w:keepLines/>
              <w:jc w:val="center"/>
              <w:rPr>
                <w:rFonts w:ascii="Arial Narrow" w:hAnsi="Arial Narrow"/>
                <w:color w:val="FF0000"/>
                <w:sz w:val="20"/>
                <w:szCs w:val="20"/>
              </w:rPr>
            </w:pPr>
            <w:r w:rsidRPr="00E21126">
              <w:rPr>
                <w:rFonts w:ascii="Arial Narrow" w:hAnsi="Arial Narrow"/>
                <w:i/>
                <w:iCs/>
                <w:color w:val="FF0000"/>
                <w:sz w:val="16"/>
                <w:szCs w:val="16"/>
              </w:rPr>
              <w:t>MP</w:t>
            </w:r>
          </w:p>
        </w:tc>
        <w:tc>
          <w:tcPr>
            <w:tcW w:w="827" w:type="dxa"/>
            <w:vAlign w:val="center"/>
          </w:tcPr>
          <w:p w14:paraId="7B859A85" w14:textId="22B89411" w:rsidR="009B70FD" w:rsidRPr="00A56E6D" w:rsidRDefault="009B70FD" w:rsidP="009B70FD">
            <w:pPr>
              <w:keepLines/>
              <w:jc w:val="center"/>
              <w:rPr>
                <w:rFonts w:ascii="Arial Narrow" w:hAnsi="Arial Narrow"/>
                <w:color w:val="FF0000"/>
                <w:sz w:val="20"/>
                <w:szCs w:val="20"/>
              </w:rPr>
            </w:pPr>
            <w:r w:rsidRPr="00A56E6D">
              <w:rPr>
                <w:rFonts w:ascii="Arial Narrow" w:hAnsi="Arial Narrow"/>
                <w:i/>
                <w:iCs/>
                <w:color w:val="FF0000"/>
                <w:sz w:val="20"/>
                <w:szCs w:val="20"/>
              </w:rPr>
              <w:t>1</w:t>
            </w:r>
          </w:p>
        </w:tc>
        <w:tc>
          <w:tcPr>
            <w:tcW w:w="826" w:type="dxa"/>
            <w:vAlign w:val="center"/>
          </w:tcPr>
          <w:p w14:paraId="4F85EC48" w14:textId="1E150C1F" w:rsidR="009B70FD" w:rsidRPr="00A56E6D" w:rsidRDefault="009B70FD" w:rsidP="009B70FD">
            <w:pPr>
              <w:keepLines/>
              <w:jc w:val="center"/>
              <w:rPr>
                <w:rFonts w:ascii="Arial Narrow" w:hAnsi="Arial Narrow"/>
                <w:color w:val="FF0000"/>
                <w:sz w:val="20"/>
                <w:szCs w:val="20"/>
              </w:rPr>
            </w:pPr>
            <w:r w:rsidRPr="00A56E6D">
              <w:rPr>
                <w:rFonts w:ascii="Arial Narrow" w:hAnsi="Arial Narrow"/>
                <w:i/>
                <w:iCs/>
                <w:color w:val="FF0000"/>
                <w:sz w:val="20"/>
                <w:szCs w:val="20"/>
              </w:rPr>
              <w:t>2</w:t>
            </w:r>
          </w:p>
        </w:tc>
        <w:tc>
          <w:tcPr>
            <w:tcW w:w="827" w:type="dxa"/>
            <w:vAlign w:val="center"/>
          </w:tcPr>
          <w:p w14:paraId="5FC66BAF" w14:textId="21B473A4" w:rsidR="009B70FD" w:rsidRPr="00A56E6D" w:rsidRDefault="009B70FD" w:rsidP="009B70FD">
            <w:pPr>
              <w:keepLines/>
              <w:jc w:val="center"/>
              <w:rPr>
                <w:rFonts w:ascii="Arial Narrow" w:hAnsi="Arial Narrow"/>
                <w:color w:val="FF0000"/>
                <w:sz w:val="20"/>
                <w:szCs w:val="20"/>
              </w:rPr>
            </w:pPr>
            <w:r w:rsidRPr="00A56E6D">
              <w:rPr>
                <w:rFonts w:ascii="Arial Narrow" w:hAnsi="Arial Narrow"/>
                <w:i/>
                <w:iCs/>
                <w:color w:val="FF0000"/>
                <w:sz w:val="20"/>
                <w:szCs w:val="20"/>
              </w:rPr>
              <w:t>1</w:t>
            </w:r>
          </w:p>
        </w:tc>
        <w:tc>
          <w:tcPr>
            <w:tcW w:w="1865" w:type="dxa"/>
            <w:vAlign w:val="center"/>
          </w:tcPr>
          <w:p w14:paraId="5A1DF722" w14:textId="01538BBD" w:rsidR="009B70FD" w:rsidRPr="00A56E6D" w:rsidRDefault="009B70FD" w:rsidP="009B70FD">
            <w:pPr>
              <w:keepLines/>
              <w:rPr>
                <w:rFonts w:ascii="Arial Narrow" w:hAnsi="Arial Narrow"/>
                <w:color w:val="FF0000"/>
                <w:sz w:val="20"/>
                <w:szCs w:val="20"/>
              </w:rPr>
            </w:pPr>
            <w:proofErr w:type="spellStart"/>
            <w:r w:rsidRPr="00A56E6D">
              <w:rPr>
                <w:rFonts w:ascii="Arial Narrow" w:hAnsi="Arial Narrow"/>
                <w:i/>
                <w:iCs/>
                <w:color w:val="FF0000"/>
                <w:sz w:val="20"/>
                <w:szCs w:val="20"/>
              </w:rPr>
              <w:t>Ilumya</w:t>
            </w:r>
            <w:proofErr w:type="spellEnd"/>
          </w:p>
        </w:tc>
      </w:tr>
      <w:tr w:rsidR="00203F56" w:rsidRPr="001428E9" w14:paraId="4504CC40" w14:textId="77777777" w:rsidTr="00795D5D">
        <w:tblPrEx>
          <w:tblCellMar>
            <w:top w:w="15" w:type="dxa"/>
            <w:bottom w:w="15" w:type="dxa"/>
          </w:tblCellMar>
          <w:tblLook w:val="04A0" w:firstRow="1" w:lastRow="0" w:firstColumn="1" w:lastColumn="0" w:noHBand="0" w:noVBand="1"/>
        </w:tblPrEx>
        <w:trPr>
          <w:trHeight w:val="20"/>
        </w:trPr>
        <w:tc>
          <w:tcPr>
            <w:tcW w:w="9182" w:type="dxa"/>
            <w:gridSpan w:val="8"/>
            <w:tcBorders>
              <w:top w:val="single" w:sz="4" w:space="0" w:color="auto"/>
              <w:left w:val="single" w:sz="4" w:space="0" w:color="auto"/>
              <w:right w:val="single" w:sz="4" w:space="0" w:color="auto"/>
            </w:tcBorders>
            <w:vAlign w:val="center"/>
          </w:tcPr>
          <w:p w14:paraId="67871A32" w14:textId="77777777" w:rsidR="00203F56" w:rsidRPr="001428E9" w:rsidRDefault="00203F56">
            <w:pPr>
              <w:rPr>
                <w:rFonts w:ascii="Arial Narrow" w:hAnsi="Arial Narrow"/>
                <w:sz w:val="20"/>
                <w:szCs w:val="20"/>
              </w:rPr>
            </w:pPr>
          </w:p>
        </w:tc>
      </w:tr>
      <w:tr w:rsidR="00203F56" w:rsidRPr="001428E9" w14:paraId="50CD8B1F"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val="restart"/>
            <w:tcBorders>
              <w:top w:val="single" w:sz="4" w:space="0" w:color="auto"/>
              <w:left w:val="single" w:sz="4" w:space="0" w:color="auto"/>
              <w:right w:val="single" w:sz="4" w:space="0" w:color="auto"/>
            </w:tcBorders>
          </w:tcPr>
          <w:p w14:paraId="5ADA5BB4" w14:textId="77777777" w:rsidR="00203F56" w:rsidRPr="001428E9" w:rsidRDefault="00203F56">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05FCDD97" w14:textId="680B16A1" w:rsidR="00203F56" w:rsidRPr="001428E9" w:rsidRDefault="00203F56">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w:t>
            </w:r>
            <w:r w:rsidR="005F1191">
              <w:rPr>
                <w:rFonts w:ascii="Arial Narrow" w:eastAsia="Calibri" w:hAnsi="Arial Narrow"/>
                <w:sz w:val="20"/>
                <w:szCs w:val="20"/>
              </w:rPr>
              <w:noBreakHyphen/>
            </w:r>
            <w:r>
              <w:rPr>
                <w:rFonts w:ascii="Arial Narrow" w:eastAsia="Calibri" w:hAnsi="Arial Narrow"/>
                <w:sz w:val="20"/>
                <w:szCs w:val="20"/>
              </w:rPr>
              <w:t xml:space="preserve"> </w:t>
            </w:r>
            <w:proofErr w:type="spellStart"/>
            <w:r>
              <w:rPr>
                <w:rFonts w:ascii="Arial Narrow" w:eastAsia="Calibri" w:hAnsi="Arial Narrow"/>
                <w:sz w:val="20"/>
                <w:szCs w:val="20"/>
              </w:rPr>
              <w:t>General</w:t>
            </w:r>
            <w:proofErr w:type="spellEnd"/>
            <w:r>
              <w:rPr>
                <w:rFonts w:ascii="Arial Narrow" w:eastAsia="Calibri" w:hAnsi="Arial Narrow"/>
                <w:sz w:val="20"/>
                <w:szCs w:val="20"/>
              </w:rPr>
              <w:t xml:space="preserve"> Schedule (Code GE)</w:t>
            </w:r>
          </w:p>
        </w:tc>
      </w:tr>
      <w:tr w:rsidR="00203F56" w:rsidRPr="001428E9" w14:paraId="14BA9524"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tcBorders>
              <w:left w:val="single" w:sz="4" w:space="0" w:color="auto"/>
              <w:right w:val="single" w:sz="4" w:space="0" w:color="auto"/>
            </w:tcBorders>
          </w:tcPr>
          <w:p w14:paraId="785F16F9" w14:textId="77777777" w:rsidR="00203F56" w:rsidRPr="001428E9" w:rsidRDefault="00203F56">
            <w:pPr>
              <w:rPr>
                <w:rFonts w:ascii="Arial Narrow" w:hAnsi="Arial Narrow"/>
                <w:sz w:val="20"/>
                <w:szCs w:val="20"/>
              </w:rPr>
            </w:pP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7301522E" w14:textId="77777777" w:rsidR="00203F56" w:rsidRPr="001428E9" w:rsidRDefault="00203F56">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w:t>
            </w:r>
            <w:r w:rsidRPr="001428E9">
              <w:rPr>
                <w:rFonts w:ascii="Arial Narrow" w:hAnsi="Arial Narrow"/>
                <w:sz w:val="20"/>
                <w:szCs w:val="20"/>
              </w:rPr>
              <w:t xml:space="preserve">Medical Practitioners </w:t>
            </w:r>
          </w:p>
        </w:tc>
      </w:tr>
      <w:tr w:rsidR="00203F56" w:rsidRPr="00D56F94" w14:paraId="39121A4F"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tcBorders>
              <w:left w:val="single" w:sz="4" w:space="0" w:color="auto"/>
              <w:right w:val="single" w:sz="4" w:space="0" w:color="auto"/>
            </w:tcBorders>
          </w:tcPr>
          <w:p w14:paraId="54F8453E" w14:textId="77777777" w:rsidR="00203F56" w:rsidRPr="001428E9" w:rsidRDefault="00203F56">
            <w:pPr>
              <w:rPr>
                <w:rFonts w:ascii="Arial Narrow" w:hAnsi="Arial Narrow"/>
                <w:sz w:val="20"/>
                <w:szCs w:val="20"/>
              </w:rPr>
            </w:pP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53853A15" w14:textId="4150C5B0" w:rsidR="00203F56" w:rsidRPr="00D56F94" w:rsidRDefault="00203F56">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w:t>
            </w:r>
            <w:r w:rsidRPr="001428E9">
              <w:rPr>
                <w:rFonts w:ascii="Arial Narrow" w:eastAsia="Calibri" w:hAnsi="Arial Narrow"/>
                <w:sz w:val="20"/>
                <w:szCs w:val="20"/>
              </w:rPr>
              <w:t>Authority Required (</w:t>
            </w:r>
            <w:r w:rsidR="00C939AB">
              <w:rPr>
                <w:rFonts w:ascii="Arial Narrow" w:eastAsia="Calibri" w:hAnsi="Arial Narrow"/>
                <w:sz w:val="20"/>
                <w:szCs w:val="20"/>
              </w:rPr>
              <w:t>W</w:t>
            </w:r>
            <w:r w:rsidRPr="00175787">
              <w:rPr>
                <w:rFonts w:ascii="Arial Narrow" w:eastAsia="Calibri" w:hAnsi="Arial Narrow"/>
                <w:sz w:val="20"/>
                <w:szCs w:val="20"/>
              </w:rPr>
              <w:t>ritten/</w:t>
            </w:r>
            <w:r w:rsidR="00C939AB">
              <w:rPr>
                <w:rFonts w:ascii="Arial Narrow" w:eastAsia="Calibri" w:hAnsi="Arial Narrow"/>
                <w:sz w:val="20"/>
                <w:szCs w:val="20"/>
              </w:rPr>
              <w:t>O</w:t>
            </w:r>
            <w:r w:rsidRPr="00175787">
              <w:rPr>
                <w:rFonts w:ascii="Arial Narrow" w:eastAsia="Calibri" w:hAnsi="Arial Narrow"/>
                <w:sz w:val="20"/>
                <w:szCs w:val="20"/>
              </w:rPr>
              <w:t xml:space="preserve">nline PBS </w:t>
            </w:r>
            <w:r w:rsidR="00C939AB">
              <w:rPr>
                <w:rFonts w:ascii="Arial Narrow" w:eastAsia="Calibri" w:hAnsi="Arial Narrow"/>
                <w:sz w:val="20"/>
                <w:szCs w:val="20"/>
              </w:rPr>
              <w:t>A</w:t>
            </w:r>
            <w:r w:rsidRPr="00175787">
              <w:rPr>
                <w:rFonts w:ascii="Arial Narrow" w:eastAsia="Calibri" w:hAnsi="Arial Narrow"/>
                <w:sz w:val="20"/>
                <w:szCs w:val="20"/>
              </w:rPr>
              <w:t>uthorities systems</w:t>
            </w:r>
            <w:r w:rsidRPr="001428E9">
              <w:rPr>
                <w:rFonts w:ascii="Arial Narrow" w:eastAsia="Calibri" w:hAnsi="Arial Narrow"/>
                <w:sz w:val="20"/>
                <w:szCs w:val="20"/>
              </w:rPr>
              <w:t>)</w:t>
            </w:r>
          </w:p>
        </w:tc>
      </w:tr>
      <w:tr w:rsidR="00203F56" w:rsidRPr="006074EB" w14:paraId="363F1F35" w14:textId="77777777" w:rsidTr="00795D5D">
        <w:tblPrEx>
          <w:tblCellMar>
            <w:top w:w="15" w:type="dxa"/>
            <w:bottom w:w="15" w:type="dxa"/>
          </w:tblCellMar>
          <w:tblLook w:val="04A0" w:firstRow="1" w:lastRow="0" w:firstColumn="1" w:lastColumn="0" w:noHBand="0" w:noVBand="1"/>
        </w:tblPrEx>
        <w:trPr>
          <w:trHeight w:val="20"/>
        </w:trPr>
        <w:tc>
          <w:tcPr>
            <w:tcW w:w="571" w:type="dxa"/>
            <w:vMerge w:val="restart"/>
            <w:tcBorders>
              <w:left w:val="single" w:sz="4" w:space="0" w:color="auto"/>
              <w:right w:val="single" w:sz="4" w:space="0" w:color="auto"/>
            </w:tcBorders>
            <w:textDirection w:val="btLr"/>
            <w:vAlign w:val="center"/>
          </w:tcPr>
          <w:p w14:paraId="06882B02" w14:textId="77777777" w:rsidR="00203F56" w:rsidRPr="00432EBF" w:rsidRDefault="00203F56">
            <w:pPr>
              <w:jc w:val="center"/>
              <w:rPr>
                <w:rFonts w:ascii="Arial Narrow" w:hAnsi="Arial Narrow"/>
                <w:sz w:val="20"/>
                <w:szCs w:val="20"/>
              </w:rPr>
            </w:pPr>
            <w:r w:rsidRPr="00432EBF">
              <w:rPr>
                <w:rFonts w:ascii="Arial Narrow" w:hAnsi="Arial Narrow"/>
                <w:sz w:val="20"/>
                <w:szCs w:val="20"/>
              </w:rPr>
              <w:t>Prescribing rule level</w:t>
            </w:r>
          </w:p>
        </w:tc>
        <w:tc>
          <w:tcPr>
            <w:tcW w:w="723" w:type="dxa"/>
            <w:vAlign w:val="center"/>
          </w:tcPr>
          <w:p w14:paraId="30E6AB31" w14:textId="4CFE2118" w:rsidR="00203F56" w:rsidRPr="001428E9" w:rsidRDefault="00203F56">
            <w:pPr>
              <w:jc w:val="center"/>
              <w:rPr>
                <w:rFonts w:ascii="Arial Narrow" w:hAnsi="Arial Narrow"/>
                <w:color w:val="333333"/>
                <w:sz w:val="20"/>
                <w:szCs w:val="20"/>
              </w:rPr>
            </w:pPr>
          </w:p>
        </w:tc>
        <w:tc>
          <w:tcPr>
            <w:tcW w:w="7888" w:type="dxa"/>
            <w:gridSpan w:val="6"/>
            <w:vAlign w:val="center"/>
          </w:tcPr>
          <w:p w14:paraId="1C424ADF" w14:textId="77777777" w:rsidR="00203F56" w:rsidRPr="006074EB" w:rsidRDefault="00203F56">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 ABRIGED: </w:t>
            </w:r>
            <w:r w:rsidRPr="007C52FF">
              <w:rPr>
                <w:rFonts w:ascii="Arial Narrow" w:hAnsi="Arial Narrow"/>
                <w:sz w:val="20"/>
                <w:szCs w:val="20"/>
              </w:rPr>
              <w:t>TREATMENT OF ADULT PATIENTS WITH SEVERE CHRONIC PLAQUE PSORIASIS</w:t>
            </w:r>
          </w:p>
        </w:tc>
      </w:tr>
      <w:tr w:rsidR="00203F56" w:rsidRPr="00432EBF" w14:paraId="66AEED09"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right w:val="single" w:sz="4" w:space="0" w:color="auto"/>
            </w:tcBorders>
          </w:tcPr>
          <w:p w14:paraId="2E9D180F" w14:textId="77777777" w:rsidR="00203F56" w:rsidRPr="00432EBF" w:rsidRDefault="00203F56">
            <w:pPr>
              <w:rPr>
                <w:rFonts w:ascii="Arial Narrow" w:hAnsi="Arial Narrow"/>
                <w:sz w:val="20"/>
                <w:szCs w:val="20"/>
              </w:rPr>
            </w:pPr>
          </w:p>
        </w:tc>
        <w:tc>
          <w:tcPr>
            <w:tcW w:w="723" w:type="dxa"/>
            <w:vAlign w:val="center"/>
          </w:tcPr>
          <w:p w14:paraId="5BB0CF30" w14:textId="3D508DEB" w:rsidR="00203F56" w:rsidRPr="00432EBF" w:rsidRDefault="00203F56">
            <w:pPr>
              <w:jc w:val="center"/>
              <w:rPr>
                <w:rFonts w:ascii="Arial Narrow" w:hAnsi="Arial Narrow"/>
                <w:sz w:val="20"/>
                <w:szCs w:val="20"/>
              </w:rPr>
            </w:pPr>
          </w:p>
        </w:tc>
        <w:tc>
          <w:tcPr>
            <w:tcW w:w="7888" w:type="dxa"/>
            <w:gridSpan w:val="6"/>
            <w:vAlign w:val="center"/>
          </w:tcPr>
          <w:p w14:paraId="2909592D" w14:textId="77777777" w:rsidR="00203F56" w:rsidRPr="00432EBF" w:rsidRDefault="00203F56">
            <w:pPr>
              <w:rPr>
                <w:rFonts w:ascii="Arial Narrow" w:hAnsi="Arial Narrow"/>
                <w:b/>
                <w:bCs/>
                <w:sz w:val="20"/>
                <w:szCs w:val="20"/>
              </w:rPr>
            </w:pPr>
            <w:r w:rsidRPr="00432EBF">
              <w:rPr>
                <w:rFonts w:ascii="Arial Narrow" w:hAnsi="Arial Narrow"/>
                <w:b/>
                <w:bCs/>
                <w:sz w:val="20"/>
                <w:szCs w:val="20"/>
              </w:rPr>
              <w:t>Administrative Advice:</w:t>
            </w:r>
            <w:r w:rsidRPr="007C52FF">
              <w:rPr>
                <w:rFonts w:ascii="Arial Narrow" w:hAnsi="Arial Narrow"/>
                <w:sz w:val="20"/>
                <w:szCs w:val="20"/>
              </w:rPr>
              <w:t xml:space="preserve"> No increase in the maximum quantity or number of units may be authorised.</w:t>
            </w:r>
          </w:p>
        </w:tc>
      </w:tr>
      <w:tr w:rsidR="00203F56" w:rsidRPr="00432EBF" w14:paraId="07509427"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right w:val="single" w:sz="4" w:space="0" w:color="auto"/>
            </w:tcBorders>
          </w:tcPr>
          <w:p w14:paraId="5FC85C5E" w14:textId="77777777" w:rsidR="00203F56" w:rsidRPr="00432EBF" w:rsidRDefault="00203F56">
            <w:pPr>
              <w:rPr>
                <w:rFonts w:ascii="Arial Narrow" w:hAnsi="Arial Narrow"/>
                <w:sz w:val="20"/>
                <w:szCs w:val="20"/>
              </w:rPr>
            </w:pPr>
          </w:p>
        </w:tc>
        <w:tc>
          <w:tcPr>
            <w:tcW w:w="723" w:type="dxa"/>
            <w:vAlign w:val="center"/>
          </w:tcPr>
          <w:p w14:paraId="248C63C8" w14:textId="30DED142" w:rsidR="00203F56" w:rsidRPr="00432EBF" w:rsidRDefault="00203F56">
            <w:pPr>
              <w:jc w:val="center"/>
              <w:rPr>
                <w:rFonts w:ascii="Arial Narrow" w:hAnsi="Arial Narrow"/>
                <w:sz w:val="20"/>
                <w:szCs w:val="20"/>
              </w:rPr>
            </w:pPr>
          </w:p>
        </w:tc>
        <w:tc>
          <w:tcPr>
            <w:tcW w:w="7888" w:type="dxa"/>
            <w:gridSpan w:val="6"/>
            <w:vAlign w:val="center"/>
          </w:tcPr>
          <w:p w14:paraId="38DCBD22" w14:textId="77777777" w:rsidR="00203F56" w:rsidRPr="00432EBF" w:rsidRDefault="00203F56">
            <w:pPr>
              <w:rPr>
                <w:rFonts w:ascii="Arial Narrow" w:hAnsi="Arial Narrow"/>
                <w:b/>
                <w:bCs/>
                <w:sz w:val="20"/>
                <w:szCs w:val="20"/>
              </w:rPr>
            </w:pPr>
            <w:r w:rsidRPr="00432EBF">
              <w:rPr>
                <w:rFonts w:ascii="Arial Narrow" w:hAnsi="Arial Narrow"/>
                <w:b/>
                <w:bCs/>
                <w:sz w:val="20"/>
                <w:szCs w:val="20"/>
              </w:rPr>
              <w:t>Administrative Advice:</w:t>
            </w:r>
            <w:r w:rsidRPr="007C52FF">
              <w:rPr>
                <w:rFonts w:ascii="Arial Narrow" w:hAnsi="Arial Narrow"/>
                <w:sz w:val="20"/>
                <w:szCs w:val="20"/>
              </w:rPr>
              <w:t xml:space="preserve"> No increase in the maximum number of repeats may be authorised.</w:t>
            </w:r>
          </w:p>
        </w:tc>
      </w:tr>
      <w:tr w:rsidR="00203F56" w:rsidRPr="00432EBF" w14:paraId="2F24A404"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bottom w:val="single" w:sz="4" w:space="0" w:color="auto"/>
              <w:right w:val="single" w:sz="4" w:space="0" w:color="auto"/>
            </w:tcBorders>
          </w:tcPr>
          <w:p w14:paraId="395044A1" w14:textId="77777777" w:rsidR="00203F56" w:rsidRPr="00432EBF" w:rsidRDefault="00203F56">
            <w:pPr>
              <w:rPr>
                <w:rFonts w:ascii="Arial Narrow" w:hAnsi="Arial Narrow"/>
                <w:sz w:val="20"/>
                <w:szCs w:val="20"/>
              </w:rPr>
            </w:pPr>
          </w:p>
        </w:tc>
        <w:tc>
          <w:tcPr>
            <w:tcW w:w="723" w:type="dxa"/>
            <w:vAlign w:val="center"/>
          </w:tcPr>
          <w:p w14:paraId="5765B19F" w14:textId="5773E90B" w:rsidR="00203F56" w:rsidRPr="007C52FF" w:rsidRDefault="00203F56">
            <w:pPr>
              <w:jc w:val="center"/>
              <w:rPr>
                <w:rFonts w:ascii="Arial Narrow" w:hAnsi="Arial Narrow"/>
                <w:sz w:val="20"/>
                <w:szCs w:val="20"/>
              </w:rPr>
            </w:pPr>
          </w:p>
        </w:tc>
        <w:tc>
          <w:tcPr>
            <w:tcW w:w="7888" w:type="dxa"/>
            <w:gridSpan w:val="6"/>
            <w:vAlign w:val="center"/>
          </w:tcPr>
          <w:p w14:paraId="735C187F" w14:textId="77777777" w:rsidR="00203F56" w:rsidRPr="00432EBF" w:rsidRDefault="00203F56">
            <w:pPr>
              <w:rPr>
                <w:rFonts w:ascii="Arial Narrow" w:hAnsi="Arial Narrow"/>
                <w:b/>
                <w:bCs/>
                <w:sz w:val="20"/>
                <w:szCs w:val="20"/>
              </w:rPr>
            </w:pPr>
            <w:r>
              <w:rPr>
                <w:rFonts w:ascii="Arial Narrow" w:hAnsi="Arial Narrow"/>
                <w:b/>
                <w:bCs/>
                <w:sz w:val="20"/>
                <w:szCs w:val="20"/>
              </w:rPr>
              <w:t xml:space="preserve">Administrative Advice: </w:t>
            </w:r>
            <w:r w:rsidRPr="007C52FF">
              <w:rPr>
                <w:rFonts w:ascii="Arial Narrow" w:hAnsi="Arial Narrow"/>
                <w:sz w:val="20"/>
                <w:szCs w:val="20"/>
              </w:rPr>
              <w:t>Special Pricing Arrangements apply.</w:t>
            </w:r>
          </w:p>
        </w:tc>
      </w:tr>
      <w:tr w:rsidR="00203F56" w:rsidRPr="001428E9" w14:paraId="2375F28C"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BB50C3D" w14:textId="0C10FCFF" w:rsidR="00203F56" w:rsidRPr="00432EBF" w:rsidRDefault="00203F56">
            <w:pPr>
              <w:keepLines/>
              <w:jc w:val="center"/>
              <w:rPr>
                <w:rFonts w:ascii="Arial Narrow" w:hAnsi="Arial Narrow"/>
                <w:sz w:val="20"/>
                <w:szCs w:val="20"/>
              </w:rPr>
            </w:pPr>
          </w:p>
        </w:tc>
        <w:tc>
          <w:tcPr>
            <w:tcW w:w="7888" w:type="dxa"/>
            <w:gridSpan w:val="6"/>
            <w:vAlign w:val="center"/>
            <w:hideMark/>
          </w:tcPr>
          <w:p w14:paraId="5BA35162" w14:textId="77777777" w:rsidR="00203F56" w:rsidRPr="001428E9" w:rsidRDefault="00203F56">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C52FF">
              <w:rPr>
                <w:rFonts w:ascii="Arial Narrow" w:hAnsi="Arial Narrow"/>
                <w:sz w:val="20"/>
                <w:szCs w:val="20"/>
              </w:rPr>
              <w:t>Severe chronic plaque psoriasis</w:t>
            </w:r>
          </w:p>
        </w:tc>
      </w:tr>
      <w:tr w:rsidR="00203F56" w:rsidRPr="001428E9" w14:paraId="6FA60956"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EE6A572" w14:textId="77777777" w:rsidR="00203F56" w:rsidRPr="00432EBF" w:rsidRDefault="00203F56" w:rsidP="00203F56">
            <w:pPr>
              <w:jc w:val="center"/>
              <w:rPr>
                <w:rFonts w:ascii="Arial Narrow" w:hAnsi="Arial Narrow"/>
                <w:sz w:val="20"/>
                <w:szCs w:val="20"/>
              </w:rPr>
            </w:pPr>
          </w:p>
        </w:tc>
        <w:tc>
          <w:tcPr>
            <w:tcW w:w="7888" w:type="dxa"/>
            <w:gridSpan w:val="6"/>
            <w:vAlign w:val="center"/>
            <w:hideMark/>
          </w:tcPr>
          <w:p w14:paraId="7165F648" w14:textId="2D1CCBD9" w:rsidR="00203F56" w:rsidRPr="001428E9" w:rsidRDefault="00203F56" w:rsidP="00203F56">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7C52FF">
              <w:rPr>
                <w:rFonts w:ascii="Arial Narrow" w:hAnsi="Arial Narrow"/>
                <w:sz w:val="20"/>
                <w:szCs w:val="20"/>
              </w:rPr>
              <w:t>Continuing treatment, Face, hand, foot</w:t>
            </w:r>
          </w:p>
        </w:tc>
      </w:tr>
      <w:tr w:rsidR="00203F56" w:rsidRPr="00432EBF" w14:paraId="00A77B38"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FC118B5" w14:textId="75D2A67E" w:rsidR="00203F56" w:rsidRPr="00432EBF" w:rsidRDefault="00203F56">
            <w:pPr>
              <w:jc w:val="center"/>
              <w:rPr>
                <w:rFonts w:ascii="Arial Narrow" w:hAnsi="Arial Narrow"/>
                <w:sz w:val="20"/>
                <w:szCs w:val="20"/>
              </w:rPr>
            </w:pPr>
          </w:p>
        </w:tc>
        <w:tc>
          <w:tcPr>
            <w:tcW w:w="7888" w:type="dxa"/>
            <w:gridSpan w:val="6"/>
            <w:vAlign w:val="center"/>
            <w:hideMark/>
          </w:tcPr>
          <w:p w14:paraId="3DDDCA52" w14:textId="77777777" w:rsidR="00203F56" w:rsidRPr="00432EBF" w:rsidRDefault="00203F56">
            <w:pPr>
              <w:jc w:val="left"/>
              <w:rPr>
                <w:rFonts w:ascii="Arial Narrow" w:hAnsi="Arial Narrow"/>
                <w:sz w:val="20"/>
                <w:szCs w:val="20"/>
              </w:rPr>
            </w:pPr>
            <w:r w:rsidRPr="00432EBF">
              <w:rPr>
                <w:rFonts w:ascii="Arial Narrow" w:hAnsi="Arial Narrow"/>
                <w:b/>
                <w:bCs/>
                <w:sz w:val="20"/>
                <w:szCs w:val="20"/>
              </w:rPr>
              <w:t>Clinical criteria:</w:t>
            </w:r>
          </w:p>
        </w:tc>
      </w:tr>
      <w:tr w:rsidR="00203F56" w:rsidRPr="00991316" w14:paraId="1F1C1F10"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342EB523" w14:textId="7C75AA4A" w:rsidR="00203F56" w:rsidRPr="00432EBF" w:rsidRDefault="00203F56">
            <w:pPr>
              <w:jc w:val="center"/>
              <w:rPr>
                <w:rFonts w:ascii="Arial Narrow" w:hAnsi="Arial Narrow"/>
                <w:sz w:val="20"/>
                <w:szCs w:val="20"/>
              </w:rPr>
            </w:pPr>
          </w:p>
        </w:tc>
        <w:tc>
          <w:tcPr>
            <w:tcW w:w="7888" w:type="dxa"/>
            <w:gridSpan w:val="6"/>
            <w:vAlign w:val="center"/>
            <w:hideMark/>
          </w:tcPr>
          <w:p w14:paraId="7EE7D67B" w14:textId="3F6E167D" w:rsidR="00203F56" w:rsidRPr="00991316" w:rsidRDefault="00203F56">
            <w:pPr>
              <w:rPr>
                <w:rFonts w:ascii="Arial Narrow" w:hAnsi="Arial Narrow"/>
                <w:sz w:val="20"/>
                <w:szCs w:val="20"/>
              </w:rPr>
            </w:pPr>
            <w:r w:rsidRPr="007C52FF">
              <w:rPr>
                <w:rFonts w:ascii="Arial Narrow" w:hAnsi="Arial Narrow"/>
                <w:sz w:val="20"/>
                <w:szCs w:val="20"/>
              </w:rPr>
              <w:t>Patient must have received this drug as their most recent course of PBS</w:t>
            </w:r>
            <w:r w:rsidR="005F1191">
              <w:rPr>
                <w:rFonts w:ascii="Arial Narrow" w:hAnsi="Arial Narrow"/>
                <w:sz w:val="20"/>
                <w:szCs w:val="20"/>
              </w:rPr>
              <w:noBreakHyphen/>
            </w:r>
            <w:r w:rsidRPr="007C52FF">
              <w:rPr>
                <w:rFonts w:ascii="Arial Narrow" w:hAnsi="Arial Narrow"/>
                <w:sz w:val="20"/>
                <w:szCs w:val="20"/>
              </w:rPr>
              <w:t>subsidised biological medicine treatment for this condition</w:t>
            </w:r>
          </w:p>
        </w:tc>
      </w:tr>
      <w:tr w:rsidR="00203F56" w:rsidRPr="00432EBF" w14:paraId="1CCE4576"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4E07A1D" w14:textId="77777777" w:rsidR="00203F56" w:rsidRPr="00432EBF" w:rsidRDefault="00203F56">
            <w:pPr>
              <w:jc w:val="center"/>
              <w:rPr>
                <w:rFonts w:ascii="Arial Narrow" w:hAnsi="Arial Narrow"/>
                <w:sz w:val="20"/>
                <w:szCs w:val="20"/>
              </w:rPr>
            </w:pPr>
          </w:p>
        </w:tc>
        <w:tc>
          <w:tcPr>
            <w:tcW w:w="7888" w:type="dxa"/>
            <w:gridSpan w:val="6"/>
            <w:vAlign w:val="center"/>
            <w:hideMark/>
          </w:tcPr>
          <w:p w14:paraId="02B96116" w14:textId="77777777" w:rsidR="00203F56" w:rsidRPr="00432EBF" w:rsidRDefault="00203F56">
            <w:pPr>
              <w:rPr>
                <w:rFonts w:ascii="Arial Narrow" w:hAnsi="Arial Narrow"/>
                <w:sz w:val="20"/>
                <w:szCs w:val="20"/>
              </w:rPr>
            </w:pPr>
            <w:r w:rsidRPr="00432EBF">
              <w:rPr>
                <w:rFonts w:ascii="Arial Narrow" w:hAnsi="Arial Narrow"/>
                <w:b/>
                <w:bCs/>
                <w:sz w:val="20"/>
                <w:szCs w:val="20"/>
              </w:rPr>
              <w:t>AND</w:t>
            </w:r>
          </w:p>
        </w:tc>
      </w:tr>
      <w:tr w:rsidR="00203F56" w:rsidRPr="00432EBF" w14:paraId="0B923A9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304B89C0" w14:textId="1039933C" w:rsidR="00081C75" w:rsidRPr="00062DD9" w:rsidRDefault="00081C75">
            <w:pPr>
              <w:jc w:val="center"/>
              <w:rPr>
                <w:rFonts w:ascii="Arial Narrow" w:hAnsi="Arial Narrow"/>
                <w:i/>
                <w:iCs/>
                <w:color w:val="FF0000"/>
                <w:sz w:val="20"/>
                <w:szCs w:val="20"/>
              </w:rPr>
            </w:pPr>
          </w:p>
        </w:tc>
        <w:tc>
          <w:tcPr>
            <w:tcW w:w="7888" w:type="dxa"/>
            <w:gridSpan w:val="6"/>
            <w:vAlign w:val="center"/>
            <w:hideMark/>
          </w:tcPr>
          <w:p w14:paraId="5CF058F9" w14:textId="77777777" w:rsidR="00203F56" w:rsidRPr="00432EBF" w:rsidRDefault="00203F56">
            <w:pPr>
              <w:rPr>
                <w:rFonts w:ascii="Arial Narrow" w:hAnsi="Arial Narrow"/>
                <w:sz w:val="20"/>
                <w:szCs w:val="20"/>
              </w:rPr>
            </w:pPr>
            <w:r w:rsidRPr="00432EBF">
              <w:rPr>
                <w:rFonts w:ascii="Arial Narrow" w:hAnsi="Arial Narrow"/>
                <w:b/>
                <w:bCs/>
                <w:sz w:val="20"/>
                <w:szCs w:val="20"/>
              </w:rPr>
              <w:t>Clinical criteria:</w:t>
            </w:r>
          </w:p>
        </w:tc>
      </w:tr>
      <w:tr w:rsidR="00203F56" w:rsidRPr="00432EBF" w14:paraId="3C0CC8C8"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3DDE562" w14:textId="6F2E0FAC" w:rsidR="00081C75" w:rsidRPr="00062DD9" w:rsidRDefault="00081C75" w:rsidP="00081C75">
            <w:pPr>
              <w:jc w:val="center"/>
              <w:rPr>
                <w:rFonts w:ascii="Arial Narrow" w:hAnsi="Arial Narrow"/>
                <w:i/>
                <w:iCs/>
                <w:color w:val="FF0000"/>
                <w:sz w:val="20"/>
                <w:szCs w:val="20"/>
              </w:rPr>
            </w:pPr>
          </w:p>
        </w:tc>
        <w:tc>
          <w:tcPr>
            <w:tcW w:w="7888" w:type="dxa"/>
            <w:gridSpan w:val="6"/>
            <w:vAlign w:val="center"/>
            <w:hideMark/>
          </w:tcPr>
          <w:p w14:paraId="72B59B1E" w14:textId="292E3D77" w:rsidR="00203F56" w:rsidRPr="00432EBF" w:rsidRDefault="008B5012">
            <w:pPr>
              <w:rPr>
                <w:rFonts w:ascii="Arial Narrow" w:hAnsi="Arial Narrow"/>
                <w:sz w:val="20"/>
                <w:szCs w:val="20"/>
              </w:rPr>
            </w:pPr>
            <w:r w:rsidRPr="00DF6177">
              <w:rPr>
                <w:rFonts w:ascii="Arial Narrow" w:hAnsi="Arial Narrow"/>
                <w:i/>
                <w:iCs/>
                <w:color w:val="FF0000"/>
                <w:sz w:val="20"/>
                <w:szCs w:val="20"/>
              </w:rPr>
              <w:t xml:space="preserve">Patient must </w:t>
            </w:r>
            <w:r>
              <w:rPr>
                <w:rFonts w:ascii="Arial Narrow" w:hAnsi="Arial Narrow"/>
                <w:i/>
                <w:iCs/>
                <w:color w:val="FF0000"/>
                <w:sz w:val="20"/>
                <w:szCs w:val="20"/>
              </w:rPr>
              <w:t>be both: (</w:t>
            </w:r>
            <w:proofErr w:type="spellStart"/>
            <w:r>
              <w:rPr>
                <w:rFonts w:ascii="Arial Narrow" w:hAnsi="Arial Narrow"/>
                <w:i/>
                <w:iCs/>
                <w:color w:val="FF0000"/>
                <w:sz w:val="20"/>
                <w:szCs w:val="20"/>
              </w:rPr>
              <w:t>i</w:t>
            </w:r>
            <w:proofErr w:type="spellEnd"/>
            <w:r>
              <w:rPr>
                <w:rFonts w:ascii="Arial Narrow" w:hAnsi="Arial Narrow"/>
                <w:i/>
                <w:iCs/>
                <w:color w:val="FF0000"/>
                <w:sz w:val="20"/>
                <w:szCs w:val="20"/>
              </w:rPr>
              <w:t>) experienced an</w:t>
            </w:r>
            <w:r w:rsidRPr="00DF6177">
              <w:rPr>
                <w:rFonts w:ascii="Arial Narrow" w:hAnsi="Arial Narrow"/>
                <w:i/>
                <w:iCs/>
                <w:color w:val="FF0000"/>
                <w:sz w:val="20"/>
                <w:szCs w:val="20"/>
              </w:rPr>
              <w:t xml:space="preserve"> adequate</w:t>
            </w:r>
            <w:r>
              <w:rPr>
                <w:rFonts w:ascii="Arial Narrow" w:hAnsi="Arial Narrow"/>
                <w:i/>
                <w:iCs/>
                <w:color w:val="FF0000"/>
                <w:sz w:val="20"/>
                <w:szCs w:val="20"/>
              </w:rPr>
              <w:t xml:space="preserve"> response following the most recent course of treatment at the 100 mg dosage regimen and (ii) the treating physician determined that a more satisfactory response can be achieved at the 200 mg dosage regimen; or</w:t>
            </w:r>
          </w:p>
        </w:tc>
      </w:tr>
      <w:tr w:rsidR="005556FE" w:rsidRPr="00432EBF" w14:paraId="49B1CBF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7DB4855" w14:textId="551C32B8" w:rsidR="005556FE" w:rsidRPr="001F6E1B" w:rsidRDefault="005556FE" w:rsidP="005556FE">
            <w:pPr>
              <w:jc w:val="center"/>
              <w:rPr>
                <w:rFonts w:ascii="Arial Narrow" w:hAnsi="Arial Narrow"/>
                <w:i/>
                <w:iCs/>
                <w:color w:val="FF0000"/>
                <w:sz w:val="20"/>
                <w:szCs w:val="20"/>
              </w:rPr>
            </w:pPr>
          </w:p>
        </w:tc>
        <w:tc>
          <w:tcPr>
            <w:tcW w:w="7888" w:type="dxa"/>
            <w:gridSpan w:val="6"/>
            <w:vAlign w:val="center"/>
          </w:tcPr>
          <w:p w14:paraId="4272D067" w14:textId="7B2FF2D1" w:rsidR="005556FE" w:rsidRPr="001F6E1B" w:rsidRDefault="005556FE" w:rsidP="005556FE">
            <w:pPr>
              <w:rPr>
                <w:rFonts w:ascii="Arial Narrow" w:hAnsi="Arial Narrow"/>
                <w:i/>
                <w:iCs/>
                <w:color w:val="FF0000"/>
                <w:sz w:val="20"/>
                <w:szCs w:val="20"/>
              </w:rPr>
            </w:pPr>
            <w:r w:rsidRPr="008B5012">
              <w:rPr>
                <w:rFonts w:ascii="Arial Narrow" w:hAnsi="Arial Narrow"/>
                <w:i/>
                <w:color w:val="FF0000"/>
                <w:sz w:val="20"/>
                <w:szCs w:val="20"/>
              </w:rPr>
              <w:t xml:space="preserve">Patient must have </w:t>
            </w:r>
            <w:r w:rsidR="00994B04" w:rsidRPr="008B5012">
              <w:rPr>
                <w:rFonts w:ascii="Arial Narrow" w:hAnsi="Arial Narrow"/>
                <w:i/>
                <w:color w:val="FF0000"/>
                <w:sz w:val="20"/>
                <w:szCs w:val="20"/>
              </w:rPr>
              <w:t>demonstrated</w:t>
            </w:r>
            <w:r w:rsidRPr="008B5012">
              <w:rPr>
                <w:rFonts w:ascii="Arial Narrow" w:hAnsi="Arial Narrow"/>
                <w:i/>
                <w:color w:val="FF0000"/>
                <w:sz w:val="20"/>
                <w:szCs w:val="20"/>
              </w:rPr>
              <w:t xml:space="preserve"> an </w:t>
            </w:r>
            <w:r w:rsidR="00994B04" w:rsidRPr="008B5012">
              <w:rPr>
                <w:rFonts w:ascii="Arial Narrow" w:hAnsi="Arial Narrow"/>
                <w:i/>
                <w:color w:val="FF0000"/>
                <w:sz w:val="20"/>
                <w:szCs w:val="20"/>
              </w:rPr>
              <w:t>adequate response to</w:t>
            </w:r>
            <w:r w:rsidRPr="008B5012">
              <w:rPr>
                <w:rFonts w:ascii="Arial Narrow" w:hAnsi="Arial Narrow"/>
                <w:i/>
                <w:color w:val="FF0000"/>
                <w:sz w:val="20"/>
                <w:szCs w:val="20"/>
              </w:rPr>
              <w:t xml:space="preserve"> </w:t>
            </w:r>
            <w:r>
              <w:rPr>
                <w:rFonts w:ascii="Arial Narrow" w:hAnsi="Arial Narrow"/>
                <w:i/>
                <w:iCs/>
                <w:color w:val="FF0000"/>
                <w:sz w:val="20"/>
                <w:szCs w:val="20"/>
              </w:rPr>
              <w:t xml:space="preserve">the most recent course of </w:t>
            </w:r>
            <w:r w:rsidRPr="008B5012">
              <w:rPr>
                <w:rFonts w:ascii="Arial Narrow" w:hAnsi="Arial Narrow"/>
                <w:i/>
                <w:color w:val="FF0000"/>
                <w:sz w:val="20"/>
                <w:szCs w:val="20"/>
              </w:rPr>
              <w:t xml:space="preserve">treatment with this drug </w:t>
            </w:r>
            <w:r w:rsidR="00994B04" w:rsidRPr="00A06DBC">
              <w:rPr>
                <w:rFonts w:ascii="Arial Narrow" w:hAnsi="Arial Narrow"/>
                <w:i/>
                <w:iCs/>
                <w:color w:val="FF0000"/>
                <w:sz w:val="20"/>
                <w:szCs w:val="20"/>
              </w:rPr>
              <w:t>at</w:t>
            </w:r>
            <w:r>
              <w:rPr>
                <w:rFonts w:ascii="Arial Narrow" w:hAnsi="Arial Narrow"/>
                <w:i/>
                <w:iCs/>
                <w:color w:val="FF0000"/>
                <w:sz w:val="20"/>
                <w:szCs w:val="20"/>
              </w:rPr>
              <w:t xml:space="preserve"> the </w:t>
            </w:r>
            <w:r w:rsidR="00994B04" w:rsidRPr="00A06DBC">
              <w:rPr>
                <w:rFonts w:ascii="Arial Narrow" w:hAnsi="Arial Narrow"/>
                <w:i/>
                <w:iCs/>
                <w:color w:val="FF0000"/>
                <w:sz w:val="20"/>
                <w:szCs w:val="20"/>
              </w:rPr>
              <w:t>200 mg dosage</w:t>
            </w:r>
            <w:r w:rsidR="00994B04">
              <w:rPr>
                <w:rFonts w:ascii="Arial Narrow" w:hAnsi="Arial Narrow"/>
                <w:i/>
                <w:iCs/>
                <w:color w:val="FF0000"/>
                <w:sz w:val="20"/>
                <w:szCs w:val="20"/>
              </w:rPr>
              <w:t xml:space="preserve"> regimen</w:t>
            </w:r>
          </w:p>
        </w:tc>
      </w:tr>
      <w:tr w:rsidR="00203F56" w:rsidRPr="007C52FF" w14:paraId="30B553B6"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517F764C" w14:textId="77777777" w:rsidR="00203F56" w:rsidRDefault="00203F56">
            <w:pPr>
              <w:jc w:val="center"/>
              <w:rPr>
                <w:rFonts w:ascii="Arial Narrow" w:hAnsi="Arial Narrow"/>
                <w:sz w:val="20"/>
                <w:szCs w:val="20"/>
              </w:rPr>
            </w:pPr>
          </w:p>
        </w:tc>
        <w:tc>
          <w:tcPr>
            <w:tcW w:w="7888" w:type="dxa"/>
            <w:gridSpan w:val="6"/>
            <w:vAlign w:val="center"/>
          </w:tcPr>
          <w:p w14:paraId="21EA330E" w14:textId="77777777" w:rsidR="00203F56" w:rsidRPr="007C52FF" w:rsidRDefault="00203F56">
            <w:pPr>
              <w:rPr>
                <w:rFonts w:ascii="Arial Narrow" w:hAnsi="Arial Narrow"/>
                <w:sz w:val="20"/>
                <w:szCs w:val="20"/>
              </w:rPr>
            </w:pPr>
            <w:r w:rsidRPr="00432EBF">
              <w:rPr>
                <w:rFonts w:ascii="Arial Narrow" w:hAnsi="Arial Narrow"/>
                <w:b/>
                <w:bCs/>
                <w:sz w:val="20"/>
                <w:szCs w:val="20"/>
              </w:rPr>
              <w:t>AND</w:t>
            </w:r>
          </w:p>
        </w:tc>
      </w:tr>
      <w:tr w:rsidR="00203F56" w:rsidRPr="007C52FF" w14:paraId="1948FDD2"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37594CBA" w14:textId="35D292CA" w:rsidR="00203F56" w:rsidRDefault="00203F56">
            <w:pPr>
              <w:jc w:val="center"/>
              <w:rPr>
                <w:rFonts w:ascii="Arial Narrow" w:hAnsi="Arial Narrow"/>
                <w:sz w:val="20"/>
                <w:szCs w:val="20"/>
              </w:rPr>
            </w:pPr>
          </w:p>
        </w:tc>
        <w:tc>
          <w:tcPr>
            <w:tcW w:w="7888" w:type="dxa"/>
            <w:gridSpan w:val="6"/>
            <w:vAlign w:val="center"/>
          </w:tcPr>
          <w:p w14:paraId="77E14CB7" w14:textId="77777777" w:rsidR="00203F56" w:rsidRPr="007C52FF" w:rsidRDefault="00203F56">
            <w:pPr>
              <w:rPr>
                <w:rFonts w:ascii="Arial Narrow" w:hAnsi="Arial Narrow"/>
                <w:sz w:val="20"/>
                <w:szCs w:val="20"/>
              </w:rPr>
            </w:pPr>
            <w:r w:rsidRPr="00432EBF">
              <w:rPr>
                <w:rFonts w:ascii="Arial Narrow" w:hAnsi="Arial Narrow"/>
                <w:b/>
                <w:bCs/>
                <w:sz w:val="20"/>
                <w:szCs w:val="20"/>
              </w:rPr>
              <w:t>Clinical criteria:</w:t>
            </w:r>
          </w:p>
        </w:tc>
      </w:tr>
      <w:tr w:rsidR="00203F56" w:rsidRPr="007C52FF" w14:paraId="3DF38566"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03E2627" w14:textId="6A560FF8" w:rsidR="00203F56" w:rsidRDefault="00203F56">
            <w:pPr>
              <w:jc w:val="center"/>
              <w:rPr>
                <w:rFonts w:ascii="Arial Narrow" w:hAnsi="Arial Narrow"/>
                <w:sz w:val="20"/>
                <w:szCs w:val="20"/>
              </w:rPr>
            </w:pPr>
          </w:p>
        </w:tc>
        <w:tc>
          <w:tcPr>
            <w:tcW w:w="7888" w:type="dxa"/>
            <w:gridSpan w:val="6"/>
            <w:vAlign w:val="center"/>
          </w:tcPr>
          <w:p w14:paraId="0B4A56E0" w14:textId="77777777" w:rsidR="00203F56" w:rsidRPr="007C52FF" w:rsidRDefault="00203F56">
            <w:pPr>
              <w:rPr>
                <w:rFonts w:ascii="Arial Narrow" w:hAnsi="Arial Narrow"/>
                <w:sz w:val="20"/>
                <w:szCs w:val="20"/>
              </w:rPr>
            </w:pPr>
            <w:r w:rsidRPr="007C52FF">
              <w:rPr>
                <w:rFonts w:ascii="Arial Narrow" w:hAnsi="Arial Narrow"/>
                <w:sz w:val="20"/>
                <w:szCs w:val="20"/>
              </w:rPr>
              <w:t>The treatment must be as systemic monotherapy (other than methotrexate)</w:t>
            </w:r>
          </w:p>
        </w:tc>
      </w:tr>
      <w:tr w:rsidR="00203F56" w:rsidRPr="007C52FF" w14:paraId="4BF9C0C0"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2517278" w14:textId="77777777" w:rsidR="00203F56" w:rsidRDefault="00203F56">
            <w:pPr>
              <w:jc w:val="center"/>
              <w:rPr>
                <w:rFonts w:ascii="Arial Narrow" w:hAnsi="Arial Narrow"/>
                <w:sz w:val="20"/>
                <w:szCs w:val="20"/>
              </w:rPr>
            </w:pPr>
          </w:p>
        </w:tc>
        <w:tc>
          <w:tcPr>
            <w:tcW w:w="7888" w:type="dxa"/>
            <w:gridSpan w:val="6"/>
            <w:vAlign w:val="center"/>
          </w:tcPr>
          <w:p w14:paraId="49A14C52" w14:textId="77777777" w:rsidR="00203F56" w:rsidRPr="007C52FF" w:rsidRDefault="00203F56">
            <w:pPr>
              <w:rPr>
                <w:rFonts w:ascii="Arial Narrow" w:hAnsi="Arial Narrow"/>
                <w:sz w:val="20"/>
                <w:szCs w:val="20"/>
              </w:rPr>
            </w:pPr>
            <w:r w:rsidRPr="00432EBF">
              <w:rPr>
                <w:rFonts w:ascii="Arial Narrow" w:hAnsi="Arial Narrow"/>
                <w:b/>
                <w:bCs/>
                <w:sz w:val="20"/>
                <w:szCs w:val="20"/>
              </w:rPr>
              <w:t>AND</w:t>
            </w:r>
          </w:p>
        </w:tc>
      </w:tr>
      <w:tr w:rsidR="00203F56" w:rsidRPr="007C52FF" w14:paraId="1EEF74CA"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7647338" w14:textId="02AF8CF7" w:rsidR="00203F56" w:rsidRDefault="00203F56">
            <w:pPr>
              <w:jc w:val="center"/>
              <w:rPr>
                <w:rFonts w:ascii="Arial Narrow" w:hAnsi="Arial Narrow"/>
                <w:sz w:val="20"/>
                <w:szCs w:val="20"/>
              </w:rPr>
            </w:pPr>
          </w:p>
        </w:tc>
        <w:tc>
          <w:tcPr>
            <w:tcW w:w="7888" w:type="dxa"/>
            <w:gridSpan w:val="6"/>
            <w:vAlign w:val="center"/>
          </w:tcPr>
          <w:p w14:paraId="73A513A4" w14:textId="77777777" w:rsidR="00203F56" w:rsidRPr="007C52FF" w:rsidRDefault="00203F56">
            <w:pPr>
              <w:rPr>
                <w:rFonts w:ascii="Arial Narrow" w:hAnsi="Arial Narrow"/>
                <w:sz w:val="20"/>
                <w:szCs w:val="20"/>
              </w:rPr>
            </w:pPr>
            <w:r w:rsidRPr="00432EBF">
              <w:rPr>
                <w:rFonts w:ascii="Arial Narrow" w:hAnsi="Arial Narrow"/>
                <w:b/>
                <w:bCs/>
                <w:sz w:val="20"/>
                <w:szCs w:val="20"/>
              </w:rPr>
              <w:t>Clinical criteria:</w:t>
            </w:r>
          </w:p>
        </w:tc>
      </w:tr>
      <w:tr w:rsidR="00203F56" w:rsidRPr="007C52FF" w14:paraId="020C3B2E"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636026BF" w14:textId="23BF9A7A" w:rsidR="00203F56" w:rsidRDefault="00203F56">
            <w:pPr>
              <w:jc w:val="center"/>
              <w:rPr>
                <w:rFonts w:ascii="Arial Narrow" w:hAnsi="Arial Narrow"/>
                <w:sz w:val="20"/>
                <w:szCs w:val="20"/>
              </w:rPr>
            </w:pPr>
          </w:p>
        </w:tc>
        <w:tc>
          <w:tcPr>
            <w:tcW w:w="7888" w:type="dxa"/>
            <w:gridSpan w:val="6"/>
            <w:vAlign w:val="center"/>
          </w:tcPr>
          <w:p w14:paraId="7ABB6485" w14:textId="77777777" w:rsidR="00203F56" w:rsidRPr="007C52FF" w:rsidRDefault="00203F56">
            <w:pPr>
              <w:rPr>
                <w:rFonts w:ascii="Arial Narrow" w:hAnsi="Arial Narrow"/>
                <w:sz w:val="20"/>
                <w:szCs w:val="20"/>
              </w:rPr>
            </w:pPr>
            <w:r w:rsidRPr="007C52FF">
              <w:rPr>
                <w:rFonts w:ascii="Arial Narrow" w:hAnsi="Arial Narrow"/>
                <w:sz w:val="20"/>
                <w:szCs w:val="20"/>
              </w:rPr>
              <w:t>Patient must not receive more than 24 weeks of treatment under this restriction</w:t>
            </w:r>
          </w:p>
        </w:tc>
      </w:tr>
      <w:tr w:rsidR="000E7B98" w:rsidRPr="007C52FF" w14:paraId="2D4B78B2"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1E0B632" w14:textId="0895FD63" w:rsidR="000E7B98" w:rsidRPr="007C52FF" w:rsidRDefault="000E7B98" w:rsidP="000E7B98">
            <w:pPr>
              <w:jc w:val="center"/>
              <w:rPr>
                <w:rFonts w:ascii="Arial Narrow" w:hAnsi="Arial Narrow"/>
                <w:sz w:val="20"/>
                <w:szCs w:val="20"/>
              </w:rPr>
            </w:pPr>
          </w:p>
        </w:tc>
        <w:tc>
          <w:tcPr>
            <w:tcW w:w="7888" w:type="dxa"/>
            <w:gridSpan w:val="6"/>
            <w:vAlign w:val="center"/>
          </w:tcPr>
          <w:p w14:paraId="74BA61EB" w14:textId="63855D93" w:rsidR="000E7B98" w:rsidRPr="007C52FF" w:rsidRDefault="000E7B98" w:rsidP="000E7B98">
            <w:pPr>
              <w:rPr>
                <w:rFonts w:ascii="Arial Narrow" w:hAnsi="Arial Narrow"/>
                <w:sz w:val="20"/>
                <w:szCs w:val="20"/>
              </w:rPr>
            </w:pPr>
            <w:r w:rsidRPr="00432EBF">
              <w:rPr>
                <w:rFonts w:ascii="Arial Narrow" w:hAnsi="Arial Narrow"/>
                <w:b/>
                <w:bCs/>
                <w:sz w:val="20"/>
                <w:szCs w:val="20"/>
              </w:rPr>
              <w:t>Population criteria:</w:t>
            </w:r>
          </w:p>
        </w:tc>
      </w:tr>
      <w:tr w:rsidR="000E7B98" w:rsidRPr="007C52FF" w14:paraId="5DC72B76"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0455C6C" w14:textId="7D2678E2" w:rsidR="000E7B98" w:rsidRPr="007C52FF" w:rsidRDefault="000E7B98" w:rsidP="000E7B98">
            <w:pPr>
              <w:jc w:val="center"/>
              <w:rPr>
                <w:rFonts w:ascii="Arial Narrow" w:hAnsi="Arial Narrow"/>
                <w:sz w:val="20"/>
                <w:szCs w:val="20"/>
              </w:rPr>
            </w:pPr>
          </w:p>
        </w:tc>
        <w:tc>
          <w:tcPr>
            <w:tcW w:w="7888" w:type="dxa"/>
            <w:gridSpan w:val="6"/>
            <w:vAlign w:val="center"/>
          </w:tcPr>
          <w:p w14:paraId="4FF7500F" w14:textId="221F0BD5" w:rsidR="000E7B98" w:rsidRPr="007C52FF" w:rsidRDefault="000E7B98" w:rsidP="000E7B98">
            <w:pPr>
              <w:rPr>
                <w:rFonts w:ascii="Arial Narrow" w:hAnsi="Arial Narrow"/>
                <w:sz w:val="20"/>
                <w:szCs w:val="20"/>
              </w:rPr>
            </w:pPr>
            <w:r w:rsidRPr="007C52FF">
              <w:rPr>
                <w:rFonts w:ascii="Arial Narrow" w:hAnsi="Arial Narrow"/>
                <w:sz w:val="20"/>
                <w:szCs w:val="20"/>
              </w:rPr>
              <w:t>Patient must be aged 18 years or older</w:t>
            </w:r>
          </w:p>
        </w:tc>
      </w:tr>
      <w:tr w:rsidR="000E7B98" w:rsidRPr="00432EBF" w14:paraId="2F113D39"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A4706BD" w14:textId="40903FB4" w:rsidR="000E7B98" w:rsidRPr="00432EBF" w:rsidRDefault="000E7B98" w:rsidP="000E7B98">
            <w:pPr>
              <w:keepNext/>
              <w:jc w:val="center"/>
              <w:rPr>
                <w:rFonts w:ascii="Arial Narrow" w:hAnsi="Arial Narrow"/>
                <w:sz w:val="20"/>
                <w:szCs w:val="20"/>
              </w:rPr>
            </w:pPr>
          </w:p>
        </w:tc>
        <w:tc>
          <w:tcPr>
            <w:tcW w:w="7888" w:type="dxa"/>
            <w:gridSpan w:val="6"/>
            <w:vAlign w:val="center"/>
            <w:hideMark/>
          </w:tcPr>
          <w:p w14:paraId="01DA4EE4" w14:textId="77777777" w:rsidR="000E7B98" w:rsidRPr="00432EBF" w:rsidRDefault="000E7B98" w:rsidP="000E7B98">
            <w:pPr>
              <w:keepNext/>
              <w:rPr>
                <w:rFonts w:ascii="Arial Narrow" w:hAnsi="Arial Narrow"/>
                <w:sz w:val="20"/>
                <w:szCs w:val="20"/>
              </w:rPr>
            </w:pPr>
            <w:r w:rsidRPr="00432EBF">
              <w:rPr>
                <w:rFonts w:ascii="Arial Narrow" w:hAnsi="Arial Narrow"/>
                <w:b/>
                <w:bCs/>
                <w:sz w:val="20"/>
                <w:szCs w:val="20"/>
              </w:rPr>
              <w:t>Treatment criteria:</w:t>
            </w:r>
          </w:p>
        </w:tc>
      </w:tr>
      <w:tr w:rsidR="000E7B98" w:rsidRPr="001428E9" w14:paraId="0295F18E"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366769F" w14:textId="78E8BCE5" w:rsidR="000E7B98" w:rsidRPr="00432EBF" w:rsidRDefault="000E7B98" w:rsidP="000E7B98">
            <w:pPr>
              <w:jc w:val="center"/>
              <w:rPr>
                <w:rFonts w:ascii="Arial Narrow" w:hAnsi="Arial Narrow"/>
                <w:sz w:val="20"/>
                <w:szCs w:val="20"/>
              </w:rPr>
            </w:pPr>
          </w:p>
        </w:tc>
        <w:tc>
          <w:tcPr>
            <w:tcW w:w="7888" w:type="dxa"/>
            <w:gridSpan w:val="6"/>
            <w:vAlign w:val="center"/>
            <w:hideMark/>
          </w:tcPr>
          <w:p w14:paraId="4CE1841C" w14:textId="77777777" w:rsidR="000E7B98" w:rsidRPr="001428E9" w:rsidRDefault="000E7B98" w:rsidP="000E7B98">
            <w:pPr>
              <w:autoSpaceDE w:val="0"/>
              <w:autoSpaceDN w:val="0"/>
              <w:adjustRightInd w:val="0"/>
              <w:jc w:val="left"/>
              <w:rPr>
                <w:rFonts w:ascii="Arial Narrow" w:hAnsi="Arial Narrow" w:cs="Arial Narrow"/>
                <w:i/>
                <w:iCs/>
                <w:sz w:val="20"/>
                <w:szCs w:val="20"/>
              </w:rPr>
            </w:pPr>
            <w:r w:rsidRPr="007C52FF">
              <w:rPr>
                <w:rFonts w:ascii="Arial Narrow" w:hAnsi="Arial Narrow"/>
                <w:sz w:val="20"/>
                <w:szCs w:val="20"/>
              </w:rPr>
              <w:t>Must be treated by a dermatologist</w:t>
            </w:r>
          </w:p>
        </w:tc>
      </w:tr>
      <w:tr w:rsidR="000E7B98" w:rsidRPr="001428E9" w14:paraId="5C7CAF3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6841D7CE" w14:textId="13A39B99" w:rsidR="000E7B98" w:rsidRPr="007C52FF" w:rsidRDefault="000E7B98" w:rsidP="000E7B98">
            <w:pPr>
              <w:jc w:val="center"/>
              <w:rPr>
                <w:rFonts w:ascii="Arial Narrow" w:hAnsi="Arial Narrow"/>
                <w:sz w:val="20"/>
                <w:szCs w:val="20"/>
              </w:rPr>
            </w:pPr>
          </w:p>
        </w:tc>
        <w:tc>
          <w:tcPr>
            <w:tcW w:w="7888" w:type="dxa"/>
            <w:gridSpan w:val="6"/>
            <w:vAlign w:val="center"/>
          </w:tcPr>
          <w:p w14:paraId="431EF04E" w14:textId="77777777" w:rsidR="002C26C6" w:rsidRDefault="000E7B98" w:rsidP="000E7B98">
            <w:pPr>
              <w:rPr>
                <w:rFonts w:ascii="Arial Narrow" w:hAnsi="Arial Narrow"/>
                <w:sz w:val="20"/>
                <w:szCs w:val="20"/>
              </w:rPr>
            </w:pPr>
            <w:r>
              <w:rPr>
                <w:rFonts w:ascii="Arial Narrow" w:hAnsi="Arial Narrow"/>
                <w:b/>
                <w:bCs/>
                <w:sz w:val="20"/>
                <w:szCs w:val="20"/>
              </w:rPr>
              <w:t xml:space="preserve">Prescribing Instructions: </w:t>
            </w:r>
            <w:r w:rsidRPr="007C52FF">
              <w:rPr>
                <w:rFonts w:ascii="Arial Narrow" w:hAnsi="Arial Narrow"/>
                <w:sz w:val="20"/>
                <w:szCs w:val="20"/>
              </w:rPr>
              <w:t>An adequate response to treatment is defined as the plaque or plaques assessed prior to biological treatment showing:</w:t>
            </w:r>
          </w:p>
          <w:p w14:paraId="05158B42" w14:textId="1AF30267" w:rsidR="002C26C6" w:rsidRPr="00885179" w:rsidRDefault="000E7B98" w:rsidP="002C26C6">
            <w:pPr>
              <w:pStyle w:val="ListParagraph"/>
              <w:numPr>
                <w:ilvl w:val="0"/>
                <w:numId w:val="35"/>
              </w:numPr>
              <w:rPr>
                <w:rFonts w:ascii="Arial Narrow" w:hAnsi="Arial Narrow"/>
                <w:sz w:val="20"/>
                <w:szCs w:val="20"/>
              </w:rPr>
            </w:pPr>
            <w:r w:rsidRPr="00885179">
              <w:rPr>
                <w:rFonts w:ascii="Arial Narrow" w:hAnsi="Arial Narrow"/>
                <w:sz w:val="20"/>
                <w:szCs w:val="20"/>
              </w:rPr>
              <w:t xml:space="preserve">a reduction in the Psoriasis Area and Severity Index (PASI) symptom </w:t>
            </w:r>
            <w:proofErr w:type="spellStart"/>
            <w:r w:rsidRPr="00885179">
              <w:rPr>
                <w:rFonts w:ascii="Arial Narrow" w:hAnsi="Arial Narrow"/>
                <w:sz w:val="20"/>
                <w:szCs w:val="20"/>
              </w:rPr>
              <w:t>subscores</w:t>
            </w:r>
            <w:proofErr w:type="spellEnd"/>
            <w:r w:rsidRPr="00885179">
              <w:rPr>
                <w:rFonts w:ascii="Arial Narrow" w:hAnsi="Arial Narrow"/>
                <w:sz w:val="20"/>
                <w:szCs w:val="20"/>
              </w:rPr>
              <w:t xml:space="preserve"> for all 3 of erythema, thickness and scaling, to slight or better, or sustained at this level, as compared to the baseline values; or</w:t>
            </w:r>
          </w:p>
          <w:p w14:paraId="4100F325" w14:textId="535626D2" w:rsidR="000E7B98" w:rsidRPr="00885179" w:rsidRDefault="000E7B98" w:rsidP="00885179">
            <w:pPr>
              <w:pStyle w:val="ListParagraph"/>
              <w:numPr>
                <w:ilvl w:val="0"/>
                <w:numId w:val="35"/>
              </w:numPr>
              <w:rPr>
                <w:rFonts w:ascii="Arial Narrow" w:hAnsi="Arial Narrow"/>
                <w:b/>
                <w:bCs/>
                <w:sz w:val="20"/>
                <w:szCs w:val="20"/>
              </w:rPr>
            </w:pPr>
            <w:r w:rsidRPr="00885179">
              <w:rPr>
                <w:rFonts w:ascii="Arial Narrow" w:hAnsi="Arial Narrow"/>
                <w:sz w:val="20"/>
                <w:szCs w:val="20"/>
              </w:rPr>
              <w:t>a reduction by 75% or more in the skin area affected, or sustained at this level, as compared to the baseline value for this treatment cycle.</w:t>
            </w:r>
          </w:p>
        </w:tc>
      </w:tr>
      <w:tr w:rsidR="000E7B98" w:rsidRPr="001428E9" w14:paraId="32ECDE75"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0B948FC" w14:textId="38939081" w:rsidR="006074C5" w:rsidRPr="007C52FF" w:rsidRDefault="006074C5" w:rsidP="000E7B98">
            <w:pPr>
              <w:jc w:val="center"/>
              <w:rPr>
                <w:rFonts w:ascii="Arial Narrow" w:hAnsi="Arial Narrow"/>
                <w:sz w:val="20"/>
                <w:szCs w:val="20"/>
              </w:rPr>
            </w:pPr>
          </w:p>
        </w:tc>
        <w:tc>
          <w:tcPr>
            <w:tcW w:w="7888" w:type="dxa"/>
            <w:gridSpan w:val="6"/>
            <w:vAlign w:val="center"/>
          </w:tcPr>
          <w:p w14:paraId="2254CE5B" w14:textId="77777777" w:rsidR="001322EE" w:rsidRDefault="000E7B98" w:rsidP="000E7B98">
            <w:pPr>
              <w:rPr>
                <w:rFonts w:ascii="Arial Narrow" w:hAnsi="Arial Narrow"/>
                <w:sz w:val="20"/>
                <w:szCs w:val="20"/>
              </w:rPr>
            </w:pPr>
            <w:r>
              <w:rPr>
                <w:rFonts w:ascii="Arial Narrow" w:hAnsi="Arial Narrow"/>
                <w:b/>
                <w:bCs/>
                <w:sz w:val="20"/>
                <w:szCs w:val="20"/>
              </w:rPr>
              <w:t xml:space="preserve">Prescribing Instructions: </w:t>
            </w:r>
            <w:r w:rsidRPr="007C52FF">
              <w:rPr>
                <w:rFonts w:ascii="Arial Narrow" w:hAnsi="Arial Narrow"/>
                <w:sz w:val="20"/>
                <w:szCs w:val="20"/>
              </w:rPr>
              <w:t>The authority application must be made in writing and must include:</w:t>
            </w:r>
          </w:p>
          <w:p w14:paraId="70B6E593" w14:textId="612906ED" w:rsidR="001322EE" w:rsidRPr="001322EE" w:rsidRDefault="000E7B98" w:rsidP="001322EE">
            <w:pPr>
              <w:pStyle w:val="ListParagraph"/>
              <w:numPr>
                <w:ilvl w:val="0"/>
                <w:numId w:val="36"/>
              </w:numPr>
              <w:rPr>
                <w:rFonts w:ascii="Arial Narrow" w:hAnsi="Arial Narrow"/>
                <w:sz w:val="20"/>
                <w:szCs w:val="20"/>
              </w:rPr>
            </w:pPr>
            <w:r w:rsidRPr="001322EE">
              <w:rPr>
                <w:rFonts w:ascii="Arial Narrow" w:hAnsi="Arial Narrow"/>
                <w:sz w:val="20"/>
                <w:szCs w:val="20"/>
              </w:rPr>
              <w:t>a completed authority prescription form(s); and</w:t>
            </w:r>
          </w:p>
          <w:p w14:paraId="7F31C203" w14:textId="22F63473" w:rsidR="000E7B98" w:rsidRPr="001322EE" w:rsidRDefault="000E7B98" w:rsidP="001322EE">
            <w:pPr>
              <w:pStyle w:val="ListParagraph"/>
              <w:numPr>
                <w:ilvl w:val="0"/>
                <w:numId w:val="36"/>
              </w:numPr>
              <w:rPr>
                <w:rFonts w:ascii="Arial Narrow" w:hAnsi="Arial Narrow"/>
                <w:b/>
                <w:bCs/>
                <w:sz w:val="20"/>
                <w:szCs w:val="20"/>
              </w:rPr>
            </w:pPr>
            <w:r w:rsidRPr="001322EE">
              <w:rPr>
                <w:rFonts w:ascii="Arial Narrow" w:hAnsi="Arial Narrow"/>
                <w:sz w:val="20"/>
                <w:szCs w:val="20"/>
              </w:rPr>
              <w:t xml:space="preserve">a completed Severe Chronic Plaque Psoriasis PBS Authority Application </w:t>
            </w:r>
            <w:r w:rsidR="005F1191">
              <w:rPr>
                <w:rFonts w:ascii="Arial Narrow" w:hAnsi="Arial Narrow"/>
                <w:sz w:val="20"/>
                <w:szCs w:val="20"/>
              </w:rPr>
              <w:noBreakHyphen/>
            </w:r>
            <w:r w:rsidRPr="001322EE">
              <w:rPr>
                <w:rFonts w:ascii="Arial Narrow" w:hAnsi="Arial Narrow"/>
                <w:sz w:val="20"/>
                <w:szCs w:val="20"/>
              </w:rPr>
              <w:t xml:space="preserve"> Supporting Information Form which includes the completed Psoriasis Area and Severity Index (PASI) calculation sheet and face, hand, foot area diagrams including the date of the assessment of the patient's condition.</w:t>
            </w:r>
          </w:p>
        </w:tc>
      </w:tr>
      <w:tr w:rsidR="000E7B98" w:rsidRPr="001428E9" w14:paraId="49E8907B"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1D8D6E5" w14:textId="101B6920" w:rsidR="000E7B98" w:rsidRPr="007C52FF" w:rsidRDefault="000E7B98" w:rsidP="000E7B98">
            <w:pPr>
              <w:jc w:val="center"/>
              <w:rPr>
                <w:rFonts w:ascii="Arial Narrow" w:hAnsi="Arial Narrow"/>
                <w:sz w:val="20"/>
                <w:szCs w:val="20"/>
              </w:rPr>
            </w:pPr>
          </w:p>
        </w:tc>
        <w:tc>
          <w:tcPr>
            <w:tcW w:w="7888" w:type="dxa"/>
            <w:gridSpan w:val="6"/>
            <w:vAlign w:val="center"/>
          </w:tcPr>
          <w:p w14:paraId="16B8C84B" w14:textId="658B039D" w:rsidR="000E7B98" w:rsidRPr="00432EBF" w:rsidRDefault="000E7B98" w:rsidP="000E7B98">
            <w:pPr>
              <w:rPr>
                <w:rFonts w:ascii="Arial Narrow" w:hAnsi="Arial Narrow"/>
                <w:b/>
                <w:bCs/>
                <w:sz w:val="20"/>
                <w:szCs w:val="20"/>
              </w:rPr>
            </w:pPr>
            <w:r w:rsidRPr="00752521">
              <w:rPr>
                <w:rFonts w:ascii="Arial Narrow" w:hAnsi="Arial Narrow"/>
                <w:b/>
                <w:bCs/>
                <w:sz w:val="20"/>
                <w:szCs w:val="20"/>
              </w:rPr>
              <w:t>Prescribing Instructions:</w:t>
            </w:r>
            <w:r>
              <w:rPr>
                <w:rFonts w:ascii="Arial Narrow" w:hAnsi="Arial Narrow"/>
                <w:sz w:val="20"/>
                <w:szCs w:val="20"/>
              </w:rPr>
              <w:t xml:space="preserve"> </w:t>
            </w:r>
            <w:r w:rsidRPr="007C52FF">
              <w:rPr>
                <w:rFonts w:ascii="Arial Narrow" w:hAnsi="Arial Narrow"/>
                <w:sz w:val="20"/>
                <w:szCs w:val="20"/>
              </w:rPr>
              <w:t>The most recent PASI assessment must be no more than 4 weeks old at the time of application.</w:t>
            </w:r>
          </w:p>
        </w:tc>
      </w:tr>
      <w:tr w:rsidR="000E7B98" w:rsidRPr="001428E9" w14:paraId="60BDCAD9"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DD3E887" w14:textId="069CB650" w:rsidR="000E7B98" w:rsidRPr="007C52FF" w:rsidRDefault="000E7B98" w:rsidP="000E7B98">
            <w:pPr>
              <w:jc w:val="center"/>
              <w:rPr>
                <w:rFonts w:ascii="Arial Narrow" w:hAnsi="Arial Narrow"/>
                <w:sz w:val="20"/>
                <w:szCs w:val="20"/>
              </w:rPr>
            </w:pPr>
          </w:p>
        </w:tc>
        <w:tc>
          <w:tcPr>
            <w:tcW w:w="7888" w:type="dxa"/>
            <w:gridSpan w:val="6"/>
            <w:vAlign w:val="center"/>
          </w:tcPr>
          <w:p w14:paraId="358C419C" w14:textId="77ADEAC6" w:rsidR="000E7B98" w:rsidRPr="00432EBF" w:rsidRDefault="000E7B98" w:rsidP="000E7B98">
            <w:pPr>
              <w:rPr>
                <w:rFonts w:ascii="Arial Narrow" w:hAnsi="Arial Narrow"/>
                <w:b/>
                <w:bCs/>
                <w:sz w:val="20"/>
                <w:szCs w:val="20"/>
              </w:rPr>
            </w:pPr>
            <w:r w:rsidRPr="00752521">
              <w:rPr>
                <w:rFonts w:ascii="Arial Narrow" w:hAnsi="Arial Narrow"/>
                <w:b/>
                <w:bCs/>
                <w:sz w:val="20"/>
                <w:szCs w:val="20"/>
              </w:rPr>
              <w:t>Prescribing Instructions:</w:t>
            </w:r>
            <w:r>
              <w:rPr>
                <w:rFonts w:ascii="Arial Narrow" w:hAnsi="Arial Narrow"/>
                <w:b/>
                <w:bCs/>
                <w:sz w:val="20"/>
                <w:szCs w:val="20"/>
              </w:rPr>
              <w:t xml:space="preserve"> </w:t>
            </w:r>
            <w:r w:rsidRPr="007C52FF">
              <w:rPr>
                <w:rFonts w:ascii="Arial Narrow" w:hAnsi="Arial Narrow"/>
                <w:sz w:val="20"/>
                <w:szCs w:val="20"/>
              </w:rPr>
              <w:t>Approval will be based on the PASI assessment of response to the most recent course of treatment with this drug.</w:t>
            </w:r>
          </w:p>
        </w:tc>
      </w:tr>
      <w:tr w:rsidR="000E7B98" w:rsidRPr="001428E9" w14:paraId="4D545222"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679ACD10" w14:textId="450ACBB1" w:rsidR="000E7B98" w:rsidRPr="007C52FF" w:rsidRDefault="000E7B98" w:rsidP="000E7B98">
            <w:pPr>
              <w:jc w:val="center"/>
              <w:rPr>
                <w:rFonts w:ascii="Arial Narrow" w:hAnsi="Arial Narrow"/>
                <w:sz w:val="20"/>
                <w:szCs w:val="20"/>
              </w:rPr>
            </w:pPr>
          </w:p>
        </w:tc>
        <w:tc>
          <w:tcPr>
            <w:tcW w:w="7888" w:type="dxa"/>
            <w:gridSpan w:val="6"/>
            <w:vAlign w:val="center"/>
          </w:tcPr>
          <w:p w14:paraId="38B9DCB1" w14:textId="424F4156" w:rsidR="000E7B98" w:rsidRPr="00432EBF" w:rsidRDefault="000E7B98" w:rsidP="000E7B98">
            <w:pPr>
              <w:rPr>
                <w:rFonts w:ascii="Arial Narrow" w:hAnsi="Arial Narrow"/>
                <w:b/>
                <w:bCs/>
                <w:sz w:val="20"/>
                <w:szCs w:val="20"/>
              </w:rPr>
            </w:pPr>
            <w:r w:rsidRPr="00752521">
              <w:rPr>
                <w:rFonts w:ascii="Arial Narrow" w:hAnsi="Arial Narrow"/>
                <w:b/>
                <w:bCs/>
                <w:sz w:val="20"/>
                <w:szCs w:val="20"/>
              </w:rPr>
              <w:t>Prescribing Instructions:</w:t>
            </w:r>
            <w:r>
              <w:rPr>
                <w:rFonts w:ascii="Arial Narrow" w:hAnsi="Arial Narrow"/>
                <w:b/>
                <w:bCs/>
                <w:sz w:val="20"/>
                <w:szCs w:val="20"/>
              </w:rPr>
              <w:t xml:space="preserve"> </w:t>
            </w:r>
            <w:r w:rsidRPr="007C52FF">
              <w:rPr>
                <w:rFonts w:ascii="Arial Narrow" w:hAnsi="Arial Narrow"/>
                <w:sz w:val="20"/>
                <w:szCs w:val="20"/>
              </w:rPr>
              <w:t>The PASI assessment for continuing treatment must be performed on the same affected area as assessed at baseline.</w:t>
            </w:r>
          </w:p>
        </w:tc>
      </w:tr>
      <w:tr w:rsidR="000E7B98" w:rsidRPr="001428E9" w14:paraId="465DC32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0830732" w14:textId="4A351AB8" w:rsidR="000E7B98" w:rsidRPr="007C52FF" w:rsidRDefault="000E7B98" w:rsidP="000E7B98">
            <w:pPr>
              <w:jc w:val="center"/>
              <w:rPr>
                <w:rFonts w:ascii="Arial Narrow" w:hAnsi="Arial Narrow"/>
                <w:sz w:val="20"/>
                <w:szCs w:val="20"/>
              </w:rPr>
            </w:pPr>
          </w:p>
        </w:tc>
        <w:tc>
          <w:tcPr>
            <w:tcW w:w="7888" w:type="dxa"/>
            <w:gridSpan w:val="6"/>
            <w:vAlign w:val="center"/>
          </w:tcPr>
          <w:p w14:paraId="6DB7FC7A" w14:textId="6E73049F" w:rsidR="000E7B98" w:rsidRPr="00432EBF" w:rsidRDefault="000E7B98" w:rsidP="000E7B98">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w:t>
            </w:r>
            <w:r w:rsidR="005F1191">
              <w:rPr>
                <w:rFonts w:ascii="Arial Narrow" w:hAnsi="Arial Narrow"/>
                <w:sz w:val="20"/>
                <w:szCs w:val="20"/>
              </w:rPr>
              <w:noBreakHyphen/>
            </w:r>
            <w:r w:rsidRPr="007C52FF">
              <w:rPr>
                <w:rFonts w:ascii="Arial Narrow" w:hAnsi="Arial Narrow"/>
                <w:sz w:val="20"/>
                <w:szCs w:val="20"/>
              </w:rPr>
              <w:t>subsidised treatment</w:t>
            </w:r>
          </w:p>
        </w:tc>
      </w:tr>
      <w:tr w:rsidR="000E7B98" w:rsidRPr="001428E9" w14:paraId="53503BAB"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4FD1D44" w14:textId="724EE161" w:rsidR="000E7B98" w:rsidRPr="009243D9" w:rsidRDefault="000E7B98" w:rsidP="000E7B98">
            <w:pPr>
              <w:jc w:val="center"/>
              <w:rPr>
                <w:rFonts w:ascii="Arial Narrow" w:hAnsi="Arial Narrow"/>
                <w:color w:val="FF0000"/>
                <w:sz w:val="20"/>
                <w:szCs w:val="20"/>
              </w:rPr>
            </w:pPr>
          </w:p>
        </w:tc>
        <w:tc>
          <w:tcPr>
            <w:tcW w:w="7888" w:type="dxa"/>
            <w:gridSpan w:val="6"/>
            <w:vAlign w:val="center"/>
          </w:tcPr>
          <w:p w14:paraId="4D58660F" w14:textId="7ACC0A97" w:rsidR="000E7B98" w:rsidRPr="00432EBF" w:rsidRDefault="000E7B98" w:rsidP="000E7B98">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 xml:space="preserve">Where a response assessment is not conducted within the required timeframe, the patient will be deemed </w:t>
            </w:r>
            <w:r w:rsidRPr="008B5012">
              <w:rPr>
                <w:rFonts w:ascii="Arial Narrow" w:hAnsi="Arial Narrow"/>
                <w:i/>
                <w:color w:val="FF0000"/>
                <w:sz w:val="20"/>
                <w:szCs w:val="20"/>
              </w:rPr>
              <w:t xml:space="preserve">to </w:t>
            </w:r>
            <w:r w:rsidR="00FA3C1B" w:rsidRPr="008B5012">
              <w:rPr>
                <w:rFonts w:ascii="Arial Narrow" w:hAnsi="Arial Narrow"/>
                <w:i/>
                <w:color w:val="FF0000"/>
                <w:sz w:val="20"/>
                <w:szCs w:val="20"/>
              </w:rPr>
              <w:t xml:space="preserve">not </w:t>
            </w:r>
            <w:r w:rsidRPr="008B5012" w:rsidDel="00755F7F">
              <w:rPr>
                <w:rFonts w:ascii="Arial Narrow" w:hAnsi="Arial Narrow"/>
                <w:i/>
                <w:color w:val="FF0000"/>
                <w:sz w:val="20"/>
                <w:szCs w:val="20"/>
              </w:rPr>
              <w:t xml:space="preserve">have </w:t>
            </w:r>
            <w:r w:rsidRPr="008B5012">
              <w:rPr>
                <w:rFonts w:ascii="Arial Narrow" w:hAnsi="Arial Narrow"/>
                <w:i/>
                <w:color w:val="FF0000"/>
                <w:sz w:val="20"/>
                <w:szCs w:val="20"/>
              </w:rPr>
              <w:t>respon</w:t>
            </w:r>
            <w:r w:rsidR="003D07C5" w:rsidRPr="008B5012">
              <w:rPr>
                <w:rFonts w:ascii="Arial Narrow" w:hAnsi="Arial Narrow"/>
                <w:i/>
                <w:color w:val="FF0000"/>
                <w:sz w:val="20"/>
                <w:szCs w:val="20"/>
              </w:rPr>
              <w:t>ded</w:t>
            </w:r>
            <w:r w:rsidRPr="008B5012">
              <w:rPr>
                <w:rFonts w:ascii="Arial Narrow" w:hAnsi="Arial Narrow"/>
                <w:color w:val="FF0000"/>
                <w:sz w:val="20"/>
                <w:szCs w:val="20"/>
              </w:rPr>
              <w:t xml:space="preserve"> </w:t>
            </w:r>
            <w:r w:rsidRPr="007C52FF">
              <w:rPr>
                <w:rFonts w:ascii="Arial Narrow" w:hAnsi="Arial Narrow"/>
                <w:sz w:val="20"/>
                <w:szCs w:val="20"/>
              </w:rPr>
              <w:t>to treatment with this drug, unless the patient has experienced a serious adverse reaction of a severity resulting in the necessity for permanent withdrawal of treatment.</w:t>
            </w:r>
          </w:p>
        </w:tc>
      </w:tr>
      <w:tr w:rsidR="000E7B98" w:rsidRPr="001428E9" w14:paraId="24447D1E"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42C3FDA" w14:textId="57292C97" w:rsidR="000E7B98" w:rsidRPr="00924DCC" w:rsidRDefault="000E7B98" w:rsidP="000E7B98">
            <w:pPr>
              <w:jc w:val="center"/>
              <w:rPr>
                <w:rFonts w:ascii="Arial Narrow" w:hAnsi="Arial Narrow"/>
                <w:i/>
                <w:iCs/>
                <w:sz w:val="20"/>
                <w:szCs w:val="20"/>
              </w:rPr>
            </w:pPr>
          </w:p>
        </w:tc>
        <w:tc>
          <w:tcPr>
            <w:tcW w:w="7888" w:type="dxa"/>
            <w:gridSpan w:val="6"/>
            <w:vAlign w:val="center"/>
          </w:tcPr>
          <w:p w14:paraId="609A8DF3" w14:textId="0BA571CF" w:rsidR="000E7B98" w:rsidRPr="00432EBF" w:rsidRDefault="000E7B98" w:rsidP="000E7B98">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 xml:space="preserve">If a patient </w:t>
            </w:r>
            <w:r w:rsidR="00630DBB" w:rsidRPr="00630DBB">
              <w:rPr>
                <w:rFonts w:ascii="Arial Narrow" w:hAnsi="Arial Narrow"/>
                <w:i/>
                <w:iCs/>
                <w:color w:val="FF0000"/>
                <w:sz w:val="20"/>
                <w:szCs w:val="20"/>
              </w:rPr>
              <w:t>does not</w:t>
            </w:r>
            <w:r w:rsidRPr="00630DBB">
              <w:rPr>
                <w:rFonts w:ascii="Arial Narrow" w:hAnsi="Arial Narrow"/>
                <w:color w:val="FF0000"/>
                <w:sz w:val="20"/>
                <w:szCs w:val="20"/>
              </w:rPr>
              <w:t xml:space="preserve"> </w:t>
            </w:r>
            <w:r w:rsidRPr="007C52FF">
              <w:rPr>
                <w:rFonts w:ascii="Arial Narrow" w:hAnsi="Arial Narrow"/>
                <w:sz w:val="20"/>
                <w:szCs w:val="20"/>
              </w:rPr>
              <w:t>demonstrate a response to treatment with this drug</w:t>
            </w:r>
            <w:r w:rsidR="00924DCC">
              <w:rPr>
                <w:rFonts w:ascii="Arial Narrow" w:hAnsi="Arial Narrow"/>
                <w:sz w:val="20"/>
                <w:szCs w:val="20"/>
              </w:rPr>
              <w:t xml:space="preserve"> </w:t>
            </w:r>
            <w:r w:rsidRPr="007C52FF">
              <w:rPr>
                <w:rFonts w:ascii="Arial Narrow" w:hAnsi="Arial Narrow"/>
                <w:sz w:val="20"/>
                <w:szCs w:val="20"/>
              </w:rPr>
              <w:t xml:space="preserve">under this </w:t>
            </w:r>
            <w:proofErr w:type="gramStart"/>
            <w:r w:rsidRPr="007C52FF">
              <w:rPr>
                <w:rFonts w:ascii="Arial Narrow" w:hAnsi="Arial Narrow"/>
                <w:sz w:val="20"/>
                <w:szCs w:val="20"/>
              </w:rPr>
              <w:t>restriction</w:t>
            </w:r>
            <w:proofErr w:type="gramEnd"/>
            <w:r w:rsidRPr="007C52FF">
              <w:rPr>
                <w:rFonts w:ascii="Arial Narrow" w:hAnsi="Arial Narrow"/>
                <w:sz w:val="20"/>
                <w:szCs w:val="20"/>
              </w:rPr>
              <w:t xml:space="preserve"> they will not be eligible to receive further PBS</w:t>
            </w:r>
            <w:r w:rsidR="005F1191">
              <w:rPr>
                <w:rFonts w:ascii="Arial Narrow" w:hAnsi="Arial Narrow"/>
                <w:sz w:val="20"/>
                <w:szCs w:val="20"/>
              </w:rPr>
              <w:noBreakHyphen/>
            </w:r>
            <w:r w:rsidRPr="007C52FF">
              <w:rPr>
                <w:rFonts w:ascii="Arial Narrow" w:hAnsi="Arial Narrow"/>
                <w:sz w:val="20"/>
                <w:szCs w:val="20"/>
              </w:rPr>
              <w:t>subsidised treatment with this drug for this condition within this treatment cycle.</w:t>
            </w:r>
          </w:p>
        </w:tc>
      </w:tr>
      <w:tr w:rsidR="000E7B98" w:rsidRPr="001428E9" w14:paraId="188BE917"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F52D4B0" w14:textId="61A07B7D" w:rsidR="000E7B98" w:rsidRPr="007C52FF" w:rsidRDefault="000E7B98" w:rsidP="000E7B98">
            <w:pPr>
              <w:jc w:val="center"/>
              <w:rPr>
                <w:rFonts w:ascii="Arial Narrow" w:hAnsi="Arial Narrow"/>
                <w:sz w:val="20"/>
                <w:szCs w:val="20"/>
              </w:rPr>
            </w:pPr>
          </w:p>
        </w:tc>
        <w:tc>
          <w:tcPr>
            <w:tcW w:w="7888" w:type="dxa"/>
            <w:gridSpan w:val="6"/>
            <w:vAlign w:val="center"/>
          </w:tcPr>
          <w:p w14:paraId="27B6529C" w14:textId="4494CA94" w:rsidR="000E7B98" w:rsidRPr="00432EBF" w:rsidRDefault="000E7B98" w:rsidP="000E7B98">
            <w:pPr>
              <w:rPr>
                <w:rFonts w:ascii="Arial Narrow" w:hAnsi="Arial Narrow"/>
                <w:b/>
                <w:bCs/>
                <w:sz w:val="20"/>
                <w:szCs w:val="20"/>
              </w:rPr>
            </w:pPr>
            <w:r>
              <w:rPr>
                <w:rFonts w:ascii="Arial Narrow" w:hAnsi="Arial Narrow"/>
                <w:b/>
                <w:bCs/>
                <w:sz w:val="20"/>
                <w:szCs w:val="20"/>
              </w:rPr>
              <w:t xml:space="preserve">Prescribing Instructions: </w:t>
            </w:r>
            <w:r w:rsidRPr="007C52FF">
              <w:rPr>
                <w:rFonts w:ascii="Arial Narrow" w:hAnsi="Arial Narrow"/>
                <w:sz w:val="20"/>
                <w:szCs w:val="20"/>
              </w:rPr>
              <w:t>A patient may re</w:t>
            </w:r>
            <w:r w:rsidR="005F1191">
              <w:rPr>
                <w:rFonts w:ascii="Arial Narrow" w:hAnsi="Arial Narrow"/>
                <w:sz w:val="20"/>
                <w:szCs w:val="20"/>
              </w:rPr>
              <w:noBreakHyphen/>
            </w:r>
            <w:r w:rsidRPr="007C52FF">
              <w:rPr>
                <w:rFonts w:ascii="Arial Narrow" w:hAnsi="Arial Narrow"/>
                <w:sz w:val="20"/>
                <w:szCs w:val="20"/>
              </w:rPr>
              <w:t>trial this drug after a minimum of 5 years have elapsed between the date the last prescription for a PBS</w:t>
            </w:r>
            <w:r w:rsidR="005F1191">
              <w:rPr>
                <w:rFonts w:ascii="Arial Narrow" w:hAnsi="Arial Narrow"/>
                <w:sz w:val="20"/>
                <w:szCs w:val="20"/>
              </w:rPr>
              <w:noBreakHyphen/>
            </w:r>
            <w:r w:rsidRPr="007C52FF">
              <w:rPr>
                <w:rFonts w:ascii="Arial Narrow" w:hAnsi="Arial Narrow"/>
                <w:sz w:val="20"/>
                <w:szCs w:val="20"/>
              </w:rPr>
              <w:t>subsidised biological medicine was approved in this cycle and the date of the first application under a new cycle under the Initial 3 treatment restriction.</w:t>
            </w:r>
          </w:p>
        </w:tc>
      </w:tr>
      <w:tr w:rsidR="000E7B98" w:rsidRPr="001428E9" w14:paraId="7DF45F62"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5A053B47" w14:textId="6B8CABA2" w:rsidR="001D7F6A" w:rsidRPr="00432EBF" w:rsidRDefault="001D7F6A" w:rsidP="000E7B98">
            <w:pPr>
              <w:jc w:val="center"/>
              <w:rPr>
                <w:rFonts w:ascii="Arial Narrow" w:hAnsi="Arial Narrow"/>
                <w:sz w:val="20"/>
                <w:szCs w:val="20"/>
              </w:rPr>
            </w:pPr>
          </w:p>
        </w:tc>
        <w:tc>
          <w:tcPr>
            <w:tcW w:w="7888" w:type="dxa"/>
            <w:gridSpan w:val="6"/>
            <w:vAlign w:val="center"/>
            <w:hideMark/>
          </w:tcPr>
          <w:p w14:paraId="701CA227" w14:textId="7F02269A" w:rsidR="001D7F6A" w:rsidRDefault="000E7B98" w:rsidP="000E7B98">
            <w:pPr>
              <w:rPr>
                <w:rFonts w:ascii="Arial Narrow" w:hAnsi="Arial Narrow"/>
                <w:sz w:val="20"/>
                <w:szCs w:val="20"/>
              </w:rPr>
            </w:pPr>
            <w:r w:rsidRPr="00432EBF">
              <w:rPr>
                <w:rFonts w:ascii="Arial Narrow" w:hAnsi="Arial Narrow"/>
                <w:b/>
                <w:bCs/>
                <w:sz w:val="20"/>
                <w:szCs w:val="20"/>
              </w:rPr>
              <w:t xml:space="preserve">Administrative Advice: </w:t>
            </w:r>
            <w:r w:rsidRPr="007C52FF">
              <w:rPr>
                <w:rFonts w:ascii="Arial Narrow" w:hAnsi="Arial Narrow"/>
                <w:sz w:val="20"/>
                <w:szCs w:val="20"/>
              </w:rPr>
              <w:t>Any queries concerning the arrangements to prescribe may be directed to Services Australia on 1800 700 270 (hours of operation 8 a.m. to 5 p.m.</w:t>
            </w:r>
            <w:r w:rsidRPr="007C52FF" w:rsidDel="00165A8C">
              <w:rPr>
                <w:rFonts w:ascii="Arial Narrow" w:hAnsi="Arial Narrow"/>
                <w:sz w:val="20"/>
                <w:szCs w:val="20"/>
              </w:rPr>
              <w:t xml:space="preserve"> </w:t>
            </w:r>
            <w:r w:rsidRPr="007C52FF">
              <w:rPr>
                <w:rFonts w:ascii="Arial Narrow" w:hAnsi="Arial Narrow"/>
                <w:sz w:val="20"/>
                <w:szCs w:val="20"/>
              </w:rPr>
              <w:t>Monday to Friday).</w:t>
            </w:r>
          </w:p>
          <w:p w14:paraId="282D7A5B" w14:textId="702BBE02" w:rsidR="001D7F6A" w:rsidRDefault="000E7B98" w:rsidP="000E7B98">
            <w:pPr>
              <w:rPr>
                <w:rFonts w:ascii="Arial Narrow" w:hAnsi="Arial Narrow"/>
                <w:sz w:val="20"/>
                <w:szCs w:val="20"/>
              </w:rPr>
            </w:pPr>
            <w:r w:rsidRPr="007C52FF">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3" w:history="1">
              <w:r w:rsidR="001D7F6A" w:rsidRPr="00D615A4">
                <w:rPr>
                  <w:rStyle w:val="Hyperlink"/>
                  <w:rFonts w:ascii="Arial Narrow" w:hAnsi="Arial Narrow"/>
                  <w:sz w:val="20"/>
                  <w:szCs w:val="20"/>
                </w:rPr>
                <w:t>www.servicesaustralia.gov.au</w:t>
              </w:r>
            </w:hyperlink>
          </w:p>
          <w:p w14:paraId="66B30752" w14:textId="170012B8" w:rsidR="001D7F6A" w:rsidRDefault="000E7B98" w:rsidP="000E7B98">
            <w:pPr>
              <w:rPr>
                <w:rFonts w:ascii="Arial Narrow" w:hAnsi="Arial Narrow"/>
                <w:sz w:val="20"/>
                <w:szCs w:val="20"/>
              </w:rPr>
            </w:pPr>
            <w:r w:rsidRPr="007C52FF">
              <w:rPr>
                <w:rFonts w:ascii="Arial Narrow" w:hAnsi="Arial Narrow"/>
                <w:sz w:val="20"/>
                <w:szCs w:val="20"/>
              </w:rPr>
              <w:t xml:space="preserve">Applications for authority to prescribe should be submitted online using the form upload facility in Health Professional Online Services (HPOS) at </w:t>
            </w:r>
            <w:hyperlink r:id="rId14" w:history="1">
              <w:r w:rsidR="001D7F6A" w:rsidRPr="00D615A4">
                <w:rPr>
                  <w:rStyle w:val="Hyperlink"/>
                  <w:rFonts w:ascii="Arial Narrow" w:hAnsi="Arial Narrow"/>
                  <w:sz w:val="20"/>
                  <w:szCs w:val="20"/>
                </w:rPr>
                <w:t>www.servicesaustralia.gov.au/hpos</w:t>
              </w:r>
            </w:hyperlink>
          </w:p>
          <w:p w14:paraId="05AD24F1" w14:textId="72CA6E4C" w:rsidR="001D7F6A" w:rsidRDefault="000E7B98" w:rsidP="000E7B98">
            <w:pPr>
              <w:rPr>
                <w:rFonts w:ascii="Arial Narrow" w:hAnsi="Arial Narrow"/>
                <w:sz w:val="20"/>
                <w:szCs w:val="20"/>
              </w:rPr>
            </w:pPr>
            <w:r w:rsidRPr="007C52FF">
              <w:rPr>
                <w:rFonts w:ascii="Arial Narrow" w:hAnsi="Arial Narrow"/>
                <w:sz w:val="20"/>
                <w:szCs w:val="20"/>
              </w:rPr>
              <w:t>Or mailed to:</w:t>
            </w:r>
          </w:p>
          <w:p w14:paraId="79BB8F48" w14:textId="4CB3A792" w:rsidR="001D7F6A" w:rsidRDefault="000E7B98" w:rsidP="000E7B98">
            <w:pPr>
              <w:rPr>
                <w:rFonts w:ascii="Arial Narrow" w:hAnsi="Arial Narrow"/>
                <w:sz w:val="20"/>
                <w:szCs w:val="20"/>
              </w:rPr>
            </w:pPr>
            <w:r w:rsidRPr="007C52FF">
              <w:rPr>
                <w:rFonts w:ascii="Arial Narrow" w:hAnsi="Arial Narrow"/>
                <w:sz w:val="20"/>
                <w:szCs w:val="20"/>
              </w:rPr>
              <w:t>Services Australia</w:t>
            </w:r>
          </w:p>
          <w:p w14:paraId="25D45ED3" w14:textId="42ED5C46" w:rsidR="001D7F6A" w:rsidRDefault="000E7B98" w:rsidP="000E7B98">
            <w:pPr>
              <w:rPr>
                <w:rFonts w:ascii="Arial Narrow" w:hAnsi="Arial Narrow"/>
                <w:sz w:val="20"/>
                <w:szCs w:val="20"/>
              </w:rPr>
            </w:pPr>
            <w:r w:rsidRPr="007C52FF">
              <w:rPr>
                <w:rFonts w:ascii="Arial Narrow" w:hAnsi="Arial Narrow"/>
                <w:sz w:val="20"/>
                <w:szCs w:val="20"/>
              </w:rPr>
              <w:t>Complex Drugs</w:t>
            </w:r>
          </w:p>
          <w:p w14:paraId="1D672F85" w14:textId="3CAB6C23" w:rsidR="001D7F6A" w:rsidRDefault="000E7B98" w:rsidP="000E7B98">
            <w:pPr>
              <w:rPr>
                <w:rFonts w:ascii="Arial Narrow" w:hAnsi="Arial Narrow"/>
                <w:sz w:val="20"/>
                <w:szCs w:val="20"/>
              </w:rPr>
            </w:pPr>
            <w:r w:rsidRPr="007C52FF">
              <w:rPr>
                <w:rFonts w:ascii="Arial Narrow" w:hAnsi="Arial Narrow"/>
                <w:sz w:val="20"/>
                <w:szCs w:val="20"/>
              </w:rPr>
              <w:t>Reply Paid 9826</w:t>
            </w:r>
          </w:p>
          <w:p w14:paraId="15BFE657" w14:textId="1065444D" w:rsidR="000E7B98" w:rsidRPr="001428E9" w:rsidRDefault="000E7B98" w:rsidP="000E7B98">
            <w:pPr>
              <w:rPr>
                <w:rFonts w:ascii="Arial Narrow" w:hAnsi="Arial Narrow"/>
                <w:color w:val="333333"/>
                <w:sz w:val="20"/>
                <w:szCs w:val="20"/>
              </w:rPr>
            </w:pPr>
            <w:r w:rsidRPr="007C52FF">
              <w:rPr>
                <w:rFonts w:ascii="Arial Narrow" w:hAnsi="Arial Narrow"/>
                <w:sz w:val="20"/>
                <w:szCs w:val="20"/>
              </w:rPr>
              <w:t>HOBART TAS 7001</w:t>
            </w:r>
          </w:p>
        </w:tc>
      </w:tr>
    </w:tbl>
    <w:p w14:paraId="57412BED" w14:textId="77777777" w:rsidR="00AE308F" w:rsidRDefault="00AE308F" w:rsidP="00752521">
      <w:pPr>
        <w:rPr>
          <w:rFonts w:ascii="Arial Narrow" w:hAnsi="Arial Narrow"/>
          <w:sz w:val="20"/>
          <w:szCs w:val="20"/>
        </w:rPr>
      </w:pPr>
    </w:p>
    <w:p w14:paraId="7D86F033" w14:textId="127A89B8" w:rsidR="0009628D" w:rsidRDefault="0009628D">
      <w:pPr>
        <w:jc w:val="left"/>
        <w:rPr>
          <w:b/>
          <w:bCs/>
        </w:rPr>
      </w:pPr>
      <w:r>
        <w:rPr>
          <w:b/>
          <w:bCs/>
        </w:rPr>
        <w:br w:type="page"/>
      </w:r>
    </w:p>
    <w:p w14:paraId="2573117E" w14:textId="5FFC602D" w:rsidR="00DA5906" w:rsidRPr="001D7F6A" w:rsidRDefault="00DA5906" w:rsidP="00DA5906">
      <w:pPr>
        <w:jc w:val="left"/>
        <w:rPr>
          <w:b/>
          <w:bCs/>
        </w:rPr>
      </w:pPr>
      <w:r w:rsidRPr="001D7F6A">
        <w:rPr>
          <w:b/>
          <w:bCs/>
        </w:rPr>
        <w:lastRenderedPageBreak/>
        <w:t>Continuing treatment – Whole Body or Continuing treatment – Face, hand, foot – 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inuing treatment – Whole Body or Continuing treatment – Face, hand, foot – Balance of Supply"/>
      </w:tblPr>
      <w:tblGrid>
        <w:gridCol w:w="571"/>
        <w:gridCol w:w="723"/>
        <w:gridCol w:w="2717"/>
        <w:gridCol w:w="826"/>
        <w:gridCol w:w="827"/>
        <w:gridCol w:w="826"/>
        <w:gridCol w:w="827"/>
        <w:gridCol w:w="1865"/>
      </w:tblGrid>
      <w:tr w:rsidR="002E75EF" w:rsidRPr="001428E9" w14:paraId="63976D95" w14:textId="77777777" w:rsidTr="00795D5D">
        <w:trPr>
          <w:cantSplit/>
          <w:trHeight w:val="20"/>
        </w:trPr>
        <w:tc>
          <w:tcPr>
            <w:tcW w:w="4011" w:type="dxa"/>
            <w:gridSpan w:val="3"/>
            <w:vAlign w:val="center"/>
          </w:tcPr>
          <w:p w14:paraId="5BD647F8" w14:textId="77777777" w:rsidR="002E75EF" w:rsidRPr="001428E9" w:rsidRDefault="002E75EF">
            <w:pPr>
              <w:keepLines/>
              <w:rPr>
                <w:rFonts w:ascii="Arial Narrow" w:hAnsi="Arial Narrow"/>
                <w:b/>
                <w:bCs/>
                <w:sz w:val="20"/>
                <w:szCs w:val="20"/>
              </w:rPr>
            </w:pPr>
            <w:r w:rsidRPr="001428E9">
              <w:rPr>
                <w:rFonts w:ascii="Arial Narrow" w:hAnsi="Arial Narrow"/>
                <w:b/>
                <w:bCs/>
                <w:sz w:val="20"/>
                <w:szCs w:val="20"/>
              </w:rPr>
              <w:t>MEDICINAL PRODUCT</w:t>
            </w:r>
          </w:p>
          <w:p w14:paraId="4693CCD6" w14:textId="77777777" w:rsidR="002E75EF" w:rsidRPr="001428E9" w:rsidRDefault="002E75EF">
            <w:pPr>
              <w:keepLines/>
              <w:rPr>
                <w:rFonts w:ascii="Arial Narrow" w:hAnsi="Arial Narrow"/>
                <w:b/>
                <w:sz w:val="20"/>
                <w:szCs w:val="20"/>
              </w:rPr>
            </w:pPr>
            <w:r w:rsidRPr="001428E9">
              <w:rPr>
                <w:rFonts w:ascii="Arial Narrow" w:hAnsi="Arial Narrow"/>
                <w:b/>
                <w:bCs/>
                <w:sz w:val="20"/>
                <w:szCs w:val="20"/>
              </w:rPr>
              <w:t>medicinal product pack</w:t>
            </w:r>
          </w:p>
        </w:tc>
        <w:tc>
          <w:tcPr>
            <w:tcW w:w="826" w:type="dxa"/>
            <w:vAlign w:val="center"/>
          </w:tcPr>
          <w:p w14:paraId="2F26131F" w14:textId="77777777" w:rsidR="002E75EF" w:rsidRPr="001428E9" w:rsidRDefault="002E75EF">
            <w:pPr>
              <w:keepLines/>
              <w:jc w:val="center"/>
              <w:rPr>
                <w:rFonts w:ascii="Arial Narrow" w:hAnsi="Arial Narrow"/>
                <w:b/>
                <w:sz w:val="20"/>
                <w:szCs w:val="20"/>
              </w:rPr>
            </w:pPr>
            <w:r w:rsidRPr="001428E9">
              <w:rPr>
                <w:rFonts w:ascii="Arial Narrow" w:hAnsi="Arial Narrow"/>
                <w:b/>
                <w:sz w:val="20"/>
                <w:szCs w:val="20"/>
              </w:rPr>
              <w:t>PBS item code</w:t>
            </w:r>
          </w:p>
        </w:tc>
        <w:tc>
          <w:tcPr>
            <w:tcW w:w="827" w:type="dxa"/>
            <w:vAlign w:val="center"/>
          </w:tcPr>
          <w:p w14:paraId="62B85CE2" w14:textId="77777777" w:rsidR="002E75EF" w:rsidRPr="001428E9" w:rsidRDefault="002E75EF">
            <w:pPr>
              <w:keepLines/>
              <w:jc w:val="center"/>
              <w:rPr>
                <w:rFonts w:ascii="Arial Narrow" w:hAnsi="Arial Narrow"/>
                <w:b/>
                <w:sz w:val="20"/>
                <w:szCs w:val="20"/>
              </w:rPr>
            </w:pPr>
            <w:r w:rsidRPr="001428E9">
              <w:rPr>
                <w:rFonts w:ascii="Arial Narrow" w:hAnsi="Arial Narrow"/>
                <w:b/>
                <w:sz w:val="20"/>
                <w:szCs w:val="20"/>
              </w:rPr>
              <w:t>Max. qty packs</w:t>
            </w:r>
          </w:p>
        </w:tc>
        <w:tc>
          <w:tcPr>
            <w:tcW w:w="826" w:type="dxa"/>
            <w:vAlign w:val="center"/>
          </w:tcPr>
          <w:p w14:paraId="55D03506" w14:textId="77777777" w:rsidR="002E75EF" w:rsidRPr="001428E9" w:rsidRDefault="002E75EF">
            <w:pPr>
              <w:keepLines/>
              <w:jc w:val="center"/>
              <w:rPr>
                <w:rFonts w:ascii="Arial Narrow" w:hAnsi="Arial Narrow"/>
                <w:b/>
                <w:sz w:val="20"/>
                <w:szCs w:val="20"/>
              </w:rPr>
            </w:pPr>
            <w:r w:rsidRPr="001428E9">
              <w:rPr>
                <w:rFonts w:ascii="Arial Narrow" w:hAnsi="Arial Narrow"/>
                <w:b/>
                <w:sz w:val="20"/>
                <w:szCs w:val="20"/>
              </w:rPr>
              <w:t>Max. qty units</w:t>
            </w:r>
          </w:p>
        </w:tc>
        <w:tc>
          <w:tcPr>
            <w:tcW w:w="827" w:type="dxa"/>
            <w:vAlign w:val="center"/>
          </w:tcPr>
          <w:p w14:paraId="2F8F08BD" w14:textId="77777777" w:rsidR="002E75EF" w:rsidRPr="001428E9" w:rsidRDefault="002E75EF">
            <w:pPr>
              <w:keepLines/>
              <w:jc w:val="center"/>
              <w:rPr>
                <w:rFonts w:ascii="Arial Narrow" w:hAnsi="Arial Narrow"/>
                <w:b/>
                <w:sz w:val="20"/>
                <w:szCs w:val="20"/>
              </w:rPr>
            </w:pPr>
            <w:proofErr w:type="gramStart"/>
            <w:r w:rsidRPr="001428E9">
              <w:rPr>
                <w:rFonts w:ascii="Arial Narrow" w:hAnsi="Arial Narrow"/>
                <w:b/>
                <w:sz w:val="20"/>
                <w:szCs w:val="20"/>
              </w:rPr>
              <w:t>№.of</w:t>
            </w:r>
            <w:proofErr w:type="gramEnd"/>
          </w:p>
          <w:p w14:paraId="1D4F012C" w14:textId="77777777" w:rsidR="002E75EF" w:rsidRPr="001428E9" w:rsidRDefault="002E75EF">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865" w:type="dxa"/>
            <w:vAlign w:val="center"/>
          </w:tcPr>
          <w:p w14:paraId="7AECA589" w14:textId="77777777" w:rsidR="002E75EF" w:rsidRPr="001428E9" w:rsidRDefault="002E75EF">
            <w:pPr>
              <w:keepLines/>
              <w:rPr>
                <w:rFonts w:ascii="Arial Narrow" w:hAnsi="Arial Narrow"/>
                <w:b/>
                <w:sz w:val="20"/>
                <w:szCs w:val="20"/>
                <w:lang w:val="fr-FR"/>
              </w:rPr>
            </w:pPr>
            <w:r w:rsidRPr="001428E9">
              <w:rPr>
                <w:rFonts w:ascii="Arial Narrow" w:hAnsi="Arial Narrow"/>
                <w:b/>
                <w:sz w:val="20"/>
                <w:szCs w:val="20"/>
              </w:rPr>
              <w:t>Available brands</w:t>
            </w:r>
          </w:p>
        </w:tc>
      </w:tr>
      <w:tr w:rsidR="002E75EF" w:rsidRPr="001428E9" w14:paraId="010D5DDF" w14:textId="77777777" w:rsidTr="00795D5D">
        <w:trPr>
          <w:cantSplit/>
          <w:trHeight w:val="20"/>
        </w:trPr>
        <w:tc>
          <w:tcPr>
            <w:tcW w:w="9182" w:type="dxa"/>
            <w:gridSpan w:val="8"/>
            <w:vAlign w:val="center"/>
          </w:tcPr>
          <w:p w14:paraId="4353CDDD" w14:textId="77777777" w:rsidR="002E75EF" w:rsidRPr="001428E9" w:rsidRDefault="002E75EF">
            <w:pPr>
              <w:keepLines/>
              <w:rPr>
                <w:rFonts w:ascii="Arial Narrow" w:hAnsi="Arial Narrow"/>
                <w:sz w:val="20"/>
                <w:szCs w:val="20"/>
              </w:rPr>
            </w:pPr>
            <w:r>
              <w:rPr>
                <w:rFonts w:ascii="Arial Narrow" w:hAnsi="Arial Narrow"/>
                <w:sz w:val="20"/>
                <w:szCs w:val="20"/>
              </w:rPr>
              <w:t>TILDRAKIZUMAB</w:t>
            </w:r>
          </w:p>
        </w:tc>
      </w:tr>
      <w:tr w:rsidR="009B70FD" w:rsidRPr="001428E9" w14:paraId="389A882D" w14:textId="77777777" w:rsidTr="00795D5D">
        <w:trPr>
          <w:cantSplit/>
          <w:trHeight w:val="84"/>
        </w:trPr>
        <w:tc>
          <w:tcPr>
            <w:tcW w:w="4011" w:type="dxa"/>
            <w:gridSpan w:val="3"/>
            <w:vAlign w:val="center"/>
          </w:tcPr>
          <w:p w14:paraId="2632BAEA" w14:textId="5686D74A" w:rsidR="009B70FD" w:rsidRPr="00E30D86" w:rsidRDefault="009B70FD" w:rsidP="009B70FD">
            <w:pPr>
              <w:keepLines/>
              <w:rPr>
                <w:rFonts w:ascii="Arial Narrow" w:hAnsi="Arial Narrow"/>
                <w:color w:val="FF0000"/>
                <w:sz w:val="20"/>
                <w:szCs w:val="20"/>
              </w:rPr>
            </w:pPr>
            <w:r w:rsidRPr="00E30D86">
              <w:rPr>
                <w:rFonts w:ascii="Arial Narrow" w:hAnsi="Arial Narrow"/>
                <w:i/>
                <w:iCs/>
                <w:color w:val="FF0000"/>
                <w:sz w:val="20"/>
                <w:szCs w:val="20"/>
              </w:rPr>
              <w:t xml:space="preserve">tildrakizumab 100 mg/mL injection, </w:t>
            </w:r>
            <w:r w:rsidR="00B06D10">
              <w:rPr>
                <w:rFonts w:ascii="Arial Narrow" w:hAnsi="Arial Narrow"/>
                <w:i/>
                <w:iCs/>
                <w:color w:val="FF0000"/>
                <w:sz w:val="20"/>
                <w:szCs w:val="20"/>
              </w:rPr>
              <w:t xml:space="preserve">2 x </w:t>
            </w:r>
            <w:r w:rsidRPr="00E30D86">
              <w:rPr>
                <w:rFonts w:ascii="Arial Narrow" w:hAnsi="Arial Narrow"/>
                <w:i/>
                <w:iCs/>
                <w:color w:val="FF0000"/>
                <w:sz w:val="20"/>
                <w:szCs w:val="20"/>
              </w:rPr>
              <w:t>1 mL syringe</w:t>
            </w:r>
          </w:p>
        </w:tc>
        <w:tc>
          <w:tcPr>
            <w:tcW w:w="826" w:type="dxa"/>
            <w:vAlign w:val="center"/>
          </w:tcPr>
          <w:p w14:paraId="62D728DA" w14:textId="77777777" w:rsidR="009B70FD" w:rsidRDefault="009B70FD" w:rsidP="009B70FD">
            <w:pPr>
              <w:keepLines/>
              <w:jc w:val="center"/>
              <w:rPr>
                <w:rFonts w:ascii="Arial Narrow" w:hAnsi="Arial Narrow"/>
                <w:i/>
                <w:iCs/>
                <w:color w:val="FF0000"/>
                <w:sz w:val="20"/>
                <w:szCs w:val="20"/>
              </w:rPr>
            </w:pPr>
            <w:r w:rsidRPr="00E30D86">
              <w:rPr>
                <w:rFonts w:ascii="Arial Narrow" w:hAnsi="Arial Narrow"/>
                <w:i/>
                <w:iCs/>
                <w:color w:val="FF0000"/>
                <w:sz w:val="20"/>
                <w:szCs w:val="20"/>
              </w:rPr>
              <w:t>NEW</w:t>
            </w:r>
          </w:p>
          <w:p w14:paraId="03397C2D" w14:textId="7347186C" w:rsidR="008412E8" w:rsidRPr="00E30D86" w:rsidRDefault="008412E8" w:rsidP="009B70FD">
            <w:pPr>
              <w:keepLines/>
              <w:jc w:val="center"/>
              <w:rPr>
                <w:rFonts w:ascii="Arial Narrow" w:hAnsi="Arial Narrow"/>
                <w:color w:val="FF0000"/>
                <w:sz w:val="20"/>
                <w:szCs w:val="20"/>
              </w:rPr>
            </w:pPr>
            <w:r w:rsidRPr="00E21126">
              <w:rPr>
                <w:rFonts w:ascii="Arial Narrow" w:hAnsi="Arial Narrow"/>
                <w:i/>
                <w:iCs/>
                <w:color w:val="FF0000"/>
                <w:sz w:val="16"/>
                <w:szCs w:val="16"/>
              </w:rPr>
              <w:t>MP</w:t>
            </w:r>
          </w:p>
        </w:tc>
        <w:tc>
          <w:tcPr>
            <w:tcW w:w="827" w:type="dxa"/>
            <w:vAlign w:val="center"/>
          </w:tcPr>
          <w:p w14:paraId="4F5D83AB" w14:textId="1C179B11" w:rsidR="009B70FD" w:rsidRPr="00E30D86" w:rsidRDefault="009B70FD" w:rsidP="009B70FD">
            <w:pPr>
              <w:keepLines/>
              <w:jc w:val="center"/>
              <w:rPr>
                <w:rFonts w:ascii="Arial Narrow" w:hAnsi="Arial Narrow"/>
                <w:color w:val="FF0000"/>
                <w:sz w:val="20"/>
                <w:szCs w:val="20"/>
              </w:rPr>
            </w:pPr>
            <w:r w:rsidRPr="00E30D86">
              <w:rPr>
                <w:rFonts w:ascii="Arial Narrow" w:hAnsi="Arial Narrow"/>
                <w:i/>
                <w:iCs/>
                <w:color w:val="FF0000"/>
                <w:sz w:val="20"/>
                <w:szCs w:val="20"/>
              </w:rPr>
              <w:t>1</w:t>
            </w:r>
          </w:p>
        </w:tc>
        <w:tc>
          <w:tcPr>
            <w:tcW w:w="826" w:type="dxa"/>
            <w:vAlign w:val="center"/>
          </w:tcPr>
          <w:p w14:paraId="51910F3D" w14:textId="50A492D9" w:rsidR="009B70FD" w:rsidRPr="00E30D86" w:rsidRDefault="009B70FD" w:rsidP="009B70FD">
            <w:pPr>
              <w:keepLines/>
              <w:jc w:val="center"/>
              <w:rPr>
                <w:rFonts w:ascii="Arial Narrow" w:hAnsi="Arial Narrow"/>
                <w:color w:val="FF0000"/>
                <w:sz w:val="20"/>
                <w:szCs w:val="20"/>
              </w:rPr>
            </w:pPr>
            <w:r w:rsidRPr="00E30D86">
              <w:rPr>
                <w:rFonts w:ascii="Arial Narrow" w:hAnsi="Arial Narrow"/>
                <w:i/>
                <w:iCs/>
                <w:color w:val="FF0000"/>
                <w:sz w:val="20"/>
                <w:szCs w:val="20"/>
              </w:rPr>
              <w:t>2</w:t>
            </w:r>
          </w:p>
        </w:tc>
        <w:tc>
          <w:tcPr>
            <w:tcW w:w="827" w:type="dxa"/>
            <w:vAlign w:val="center"/>
          </w:tcPr>
          <w:p w14:paraId="45027904" w14:textId="755A02DE" w:rsidR="009B70FD" w:rsidRPr="00E30D86" w:rsidRDefault="009B70FD" w:rsidP="009B70FD">
            <w:pPr>
              <w:keepLines/>
              <w:jc w:val="center"/>
              <w:rPr>
                <w:rFonts w:ascii="Arial Narrow" w:hAnsi="Arial Narrow"/>
                <w:color w:val="FF0000"/>
                <w:sz w:val="20"/>
                <w:szCs w:val="20"/>
              </w:rPr>
            </w:pPr>
            <w:r w:rsidRPr="00E30D86">
              <w:rPr>
                <w:rFonts w:ascii="Arial Narrow" w:hAnsi="Arial Narrow"/>
                <w:i/>
                <w:iCs/>
                <w:color w:val="FF0000"/>
                <w:sz w:val="20"/>
                <w:szCs w:val="20"/>
              </w:rPr>
              <w:t>1</w:t>
            </w:r>
          </w:p>
        </w:tc>
        <w:tc>
          <w:tcPr>
            <w:tcW w:w="1865" w:type="dxa"/>
            <w:vAlign w:val="center"/>
          </w:tcPr>
          <w:p w14:paraId="0AE970D6" w14:textId="6FA112B3" w:rsidR="009B70FD" w:rsidRPr="00E30D86" w:rsidRDefault="009B70FD" w:rsidP="009B70FD">
            <w:pPr>
              <w:keepLines/>
              <w:rPr>
                <w:rFonts w:ascii="Arial Narrow" w:hAnsi="Arial Narrow"/>
                <w:color w:val="FF0000"/>
                <w:sz w:val="20"/>
                <w:szCs w:val="20"/>
              </w:rPr>
            </w:pPr>
            <w:proofErr w:type="spellStart"/>
            <w:r w:rsidRPr="00E30D86">
              <w:rPr>
                <w:rFonts w:ascii="Arial Narrow" w:hAnsi="Arial Narrow"/>
                <w:i/>
                <w:iCs/>
                <w:color w:val="FF0000"/>
                <w:sz w:val="20"/>
                <w:szCs w:val="20"/>
              </w:rPr>
              <w:t>Ilumya</w:t>
            </w:r>
            <w:proofErr w:type="spellEnd"/>
          </w:p>
        </w:tc>
      </w:tr>
      <w:tr w:rsidR="002E75EF" w:rsidRPr="001428E9" w14:paraId="0F59331D" w14:textId="77777777" w:rsidTr="00795D5D">
        <w:tblPrEx>
          <w:tblCellMar>
            <w:top w:w="15" w:type="dxa"/>
            <w:bottom w:w="15" w:type="dxa"/>
          </w:tblCellMar>
          <w:tblLook w:val="04A0" w:firstRow="1" w:lastRow="0" w:firstColumn="1" w:lastColumn="0" w:noHBand="0" w:noVBand="1"/>
        </w:tblPrEx>
        <w:trPr>
          <w:trHeight w:val="20"/>
        </w:trPr>
        <w:tc>
          <w:tcPr>
            <w:tcW w:w="9182" w:type="dxa"/>
            <w:gridSpan w:val="8"/>
            <w:tcBorders>
              <w:top w:val="single" w:sz="4" w:space="0" w:color="auto"/>
              <w:left w:val="single" w:sz="4" w:space="0" w:color="auto"/>
              <w:right w:val="single" w:sz="4" w:space="0" w:color="auto"/>
            </w:tcBorders>
            <w:vAlign w:val="center"/>
          </w:tcPr>
          <w:p w14:paraId="2999E0FE" w14:textId="77777777" w:rsidR="002E75EF" w:rsidRPr="001428E9" w:rsidRDefault="002E75EF">
            <w:pPr>
              <w:rPr>
                <w:rFonts w:ascii="Arial Narrow" w:hAnsi="Arial Narrow"/>
                <w:sz w:val="20"/>
                <w:szCs w:val="20"/>
              </w:rPr>
            </w:pPr>
          </w:p>
        </w:tc>
      </w:tr>
      <w:tr w:rsidR="002E75EF" w:rsidRPr="001428E9" w14:paraId="6C16553A"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val="restart"/>
            <w:tcBorders>
              <w:top w:val="single" w:sz="4" w:space="0" w:color="auto"/>
              <w:left w:val="single" w:sz="4" w:space="0" w:color="auto"/>
              <w:right w:val="single" w:sz="4" w:space="0" w:color="auto"/>
            </w:tcBorders>
          </w:tcPr>
          <w:p w14:paraId="62352811" w14:textId="77777777" w:rsidR="002E75EF" w:rsidRPr="001428E9" w:rsidRDefault="002E75EF">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2C4EF4E9" w14:textId="12748A21" w:rsidR="002E75EF" w:rsidRPr="001428E9" w:rsidRDefault="002E75EF">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w:t>
            </w:r>
            <w:r w:rsidR="005F1191">
              <w:rPr>
                <w:rFonts w:ascii="Arial Narrow" w:eastAsia="Calibri" w:hAnsi="Arial Narrow"/>
                <w:sz w:val="20"/>
                <w:szCs w:val="20"/>
              </w:rPr>
              <w:noBreakHyphen/>
            </w:r>
            <w:r>
              <w:rPr>
                <w:rFonts w:ascii="Arial Narrow" w:eastAsia="Calibri" w:hAnsi="Arial Narrow"/>
                <w:sz w:val="20"/>
                <w:szCs w:val="20"/>
              </w:rPr>
              <w:t xml:space="preserve"> </w:t>
            </w:r>
            <w:proofErr w:type="spellStart"/>
            <w:r>
              <w:rPr>
                <w:rFonts w:ascii="Arial Narrow" w:eastAsia="Calibri" w:hAnsi="Arial Narrow"/>
                <w:sz w:val="20"/>
                <w:szCs w:val="20"/>
              </w:rPr>
              <w:t>General</w:t>
            </w:r>
            <w:proofErr w:type="spellEnd"/>
            <w:r>
              <w:rPr>
                <w:rFonts w:ascii="Arial Narrow" w:eastAsia="Calibri" w:hAnsi="Arial Narrow"/>
                <w:sz w:val="20"/>
                <w:szCs w:val="20"/>
              </w:rPr>
              <w:t xml:space="preserve"> Schedule (Code GE)</w:t>
            </w:r>
          </w:p>
        </w:tc>
      </w:tr>
      <w:tr w:rsidR="002E75EF" w:rsidRPr="001428E9" w14:paraId="12D881C9" w14:textId="77777777" w:rsidTr="00795D5D">
        <w:tblPrEx>
          <w:tblCellMar>
            <w:top w:w="15" w:type="dxa"/>
            <w:bottom w:w="15" w:type="dxa"/>
          </w:tblCellMar>
          <w:tblLook w:val="04A0" w:firstRow="1" w:lastRow="0" w:firstColumn="1" w:lastColumn="0" w:noHBand="0" w:noVBand="1"/>
        </w:tblPrEx>
        <w:trPr>
          <w:trHeight w:val="20"/>
        </w:trPr>
        <w:tc>
          <w:tcPr>
            <w:tcW w:w="1294" w:type="dxa"/>
            <w:gridSpan w:val="2"/>
            <w:vMerge/>
            <w:tcBorders>
              <w:left w:val="single" w:sz="4" w:space="0" w:color="auto"/>
              <w:right w:val="single" w:sz="4" w:space="0" w:color="auto"/>
            </w:tcBorders>
          </w:tcPr>
          <w:p w14:paraId="2FD06FF5" w14:textId="77777777" w:rsidR="002E75EF" w:rsidRPr="001428E9" w:rsidRDefault="002E75EF">
            <w:pPr>
              <w:rPr>
                <w:rFonts w:ascii="Arial Narrow" w:hAnsi="Arial Narrow"/>
                <w:sz w:val="20"/>
                <w:szCs w:val="20"/>
              </w:rPr>
            </w:pP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6A63D468" w14:textId="77777777" w:rsidR="002E75EF" w:rsidRPr="001428E9" w:rsidRDefault="002E75EF">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w:t>
            </w:r>
            <w:r w:rsidRPr="001428E9">
              <w:rPr>
                <w:rFonts w:ascii="Arial Narrow" w:hAnsi="Arial Narrow"/>
                <w:sz w:val="20"/>
                <w:szCs w:val="20"/>
              </w:rPr>
              <w:t xml:space="preserve">Medical Practitioners </w:t>
            </w:r>
          </w:p>
        </w:tc>
      </w:tr>
      <w:tr w:rsidR="002E75EF" w:rsidRPr="00D56F94" w14:paraId="7E1FEC06" w14:textId="77777777" w:rsidTr="00795D5D">
        <w:tblPrEx>
          <w:tblCellMar>
            <w:top w:w="15" w:type="dxa"/>
            <w:bottom w:w="15" w:type="dxa"/>
          </w:tblCellMar>
          <w:tblLook w:val="04A0" w:firstRow="1" w:lastRow="0" w:firstColumn="1" w:lastColumn="0" w:noHBand="0" w:noVBand="1"/>
        </w:tblPrEx>
        <w:trPr>
          <w:trHeight w:val="69"/>
        </w:trPr>
        <w:tc>
          <w:tcPr>
            <w:tcW w:w="1294" w:type="dxa"/>
            <w:gridSpan w:val="2"/>
            <w:vMerge/>
            <w:tcBorders>
              <w:left w:val="single" w:sz="4" w:space="0" w:color="auto"/>
              <w:right w:val="single" w:sz="4" w:space="0" w:color="auto"/>
            </w:tcBorders>
          </w:tcPr>
          <w:p w14:paraId="16F7B3FE" w14:textId="77777777" w:rsidR="002E75EF" w:rsidRPr="001428E9" w:rsidRDefault="002E75EF">
            <w:pPr>
              <w:rPr>
                <w:rFonts w:ascii="Arial Narrow" w:hAnsi="Arial Narrow"/>
                <w:sz w:val="20"/>
                <w:szCs w:val="20"/>
              </w:rPr>
            </w:pPr>
          </w:p>
        </w:tc>
        <w:tc>
          <w:tcPr>
            <w:tcW w:w="7888" w:type="dxa"/>
            <w:gridSpan w:val="6"/>
            <w:tcBorders>
              <w:top w:val="single" w:sz="4" w:space="0" w:color="auto"/>
              <w:left w:val="single" w:sz="4" w:space="0" w:color="auto"/>
              <w:bottom w:val="single" w:sz="4" w:space="0" w:color="auto"/>
              <w:right w:val="single" w:sz="4" w:space="0" w:color="auto"/>
            </w:tcBorders>
            <w:vAlign w:val="center"/>
          </w:tcPr>
          <w:p w14:paraId="37C0E50D" w14:textId="7DACA807" w:rsidR="002E75EF" w:rsidRPr="00D56F94" w:rsidRDefault="002E75EF">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sidR="004752B7" w:rsidRPr="006B7BC6">
              <w:rPr>
                <w:rFonts w:ascii="Arial Narrow" w:eastAsia="Calibri" w:hAnsi="Arial Narrow"/>
                <w:sz w:val="20"/>
                <w:szCs w:val="20"/>
              </w:rPr>
              <w:fldChar w:fldCharType="begin">
                <w:ffData>
                  <w:name w:val="Check3"/>
                  <w:enabled/>
                  <w:calcOnExit w:val="0"/>
                  <w:checkBox>
                    <w:sizeAuto/>
                    <w:default w:val="1"/>
                  </w:checkBox>
                </w:ffData>
              </w:fldChar>
            </w:r>
            <w:r w:rsidR="004752B7" w:rsidRPr="006B7BC6">
              <w:rPr>
                <w:rFonts w:ascii="Arial Narrow" w:eastAsia="Calibri" w:hAnsi="Arial Narrow"/>
                <w:sz w:val="20"/>
                <w:szCs w:val="20"/>
              </w:rPr>
              <w:instrText xml:space="preserve"> FORMCHECKBOX </w:instrText>
            </w:r>
            <w:r w:rsidR="004752B7" w:rsidRPr="006B7BC6">
              <w:rPr>
                <w:rFonts w:ascii="Arial Narrow" w:eastAsia="Calibri" w:hAnsi="Arial Narrow"/>
                <w:sz w:val="20"/>
                <w:szCs w:val="20"/>
              </w:rPr>
            </w:r>
            <w:r w:rsidR="004752B7" w:rsidRPr="006B7BC6">
              <w:rPr>
                <w:rFonts w:ascii="Arial Narrow" w:eastAsia="Calibri" w:hAnsi="Arial Narrow"/>
                <w:sz w:val="20"/>
                <w:szCs w:val="20"/>
              </w:rPr>
              <w:fldChar w:fldCharType="separate"/>
            </w:r>
            <w:r w:rsidR="004752B7" w:rsidRPr="006B7BC6">
              <w:rPr>
                <w:rFonts w:ascii="Arial Narrow" w:eastAsia="Calibri" w:hAnsi="Arial Narrow"/>
                <w:sz w:val="20"/>
                <w:szCs w:val="20"/>
              </w:rPr>
              <w:fldChar w:fldCharType="end"/>
            </w:r>
            <w:r w:rsidR="000269E0">
              <w:rPr>
                <w:rFonts w:ascii="Arial Narrow" w:eastAsia="Calibri" w:hAnsi="Arial Narrow"/>
                <w:sz w:val="20"/>
                <w:szCs w:val="20"/>
              </w:rPr>
              <w:t xml:space="preserve"> </w:t>
            </w:r>
            <w:r w:rsidR="004752B7" w:rsidRPr="006B7BC6">
              <w:rPr>
                <w:rFonts w:ascii="Arial Narrow" w:eastAsia="Calibri" w:hAnsi="Arial Narrow"/>
                <w:sz w:val="20"/>
                <w:szCs w:val="20"/>
              </w:rPr>
              <w:t>Authority Required (telephone/online PBS Authorities system)</w:t>
            </w:r>
          </w:p>
        </w:tc>
      </w:tr>
      <w:tr w:rsidR="002E75EF" w:rsidRPr="001428E9" w14:paraId="627264EA" w14:textId="77777777" w:rsidTr="00795D5D">
        <w:tblPrEx>
          <w:tblCellMar>
            <w:top w:w="15" w:type="dxa"/>
            <w:bottom w:w="15" w:type="dxa"/>
          </w:tblCellMar>
          <w:tblLook w:val="04A0" w:firstRow="1" w:lastRow="0" w:firstColumn="1" w:lastColumn="0" w:noHBand="0" w:noVBand="1"/>
        </w:tblPrEx>
        <w:trPr>
          <w:trHeight w:val="352"/>
        </w:trPr>
        <w:tc>
          <w:tcPr>
            <w:tcW w:w="571" w:type="dxa"/>
            <w:vMerge w:val="restart"/>
            <w:tcBorders>
              <w:left w:val="single" w:sz="4" w:space="0" w:color="auto"/>
              <w:right w:val="single" w:sz="4" w:space="0" w:color="auto"/>
            </w:tcBorders>
            <w:textDirection w:val="btLr"/>
            <w:vAlign w:val="center"/>
          </w:tcPr>
          <w:p w14:paraId="29AEAD40" w14:textId="77777777" w:rsidR="002E75EF" w:rsidRPr="00432EBF" w:rsidRDefault="002E75EF">
            <w:pPr>
              <w:jc w:val="center"/>
              <w:rPr>
                <w:rFonts w:ascii="Arial Narrow" w:hAnsi="Arial Narrow"/>
                <w:sz w:val="20"/>
                <w:szCs w:val="20"/>
              </w:rPr>
            </w:pPr>
            <w:r w:rsidRPr="00432EBF">
              <w:rPr>
                <w:rFonts w:ascii="Arial Narrow" w:hAnsi="Arial Narrow"/>
                <w:sz w:val="20"/>
                <w:szCs w:val="20"/>
              </w:rPr>
              <w:t>Prescribing rule level</w:t>
            </w:r>
          </w:p>
        </w:tc>
        <w:tc>
          <w:tcPr>
            <w:tcW w:w="723" w:type="dxa"/>
            <w:vAlign w:val="center"/>
          </w:tcPr>
          <w:p w14:paraId="2D392886" w14:textId="63B0404D" w:rsidR="002E75EF" w:rsidRPr="001428E9" w:rsidRDefault="002E75EF">
            <w:pPr>
              <w:jc w:val="center"/>
              <w:rPr>
                <w:rFonts w:ascii="Arial Narrow" w:hAnsi="Arial Narrow"/>
                <w:color w:val="333333"/>
                <w:sz w:val="20"/>
                <w:szCs w:val="20"/>
              </w:rPr>
            </w:pPr>
          </w:p>
        </w:tc>
        <w:tc>
          <w:tcPr>
            <w:tcW w:w="7888" w:type="dxa"/>
            <w:gridSpan w:val="6"/>
            <w:vAlign w:val="center"/>
          </w:tcPr>
          <w:p w14:paraId="04D45FF8" w14:textId="77777777" w:rsidR="002E75EF" w:rsidRPr="006074EB" w:rsidRDefault="002E75EF">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 ABRIGED: </w:t>
            </w:r>
            <w:r w:rsidRPr="007C52FF">
              <w:rPr>
                <w:rFonts w:ascii="Arial Narrow" w:hAnsi="Arial Narrow"/>
                <w:sz w:val="20"/>
                <w:szCs w:val="20"/>
              </w:rPr>
              <w:t>TREATMENT OF ADULT PATIENTS WITH SEVERE CHRONIC PLAQUE PSORIASIS</w:t>
            </w:r>
          </w:p>
        </w:tc>
      </w:tr>
      <w:tr w:rsidR="002E75EF" w:rsidRPr="00432EBF" w14:paraId="1040AF73"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right w:val="single" w:sz="4" w:space="0" w:color="auto"/>
            </w:tcBorders>
          </w:tcPr>
          <w:p w14:paraId="59964B35" w14:textId="77777777" w:rsidR="002E75EF" w:rsidRPr="00432EBF" w:rsidRDefault="002E75EF">
            <w:pPr>
              <w:rPr>
                <w:rFonts w:ascii="Arial Narrow" w:hAnsi="Arial Narrow"/>
                <w:sz w:val="20"/>
                <w:szCs w:val="20"/>
              </w:rPr>
            </w:pPr>
          </w:p>
        </w:tc>
        <w:tc>
          <w:tcPr>
            <w:tcW w:w="723" w:type="dxa"/>
            <w:vAlign w:val="center"/>
          </w:tcPr>
          <w:p w14:paraId="75D0272A" w14:textId="65244AC9" w:rsidR="002E75EF" w:rsidRPr="00432EBF" w:rsidRDefault="002E75EF">
            <w:pPr>
              <w:jc w:val="center"/>
              <w:rPr>
                <w:rFonts w:ascii="Arial Narrow" w:hAnsi="Arial Narrow"/>
                <w:sz w:val="20"/>
                <w:szCs w:val="20"/>
              </w:rPr>
            </w:pPr>
          </w:p>
        </w:tc>
        <w:tc>
          <w:tcPr>
            <w:tcW w:w="7888" w:type="dxa"/>
            <w:gridSpan w:val="6"/>
            <w:vAlign w:val="center"/>
          </w:tcPr>
          <w:p w14:paraId="4D7B5A36" w14:textId="77777777" w:rsidR="002E75EF" w:rsidRPr="00432EBF" w:rsidRDefault="002E75EF">
            <w:pPr>
              <w:rPr>
                <w:rFonts w:ascii="Arial Narrow" w:hAnsi="Arial Narrow"/>
                <w:b/>
                <w:bCs/>
                <w:sz w:val="20"/>
                <w:szCs w:val="20"/>
              </w:rPr>
            </w:pPr>
            <w:r w:rsidRPr="00432EBF">
              <w:rPr>
                <w:rFonts w:ascii="Arial Narrow" w:hAnsi="Arial Narrow"/>
                <w:b/>
                <w:bCs/>
                <w:sz w:val="20"/>
                <w:szCs w:val="20"/>
              </w:rPr>
              <w:t>Administrative Advice:</w:t>
            </w:r>
            <w:r w:rsidRPr="007C52FF">
              <w:rPr>
                <w:rFonts w:ascii="Arial Narrow" w:hAnsi="Arial Narrow"/>
                <w:sz w:val="20"/>
                <w:szCs w:val="20"/>
              </w:rPr>
              <w:t xml:space="preserve"> No increase in the maximum quantity or number of units may be authorised.</w:t>
            </w:r>
          </w:p>
        </w:tc>
      </w:tr>
      <w:tr w:rsidR="002E75EF" w:rsidRPr="00432EBF" w14:paraId="2C846F42"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right w:val="single" w:sz="4" w:space="0" w:color="auto"/>
            </w:tcBorders>
          </w:tcPr>
          <w:p w14:paraId="1C977C7C" w14:textId="77777777" w:rsidR="002E75EF" w:rsidRPr="00432EBF" w:rsidRDefault="002E75EF">
            <w:pPr>
              <w:rPr>
                <w:rFonts w:ascii="Arial Narrow" w:hAnsi="Arial Narrow"/>
                <w:sz w:val="20"/>
                <w:szCs w:val="20"/>
              </w:rPr>
            </w:pPr>
          </w:p>
        </w:tc>
        <w:tc>
          <w:tcPr>
            <w:tcW w:w="723" w:type="dxa"/>
            <w:vAlign w:val="center"/>
          </w:tcPr>
          <w:p w14:paraId="7A8F733D" w14:textId="7298107B" w:rsidR="002E75EF" w:rsidRPr="00432EBF" w:rsidRDefault="002E75EF">
            <w:pPr>
              <w:jc w:val="center"/>
              <w:rPr>
                <w:rFonts w:ascii="Arial Narrow" w:hAnsi="Arial Narrow"/>
                <w:sz w:val="20"/>
                <w:szCs w:val="20"/>
              </w:rPr>
            </w:pPr>
          </w:p>
        </w:tc>
        <w:tc>
          <w:tcPr>
            <w:tcW w:w="7888" w:type="dxa"/>
            <w:gridSpan w:val="6"/>
            <w:vAlign w:val="center"/>
          </w:tcPr>
          <w:p w14:paraId="6C44F553" w14:textId="77777777" w:rsidR="002E75EF" w:rsidRPr="00432EBF" w:rsidRDefault="002E75EF">
            <w:pPr>
              <w:rPr>
                <w:rFonts w:ascii="Arial Narrow" w:hAnsi="Arial Narrow"/>
                <w:b/>
                <w:bCs/>
                <w:sz w:val="20"/>
                <w:szCs w:val="20"/>
              </w:rPr>
            </w:pPr>
            <w:r w:rsidRPr="00432EBF">
              <w:rPr>
                <w:rFonts w:ascii="Arial Narrow" w:hAnsi="Arial Narrow"/>
                <w:b/>
                <w:bCs/>
                <w:sz w:val="20"/>
                <w:szCs w:val="20"/>
              </w:rPr>
              <w:t>Administrative Advice:</w:t>
            </w:r>
            <w:r w:rsidRPr="007C52FF">
              <w:rPr>
                <w:rFonts w:ascii="Arial Narrow" w:hAnsi="Arial Narrow"/>
                <w:sz w:val="20"/>
                <w:szCs w:val="20"/>
              </w:rPr>
              <w:t xml:space="preserve"> No increase in the maximum number of repeats may be authorised.</w:t>
            </w:r>
          </w:p>
        </w:tc>
      </w:tr>
      <w:tr w:rsidR="002E75EF" w:rsidRPr="00432EBF" w14:paraId="6CAAF89A" w14:textId="77777777" w:rsidTr="00795D5D">
        <w:tblPrEx>
          <w:tblCellMar>
            <w:top w:w="15" w:type="dxa"/>
            <w:bottom w:w="15" w:type="dxa"/>
          </w:tblCellMar>
          <w:tblLook w:val="04A0" w:firstRow="1" w:lastRow="0" w:firstColumn="1" w:lastColumn="0" w:noHBand="0" w:noVBand="1"/>
        </w:tblPrEx>
        <w:trPr>
          <w:trHeight w:val="20"/>
        </w:trPr>
        <w:tc>
          <w:tcPr>
            <w:tcW w:w="571" w:type="dxa"/>
            <w:vMerge/>
            <w:tcBorders>
              <w:left w:val="single" w:sz="4" w:space="0" w:color="auto"/>
              <w:bottom w:val="single" w:sz="4" w:space="0" w:color="auto"/>
              <w:right w:val="single" w:sz="4" w:space="0" w:color="auto"/>
            </w:tcBorders>
          </w:tcPr>
          <w:p w14:paraId="6FAD056D" w14:textId="77777777" w:rsidR="002E75EF" w:rsidRPr="00432EBF" w:rsidRDefault="002E75EF">
            <w:pPr>
              <w:rPr>
                <w:rFonts w:ascii="Arial Narrow" w:hAnsi="Arial Narrow"/>
                <w:sz w:val="20"/>
                <w:szCs w:val="20"/>
              </w:rPr>
            </w:pPr>
          </w:p>
        </w:tc>
        <w:tc>
          <w:tcPr>
            <w:tcW w:w="723" w:type="dxa"/>
            <w:vAlign w:val="center"/>
          </w:tcPr>
          <w:p w14:paraId="5BB60741" w14:textId="4EBD416F" w:rsidR="002E75EF" w:rsidRPr="007C52FF" w:rsidRDefault="002E75EF">
            <w:pPr>
              <w:jc w:val="center"/>
              <w:rPr>
                <w:rFonts w:ascii="Arial Narrow" w:hAnsi="Arial Narrow"/>
                <w:sz w:val="20"/>
                <w:szCs w:val="20"/>
              </w:rPr>
            </w:pPr>
          </w:p>
        </w:tc>
        <w:tc>
          <w:tcPr>
            <w:tcW w:w="7888" w:type="dxa"/>
            <w:gridSpan w:val="6"/>
            <w:vAlign w:val="center"/>
          </w:tcPr>
          <w:p w14:paraId="71412EBD" w14:textId="77777777" w:rsidR="002E75EF" w:rsidRPr="00432EBF" w:rsidRDefault="002E75EF">
            <w:pPr>
              <w:rPr>
                <w:rFonts w:ascii="Arial Narrow" w:hAnsi="Arial Narrow"/>
                <w:b/>
                <w:bCs/>
                <w:sz w:val="20"/>
                <w:szCs w:val="20"/>
              </w:rPr>
            </w:pPr>
            <w:r>
              <w:rPr>
                <w:rFonts w:ascii="Arial Narrow" w:hAnsi="Arial Narrow"/>
                <w:b/>
                <w:bCs/>
                <w:sz w:val="20"/>
                <w:szCs w:val="20"/>
              </w:rPr>
              <w:t xml:space="preserve">Administrative Advice: </w:t>
            </w:r>
            <w:r w:rsidRPr="007C52FF">
              <w:rPr>
                <w:rFonts w:ascii="Arial Narrow" w:hAnsi="Arial Narrow"/>
                <w:sz w:val="20"/>
                <w:szCs w:val="20"/>
              </w:rPr>
              <w:t>Special Pricing Arrangements apply.</w:t>
            </w:r>
          </w:p>
        </w:tc>
      </w:tr>
      <w:tr w:rsidR="002E75EF" w:rsidRPr="001428E9" w14:paraId="4F77C7A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610142B" w14:textId="0FB66137" w:rsidR="002E75EF" w:rsidRPr="00432EBF" w:rsidRDefault="002E75EF">
            <w:pPr>
              <w:keepLines/>
              <w:jc w:val="center"/>
              <w:rPr>
                <w:rFonts w:ascii="Arial Narrow" w:hAnsi="Arial Narrow"/>
                <w:sz w:val="20"/>
                <w:szCs w:val="20"/>
              </w:rPr>
            </w:pPr>
          </w:p>
        </w:tc>
        <w:tc>
          <w:tcPr>
            <w:tcW w:w="7888" w:type="dxa"/>
            <w:gridSpan w:val="6"/>
            <w:vAlign w:val="center"/>
            <w:hideMark/>
          </w:tcPr>
          <w:p w14:paraId="61E2A8EF" w14:textId="77777777" w:rsidR="002E75EF" w:rsidRPr="001428E9" w:rsidRDefault="002E75EF">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C52FF">
              <w:rPr>
                <w:rFonts w:ascii="Arial Narrow" w:hAnsi="Arial Narrow"/>
                <w:sz w:val="20"/>
                <w:szCs w:val="20"/>
              </w:rPr>
              <w:t>Severe chronic plaque psoriasis</w:t>
            </w:r>
          </w:p>
        </w:tc>
      </w:tr>
      <w:tr w:rsidR="002E75EF" w:rsidRPr="001428E9" w14:paraId="3CAE41B2"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132D138" w14:textId="77777777" w:rsidR="002E75EF" w:rsidRPr="00432EBF" w:rsidRDefault="002E75EF">
            <w:pPr>
              <w:jc w:val="center"/>
              <w:rPr>
                <w:rFonts w:ascii="Arial Narrow" w:hAnsi="Arial Narrow"/>
                <w:sz w:val="20"/>
                <w:szCs w:val="20"/>
              </w:rPr>
            </w:pPr>
          </w:p>
        </w:tc>
        <w:tc>
          <w:tcPr>
            <w:tcW w:w="7888" w:type="dxa"/>
            <w:gridSpan w:val="6"/>
            <w:vAlign w:val="center"/>
            <w:hideMark/>
          </w:tcPr>
          <w:p w14:paraId="559127BC" w14:textId="3FD8CF85" w:rsidR="002E75EF" w:rsidRPr="001428E9" w:rsidRDefault="002E75EF">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00B61D8A" w:rsidRPr="007C52FF">
              <w:rPr>
                <w:rFonts w:ascii="Arial Narrow" w:hAnsi="Arial Narrow"/>
                <w:sz w:val="20"/>
                <w:szCs w:val="20"/>
              </w:rPr>
              <w:t>Continuing treatment, Whole body or Continuing treatment, Face, hand, foot</w:t>
            </w:r>
            <w:r w:rsidR="005F1191">
              <w:rPr>
                <w:rFonts w:ascii="Arial Narrow" w:hAnsi="Arial Narrow"/>
                <w:sz w:val="20"/>
                <w:szCs w:val="20"/>
              </w:rPr>
              <w:t xml:space="preserve"> </w:t>
            </w:r>
            <w:r w:rsidR="005F1191">
              <w:rPr>
                <w:rFonts w:ascii="Arial Narrow" w:hAnsi="Arial Narrow"/>
                <w:sz w:val="20"/>
                <w:szCs w:val="20"/>
              </w:rPr>
              <w:noBreakHyphen/>
            </w:r>
            <w:r w:rsidR="00B61D8A" w:rsidRPr="007C52FF">
              <w:rPr>
                <w:rFonts w:ascii="Arial Narrow" w:hAnsi="Arial Narrow"/>
                <w:sz w:val="20"/>
                <w:szCs w:val="20"/>
              </w:rPr>
              <w:t xml:space="preserve"> balance of supply</w:t>
            </w:r>
          </w:p>
        </w:tc>
      </w:tr>
      <w:tr w:rsidR="002E75EF" w:rsidRPr="00432EBF" w14:paraId="18B1C619"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41B20CF" w14:textId="62BC3A98" w:rsidR="002E75EF" w:rsidRPr="00432EBF" w:rsidRDefault="002E75EF">
            <w:pPr>
              <w:jc w:val="center"/>
              <w:rPr>
                <w:rFonts w:ascii="Arial Narrow" w:hAnsi="Arial Narrow"/>
                <w:sz w:val="20"/>
                <w:szCs w:val="20"/>
              </w:rPr>
            </w:pPr>
          </w:p>
        </w:tc>
        <w:tc>
          <w:tcPr>
            <w:tcW w:w="7888" w:type="dxa"/>
            <w:gridSpan w:val="6"/>
            <w:vAlign w:val="center"/>
            <w:hideMark/>
          </w:tcPr>
          <w:p w14:paraId="1FC66231" w14:textId="77777777" w:rsidR="002E75EF" w:rsidRPr="00432EBF" w:rsidRDefault="002E75EF">
            <w:pPr>
              <w:jc w:val="left"/>
              <w:rPr>
                <w:rFonts w:ascii="Arial Narrow" w:hAnsi="Arial Narrow"/>
                <w:sz w:val="20"/>
                <w:szCs w:val="20"/>
              </w:rPr>
            </w:pPr>
            <w:r w:rsidRPr="00432EBF">
              <w:rPr>
                <w:rFonts w:ascii="Arial Narrow" w:hAnsi="Arial Narrow"/>
                <w:b/>
                <w:bCs/>
                <w:sz w:val="20"/>
                <w:szCs w:val="20"/>
              </w:rPr>
              <w:t>Clinical criteria:</w:t>
            </w:r>
          </w:p>
        </w:tc>
      </w:tr>
      <w:tr w:rsidR="002E75EF" w:rsidRPr="001428E9" w14:paraId="4CDB26D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7096DD1" w14:textId="6A20C6B9" w:rsidR="002E75EF" w:rsidRPr="00432EBF" w:rsidRDefault="002E75EF">
            <w:pPr>
              <w:jc w:val="center"/>
              <w:rPr>
                <w:rFonts w:ascii="Arial Narrow" w:hAnsi="Arial Narrow"/>
                <w:sz w:val="20"/>
                <w:szCs w:val="20"/>
              </w:rPr>
            </w:pPr>
          </w:p>
        </w:tc>
        <w:tc>
          <w:tcPr>
            <w:tcW w:w="7888" w:type="dxa"/>
            <w:gridSpan w:val="6"/>
            <w:vAlign w:val="center"/>
            <w:hideMark/>
          </w:tcPr>
          <w:p w14:paraId="3FC6E8BB" w14:textId="4BF99EC4" w:rsidR="002E75EF" w:rsidRPr="00991316" w:rsidRDefault="00C0789D">
            <w:pPr>
              <w:rPr>
                <w:rFonts w:ascii="Arial Narrow" w:hAnsi="Arial Narrow"/>
                <w:sz w:val="20"/>
                <w:szCs w:val="20"/>
              </w:rPr>
            </w:pPr>
            <w:r w:rsidRPr="007C52FF">
              <w:rPr>
                <w:rFonts w:ascii="Arial Narrow" w:hAnsi="Arial Narrow"/>
                <w:sz w:val="20"/>
                <w:szCs w:val="20"/>
              </w:rPr>
              <w:t xml:space="preserve">Patient must have received insufficient therapy with this drug under the continuing treatment, Whole body restriction to complete 24 weeks treatment; </w:t>
            </w:r>
            <w:r w:rsidR="00A35753">
              <w:rPr>
                <w:rFonts w:ascii="Arial Narrow" w:hAnsi="Arial Narrow"/>
                <w:sz w:val="20"/>
                <w:szCs w:val="20"/>
              </w:rPr>
              <w:t>or</w:t>
            </w:r>
          </w:p>
        </w:tc>
      </w:tr>
      <w:tr w:rsidR="00C0789D" w:rsidRPr="00432EBF" w14:paraId="593A2080"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7D846BAB" w14:textId="0674A624" w:rsidR="00C0789D" w:rsidRPr="00432EBF" w:rsidRDefault="00C0789D">
            <w:pPr>
              <w:jc w:val="center"/>
              <w:rPr>
                <w:rFonts w:ascii="Arial Narrow" w:hAnsi="Arial Narrow"/>
                <w:sz w:val="20"/>
                <w:szCs w:val="20"/>
              </w:rPr>
            </w:pPr>
          </w:p>
        </w:tc>
        <w:tc>
          <w:tcPr>
            <w:tcW w:w="7888" w:type="dxa"/>
            <w:gridSpan w:val="6"/>
            <w:vAlign w:val="center"/>
          </w:tcPr>
          <w:p w14:paraId="5C2381DF" w14:textId="64C945CF" w:rsidR="00C0789D" w:rsidRPr="00432EBF" w:rsidRDefault="005D3581">
            <w:pPr>
              <w:rPr>
                <w:rFonts w:ascii="Arial Narrow" w:hAnsi="Arial Narrow"/>
                <w:b/>
                <w:bCs/>
                <w:sz w:val="20"/>
                <w:szCs w:val="20"/>
              </w:rPr>
            </w:pPr>
            <w:r w:rsidRPr="007C52FF">
              <w:rPr>
                <w:rFonts w:ascii="Arial Narrow" w:hAnsi="Arial Narrow"/>
                <w:sz w:val="20"/>
                <w:szCs w:val="20"/>
              </w:rPr>
              <w:t>Patient must have received insufficient therapy with this drug under the continuing treatment, Face, hand, foot restriction to complete 24 weeks treatment</w:t>
            </w:r>
          </w:p>
        </w:tc>
      </w:tr>
      <w:tr w:rsidR="002E75EF" w:rsidRPr="00432EBF" w14:paraId="7625F008"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E6F2A28" w14:textId="77777777" w:rsidR="002E75EF" w:rsidRPr="00432EBF" w:rsidRDefault="002E75EF">
            <w:pPr>
              <w:jc w:val="center"/>
              <w:rPr>
                <w:rFonts w:ascii="Arial Narrow" w:hAnsi="Arial Narrow"/>
                <w:sz w:val="20"/>
                <w:szCs w:val="20"/>
              </w:rPr>
            </w:pPr>
          </w:p>
        </w:tc>
        <w:tc>
          <w:tcPr>
            <w:tcW w:w="7888" w:type="dxa"/>
            <w:gridSpan w:val="6"/>
            <w:vAlign w:val="center"/>
            <w:hideMark/>
          </w:tcPr>
          <w:p w14:paraId="59B0FEA5" w14:textId="77777777" w:rsidR="002E75EF" w:rsidRPr="00432EBF" w:rsidRDefault="002E75EF">
            <w:pPr>
              <w:rPr>
                <w:rFonts w:ascii="Arial Narrow" w:hAnsi="Arial Narrow"/>
                <w:sz w:val="20"/>
                <w:szCs w:val="20"/>
              </w:rPr>
            </w:pPr>
            <w:r w:rsidRPr="00432EBF">
              <w:rPr>
                <w:rFonts w:ascii="Arial Narrow" w:hAnsi="Arial Narrow"/>
                <w:b/>
                <w:bCs/>
                <w:sz w:val="20"/>
                <w:szCs w:val="20"/>
              </w:rPr>
              <w:t>AND</w:t>
            </w:r>
          </w:p>
        </w:tc>
      </w:tr>
      <w:tr w:rsidR="002E75EF" w:rsidRPr="00432EBF" w14:paraId="6A72A899"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87658EC" w14:textId="44165B04" w:rsidR="002E75EF" w:rsidRPr="00432EBF" w:rsidRDefault="002E75EF">
            <w:pPr>
              <w:jc w:val="center"/>
              <w:rPr>
                <w:rFonts w:ascii="Arial Narrow" w:hAnsi="Arial Narrow"/>
                <w:sz w:val="20"/>
                <w:szCs w:val="20"/>
              </w:rPr>
            </w:pPr>
          </w:p>
        </w:tc>
        <w:tc>
          <w:tcPr>
            <w:tcW w:w="7888" w:type="dxa"/>
            <w:gridSpan w:val="6"/>
            <w:vAlign w:val="center"/>
            <w:hideMark/>
          </w:tcPr>
          <w:p w14:paraId="5F3E0C81" w14:textId="77777777" w:rsidR="002E75EF" w:rsidRPr="00432EBF" w:rsidRDefault="002E75EF">
            <w:pPr>
              <w:rPr>
                <w:rFonts w:ascii="Arial Narrow" w:hAnsi="Arial Narrow"/>
                <w:sz w:val="20"/>
                <w:szCs w:val="20"/>
              </w:rPr>
            </w:pPr>
            <w:r w:rsidRPr="00432EBF">
              <w:rPr>
                <w:rFonts w:ascii="Arial Narrow" w:hAnsi="Arial Narrow"/>
                <w:b/>
                <w:bCs/>
                <w:sz w:val="20"/>
                <w:szCs w:val="20"/>
              </w:rPr>
              <w:t>Clinical criteria:</w:t>
            </w:r>
          </w:p>
        </w:tc>
      </w:tr>
      <w:tr w:rsidR="002E75EF" w:rsidRPr="00432EBF" w14:paraId="4D139205"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4BBAD976" w14:textId="28AE7B2D" w:rsidR="002E75EF" w:rsidRPr="00432EBF" w:rsidRDefault="002E75EF">
            <w:pPr>
              <w:jc w:val="center"/>
              <w:rPr>
                <w:rFonts w:ascii="Arial Narrow" w:hAnsi="Arial Narrow"/>
                <w:sz w:val="20"/>
                <w:szCs w:val="20"/>
              </w:rPr>
            </w:pPr>
          </w:p>
        </w:tc>
        <w:tc>
          <w:tcPr>
            <w:tcW w:w="7888" w:type="dxa"/>
            <w:gridSpan w:val="6"/>
            <w:vAlign w:val="center"/>
            <w:hideMark/>
          </w:tcPr>
          <w:p w14:paraId="5A356293" w14:textId="1BCE91B5" w:rsidR="002E75EF" w:rsidRPr="00432EBF" w:rsidRDefault="00041451">
            <w:pPr>
              <w:rPr>
                <w:rFonts w:ascii="Arial Narrow" w:hAnsi="Arial Narrow"/>
                <w:sz w:val="20"/>
                <w:szCs w:val="20"/>
              </w:rPr>
            </w:pPr>
            <w:r w:rsidRPr="007C52FF">
              <w:rPr>
                <w:rFonts w:ascii="Arial Narrow" w:hAnsi="Arial Narrow"/>
                <w:sz w:val="20"/>
                <w:szCs w:val="20"/>
              </w:rPr>
              <w:t>The treatment must be as systemic monotherapy (other than methotrexate)</w:t>
            </w:r>
          </w:p>
        </w:tc>
      </w:tr>
      <w:tr w:rsidR="002E75EF" w:rsidRPr="00954CC4" w14:paraId="7690517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2D5A3E2" w14:textId="77777777" w:rsidR="002E75EF" w:rsidRPr="00954CC4" w:rsidRDefault="002E75EF">
            <w:pPr>
              <w:jc w:val="center"/>
              <w:rPr>
                <w:rFonts w:ascii="Arial Narrow" w:hAnsi="Arial Narrow"/>
                <w:sz w:val="20"/>
                <w:szCs w:val="20"/>
              </w:rPr>
            </w:pPr>
          </w:p>
        </w:tc>
        <w:tc>
          <w:tcPr>
            <w:tcW w:w="7888" w:type="dxa"/>
            <w:gridSpan w:val="6"/>
            <w:vAlign w:val="center"/>
          </w:tcPr>
          <w:p w14:paraId="58FCD550" w14:textId="77777777" w:rsidR="002E75EF" w:rsidRPr="00954CC4" w:rsidRDefault="002E75EF">
            <w:pPr>
              <w:rPr>
                <w:rFonts w:ascii="Arial Narrow" w:hAnsi="Arial Narrow"/>
                <w:sz w:val="20"/>
                <w:szCs w:val="20"/>
              </w:rPr>
            </w:pPr>
            <w:r w:rsidRPr="00954CC4">
              <w:rPr>
                <w:rFonts w:ascii="Arial Narrow" w:hAnsi="Arial Narrow"/>
                <w:b/>
                <w:bCs/>
                <w:sz w:val="20"/>
                <w:szCs w:val="20"/>
              </w:rPr>
              <w:t>AND</w:t>
            </w:r>
          </w:p>
        </w:tc>
      </w:tr>
      <w:tr w:rsidR="002E75EF" w:rsidRPr="00954CC4" w14:paraId="5D2D5C6E"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1991B57F" w14:textId="48B83534" w:rsidR="002E75EF" w:rsidRPr="00954CC4" w:rsidRDefault="002E75EF">
            <w:pPr>
              <w:jc w:val="center"/>
              <w:rPr>
                <w:rFonts w:ascii="Arial Narrow" w:hAnsi="Arial Narrow"/>
                <w:sz w:val="20"/>
                <w:szCs w:val="20"/>
              </w:rPr>
            </w:pPr>
          </w:p>
        </w:tc>
        <w:tc>
          <w:tcPr>
            <w:tcW w:w="7888" w:type="dxa"/>
            <w:gridSpan w:val="6"/>
            <w:vAlign w:val="center"/>
          </w:tcPr>
          <w:p w14:paraId="05EC8169" w14:textId="77777777" w:rsidR="002E75EF" w:rsidRPr="00954CC4" w:rsidRDefault="002E75EF">
            <w:pPr>
              <w:rPr>
                <w:rFonts w:ascii="Arial Narrow" w:hAnsi="Arial Narrow"/>
                <w:sz w:val="20"/>
                <w:szCs w:val="20"/>
              </w:rPr>
            </w:pPr>
            <w:r w:rsidRPr="00954CC4">
              <w:rPr>
                <w:rFonts w:ascii="Arial Narrow" w:hAnsi="Arial Narrow"/>
                <w:b/>
                <w:bCs/>
                <w:sz w:val="20"/>
                <w:szCs w:val="20"/>
              </w:rPr>
              <w:t>Clinical criteria:</w:t>
            </w:r>
          </w:p>
        </w:tc>
      </w:tr>
      <w:tr w:rsidR="002E75EF" w:rsidRPr="00954CC4" w14:paraId="5EDF0D7D"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303FC626" w14:textId="5DDDED25" w:rsidR="002E75EF" w:rsidRPr="00954CC4" w:rsidRDefault="002E75EF">
            <w:pPr>
              <w:jc w:val="center"/>
              <w:rPr>
                <w:rFonts w:ascii="Arial Narrow" w:hAnsi="Arial Narrow"/>
                <w:sz w:val="20"/>
                <w:szCs w:val="20"/>
              </w:rPr>
            </w:pPr>
          </w:p>
        </w:tc>
        <w:tc>
          <w:tcPr>
            <w:tcW w:w="7888" w:type="dxa"/>
            <w:gridSpan w:val="6"/>
            <w:vAlign w:val="center"/>
          </w:tcPr>
          <w:p w14:paraId="19A15FA5" w14:textId="05BA990A" w:rsidR="002E75EF" w:rsidRPr="00954CC4" w:rsidRDefault="009A10DC">
            <w:pPr>
              <w:rPr>
                <w:rFonts w:ascii="Arial Narrow" w:hAnsi="Arial Narrow"/>
                <w:sz w:val="20"/>
                <w:szCs w:val="20"/>
              </w:rPr>
            </w:pPr>
            <w:r w:rsidRPr="00954CC4">
              <w:rPr>
                <w:rFonts w:ascii="Arial Narrow" w:hAnsi="Arial Narrow"/>
                <w:sz w:val="20"/>
                <w:szCs w:val="20"/>
              </w:rPr>
              <w:t>The treatment must provide no more than the balance of up to 24 weeks treatment available under the above restrictions</w:t>
            </w:r>
          </w:p>
        </w:tc>
      </w:tr>
      <w:tr w:rsidR="002E75EF" w:rsidRPr="00954CC4" w14:paraId="49D1846F"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AA45E1C" w14:textId="25DF9BCE" w:rsidR="002E75EF" w:rsidRPr="00954CC4" w:rsidRDefault="002E75EF">
            <w:pPr>
              <w:keepNext/>
              <w:jc w:val="center"/>
              <w:rPr>
                <w:rFonts w:ascii="Arial Narrow" w:hAnsi="Arial Narrow"/>
                <w:sz w:val="20"/>
                <w:szCs w:val="20"/>
              </w:rPr>
            </w:pPr>
          </w:p>
        </w:tc>
        <w:tc>
          <w:tcPr>
            <w:tcW w:w="7888" w:type="dxa"/>
            <w:gridSpan w:val="6"/>
            <w:vAlign w:val="center"/>
            <w:hideMark/>
          </w:tcPr>
          <w:p w14:paraId="5EBB12EA" w14:textId="77777777" w:rsidR="002E75EF" w:rsidRPr="00954CC4" w:rsidRDefault="002E75EF">
            <w:pPr>
              <w:keepNext/>
              <w:rPr>
                <w:rFonts w:ascii="Arial Narrow" w:hAnsi="Arial Narrow"/>
                <w:sz w:val="20"/>
                <w:szCs w:val="20"/>
              </w:rPr>
            </w:pPr>
            <w:r w:rsidRPr="00954CC4">
              <w:rPr>
                <w:rFonts w:ascii="Arial Narrow" w:hAnsi="Arial Narrow"/>
                <w:b/>
                <w:bCs/>
                <w:sz w:val="20"/>
                <w:szCs w:val="20"/>
              </w:rPr>
              <w:t>Treatment criteria:</w:t>
            </w:r>
          </w:p>
        </w:tc>
      </w:tr>
      <w:tr w:rsidR="002E75EF" w:rsidRPr="00954CC4" w14:paraId="136A3604"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05D25F9C" w14:textId="0E68EEE1" w:rsidR="002E75EF" w:rsidRPr="00954CC4" w:rsidRDefault="002E75EF">
            <w:pPr>
              <w:jc w:val="center"/>
              <w:rPr>
                <w:rFonts w:ascii="Arial Narrow" w:hAnsi="Arial Narrow"/>
                <w:sz w:val="20"/>
                <w:szCs w:val="20"/>
              </w:rPr>
            </w:pPr>
          </w:p>
        </w:tc>
        <w:tc>
          <w:tcPr>
            <w:tcW w:w="7888" w:type="dxa"/>
            <w:gridSpan w:val="6"/>
            <w:vAlign w:val="center"/>
            <w:hideMark/>
          </w:tcPr>
          <w:p w14:paraId="72AA8982" w14:textId="77777777" w:rsidR="002E75EF" w:rsidRPr="00954CC4" w:rsidRDefault="002E75EF">
            <w:pPr>
              <w:autoSpaceDE w:val="0"/>
              <w:autoSpaceDN w:val="0"/>
              <w:adjustRightInd w:val="0"/>
              <w:jc w:val="left"/>
              <w:rPr>
                <w:rFonts w:ascii="Arial Narrow" w:hAnsi="Arial Narrow" w:cs="Arial Narrow"/>
                <w:i/>
                <w:iCs/>
                <w:sz w:val="20"/>
                <w:szCs w:val="20"/>
              </w:rPr>
            </w:pPr>
            <w:r w:rsidRPr="00954CC4">
              <w:rPr>
                <w:rFonts w:ascii="Arial Narrow" w:hAnsi="Arial Narrow"/>
                <w:sz w:val="20"/>
                <w:szCs w:val="20"/>
              </w:rPr>
              <w:t>Must be treated by a dermatologist</w:t>
            </w:r>
          </w:p>
        </w:tc>
      </w:tr>
      <w:tr w:rsidR="002E75EF" w:rsidRPr="00954CC4" w14:paraId="7F1910AA" w14:textId="77777777" w:rsidTr="00795D5D">
        <w:tblPrEx>
          <w:tblCellMar>
            <w:top w:w="15" w:type="dxa"/>
            <w:bottom w:w="15" w:type="dxa"/>
          </w:tblCellMar>
          <w:tblLook w:val="04A0" w:firstRow="1" w:lastRow="0" w:firstColumn="1" w:lastColumn="0" w:noHBand="0" w:noVBand="1"/>
        </w:tblPrEx>
        <w:trPr>
          <w:cantSplit/>
          <w:trHeight w:val="20"/>
        </w:trPr>
        <w:tc>
          <w:tcPr>
            <w:tcW w:w="1294" w:type="dxa"/>
            <w:gridSpan w:val="2"/>
            <w:vAlign w:val="center"/>
          </w:tcPr>
          <w:p w14:paraId="2FF12B6A" w14:textId="1853B6CD" w:rsidR="001570D8" w:rsidRPr="00954CC4" w:rsidRDefault="001570D8">
            <w:pPr>
              <w:jc w:val="center"/>
              <w:rPr>
                <w:rFonts w:ascii="Arial Narrow" w:hAnsi="Arial Narrow"/>
                <w:sz w:val="20"/>
                <w:szCs w:val="20"/>
              </w:rPr>
            </w:pPr>
          </w:p>
        </w:tc>
        <w:tc>
          <w:tcPr>
            <w:tcW w:w="7888" w:type="dxa"/>
            <w:gridSpan w:val="6"/>
            <w:vAlign w:val="center"/>
            <w:hideMark/>
          </w:tcPr>
          <w:p w14:paraId="521B5F04" w14:textId="00D824A3" w:rsidR="002E75EF" w:rsidRPr="00954CC4" w:rsidRDefault="002E75EF">
            <w:pPr>
              <w:rPr>
                <w:rFonts w:ascii="Arial Narrow" w:hAnsi="Arial Narrow"/>
                <w:color w:val="333333"/>
                <w:sz w:val="20"/>
                <w:szCs w:val="20"/>
              </w:rPr>
            </w:pPr>
            <w:r w:rsidRPr="00954CC4">
              <w:rPr>
                <w:rFonts w:ascii="Arial Narrow" w:hAnsi="Arial Narrow"/>
                <w:b/>
                <w:bCs/>
                <w:sz w:val="20"/>
                <w:szCs w:val="20"/>
              </w:rPr>
              <w:t xml:space="preserve">Administrative Advice: </w:t>
            </w:r>
            <w:r w:rsidR="003B1D34" w:rsidRPr="00954CC4">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0B7B08B7" w14:textId="50DF59A8" w:rsidR="002458BA" w:rsidRDefault="002458BA" w:rsidP="004D0B63">
      <w:pPr>
        <w:jc w:val="left"/>
        <w:rPr>
          <w:rFonts w:asciiTheme="minorHAnsi" w:eastAsiaTheme="majorEastAsia" w:hAnsiTheme="minorHAnsi" w:cstheme="majorBidi"/>
          <w:b/>
          <w:color w:val="000000" w:themeColor="text1"/>
        </w:rPr>
      </w:pPr>
    </w:p>
    <w:p w14:paraId="0B1DA6EA" w14:textId="285ADAC6" w:rsidR="00851930" w:rsidRDefault="00851930" w:rsidP="00C231E7">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4CB2A4B0" w14:textId="57DE737A" w:rsidR="00987EB8" w:rsidRPr="00987EB8" w:rsidRDefault="00987EB8" w:rsidP="00987EB8">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987EB8">
        <w:rPr>
          <w:rFonts w:asciiTheme="minorHAnsi" w:hAnsiTheme="minorHAnsi"/>
          <w:b/>
          <w:snapToGrid w:val="0"/>
          <w:sz w:val="32"/>
          <w:szCs w:val="32"/>
          <w:lang w:eastAsia="en-US"/>
        </w:rPr>
        <w:tab/>
        <w:t>Context for Decision</w:t>
      </w:r>
    </w:p>
    <w:p w14:paraId="7C64E4DA" w14:textId="77777777" w:rsidR="00987EB8" w:rsidRPr="00987EB8" w:rsidRDefault="00987EB8" w:rsidP="00987EB8">
      <w:pPr>
        <w:spacing w:after="120"/>
        <w:ind w:left="720"/>
        <w:rPr>
          <w:rFonts w:cs="Calibri"/>
          <w:bCs/>
          <w:szCs w:val="22"/>
          <w:lang w:val="en-GB"/>
        </w:rPr>
      </w:pPr>
      <w:r w:rsidRPr="00987EB8">
        <w:rPr>
          <w:rFonts w:cs="Calibri"/>
          <w:bCs/>
          <w:szCs w:val="22"/>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w:t>
      </w:r>
      <w:r w:rsidRPr="00987EB8">
        <w:rPr>
          <w:rFonts w:cs="Calibri"/>
          <w:bCs/>
          <w:szCs w:val="22"/>
          <w:lang w:val="en-GB"/>
        </w:rPr>
        <w:lastRenderedPageBreak/>
        <w:t>medicine or the circumstances in which it should be made available through the PBS. The PBAC welcomes applications containing new information at any time.</w:t>
      </w:r>
    </w:p>
    <w:p w14:paraId="45AC7522" w14:textId="701E5928" w:rsidR="00987EB8" w:rsidRPr="00987EB8" w:rsidRDefault="00751AAA" w:rsidP="00987EB8">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10</w:t>
      </w:r>
      <w:r w:rsidR="00987EB8" w:rsidRPr="00987EB8">
        <w:rPr>
          <w:rFonts w:asciiTheme="minorHAnsi" w:hAnsiTheme="minorHAnsi"/>
          <w:b/>
          <w:snapToGrid w:val="0"/>
          <w:sz w:val="32"/>
          <w:szCs w:val="32"/>
          <w:lang w:eastAsia="en-US"/>
        </w:rPr>
        <w:tab/>
        <w:t>Sponsor’s Comment</w:t>
      </w:r>
    </w:p>
    <w:p w14:paraId="62D619D0" w14:textId="6BC3F6AE" w:rsidR="00722D32" w:rsidRPr="00C231E7" w:rsidRDefault="00987EB8" w:rsidP="00987EB8">
      <w:pPr>
        <w:spacing w:before="120"/>
        <w:ind w:firstLine="720"/>
        <w:rPr>
          <w:rFonts w:asciiTheme="minorHAnsi" w:hAnsiTheme="minorHAnsi"/>
          <w:b/>
          <w:i/>
          <w:iCs/>
          <w:snapToGrid w:val="0"/>
          <w:lang w:val="en-GB"/>
        </w:rPr>
      </w:pPr>
      <w:r w:rsidRPr="00987EB8">
        <w:rPr>
          <w:rFonts w:cs="Calibri"/>
          <w:bCs/>
          <w:szCs w:val="22"/>
          <w:lang w:eastAsia="en-US"/>
        </w:rPr>
        <w:t>The sponsor had no comment.</w:t>
      </w:r>
    </w:p>
    <w:sectPr w:rsidR="00722D32" w:rsidRPr="00C231E7" w:rsidSect="00703C04">
      <w:headerReference w:type="even" r:id="rId15"/>
      <w:headerReference w:type="default" r:id="rId16"/>
      <w:footerReference w:type="even" r:id="rId17"/>
      <w:footerReference w:type="default" r:id="rId18"/>
      <w:headerReference w:type="first" r:id="rId19"/>
      <w:footerReference w:type="first" r:id="rId20"/>
      <w:pgSz w:w="11907" w:h="16840" w:code="9"/>
      <w:pgMar w:top="1440" w:right="1275"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BA14" w14:textId="77777777" w:rsidR="00F42DBD" w:rsidRDefault="00F42DBD" w:rsidP="00124A51">
      <w:r>
        <w:separator/>
      </w:r>
    </w:p>
    <w:p w14:paraId="4D445AFF" w14:textId="77777777" w:rsidR="00F42DBD" w:rsidRDefault="00F42DBD"/>
  </w:endnote>
  <w:endnote w:type="continuationSeparator" w:id="0">
    <w:p w14:paraId="56A1A594" w14:textId="77777777" w:rsidR="00F42DBD" w:rsidRDefault="00F42DBD" w:rsidP="00124A51">
      <w:r>
        <w:continuationSeparator/>
      </w:r>
    </w:p>
    <w:p w14:paraId="125A0F89" w14:textId="77777777" w:rsidR="00F42DBD" w:rsidRDefault="00F42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D7" w14:textId="63A200FD" w:rsidR="00D843F2" w:rsidRDefault="006D36E0">
    <w:pPr>
      <w:pStyle w:val="Footer"/>
    </w:pPr>
    <w:r>
      <w:rPr>
        <w:noProof/>
      </w:rPr>
      <mc:AlternateContent>
        <mc:Choice Requires="wps">
          <w:drawing>
            <wp:anchor distT="0" distB="0" distL="0" distR="0" simplePos="0" relativeHeight="251663365" behindDoc="0" locked="0" layoutInCell="1" allowOverlap="1" wp14:anchorId="590CD2F5" wp14:editId="5FEA9CE9">
              <wp:simplePos x="635" y="635"/>
              <wp:positionH relativeFrom="page">
                <wp:align>center</wp:align>
              </wp:positionH>
              <wp:positionV relativeFrom="page">
                <wp:align>bottom</wp:align>
              </wp:positionV>
              <wp:extent cx="622300" cy="376555"/>
              <wp:effectExtent l="0" t="0" r="6350" b="0"/>
              <wp:wrapNone/>
              <wp:docPr id="13148860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74F66D" w14:textId="011EA784"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CD2F5"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B74F66D" w14:textId="011EA784"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B878FFE" w:rsidR="00D843F2" w:rsidRDefault="006D36E0" w:rsidP="00753B29">
    <w:pPr>
      <w:pStyle w:val="Footer"/>
      <w:jc w:val="center"/>
    </w:pPr>
    <w:r>
      <w:rPr>
        <w:noProof/>
      </w:rPr>
      <mc:AlternateContent>
        <mc:Choice Requires="wps">
          <w:drawing>
            <wp:anchor distT="0" distB="0" distL="0" distR="0" simplePos="0" relativeHeight="251664389" behindDoc="0" locked="0" layoutInCell="1" allowOverlap="1" wp14:anchorId="1AABEC8D" wp14:editId="45F3367A">
              <wp:simplePos x="635" y="635"/>
              <wp:positionH relativeFrom="page">
                <wp:align>center</wp:align>
              </wp:positionH>
              <wp:positionV relativeFrom="page">
                <wp:align>bottom</wp:align>
              </wp:positionV>
              <wp:extent cx="622300" cy="376555"/>
              <wp:effectExtent l="0" t="0" r="6350" b="0"/>
              <wp:wrapNone/>
              <wp:docPr id="5816185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52A6FD" w14:textId="50DD28D4"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BEC8D"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F52A6FD" w14:textId="50DD28D4"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v:textbox>
              <w10:wrap anchorx="page" anchory="page"/>
            </v:shape>
          </w:pict>
        </mc:Fallback>
      </mc:AlternateContent>
    </w:r>
  </w:p>
  <w:p w14:paraId="37484CD3" w14:textId="2B000CBD" w:rsidR="00D843F2" w:rsidRPr="007C1CD9" w:rsidRDefault="00D843F2" w:rsidP="006028D3">
    <w:pPr>
      <w:pStyle w:val="Page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4E7" w14:textId="3B85AD25" w:rsidR="00D843F2" w:rsidRDefault="006D36E0">
    <w:pPr>
      <w:pStyle w:val="Footer"/>
    </w:pPr>
    <w:r>
      <w:rPr>
        <w:noProof/>
      </w:rPr>
      <mc:AlternateContent>
        <mc:Choice Requires="wps">
          <w:drawing>
            <wp:anchor distT="0" distB="0" distL="0" distR="0" simplePos="0" relativeHeight="251662341" behindDoc="0" locked="0" layoutInCell="1" allowOverlap="1" wp14:anchorId="12502ABB" wp14:editId="5E50710D">
              <wp:simplePos x="635" y="635"/>
              <wp:positionH relativeFrom="page">
                <wp:align>center</wp:align>
              </wp:positionH>
              <wp:positionV relativeFrom="page">
                <wp:align>bottom</wp:align>
              </wp:positionV>
              <wp:extent cx="622300" cy="376555"/>
              <wp:effectExtent l="0" t="0" r="6350" b="0"/>
              <wp:wrapNone/>
              <wp:docPr id="17471633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311E3D" w14:textId="7961EA84"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02ABB"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A311E3D" w14:textId="7961EA84"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6DEC" w14:textId="77777777" w:rsidR="00F42DBD" w:rsidRDefault="00F42DBD" w:rsidP="00124A51">
      <w:r>
        <w:separator/>
      </w:r>
    </w:p>
    <w:p w14:paraId="28C3E209" w14:textId="77777777" w:rsidR="00F42DBD" w:rsidRDefault="00F42DBD"/>
  </w:footnote>
  <w:footnote w:type="continuationSeparator" w:id="0">
    <w:p w14:paraId="435337D1" w14:textId="77777777" w:rsidR="00F42DBD" w:rsidRDefault="00F42DBD" w:rsidP="00124A51">
      <w:r>
        <w:continuationSeparator/>
      </w:r>
    </w:p>
    <w:p w14:paraId="6A9125DD" w14:textId="77777777" w:rsidR="00F42DBD" w:rsidRDefault="00F42DBD"/>
  </w:footnote>
  <w:footnote w:id="1">
    <w:p w14:paraId="4B8F9E8C" w14:textId="5AB174D7" w:rsidR="00240D65" w:rsidRDefault="00240D65">
      <w:pPr>
        <w:pStyle w:val="FootnoteText"/>
      </w:pPr>
      <w:r>
        <w:rPr>
          <w:rStyle w:val="FootnoteReference"/>
        </w:rPr>
        <w:footnoteRef/>
      </w:r>
      <w:r>
        <w:t xml:space="preserve"> Smith CH, Yiu ZZN, Bale T, et al. </w:t>
      </w:r>
      <w:r w:rsidRPr="00240D65">
        <w:t>British Association of Dermatologists guidelines for</w:t>
      </w:r>
      <w:r>
        <w:t xml:space="preserve"> </w:t>
      </w:r>
      <w:r w:rsidRPr="00240D65">
        <w:t>biologic therapy for psoriasis 2020: a rapid update</w:t>
      </w:r>
      <w:r>
        <w:t xml:space="preserve">. </w:t>
      </w:r>
      <w:r w:rsidRPr="00240D65">
        <w:rPr>
          <w:i/>
          <w:iCs/>
        </w:rPr>
        <w:t>BJ Derm</w:t>
      </w:r>
      <w:r w:rsidR="00FC14FB">
        <w:rPr>
          <w:i/>
          <w:iCs/>
        </w:rPr>
        <w:t>atol</w:t>
      </w:r>
      <w:r>
        <w:t xml:space="preserve"> 2020; 183:628</w:t>
      </w:r>
      <w:r w:rsidR="005F1191">
        <w:noBreakHyphen/>
      </w:r>
      <w:r>
        <w:t xml:space="preserve">637. </w:t>
      </w:r>
    </w:p>
  </w:footnote>
  <w:footnote w:id="2">
    <w:p w14:paraId="027A9CAB" w14:textId="6EA6DB3D" w:rsidR="00FC14FB" w:rsidRPr="00FC14FB" w:rsidRDefault="00FC14FB" w:rsidP="00FC14FB">
      <w:pPr>
        <w:pStyle w:val="FootnoteText"/>
      </w:pPr>
      <w:r>
        <w:rPr>
          <w:rStyle w:val="FootnoteReference"/>
        </w:rPr>
        <w:footnoteRef/>
      </w:r>
      <w:r>
        <w:t xml:space="preserve"> Menter A, Strober BE, Kaplan DH, et al. </w:t>
      </w:r>
      <w:r w:rsidRPr="00FC14FB">
        <w:t>Joint AAD</w:t>
      </w:r>
      <w:r w:rsidR="005F1191">
        <w:noBreakHyphen/>
      </w:r>
      <w:r w:rsidRPr="00FC14FB">
        <w:t>NPF guidelines of care for the</w:t>
      </w:r>
      <w:r>
        <w:t xml:space="preserve"> </w:t>
      </w:r>
      <w:r w:rsidRPr="00FC14FB">
        <w:t>management and treatment</w:t>
      </w:r>
      <w:r>
        <w:t xml:space="preserve"> </w:t>
      </w:r>
      <w:r w:rsidRPr="00FC14FB">
        <w:t>of psoriasis</w:t>
      </w:r>
      <w:r>
        <w:t xml:space="preserve"> </w:t>
      </w:r>
      <w:r w:rsidRPr="00FC14FB">
        <w:t>with biologics</w:t>
      </w:r>
      <w:r>
        <w:t xml:space="preserve">. </w:t>
      </w:r>
      <w:r w:rsidRPr="009F10ED">
        <w:rPr>
          <w:i/>
          <w:iCs/>
        </w:rPr>
        <w:t xml:space="preserve">J Am </w:t>
      </w:r>
      <w:proofErr w:type="spellStart"/>
      <w:r w:rsidRPr="009F10ED">
        <w:rPr>
          <w:i/>
          <w:iCs/>
        </w:rPr>
        <w:t>Acad</w:t>
      </w:r>
      <w:proofErr w:type="spellEnd"/>
      <w:r w:rsidRPr="009F10ED">
        <w:rPr>
          <w:i/>
          <w:iCs/>
        </w:rPr>
        <w:t xml:space="preserve"> Dermatol</w:t>
      </w:r>
      <w:r>
        <w:t xml:space="preserve"> 2019; </w:t>
      </w:r>
      <w:r w:rsidRPr="00FC14FB">
        <w:t>https://doi.org/10.1016/j.jaad.2018.11.057</w:t>
      </w:r>
    </w:p>
    <w:p w14:paraId="3D44DE96" w14:textId="34D8F376" w:rsidR="00FC14FB" w:rsidRPr="00FC14FB" w:rsidRDefault="00FC14FB" w:rsidP="00FC14FB">
      <w:pPr>
        <w:pStyle w:val="FootnoteText"/>
      </w:pPr>
    </w:p>
    <w:p w14:paraId="5BF0D96F" w14:textId="161C0114" w:rsidR="00FC14FB" w:rsidRDefault="00FC14FB">
      <w:pPr>
        <w:pStyle w:val="FootnoteText"/>
      </w:pPr>
    </w:p>
  </w:footnote>
  <w:footnote w:id="3">
    <w:p w14:paraId="7B8EBF13" w14:textId="77777777" w:rsidR="00BE5663" w:rsidRDefault="00BE5663" w:rsidP="00BE5663">
      <w:pPr>
        <w:pStyle w:val="FootnoteText"/>
      </w:pPr>
      <w:r>
        <w:rPr>
          <w:rStyle w:val="FootnoteReference"/>
        </w:rPr>
        <w:footnoteRef/>
      </w:r>
      <w:r>
        <w:t xml:space="preserve"> Assessment Report EMA/CHMP/664213/2018. </w:t>
      </w:r>
    </w:p>
  </w:footnote>
  <w:footnote w:id="4">
    <w:p w14:paraId="65116CBD" w14:textId="305A121A" w:rsidR="00F960A4" w:rsidRPr="00981FF6" w:rsidRDefault="00F960A4" w:rsidP="00F960A4">
      <w:pPr>
        <w:pStyle w:val="FootnoteText"/>
      </w:pPr>
      <w:r>
        <w:rPr>
          <w:rStyle w:val="FootnoteReference"/>
        </w:rPr>
        <w:footnoteRef/>
      </w:r>
      <w:r>
        <w:t xml:space="preserve"> Thaci D, Gerdes S, Gaarn du Jardin K, Perrot J</w:t>
      </w:r>
      <w:r w:rsidR="005F1191">
        <w:noBreakHyphen/>
      </w:r>
      <w:r>
        <w:t xml:space="preserve">L, Puig L. </w:t>
      </w:r>
      <w:r w:rsidRPr="00981FF6">
        <w:t xml:space="preserve">Efficacy of </w:t>
      </w:r>
      <w:r>
        <w:t>t</w:t>
      </w:r>
      <w:r w:rsidRPr="00981FF6">
        <w:t xml:space="preserve">ildrakizumab </w:t>
      </w:r>
      <w:r>
        <w:t>a</w:t>
      </w:r>
      <w:r w:rsidRPr="00981FF6">
        <w:t xml:space="preserve">cross </w:t>
      </w:r>
      <w:r>
        <w:t>d</w:t>
      </w:r>
      <w:r w:rsidRPr="00981FF6">
        <w:t xml:space="preserve">ifferent </w:t>
      </w:r>
      <w:r>
        <w:t>b</w:t>
      </w:r>
      <w:r w:rsidRPr="00981FF6">
        <w:t>ody</w:t>
      </w:r>
    </w:p>
    <w:p w14:paraId="68856CC5" w14:textId="46BE5AE1" w:rsidR="00F960A4" w:rsidRDefault="00F960A4" w:rsidP="00F960A4">
      <w:pPr>
        <w:pStyle w:val="FootnoteText"/>
      </w:pPr>
      <w:r>
        <w:t>w</w:t>
      </w:r>
      <w:r w:rsidRPr="00981FF6">
        <w:t xml:space="preserve">eights in </w:t>
      </w:r>
      <w:r>
        <w:t>m</w:t>
      </w:r>
      <w:r w:rsidRPr="00981FF6">
        <w:t>oderate</w:t>
      </w:r>
      <w:r w:rsidR="005F1191">
        <w:noBreakHyphen/>
      </w:r>
      <w:r w:rsidRPr="00981FF6">
        <w:t>to</w:t>
      </w:r>
      <w:r w:rsidR="005F1191">
        <w:noBreakHyphen/>
      </w:r>
      <w:r>
        <w:t>s</w:t>
      </w:r>
      <w:r w:rsidRPr="00981FF6">
        <w:t xml:space="preserve">evere </w:t>
      </w:r>
      <w:r>
        <w:t>p</w:t>
      </w:r>
      <w:r w:rsidRPr="00981FF6">
        <w:t xml:space="preserve">soriasis </w:t>
      </w:r>
      <w:r>
        <w:t>o</w:t>
      </w:r>
      <w:r w:rsidRPr="00981FF6">
        <w:t xml:space="preserve">ver 5 </w:t>
      </w:r>
      <w:r>
        <w:t>y</w:t>
      </w:r>
      <w:r w:rsidRPr="00981FF6">
        <w:t>ears:</w:t>
      </w:r>
      <w:r>
        <w:t xml:space="preserve"> </w:t>
      </w:r>
      <w:r w:rsidRPr="00981FF6">
        <w:t xml:space="preserve">Pooled </w:t>
      </w:r>
      <w:r>
        <w:t>a</w:t>
      </w:r>
      <w:r w:rsidRPr="00981FF6">
        <w:t xml:space="preserve">nalyses from the </w:t>
      </w:r>
      <w:proofErr w:type="spellStart"/>
      <w:r w:rsidRPr="00981FF6">
        <w:t>reSURFACE</w:t>
      </w:r>
      <w:proofErr w:type="spellEnd"/>
      <w:r w:rsidRPr="00981FF6">
        <w:t xml:space="preserve"> </w:t>
      </w:r>
      <w:r>
        <w:t>p</w:t>
      </w:r>
      <w:r w:rsidRPr="00981FF6">
        <w:t xml:space="preserve">ivotal </w:t>
      </w:r>
      <w:r>
        <w:t>s</w:t>
      </w:r>
      <w:r w:rsidRPr="00981FF6">
        <w:t>tudies</w:t>
      </w:r>
      <w:r>
        <w:t xml:space="preserve">. </w:t>
      </w:r>
      <w:r w:rsidRPr="00CF5872">
        <w:rPr>
          <w:i/>
          <w:iCs/>
        </w:rPr>
        <w:t>Dermatol Ther (</w:t>
      </w:r>
      <w:proofErr w:type="spellStart"/>
      <w:r w:rsidRPr="00CF5872">
        <w:rPr>
          <w:i/>
          <w:iCs/>
        </w:rPr>
        <w:t>Heidelb</w:t>
      </w:r>
      <w:proofErr w:type="spellEnd"/>
      <w:r w:rsidRPr="00CF5872">
        <w:rPr>
          <w:i/>
          <w:iCs/>
        </w:rPr>
        <w:t>)</w:t>
      </w:r>
      <w:r>
        <w:t xml:space="preserve"> 2022; 12:2325</w:t>
      </w:r>
      <w:r w:rsidR="005F1191">
        <w:noBreakHyphen/>
      </w:r>
      <w:r>
        <w:t xml:space="preserve">2341.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F1A5" w14:textId="2B2C3AC6" w:rsidR="00D843F2" w:rsidRDefault="006D36E0">
    <w:pPr>
      <w:pStyle w:val="Header"/>
    </w:pPr>
    <w:r>
      <w:rPr>
        <w:noProof/>
      </w:rPr>
      <mc:AlternateContent>
        <mc:Choice Requires="wps">
          <w:drawing>
            <wp:anchor distT="0" distB="0" distL="0" distR="0" simplePos="0" relativeHeight="251660293" behindDoc="0" locked="0" layoutInCell="1" allowOverlap="1" wp14:anchorId="5AD77E5E" wp14:editId="1E10B59B">
              <wp:simplePos x="635" y="635"/>
              <wp:positionH relativeFrom="page">
                <wp:align>center</wp:align>
              </wp:positionH>
              <wp:positionV relativeFrom="page">
                <wp:align>top</wp:align>
              </wp:positionV>
              <wp:extent cx="622300" cy="376555"/>
              <wp:effectExtent l="0" t="0" r="6350" b="4445"/>
              <wp:wrapNone/>
              <wp:docPr id="15868444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E3EE9D" w14:textId="0045E5B7"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77E5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1E3EE9D" w14:textId="0045E5B7"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43B" w14:textId="5DB57F51" w:rsidR="00D843F2" w:rsidRDefault="006D36E0">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75983BA1" wp14:editId="0599FBCF">
              <wp:simplePos x="635" y="635"/>
              <wp:positionH relativeFrom="page">
                <wp:align>center</wp:align>
              </wp:positionH>
              <wp:positionV relativeFrom="page">
                <wp:align>top</wp:align>
              </wp:positionV>
              <wp:extent cx="622300" cy="376555"/>
              <wp:effectExtent l="0" t="0" r="6350" b="4445"/>
              <wp:wrapNone/>
              <wp:docPr id="8885984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98BE1E" w14:textId="56C248DB"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83BA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898BE1E" w14:textId="56C248DB"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v:textbox>
              <w10:wrap anchorx="page" anchory="page"/>
            </v:shape>
          </w:pict>
        </mc:Fallback>
      </mc:AlternateContent>
    </w:r>
    <w:r w:rsidR="00405A2A">
      <w:rPr>
        <w:rFonts w:asciiTheme="minorHAnsi" w:hAnsiTheme="minorHAnsi"/>
        <w:noProof/>
        <w:color w:val="808080"/>
      </w:rPr>
      <w:t>Public Summary Document</w:t>
    </w:r>
    <w:r w:rsidR="001A3C00">
      <w:rPr>
        <w:rFonts w:asciiTheme="minorHAnsi" w:hAnsiTheme="minorHAnsi"/>
        <w:color w:val="808080"/>
      </w:rPr>
      <w:t xml:space="preserve"> </w:t>
    </w:r>
    <w:r w:rsidR="005F1191">
      <w:rPr>
        <w:rFonts w:asciiTheme="minorHAnsi" w:hAnsiTheme="minorHAnsi"/>
        <w:color w:val="808080"/>
      </w:rPr>
      <w:noBreakHyphen/>
    </w:r>
    <w:r w:rsidR="001A3C00">
      <w:rPr>
        <w:rFonts w:asciiTheme="minorHAnsi" w:hAnsiTheme="minorHAnsi"/>
        <w:color w:val="808080"/>
      </w:rPr>
      <w:t xml:space="preserve"> </w:t>
    </w:r>
    <w:r w:rsidR="00D843F2">
      <w:rPr>
        <w:rFonts w:asciiTheme="minorHAnsi" w:hAnsiTheme="minorHAnsi"/>
        <w:color w:val="808080"/>
      </w:rPr>
      <w:t>M</w:t>
    </w:r>
    <w:r w:rsidR="0060379A">
      <w:rPr>
        <w:rFonts w:asciiTheme="minorHAnsi" w:hAnsiTheme="minorHAnsi"/>
        <w:color w:val="808080"/>
      </w:rPr>
      <w:t>arch</w:t>
    </w:r>
    <w:r w:rsidR="00D843F2">
      <w:rPr>
        <w:rFonts w:asciiTheme="minorHAnsi" w:hAnsiTheme="minorHAnsi"/>
        <w:color w:val="808080"/>
      </w:rPr>
      <w:t xml:space="preserve"> 202</w:t>
    </w:r>
    <w:r w:rsidR="0060379A">
      <w:rPr>
        <w:rFonts w:asciiTheme="minorHAnsi" w:hAnsiTheme="minorHAnsi"/>
        <w:color w:val="808080"/>
      </w:rPr>
      <w:t>6</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0BF6B8C" w14:textId="77777777" w:rsidR="00795D5D" w:rsidRPr="008C7ECB" w:rsidRDefault="00795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BE60" w14:textId="7C467689" w:rsidR="00D843F2" w:rsidRDefault="006D36E0">
    <w:pPr>
      <w:pStyle w:val="Header"/>
    </w:pPr>
    <w:r>
      <w:rPr>
        <w:noProof/>
      </w:rPr>
      <mc:AlternateContent>
        <mc:Choice Requires="wps">
          <w:drawing>
            <wp:anchor distT="0" distB="0" distL="0" distR="0" simplePos="0" relativeHeight="251659269" behindDoc="0" locked="0" layoutInCell="1" allowOverlap="1" wp14:anchorId="363E60E1" wp14:editId="168F8CBB">
              <wp:simplePos x="635" y="635"/>
              <wp:positionH relativeFrom="page">
                <wp:align>center</wp:align>
              </wp:positionH>
              <wp:positionV relativeFrom="page">
                <wp:align>top</wp:align>
              </wp:positionV>
              <wp:extent cx="622300" cy="376555"/>
              <wp:effectExtent l="0" t="0" r="6350" b="4445"/>
              <wp:wrapNone/>
              <wp:docPr id="7017521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3131AF" w14:textId="6B4BDD90"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E60E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53131AF" w14:textId="6B4BDD90" w:rsidR="006D36E0" w:rsidRPr="006D36E0" w:rsidRDefault="006D36E0" w:rsidP="006D36E0">
                    <w:pPr>
                      <w:rPr>
                        <w:rFonts w:ascii="Aptos" w:eastAsia="Aptos" w:hAnsi="Aptos" w:cs="Aptos"/>
                        <w:noProof/>
                        <w:color w:val="FF0000"/>
                      </w:rPr>
                    </w:pPr>
                    <w:r w:rsidRPr="006D36E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ED60D6"/>
    <w:multiLevelType w:val="hybridMultilevel"/>
    <w:tmpl w:val="79FAF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A1586"/>
    <w:multiLevelType w:val="hybridMultilevel"/>
    <w:tmpl w:val="ED601E42"/>
    <w:lvl w:ilvl="0" w:tplc="E556D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E52377"/>
    <w:multiLevelType w:val="hybridMultilevel"/>
    <w:tmpl w:val="754C58CE"/>
    <w:lvl w:ilvl="0" w:tplc="5E0C718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346AD7"/>
    <w:multiLevelType w:val="hybridMultilevel"/>
    <w:tmpl w:val="71A65F8E"/>
    <w:lvl w:ilvl="0" w:tplc="CFBE442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44933"/>
    <w:multiLevelType w:val="hybridMultilevel"/>
    <w:tmpl w:val="5D3AD03E"/>
    <w:lvl w:ilvl="0" w:tplc="5D56296A">
      <w:start w:val="1"/>
      <w:numFmt w:val="upperLetter"/>
      <w:lvlText w:val="%1."/>
      <w:lvlJc w:val="left"/>
      <w:pPr>
        <w:ind w:left="360" w:hanging="360"/>
      </w:pPr>
      <w:rPr>
        <w:rFonts w:asciiTheme="minorHAnsi" w:eastAsiaTheme="minorHAnsi" w:hAnsiTheme="minorHAnsi" w:cstheme="minorBidi"/>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76C72"/>
    <w:multiLevelType w:val="hybridMultilevel"/>
    <w:tmpl w:val="D5022A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0B1FBD"/>
    <w:multiLevelType w:val="hybridMultilevel"/>
    <w:tmpl w:val="A8684F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A4A63"/>
    <w:multiLevelType w:val="hybridMultilevel"/>
    <w:tmpl w:val="9508E9BC"/>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8B22559"/>
    <w:multiLevelType w:val="multilevel"/>
    <w:tmpl w:val="0BFE7302"/>
    <w:lvl w:ilvl="0">
      <w:start w:val="1"/>
      <w:numFmt w:val="decimal"/>
      <w:pStyle w:val="OvrSummary-Bulletpoi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A11D50"/>
    <w:multiLevelType w:val="hybridMultilevel"/>
    <w:tmpl w:val="C6E2421C"/>
    <w:lvl w:ilvl="0" w:tplc="9E28D416">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3B0943"/>
    <w:multiLevelType w:val="hybridMultilevel"/>
    <w:tmpl w:val="DC7C2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6717A8"/>
    <w:multiLevelType w:val="hybridMultilevel"/>
    <w:tmpl w:val="823004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320409CE"/>
    <w:lvl w:ilvl="0">
      <w:start w:val="1"/>
      <w:numFmt w:val="decimal"/>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32"/>
  </w:num>
  <w:num w:numId="2" w16cid:durableId="917793048">
    <w:abstractNumId w:val="15"/>
  </w:num>
  <w:num w:numId="3" w16cid:durableId="324548822">
    <w:abstractNumId w:val="16"/>
  </w:num>
  <w:num w:numId="4" w16cid:durableId="320543630">
    <w:abstractNumId w:val="10"/>
  </w:num>
  <w:num w:numId="5" w16cid:durableId="263461728">
    <w:abstractNumId w:val="0"/>
  </w:num>
  <w:num w:numId="6" w16cid:durableId="193736528">
    <w:abstractNumId w:val="32"/>
  </w:num>
  <w:num w:numId="7" w16cid:durableId="318273948">
    <w:abstractNumId w:val="29"/>
  </w:num>
  <w:num w:numId="8" w16cid:durableId="9892165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6"/>
  </w:num>
  <w:num w:numId="10" w16cid:durableId="1156729720">
    <w:abstractNumId w:val="12"/>
  </w:num>
  <w:num w:numId="11" w16cid:durableId="704645582">
    <w:abstractNumId w:val="21"/>
  </w:num>
  <w:num w:numId="12" w16cid:durableId="1863592879">
    <w:abstractNumId w:val="4"/>
  </w:num>
  <w:num w:numId="13" w16cid:durableId="139346788">
    <w:abstractNumId w:val="33"/>
  </w:num>
  <w:num w:numId="14" w16cid:durableId="813834356">
    <w:abstractNumId w:val="26"/>
  </w:num>
  <w:num w:numId="15" w16cid:durableId="1718821935">
    <w:abstractNumId w:val="19"/>
  </w:num>
  <w:num w:numId="16" w16cid:durableId="1533883230">
    <w:abstractNumId w:val="13"/>
  </w:num>
  <w:num w:numId="17" w16cid:durableId="220360847">
    <w:abstractNumId w:val="28"/>
  </w:num>
  <w:num w:numId="18" w16cid:durableId="1195146128">
    <w:abstractNumId w:val="3"/>
  </w:num>
  <w:num w:numId="19" w16cid:durableId="22941560">
    <w:abstractNumId w:val="1"/>
  </w:num>
  <w:num w:numId="20" w16cid:durableId="1499031120">
    <w:abstractNumId w:val="3"/>
  </w:num>
  <w:num w:numId="21" w16cid:durableId="268196418">
    <w:abstractNumId w:val="9"/>
  </w:num>
  <w:num w:numId="22" w16cid:durableId="1438059578">
    <w:abstractNumId w:val="32"/>
  </w:num>
  <w:num w:numId="23" w16cid:durableId="1048839230">
    <w:abstractNumId w:val="32"/>
  </w:num>
  <w:num w:numId="24" w16cid:durableId="2077362522">
    <w:abstractNumId w:val="27"/>
  </w:num>
  <w:num w:numId="25" w16cid:durableId="142360765">
    <w:abstractNumId w:val="22"/>
  </w:num>
  <w:num w:numId="26" w16cid:durableId="706414841">
    <w:abstractNumId w:val="31"/>
  </w:num>
  <w:num w:numId="27" w16cid:durableId="1694109783">
    <w:abstractNumId w:val="5"/>
  </w:num>
  <w:num w:numId="28" w16cid:durableId="1779645457">
    <w:abstractNumId w:val="32"/>
  </w:num>
  <w:num w:numId="29" w16cid:durableId="1860267260">
    <w:abstractNumId w:val="25"/>
  </w:num>
  <w:num w:numId="30" w16cid:durableId="1533498588">
    <w:abstractNumId w:val="11"/>
  </w:num>
  <w:num w:numId="31" w16cid:durableId="1662348298">
    <w:abstractNumId w:val="17"/>
  </w:num>
  <w:num w:numId="32" w16cid:durableId="1141846503">
    <w:abstractNumId w:val="18"/>
  </w:num>
  <w:num w:numId="33" w16cid:durableId="259338796">
    <w:abstractNumId w:val="2"/>
  </w:num>
  <w:num w:numId="34" w16cid:durableId="1403215487">
    <w:abstractNumId w:val="7"/>
  </w:num>
  <w:num w:numId="35" w16cid:durableId="767625218">
    <w:abstractNumId w:val="8"/>
  </w:num>
  <w:num w:numId="36" w16cid:durableId="318923802">
    <w:abstractNumId w:val="23"/>
  </w:num>
  <w:num w:numId="37" w16cid:durableId="418600173">
    <w:abstractNumId w:val="34"/>
  </w:num>
  <w:num w:numId="38" w16cid:durableId="34236669">
    <w:abstractNumId w:val="30"/>
  </w:num>
  <w:num w:numId="39" w16cid:durableId="1279799443">
    <w:abstractNumId w:val="20"/>
  </w:num>
  <w:num w:numId="40" w16cid:durableId="109007762">
    <w:abstractNumId w:val="24"/>
  </w:num>
  <w:num w:numId="41" w16cid:durableId="1228224951">
    <w:abstractNumId w:val="32"/>
    <w:lvlOverride w:ilvl="0">
      <w:startOverride w:val="2"/>
    </w:lvlOverride>
    <w:lvlOverride w:ilvl="1">
      <w:startOverride w:val="1"/>
    </w:lvlOverride>
  </w:num>
  <w:num w:numId="42" w16cid:durableId="20522695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0155904">
    <w:abstractNumId w:val="32"/>
    <w:lvlOverride w:ilvl="0">
      <w:startOverride w:val="2"/>
    </w:lvlOverride>
    <w:lvlOverride w:ilvl="1">
      <w:startOverride w:val="1"/>
    </w:lvlOverride>
  </w:num>
  <w:num w:numId="44" w16cid:durableId="463887713">
    <w:abstractNumId w:val="32"/>
    <w:lvlOverride w:ilvl="0">
      <w:startOverride w:val="2"/>
    </w:lvlOverride>
    <w:lvlOverride w:ilvl="1">
      <w:startOverride w:val="2"/>
    </w:lvlOverride>
  </w:num>
  <w:num w:numId="45" w16cid:durableId="117191056">
    <w:abstractNumId w:val="32"/>
    <w:lvlOverride w:ilvl="0">
      <w:startOverride w:val="3"/>
    </w:lvlOverride>
  </w:num>
  <w:num w:numId="46" w16cid:durableId="1856075897">
    <w:abstractNumId w:val="32"/>
    <w:lvlOverride w:ilvl="0">
      <w:startOverride w:val="3"/>
    </w:lvlOverride>
    <w:lvlOverride w:ilvl="1">
      <w:startOverride w:val="2"/>
    </w:lvlOverride>
  </w:num>
  <w:num w:numId="47" w16cid:durableId="598803905">
    <w:abstractNumId w:val="32"/>
    <w:lvlOverride w:ilvl="0">
      <w:startOverride w:val="4"/>
    </w:lvlOverride>
    <w:lvlOverride w:ilvl="1">
      <w:startOverride w:val="2"/>
    </w:lvlOverride>
  </w:num>
  <w:num w:numId="48" w16cid:durableId="1580672318">
    <w:abstractNumId w:val="32"/>
    <w:lvlOverride w:ilvl="0">
      <w:startOverride w:val="5"/>
    </w:lvlOverride>
    <w:lvlOverride w:ilvl="1">
      <w:startOverride w:val="2"/>
    </w:lvlOverride>
  </w:num>
  <w:num w:numId="49" w16cid:durableId="57994521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9CB"/>
    <w:rsid w:val="0000110B"/>
    <w:rsid w:val="00003499"/>
    <w:rsid w:val="000039B7"/>
    <w:rsid w:val="000041DE"/>
    <w:rsid w:val="000056B9"/>
    <w:rsid w:val="0000639A"/>
    <w:rsid w:val="0001049F"/>
    <w:rsid w:val="00011381"/>
    <w:rsid w:val="0001240D"/>
    <w:rsid w:val="00012974"/>
    <w:rsid w:val="00013247"/>
    <w:rsid w:val="00013C35"/>
    <w:rsid w:val="00015886"/>
    <w:rsid w:val="000162EF"/>
    <w:rsid w:val="00016F38"/>
    <w:rsid w:val="000207C9"/>
    <w:rsid w:val="00020970"/>
    <w:rsid w:val="00020AAA"/>
    <w:rsid w:val="00021995"/>
    <w:rsid w:val="000220ED"/>
    <w:rsid w:val="0002225F"/>
    <w:rsid w:val="000222E8"/>
    <w:rsid w:val="00023025"/>
    <w:rsid w:val="00023763"/>
    <w:rsid w:val="00024EB5"/>
    <w:rsid w:val="000259BE"/>
    <w:rsid w:val="000269E0"/>
    <w:rsid w:val="000274B8"/>
    <w:rsid w:val="00027BE5"/>
    <w:rsid w:val="00030148"/>
    <w:rsid w:val="000301DA"/>
    <w:rsid w:val="00032516"/>
    <w:rsid w:val="00033863"/>
    <w:rsid w:val="000339F6"/>
    <w:rsid w:val="000352E9"/>
    <w:rsid w:val="00035C61"/>
    <w:rsid w:val="00035DC0"/>
    <w:rsid w:val="00036268"/>
    <w:rsid w:val="00036829"/>
    <w:rsid w:val="00036D9E"/>
    <w:rsid w:val="00040895"/>
    <w:rsid w:val="000410A0"/>
    <w:rsid w:val="00041451"/>
    <w:rsid w:val="00041783"/>
    <w:rsid w:val="00042421"/>
    <w:rsid w:val="000435EE"/>
    <w:rsid w:val="00043653"/>
    <w:rsid w:val="00043C37"/>
    <w:rsid w:val="00044D26"/>
    <w:rsid w:val="00045017"/>
    <w:rsid w:val="00045A2B"/>
    <w:rsid w:val="00046730"/>
    <w:rsid w:val="0004698F"/>
    <w:rsid w:val="00046D64"/>
    <w:rsid w:val="000508C2"/>
    <w:rsid w:val="000510B1"/>
    <w:rsid w:val="00051359"/>
    <w:rsid w:val="000539D0"/>
    <w:rsid w:val="000540C4"/>
    <w:rsid w:val="00054621"/>
    <w:rsid w:val="000546D7"/>
    <w:rsid w:val="00054A8D"/>
    <w:rsid w:val="00055180"/>
    <w:rsid w:val="000554E6"/>
    <w:rsid w:val="00055BBC"/>
    <w:rsid w:val="00055C7B"/>
    <w:rsid w:val="0005603A"/>
    <w:rsid w:val="0005657B"/>
    <w:rsid w:val="0005698D"/>
    <w:rsid w:val="00056ECF"/>
    <w:rsid w:val="00057A94"/>
    <w:rsid w:val="0006049D"/>
    <w:rsid w:val="000604CF"/>
    <w:rsid w:val="000604DF"/>
    <w:rsid w:val="0006068C"/>
    <w:rsid w:val="00061E37"/>
    <w:rsid w:val="00062324"/>
    <w:rsid w:val="00062DD9"/>
    <w:rsid w:val="000640B1"/>
    <w:rsid w:val="000653B5"/>
    <w:rsid w:val="000660B9"/>
    <w:rsid w:val="00066360"/>
    <w:rsid w:val="00066AF8"/>
    <w:rsid w:val="000670F9"/>
    <w:rsid w:val="000677EC"/>
    <w:rsid w:val="00067D99"/>
    <w:rsid w:val="00070475"/>
    <w:rsid w:val="00070F9B"/>
    <w:rsid w:val="00071248"/>
    <w:rsid w:val="000720B9"/>
    <w:rsid w:val="0007227E"/>
    <w:rsid w:val="000737F7"/>
    <w:rsid w:val="0007388E"/>
    <w:rsid w:val="000741F2"/>
    <w:rsid w:val="00075B43"/>
    <w:rsid w:val="0007672F"/>
    <w:rsid w:val="00076B54"/>
    <w:rsid w:val="000774F0"/>
    <w:rsid w:val="00077A5B"/>
    <w:rsid w:val="0008043E"/>
    <w:rsid w:val="00080909"/>
    <w:rsid w:val="0008120F"/>
    <w:rsid w:val="000812CA"/>
    <w:rsid w:val="0008184B"/>
    <w:rsid w:val="00081C75"/>
    <w:rsid w:val="00081E63"/>
    <w:rsid w:val="0008258D"/>
    <w:rsid w:val="00082AD9"/>
    <w:rsid w:val="00083E99"/>
    <w:rsid w:val="00084FA8"/>
    <w:rsid w:val="000856C5"/>
    <w:rsid w:val="00085C31"/>
    <w:rsid w:val="00086B9E"/>
    <w:rsid w:val="000902D9"/>
    <w:rsid w:val="00090B5F"/>
    <w:rsid w:val="00090C7E"/>
    <w:rsid w:val="000911AC"/>
    <w:rsid w:val="0009166A"/>
    <w:rsid w:val="00091A6A"/>
    <w:rsid w:val="00092600"/>
    <w:rsid w:val="0009262B"/>
    <w:rsid w:val="00093310"/>
    <w:rsid w:val="000942F1"/>
    <w:rsid w:val="0009445C"/>
    <w:rsid w:val="000948AD"/>
    <w:rsid w:val="00095200"/>
    <w:rsid w:val="00095FE5"/>
    <w:rsid w:val="00096284"/>
    <w:rsid w:val="0009628D"/>
    <w:rsid w:val="0009711F"/>
    <w:rsid w:val="000977C6"/>
    <w:rsid w:val="00097CB0"/>
    <w:rsid w:val="000A01E8"/>
    <w:rsid w:val="000A1656"/>
    <w:rsid w:val="000A17DE"/>
    <w:rsid w:val="000A1BC0"/>
    <w:rsid w:val="000A1EB7"/>
    <w:rsid w:val="000A200B"/>
    <w:rsid w:val="000A2F9E"/>
    <w:rsid w:val="000A3E47"/>
    <w:rsid w:val="000A3ED5"/>
    <w:rsid w:val="000A42DD"/>
    <w:rsid w:val="000A522B"/>
    <w:rsid w:val="000A6039"/>
    <w:rsid w:val="000A658A"/>
    <w:rsid w:val="000A7453"/>
    <w:rsid w:val="000A791F"/>
    <w:rsid w:val="000A7D08"/>
    <w:rsid w:val="000B0121"/>
    <w:rsid w:val="000B0670"/>
    <w:rsid w:val="000B0ADD"/>
    <w:rsid w:val="000B0E75"/>
    <w:rsid w:val="000B2DCB"/>
    <w:rsid w:val="000B3CE5"/>
    <w:rsid w:val="000B5CE0"/>
    <w:rsid w:val="000B5D52"/>
    <w:rsid w:val="000B6CAC"/>
    <w:rsid w:val="000B7612"/>
    <w:rsid w:val="000B78AE"/>
    <w:rsid w:val="000C1772"/>
    <w:rsid w:val="000C2D9C"/>
    <w:rsid w:val="000C300E"/>
    <w:rsid w:val="000C3DB3"/>
    <w:rsid w:val="000C3DF9"/>
    <w:rsid w:val="000C3EFE"/>
    <w:rsid w:val="000C4CF2"/>
    <w:rsid w:val="000C57DB"/>
    <w:rsid w:val="000C5BA6"/>
    <w:rsid w:val="000C6713"/>
    <w:rsid w:val="000C67A5"/>
    <w:rsid w:val="000C6F2B"/>
    <w:rsid w:val="000C7EA4"/>
    <w:rsid w:val="000D0F88"/>
    <w:rsid w:val="000D1BFC"/>
    <w:rsid w:val="000D1D5D"/>
    <w:rsid w:val="000D281A"/>
    <w:rsid w:val="000D2848"/>
    <w:rsid w:val="000D2B0B"/>
    <w:rsid w:val="000D312F"/>
    <w:rsid w:val="000D326A"/>
    <w:rsid w:val="000D3A92"/>
    <w:rsid w:val="000D4297"/>
    <w:rsid w:val="000D51FB"/>
    <w:rsid w:val="000D6B6B"/>
    <w:rsid w:val="000E016A"/>
    <w:rsid w:val="000E0640"/>
    <w:rsid w:val="000E135D"/>
    <w:rsid w:val="000E4B3A"/>
    <w:rsid w:val="000E4F56"/>
    <w:rsid w:val="000E5B90"/>
    <w:rsid w:val="000E5C3A"/>
    <w:rsid w:val="000E7B98"/>
    <w:rsid w:val="000F00BA"/>
    <w:rsid w:val="000F0393"/>
    <w:rsid w:val="000F1A48"/>
    <w:rsid w:val="000F26CB"/>
    <w:rsid w:val="000F316A"/>
    <w:rsid w:val="000F3C74"/>
    <w:rsid w:val="000F4995"/>
    <w:rsid w:val="000F4BB8"/>
    <w:rsid w:val="000F4FA9"/>
    <w:rsid w:val="000F53FB"/>
    <w:rsid w:val="000F60AA"/>
    <w:rsid w:val="000F6AAD"/>
    <w:rsid w:val="000F7127"/>
    <w:rsid w:val="000F774F"/>
    <w:rsid w:val="000F7B54"/>
    <w:rsid w:val="001000B3"/>
    <w:rsid w:val="00100650"/>
    <w:rsid w:val="00100F8A"/>
    <w:rsid w:val="00101374"/>
    <w:rsid w:val="00101CE3"/>
    <w:rsid w:val="00102893"/>
    <w:rsid w:val="00103670"/>
    <w:rsid w:val="00103AF5"/>
    <w:rsid w:val="00103F75"/>
    <w:rsid w:val="0010452E"/>
    <w:rsid w:val="00104C08"/>
    <w:rsid w:val="001052D0"/>
    <w:rsid w:val="001055FE"/>
    <w:rsid w:val="00105AE2"/>
    <w:rsid w:val="001060C6"/>
    <w:rsid w:val="0010672A"/>
    <w:rsid w:val="00106AC3"/>
    <w:rsid w:val="00106B80"/>
    <w:rsid w:val="0011004C"/>
    <w:rsid w:val="0011032E"/>
    <w:rsid w:val="00110AD5"/>
    <w:rsid w:val="00110BA3"/>
    <w:rsid w:val="0011342D"/>
    <w:rsid w:val="0011348B"/>
    <w:rsid w:val="0011476D"/>
    <w:rsid w:val="00115284"/>
    <w:rsid w:val="0011530A"/>
    <w:rsid w:val="00115942"/>
    <w:rsid w:val="00115982"/>
    <w:rsid w:val="00116965"/>
    <w:rsid w:val="00116C53"/>
    <w:rsid w:val="0012088F"/>
    <w:rsid w:val="00120DD2"/>
    <w:rsid w:val="00121107"/>
    <w:rsid w:val="00121799"/>
    <w:rsid w:val="00121B99"/>
    <w:rsid w:val="001222FC"/>
    <w:rsid w:val="0012250C"/>
    <w:rsid w:val="00122F54"/>
    <w:rsid w:val="00123902"/>
    <w:rsid w:val="00124A51"/>
    <w:rsid w:val="0012543C"/>
    <w:rsid w:val="0012618C"/>
    <w:rsid w:val="00126621"/>
    <w:rsid w:val="00126B1D"/>
    <w:rsid w:val="00126EE9"/>
    <w:rsid w:val="00127B58"/>
    <w:rsid w:val="00130162"/>
    <w:rsid w:val="001301BA"/>
    <w:rsid w:val="001301E9"/>
    <w:rsid w:val="001308E9"/>
    <w:rsid w:val="00131D82"/>
    <w:rsid w:val="001322EE"/>
    <w:rsid w:val="00132B22"/>
    <w:rsid w:val="00133D36"/>
    <w:rsid w:val="0013442C"/>
    <w:rsid w:val="00135C85"/>
    <w:rsid w:val="00136FC4"/>
    <w:rsid w:val="00137586"/>
    <w:rsid w:val="00137645"/>
    <w:rsid w:val="0014015A"/>
    <w:rsid w:val="00140A34"/>
    <w:rsid w:val="00140E99"/>
    <w:rsid w:val="00140FC8"/>
    <w:rsid w:val="00143607"/>
    <w:rsid w:val="00143C71"/>
    <w:rsid w:val="00143F67"/>
    <w:rsid w:val="00143FAD"/>
    <w:rsid w:val="00145234"/>
    <w:rsid w:val="00145540"/>
    <w:rsid w:val="0014559C"/>
    <w:rsid w:val="001455EF"/>
    <w:rsid w:val="001456B0"/>
    <w:rsid w:val="001459EB"/>
    <w:rsid w:val="001463D3"/>
    <w:rsid w:val="00147209"/>
    <w:rsid w:val="0014732A"/>
    <w:rsid w:val="00150B89"/>
    <w:rsid w:val="00151C4E"/>
    <w:rsid w:val="00151DB7"/>
    <w:rsid w:val="0015310F"/>
    <w:rsid w:val="001547AB"/>
    <w:rsid w:val="00154B9F"/>
    <w:rsid w:val="00155D21"/>
    <w:rsid w:val="00155DC5"/>
    <w:rsid w:val="00156F8F"/>
    <w:rsid w:val="001570D8"/>
    <w:rsid w:val="00157130"/>
    <w:rsid w:val="001576B1"/>
    <w:rsid w:val="0015780F"/>
    <w:rsid w:val="0016015E"/>
    <w:rsid w:val="0016047B"/>
    <w:rsid w:val="00160A4C"/>
    <w:rsid w:val="00160EB5"/>
    <w:rsid w:val="001620A7"/>
    <w:rsid w:val="00162913"/>
    <w:rsid w:val="00162BE2"/>
    <w:rsid w:val="00162FD5"/>
    <w:rsid w:val="001631E2"/>
    <w:rsid w:val="00163CED"/>
    <w:rsid w:val="00163EFF"/>
    <w:rsid w:val="00163F66"/>
    <w:rsid w:val="0016478E"/>
    <w:rsid w:val="0016495E"/>
    <w:rsid w:val="00165A8C"/>
    <w:rsid w:val="00165EC4"/>
    <w:rsid w:val="001661FB"/>
    <w:rsid w:val="0016670B"/>
    <w:rsid w:val="001668D9"/>
    <w:rsid w:val="001671A0"/>
    <w:rsid w:val="00167469"/>
    <w:rsid w:val="0016767F"/>
    <w:rsid w:val="00171875"/>
    <w:rsid w:val="00172013"/>
    <w:rsid w:val="001722D1"/>
    <w:rsid w:val="00173349"/>
    <w:rsid w:val="00173565"/>
    <w:rsid w:val="00173B07"/>
    <w:rsid w:val="001751FA"/>
    <w:rsid w:val="00175CE2"/>
    <w:rsid w:val="00176700"/>
    <w:rsid w:val="00176C98"/>
    <w:rsid w:val="001771E0"/>
    <w:rsid w:val="00177295"/>
    <w:rsid w:val="001772ED"/>
    <w:rsid w:val="00177A2D"/>
    <w:rsid w:val="00181245"/>
    <w:rsid w:val="00181807"/>
    <w:rsid w:val="00181936"/>
    <w:rsid w:val="00181C10"/>
    <w:rsid w:val="00181D9C"/>
    <w:rsid w:val="00181E85"/>
    <w:rsid w:val="0018212E"/>
    <w:rsid w:val="00182422"/>
    <w:rsid w:val="001837FF"/>
    <w:rsid w:val="00184A35"/>
    <w:rsid w:val="00184B0E"/>
    <w:rsid w:val="00186215"/>
    <w:rsid w:val="00186231"/>
    <w:rsid w:val="00186323"/>
    <w:rsid w:val="0018681D"/>
    <w:rsid w:val="00186910"/>
    <w:rsid w:val="0018752F"/>
    <w:rsid w:val="00190335"/>
    <w:rsid w:val="001910D7"/>
    <w:rsid w:val="00191EF7"/>
    <w:rsid w:val="0019202E"/>
    <w:rsid w:val="0019256F"/>
    <w:rsid w:val="00192DD6"/>
    <w:rsid w:val="0019327C"/>
    <w:rsid w:val="0019357D"/>
    <w:rsid w:val="00193838"/>
    <w:rsid w:val="0019492E"/>
    <w:rsid w:val="00194AD8"/>
    <w:rsid w:val="00195222"/>
    <w:rsid w:val="00195452"/>
    <w:rsid w:val="00196B1A"/>
    <w:rsid w:val="001975D8"/>
    <w:rsid w:val="001A178E"/>
    <w:rsid w:val="001A29A5"/>
    <w:rsid w:val="001A3379"/>
    <w:rsid w:val="001A3C00"/>
    <w:rsid w:val="001A43FA"/>
    <w:rsid w:val="001A47C5"/>
    <w:rsid w:val="001A516D"/>
    <w:rsid w:val="001A59FB"/>
    <w:rsid w:val="001A5E9E"/>
    <w:rsid w:val="001A6354"/>
    <w:rsid w:val="001A6366"/>
    <w:rsid w:val="001A7AE8"/>
    <w:rsid w:val="001A7C8A"/>
    <w:rsid w:val="001B0A82"/>
    <w:rsid w:val="001B2021"/>
    <w:rsid w:val="001B204E"/>
    <w:rsid w:val="001B2372"/>
    <w:rsid w:val="001B3179"/>
    <w:rsid w:val="001B3443"/>
    <w:rsid w:val="001B3479"/>
    <w:rsid w:val="001B3B0C"/>
    <w:rsid w:val="001B3D42"/>
    <w:rsid w:val="001B3D54"/>
    <w:rsid w:val="001B4D20"/>
    <w:rsid w:val="001B5398"/>
    <w:rsid w:val="001B6752"/>
    <w:rsid w:val="001B6DB2"/>
    <w:rsid w:val="001B7F84"/>
    <w:rsid w:val="001C2A9B"/>
    <w:rsid w:val="001C37C3"/>
    <w:rsid w:val="001C3DD6"/>
    <w:rsid w:val="001C4299"/>
    <w:rsid w:val="001C4874"/>
    <w:rsid w:val="001C5254"/>
    <w:rsid w:val="001C5F94"/>
    <w:rsid w:val="001C6E66"/>
    <w:rsid w:val="001D029F"/>
    <w:rsid w:val="001D1100"/>
    <w:rsid w:val="001D1391"/>
    <w:rsid w:val="001D189A"/>
    <w:rsid w:val="001D25D7"/>
    <w:rsid w:val="001D2C89"/>
    <w:rsid w:val="001D3ED4"/>
    <w:rsid w:val="001D3F70"/>
    <w:rsid w:val="001D49C4"/>
    <w:rsid w:val="001D50B2"/>
    <w:rsid w:val="001D5947"/>
    <w:rsid w:val="001D661F"/>
    <w:rsid w:val="001D70DF"/>
    <w:rsid w:val="001D71F4"/>
    <w:rsid w:val="001D7645"/>
    <w:rsid w:val="001D7F6A"/>
    <w:rsid w:val="001D7F70"/>
    <w:rsid w:val="001E1479"/>
    <w:rsid w:val="001E1E86"/>
    <w:rsid w:val="001E1FFB"/>
    <w:rsid w:val="001E238E"/>
    <w:rsid w:val="001E2483"/>
    <w:rsid w:val="001E2B1E"/>
    <w:rsid w:val="001E2CFF"/>
    <w:rsid w:val="001E2F24"/>
    <w:rsid w:val="001E30D4"/>
    <w:rsid w:val="001E34DF"/>
    <w:rsid w:val="001E4FD3"/>
    <w:rsid w:val="001E52EB"/>
    <w:rsid w:val="001E61D2"/>
    <w:rsid w:val="001E740C"/>
    <w:rsid w:val="001E7F36"/>
    <w:rsid w:val="001F1031"/>
    <w:rsid w:val="001F1235"/>
    <w:rsid w:val="001F1502"/>
    <w:rsid w:val="001F1CB3"/>
    <w:rsid w:val="001F1FE9"/>
    <w:rsid w:val="001F20C3"/>
    <w:rsid w:val="001F38B5"/>
    <w:rsid w:val="001F4081"/>
    <w:rsid w:val="001F4AF9"/>
    <w:rsid w:val="001F517C"/>
    <w:rsid w:val="001F6E1B"/>
    <w:rsid w:val="001F7361"/>
    <w:rsid w:val="001F7C85"/>
    <w:rsid w:val="002011B0"/>
    <w:rsid w:val="0020237F"/>
    <w:rsid w:val="00203181"/>
    <w:rsid w:val="00203783"/>
    <w:rsid w:val="0020385F"/>
    <w:rsid w:val="00203F56"/>
    <w:rsid w:val="002049D1"/>
    <w:rsid w:val="002068A0"/>
    <w:rsid w:val="00206FEE"/>
    <w:rsid w:val="00207021"/>
    <w:rsid w:val="0020732F"/>
    <w:rsid w:val="00207D00"/>
    <w:rsid w:val="00207D03"/>
    <w:rsid w:val="002105C1"/>
    <w:rsid w:val="00210EE9"/>
    <w:rsid w:val="00211103"/>
    <w:rsid w:val="002112F1"/>
    <w:rsid w:val="002113B6"/>
    <w:rsid w:val="002116FD"/>
    <w:rsid w:val="002125EF"/>
    <w:rsid w:val="00213EF5"/>
    <w:rsid w:val="00214A76"/>
    <w:rsid w:val="00214F4A"/>
    <w:rsid w:val="00215AA4"/>
    <w:rsid w:val="00216BF5"/>
    <w:rsid w:val="0021709A"/>
    <w:rsid w:val="00217D4F"/>
    <w:rsid w:val="0022023B"/>
    <w:rsid w:val="00221516"/>
    <w:rsid w:val="002218E8"/>
    <w:rsid w:val="00221FBE"/>
    <w:rsid w:val="00223534"/>
    <w:rsid w:val="00223B49"/>
    <w:rsid w:val="00223D5A"/>
    <w:rsid w:val="00224C2B"/>
    <w:rsid w:val="00224D27"/>
    <w:rsid w:val="00224DD4"/>
    <w:rsid w:val="00227179"/>
    <w:rsid w:val="0022747F"/>
    <w:rsid w:val="002278A0"/>
    <w:rsid w:val="00227FD2"/>
    <w:rsid w:val="002309CC"/>
    <w:rsid w:val="00231BA9"/>
    <w:rsid w:val="00231C9C"/>
    <w:rsid w:val="0023209F"/>
    <w:rsid w:val="00232521"/>
    <w:rsid w:val="00232D37"/>
    <w:rsid w:val="002331BC"/>
    <w:rsid w:val="00233C01"/>
    <w:rsid w:val="0023413C"/>
    <w:rsid w:val="002346F0"/>
    <w:rsid w:val="00235A17"/>
    <w:rsid w:val="00236083"/>
    <w:rsid w:val="002361AD"/>
    <w:rsid w:val="0023629D"/>
    <w:rsid w:val="00237255"/>
    <w:rsid w:val="0024091C"/>
    <w:rsid w:val="00240C5B"/>
    <w:rsid w:val="00240D65"/>
    <w:rsid w:val="002424AF"/>
    <w:rsid w:val="0024253D"/>
    <w:rsid w:val="002437DF"/>
    <w:rsid w:val="002439DC"/>
    <w:rsid w:val="00243A3A"/>
    <w:rsid w:val="002441D2"/>
    <w:rsid w:val="00244CD9"/>
    <w:rsid w:val="00244DC8"/>
    <w:rsid w:val="002458BA"/>
    <w:rsid w:val="00245CE9"/>
    <w:rsid w:val="0024636C"/>
    <w:rsid w:val="00246452"/>
    <w:rsid w:val="00246C00"/>
    <w:rsid w:val="0024766E"/>
    <w:rsid w:val="00247925"/>
    <w:rsid w:val="00250AFB"/>
    <w:rsid w:val="00251006"/>
    <w:rsid w:val="002519BE"/>
    <w:rsid w:val="002524D5"/>
    <w:rsid w:val="00253B1D"/>
    <w:rsid w:val="002548C7"/>
    <w:rsid w:val="00254DCF"/>
    <w:rsid w:val="002550F0"/>
    <w:rsid w:val="0025534B"/>
    <w:rsid w:val="00255BB7"/>
    <w:rsid w:val="00256587"/>
    <w:rsid w:val="00257541"/>
    <w:rsid w:val="00257A39"/>
    <w:rsid w:val="00257AC4"/>
    <w:rsid w:val="00257BBE"/>
    <w:rsid w:val="00260E95"/>
    <w:rsid w:val="00261CD5"/>
    <w:rsid w:val="00261EEF"/>
    <w:rsid w:val="00262A1A"/>
    <w:rsid w:val="00262A87"/>
    <w:rsid w:val="002634AF"/>
    <w:rsid w:val="002635F7"/>
    <w:rsid w:val="002640DE"/>
    <w:rsid w:val="00264B64"/>
    <w:rsid w:val="00264C4E"/>
    <w:rsid w:val="00264D26"/>
    <w:rsid w:val="00265198"/>
    <w:rsid w:val="00265F4E"/>
    <w:rsid w:val="002660DB"/>
    <w:rsid w:val="00266173"/>
    <w:rsid w:val="00267642"/>
    <w:rsid w:val="00267AEA"/>
    <w:rsid w:val="002700E6"/>
    <w:rsid w:val="00270303"/>
    <w:rsid w:val="0027113B"/>
    <w:rsid w:val="00271936"/>
    <w:rsid w:val="0027294B"/>
    <w:rsid w:val="00273C90"/>
    <w:rsid w:val="00273EB4"/>
    <w:rsid w:val="00274682"/>
    <w:rsid w:val="00275158"/>
    <w:rsid w:val="00275C5A"/>
    <w:rsid w:val="0027611B"/>
    <w:rsid w:val="00277018"/>
    <w:rsid w:val="002804CF"/>
    <w:rsid w:val="00280C52"/>
    <w:rsid w:val="00281014"/>
    <w:rsid w:val="00284B5A"/>
    <w:rsid w:val="00285157"/>
    <w:rsid w:val="00285960"/>
    <w:rsid w:val="00285BCE"/>
    <w:rsid w:val="00285F41"/>
    <w:rsid w:val="0028665D"/>
    <w:rsid w:val="00286899"/>
    <w:rsid w:val="002870FE"/>
    <w:rsid w:val="00287639"/>
    <w:rsid w:val="00287B8E"/>
    <w:rsid w:val="00287FFE"/>
    <w:rsid w:val="002902D3"/>
    <w:rsid w:val="00291312"/>
    <w:rsid w:val="0029141F"/>
    <w:rsid w:val="0029443C"/>
    <w:rsid w:val="00296B16"/>
    <w:rsid w:val="00297E6F"/>
    <w:rsid w:val="002A0C46"/>
    <w:rsid w:val="002A14AB"/>
    <w:rsid w:val="002A1B84"/>
    <w:rsid w:val="002A1FF0"/>
    <w:rsid w:val="002A2091"/>
    <w:rsid w:val="002A2663"/>
    <w:rsid w:val="002A290F"/>
    <w:rsid w:val="002A29D9"/>
    <w:rsid w:val="002A2ADE"/>
    <w:rsid w:val="002A2F50"/>
    <w:rsid w:val="002A35AB"/>
    <w:rsid w:val="002A3682"/>
    <w:rsid w:val="002A69F4"/>
    <w:rsid w:val="002A6A68"/>
    <w:rsid w:val="002A6B05"/>
    <w:rsid w:val="002A708F"/>
    <w:rsid w:val="002A7943"/>
    <w:rsid w:val="002B0162"/>
    <w:rsid w:val="002B05A1"/>
    <w:rsid w:val="002B09A4"/>
    <w:rsid w:val="002B1C1F"/>
    <w:rsid w:val="002B2380"/>
    <w:rsid w:val="002B2986"/>
    <w:rsid w:val="002B3CD3"/>
    <w:rsid w:val="002B42CA"/>
    <w:rsid w:val="002B432F"/>
    <w:rsid w:val="002B561E"/>
    <w:rsid w:val="002B62B3"/>
    <w:rsid w:val="002B6754"/>
    <w:rsid w:val="002B6CCE"/>
    <w:rsid w:val="002B773E"/>
    <w:rsid w:val="002C0532"/>
    <w:rsid w:val="002C09C9"/>
    <w:rsid w:val="002C0F79"/>
    <w:rsid w:val="002C2510"/>
    <w:rsid w:val="002C26C6"/>
    <w:rsid w:val="002C2775"/>
    <w:rsid w:val="002C27C1"/>
    <w:rsid w:val="002C2C0D"/>
    <w:rsid w:val="002C3166"/>
    <w:rsid w:val="002C36E3"/>
    <w:rsid w:val="002C5099"/>
    <w:rsid w:val="002C5889"/>
    <w:rsid w:val="002C6CAA"/>
    <w:rsid w:val="002C6F76"/>
    <w:rsid w:val="002C71CE"/>
    <w:rsid w:val="002D08F8"/>
    <w:rsid w:val="002D0C63"/>
    <w:rsid w:val="002D3733"/>
    <w:rsid w:val="002D3E64"/>
    <w:rsid w:val="002D44B7"/>
    <w:rsid w:val="002D4DA1"/>
    <w:rsid w:val="002D577C"/>
    <w:rsid w:val="002D5DFA"/>
    <w:rsid w:val="002D627F"/>
    <w:rsid w:val="002D6845"/>
    <w:rsid w:val="002D6E6A"/>
    <w:rsid w:val="002D7832"/>
    <w:rsid w:val="002E09F4"/>
    <w:rsid w:val="002E1071"/>
    <w:rsid w:val="002E15B9"/>
    <w:rsid w:val="002E1966"/>
    <w:rsid w:val="002E1C76"/>
    <w:rsid w:val="002E2158"/>
    <w:rsid w:val="002E28B5"/>
    <w:rsid w:val="002E2CED"/>
    <w:rsid w:val="002E2DD3"/>
    <w:rsid w:val="002E4F02"/>
    <w:rsid w:val="002E6229"/>
    <w:rsid w:val="002E668A"/>
    <w:rsid w:val="002E75EF"/>
    <w:rsid w:val="002E7722"/>
    <w:rsid w:val="002E780F"/>
    <w:rsid w:val="002F0269"/>
    <w:rsid w:val="002F04B2"/>
    <w:rsid w:val="002F07BA"/>
    <w:rsid w:val="002F0DA9"/>
    <w:rsid w:val="002F1014"/>
    <w:rsid w:val="002F1E3B"/>
    <w:rsid w:val="002F38C6"/>
    <w:rsid w:val="002F5F14"/>
    <w:rsid w:val="002F60B2"/>
    <w:rsid w:val="002F6412"/>
    <w:rsid w:val="002F643C"/>
    <w:rsid w:val="002F6F9B"/>
    <w:rsid w:val="002F71C0"/>
    <w:rsid w:val="002F74C0"/>
    <w:rsid w:val="002F74F1"/>
    <w:rsid w:val="0030100E"/>
    <w:rsid w:val="00301017"/>
    <w:rsid w:val="00301537"/>
    <w:rsid w:val="0030155F"/>
    <w:rsid w:val="00301E36"/>
    <w:rsid w:val="00302401"/>
    <w:rsid w:val="00304B6D"/>
    <w:rsid w:val="0030587B"/>
    <w:rsid w:val="00305F48"/>
    <w:rsid w:val="00306D98"/>
    <w:rsid w:val="0030786C"/>
    <w:rsid w:val="00307EC7"/>
    <w:rsid w:val="003101A6"/>
    <w:rsid w:val="0031031A"/>
    <w:rsid w:val="00310981"/>
    <w:rsid w:val="00311D54"/>
    <w:rsid w:val="00311D9B"/>
    <w:rsid w:val="00312300"/>
    <w:rsid w:val="003124D9"/>
    <w:rsid w:val="00312594"/>
    <w:rsid w:val="003132FD"/>
    <w:rsid w:val="0031336A"/>
    <w:rsid w:val="003135BB"/>
    <w:rsid w:val="00313F54"/>
    <w:rsid w:val="00314696"/>
    <w:rsid w:val="00314A7A"/>
    <w:rsid w:val="00315498"/>
    <w:rsid w:val="00315516"/>
    <w:rsid w:val="00316474"/>
    <w:rsid w:val="00322107"/>
    <w:rsid w:val="00322355"/>
    <w:rsid w:val="00322846"/>
    <w:rsid w:val="00322FA8"/>
    <w:rsid w:val="003235A4"/>
    <w:rsid w:val="003241BB"/>
    <w:rsid w:val="003243CA"/>
    <w:rsid w:val="003257EE"/>
    <w:rsid w:val="003265F0"/>
    <w:rsid w:val="00326DA7"/>
    <w:rsid w:val="003270E4"/>
    <w:rsid w:val="00330DAA"/>
    <w:rsid w:val="00330F5C"/>
    <w:rsid w:val="0033151C"/>
    <w:rsid w:val="0033219A"/>
    <w:rsid w:val="00333664"/>
    <w:rsid w:val="00333860"/>
    <w:rsid w:val="00333C21"/>
    <w:rsid w:val="00334F55"/>
    <w:rsid w:val="00336018"/>
    <w:rsid w:val="003366C9"/>
    <w:rsid w:val="003371B0"/>
    <w:rsid w:val="003377CF"/>
    <w:rsid w:val="00337C62"/>
    <w:rsid w:val="003406C8"/>
    <w:rsid w:val="00340DF1"/>
    <w:rsid w:val="00342C32"/>
    <w:rsid w:val="00343A3B"/>
    <w:rsid w:val="00345235"/>
    <w:rsid w:val="00346AF8"/>
    <w:rsid w:val="00346D0D"/>
    <w:rsid w:val="00346FAA"/>
    <w:rsid w:val="0035027F"/>
    <w:rsid w:val="003514CA"/>
    <w:rsid w:val="003517F9"/>
    <w:rsid w:val="00351BA9"/>
    <w:rsid w:val="003549E4"/>
    <w:rsid w:val="00354F64"/>
    <w:rsid w:val="00355579"/>
    <w:rsid w:val="003559F8"/>
    <w:rsid w:val="0035620E"/>
    <w:rsid w:val="003564F1"/>
    <w:rsid w:val="003570A4"/>
    <w:rsid w:val="003575BE"/>
    <w:rsid w:val="003576D0"/>
    <w:rsid w:val="00360345"/>
    <w:rsid w:val="00360B98"/>
    <w:rsid w:val="003610F5"/>
    <w:rsid w:val="00361A05"/>
    <w:rsid w:val="003624C4"/>
    <w:rsid w:val="00362C6E"/>
    <w:rsid w:val="00363ADF"/>
    <w:rsid w:val="00363B00"/>
    <w:rsid w:val="0036460B"/>
    <w:rsid w:val="00364A94"/>
    <w:rsid w:val="00364BC2"/>
    <w:rsid w:val="00365374"/>
    <w:rsid w:val="003654AC"/>
    <w:rsid w:val="00365C06"/>
    <w:rsid w:val="0036709B"/>
    <w:rsid w:val="00370A23"/>
    <w:rsid w:val="003710CF"/>
    <w:rsid w:val="00371592"/>
    <w:rsid w:val="0037248E"/>
    <w:rsid w:val="00372CF9"/>
    <w:rsid w:val="0037347F"/>
    <w:rsid w:val="0037358A"/>
    <w:rsid w:val="0037367D"/>
    <w:rsid w:val="00374E37"/>
    <w:rsid w:val="0037505F"/>
    <w:rsid w:val="003750F6"/>
    <w:rsid w:val="003760FC"/>
    <w:rsid w:val="00376F3F"/>
    <w:rsid w:val="003775F6"/>
    <w:rsid w:val="00377B93"/>
    <w:rsid w:val="00377C0A"/>
    <w:rsid w:val="0038199B"/>
    <w:rsid w:val="0038225B"/>
    <w:rsid w:val="00382906"/>
    <w:rsid w:val="0038344A"/>
    <w:rsid w:val="0038346F"/>
    <w:rsid w:val="0038365C"/>
    <w:rsid w:val="0038369B"/>
    <w:rsid w:val="00383B78"/>
    <w:rsid w:val="00385A9D"/>
    <w:rsid w:val="0038662C"/>
    <w:rsid w:val="00387121"/>
    <w:rsid w:val="00387465"/>
    <w:rsid w:val="00387D63"/>
    <w:rsid w:val="00387F68"/>
    <w:rsid w:val="003902B1"/>
    <w:rsid w:val="00390867"/>
    <w:rsid w:val="003908AB"/>
    <w:rsid w:val="0039179C"/>
    <w:rsid w:val="00392087"/>
    <w:rsid w:val="00392CCE"/>
    <w:rsid w:val="00393708"/>
    <w:rsid w:val="00394030"/>
    <w:rsid w:val="003940BD"/>
    <w:rsid w:val="0039429E"/>
    <w:rsid w:val="00395672"/>
    <w:rsid w:val="0039586A"/>
    <w:rsid w:val="00395D00"/>
    <w:rsid w:val="003961E8"/>
    <w:rsid w:val="00396896"/>
    <w:rsid w:val="00396FD0"/>
    <w:rsid w:val="0039772D"/>
    <w:rsid w:val="00397946"/>
    <w:rsid w:val="003A0F5B"/>
    <w:rsid w:val="003A1A7A"/>
    <w:rsid w:val="003A2392"/>
    <w:rsid w:val="003A2831"/>
    <w:rsid w:val="003A32C4"/>
    <w:rsid w:val="003A3CB6"/>
    <w:rsid w:val="003A3ED1"/>
    <w:rsid w:val="003A44DB"/>
    <w:rsid w:val="003A44F7"/>
    <w:rsid w:val="003A4C14"/>
    <w:rsid w:val="003A4DF6"/>
    <w:rsid w:val="003A5365"/>
    <w:rsid w:val="003A5726"/>
    <w:rsid w:val="003A5EDD"/>
    <w:rsid w:val="003A6BBA"/>
    <w:rsid w:val="003A7807"/>
    <w:rsid w:val="003B0407"/>
    <w:rsid w:val="003B0917"/>
    <w:rsid w:val="003B0E38"/>
    <w:rsid w:val="003B15FB"/>
    <w:rsid w:val="003B18B7"/>
    <w:rsid w:val="003B1D34"/>
    <w:rsid w:val="003B27BA"/>
    <w:rsid w:val="003B2C21"/>
    <w:rsid w:val="003B3971"/>
    <w:rsid w:val="003B4DA6"/>
    <w:rsid w:val="003B55D1"/>
    <w:rsid w:val="003B5B61"/>
    <w:rsid w:val="003C04CE"/>
    <w:rsid w:val="003C1488"/>
    <w:rsid w:val="003C1654"/>
    <w:rsid w:val="003C1B85"/>
    <w:rsid w:val="003C1F67"/>
    <w:rsid w:val="003C2A67"/>
    <w:rsid w:val="003C4DA2"/>
    <w:rsid w:val="003C5348"/>
    <w:rsid w:val="003C5542"/>
    <w:rsid w:val="003C604B"/>
    <w:rsid w:val="003C6150"/>
    <w:rsid w:val="003C6371"/>
    <w:rsid w:val="003C71E8"/>
    <w:rsid w:val="003C7878"/>
    <w:rsid w:val="003C7C15"/>
    <w:rsid w:val="003C7D19"/>
    <w:rsid w:val="003C7D2F"/>
    <w:rsid w:val="003D07C5"/>
    <w:rsid w:val="003D0C5A"/>
    <w:rsid w:val="003D1828"/>
    <w:rsid w:val="003D1DE4"/>
    <w:rsid w:val="003D1E9A"/>
    <w:rsid w:val="003D2422"/>
    <w:rsid w:val="003D28DC"/>
    <w:rsid w:val="003D36B6"/>
    <w:rsid w:val="003D36D7"/>
    <w:rsid w:val="003D39A1"/>
    <w:rsid w:val="003D3FBF"/>
    <w:rsid w:val="003D43DB"/>
    <w:rsid w:val="003D4587"/>
    <w:rsid w:val="003D4A30"/>
    <w:rsid w:val="003D5960"/>
    <w:rsid w:val="003D5FD4"/>
    <w:rsid w:val="003D6212"/>
    <w:rsid w:val="003D6C6F"/>
    <w:rsid w:val="003D7452"/>
    <w:rsid w:val="003D79BB"/>
    <w:rsid w:val="003D7C98"/>
    <w:rsid w:val="003D7D9D"/>
    <w:rsid w:val="003E0543"/>
    <w:rsid w:val="003E5603"/>
    <w:rsid w:val="003E6C9F"/>
    <w:rsid w:val="003E70AC"/>
    <w:rsid w:val="003E73C8"/>
    <w:rsid w:val="003E749E"/>
    <w:rsid w:val="003E78E7"/>
    <w:rsid w:val="003E7D5C"/>
    <w:rsid w:val="003F0A0C"/>
    <w:rsid w:val="003F0A5E"/>
    <w:rsid w:val="003F17AA"/>
    <w:rsid w:val="003F17D7"/>
    <w:rsid w:val="003F317D"/>
    <w:rsid w:val="003F4156"/>
    <w:rsid w:val="003F53BC"/>
    <w:rsid w:val="003F58F7"/>
    <w:rsid w:val="003F5A55"/>
    <w:rsid w:val="003F5ADF"/>
    <w:rsid w:val="003F69ED"/>
    <w:rsid w:val="003F7567"/>
    <w:rsid w:val="003F756B"/>
    <w:rsid w:val="00400507"/>
    <w:rsid w:val="00400B29"/>
    <w:rsid w:val="00401847"/>
    <w:rsid w:val="00401DB8"/>
    <w:rsid w:val="00402725"/>
    <w:rsid w:val="00402812"/>
    <w:rsid w:val="00403D4D"/>
    <w:rsid w:val="004045E1"/>
    <w:rsid w:val="0040504B"/>
    <w:rsid w:val="004052D8"/>
    <w:rsid w:val="00405663"/>
    <w:rsid w:val="004059F4"/>
    <w:rsid w:val="00405A2A"/>
    <w:rsid w:val="00407254"/>
    <w:rsid w:val="0040767F"/>
    <w:rsid w:val="00407FE5"/>
    <w:rsid w:val="004101B0"/>
    <w:rsid w:val="00410326"/>
    <w:rsid w:val="00410708"/>
    <w:rsid w:val="00410EC7"/>
    <w:rsid w:val="00411972"/>
    <w:rsid w:val="00411AB2"/>
    <w:rsid w:val="00411B39"/>
    <w:rsid w:val="00411D84"/>
    <w:rsid w:val="004127A7"/>
    <w:rsid w:val="00412DAA"/>
    <w:rsid w:val="00412E78"/>
    <w:rsid w:val="0041317C"/>
    <w:rsid w:val="004131A7"/>
    <w:rsid w:val="00413A1E"/>
    <w:rsid w:val="00413F1E"/>
    <w:rsid w:val="00414476"/>
    <w:rsid w:val="00414C2E"/>
    <w:rsid w:val="004151CF"/>
    <w:rsid w:val="00415AB2"/>
    <w:rsid w:val="00415D35"/>
    <w:rsid w:val="00415E02"/>
    <w:rsid w:val="00416364"/>
    <w:rsid w:val="0041774B"/>
    <w:rsid w:val="0042047F"/>
    <w:rsid w:val="00420AA6"/>
    <w:rsid w:val="00420B9F"/>
    <w:rsid w:val="0042161C"/>
    <w:rsid w:val="0042192C"/>
    <w:rsid w:val="00422260"/>
    <w:rsid w:val="0042413F"/>
    <w:rsid w:val="00425E62"/>
    <w:rsid w:val="0042788E"/>
    <w:rsid w:val="0042791B"/>
    <w:rsid w:val="0043116B"/>
    <w:rsid w:val="004319F8"/>
    <w:rsid w:val="00431E4D"/>
    <w:rsid w:val="00431E55"/>
    <w:rsid w:val="004321F6"/>
    <w:rsid w:val="0043245F"/>
    <w:rsid w:val="00433044"/>
    <w:rsid w:val="0043373D"/>
    <w:rsid w:val="00433764"/>
    <w:rsid w:val="00434088"/>
    <w:rsid w:val="0043471E"/>
    <w:rsid w:val="00434A42"/>
    <w:rsid w:val="004354AA"/>
    <w:rsid w:val="004362F1"/>
    <w:rsid w:val="004362F9"/>
    <w:rsid w:val="004375B9"/>
    <w:rsid w:val="004428D0"/>
    <w:rsid w:val="00443716"/>
    <w:rsid w:val="00444185"/>
    <w:rsid w:val="0044432F"/>
    <w:rsid w:val="004443A7"/>
    <w:rsid w:val="0044442C"/>
    <w:rsid w:val="00445386"/>
    <w:rsid w:val="00445846"/>
    <w:rsid w:val="00445941"/>
    <w:rsid w:val="004463EB"/>
    <w:rsid w:val="004464EB"/>
    <w:rsid w:val="0044679B"/>
    <w:rsid w:val="00446DC4"/>
    <w:rsid w:val="00447392"/>
    <w:rsid w:val="00447D26"/>
    <w:rsid w:val="00447DFC"/>
    <w:rsid w:val="00447E69"/>
    <w:rsid w:val="00450359"/>
    <w:rsid w:val="00450368"/>
    <w:rsid w:val="0045059D"/>
    <w:rsid w:val="00450F77"/>
    <w:rsid w:val="004518B4"/>
    <w:rsid w:val="0045245F"/>
    <w:rsid w:val="00452F9F"/>
    <w:rsid w:val="0045599F"/>
    <w:rsid w:val="00455B4F"/>
    <w:rsid w:val="00455D45"/>
    <w:rsid w:val="0045770F"/>
    <w:rsid w:val="00457B76"/>
    <w:rsid w:val="00460C13"/>
    <w:rsid w:val="00461011"/>
    <w:rsid w:val="004628C6"/>
    <w:rsid w:val="00462B14"/>
    <w:rsid w:val="00464595"/>
    <w:rsid w:val="00465707"/>
    <w:rsid w:val="00465712"/>
    <w:rsid w:val="004658B5"/>
    <w:rsid w:val="00465A2D"/>
    <w:rsid w:val="004667FE"/>
    <w:rsid w:val="00466972"/>
    <w:rsid w:val="00470ACE"/>
    <w:rsid w:val="00471EA5"/>
    <w:rsid w:val="00471F32"/>
    <w:rsid w:val="00472127"/>
    <w:rsid w:val="004721B8"/>
    <w:rsid w:val="00472A79"/>
    <w:rsid w:val="00473C89"/>
    <w:rsid w:val="00473EC5"/>
    <w:rsid w:val="00473F19"/>
    <w:rsid w:val="0047457A"/>
    <w:rsid w:val="00474E23"/>
    <w:rsid w:val="004752B7"/>
    <w:rsid w:val="0047581A"/>
    <w:rsid w:val="00475E22"/>
    <w:rsid w:val="00475E60"/>
    <w:rsid w:val="00476F8B"/>
    <w:rsid w:val="004773C6"/>
    <w:rsid w:val="004776F7"/>
    <w:rsid w:val="00477BDA"/>
    <w:rsid w:val="0048088E"/>
    <w:rsid w:val="00480F2B"/>
    <w:rsid w:val="004819FD"/>
    <w:rsid w:val="00481C14"/>
    <w:rsid w:val="00482720"/>
    <w:rsid w:val="004827FD"/>
    <w:rsid w:val="00482F83"/>
    <w:rsid w:val="004835AC"/>
    <w:rsid w:val="004835E7"/>
    <w:rsid w:val="00483854"/>
    <w:rsid w:val="004841C8"/>
    <w:rsid w:val="00484FDD"/>
    <w:rsid w:val="004859E1"/>
    <w:rsid w:val="0048618C"/>
    <w:rsid w:val="004867E2"/>
    <w:rsid w:val="00486F7F"/>
    <w:rsid w:val="0049040C"/>
    <w:rsid w:val="00490B17"/>
    <w:rsid w:val="00491B3A"/>
    <w:rsid w:val="00492CFD"/>
    <w:rsid w:val="00494207"/>
    <w:rsid w:val="0049438E"/>
    <w:rsid w:val="00494DD5"/>
    <w:rsid w:val="00495B06"/>
    <w:rsid w:val="004962D2"/>
    <w:rsid w:val="00497AFB"/>
    <w:rsid w:val="004A0DA1"/>
    <w:rsid w:val="004A13D6"/>
    <w:rsid w:val="004A295C"/>
    <w:rsid w:val="004A52E9"/>
    <w:rsid w:val="004A5856"/>
    <w:rsid w:val="004A58D9"/>
    <w:rsid w:val="004A6040"/>
    <w:rsid w:val="004A6417"/>
    <w:rsid w:val="004A6597"/>
    <w:rsid w:val="004A6754"/>
    <w:rsid w:val="004A707F"/>
    <w:rsid w:val="004A7848"/>
    <w:rsid w:val="004A793B"/>
    <w:rsid w:val="004B0443"/>
    <w:rsid w:val="004B0461"/>
    <w:rsid w:val="004B0725"/>
    <w:rsid w:val="004B1CB4"/>
    <w:rsid w:val="004B2F18"/>
    <w:rsid w:val="004B3DDB"/>
    <w:rsid w:val="004B44FD"/>
    <w:rsid w:val="004B51BE"/>
    <w:rsid w:val="004B525B"/>
    <w:rsid w:val="004B5CFC"/>
    <w:rsid w:val="004B5EC5"/>
    <w:rsid w:val="004B6D2D"/>
    <w:rsid w:val="004B6DFC"/>
    <w:rsid w:val="004B6F79"/>
    <w:rsid w:val="004B774D"/>
    <w:rsid w:val="004C0045"/>
    <w:rsid w:val="004C16F3"/>
    <w:rsid w:val="004C2A70"/>
    <w:rsid w:val="004C2AC2"/>
    <w:rsid w:val="004C34B0"/>
    <w:rsid w:val="004C36CD"/>
    <w:rsid w:val="004C3B02"/>
    <w:rsid w:val="004C43A0"/>
    <w:rsid w:val="004C493E"/>
    <w:rsid w:val="004C4AED"/>
    <w:rsid w:val="004C4C05"/>
    <w:rsid w:val="004C6227"/>
    <w:rsid w:val="004D0B63"/>
    <w:rsid w:val="004D0D10"/>
    <w:rsid w:val="004D0E20"/>
    <w:rsid w:val="004D19EC"/>
    <w:rsid w:val="004D2C2D"/>
    <w:rsid w:val="004D39B1"/>
    <w:rsid w:val="004D45A2"/>
    <w:rsid w:val="004D4DE1"/>
    <w:rsid w:val="004D55F4"/>
    <w:rsid w:val="004D5A34"/>
    <w:rsid w:val="004D62A9"/>
    <w:rsid w:val="004D69B5"/>
    <w:rsid w:val="004D69F4"/>
    <w:rsid w:val="004D7227"/>
    <w:rsid w:val="004D78C4"/>
    <w:rsid w:val="004D7B5E"/>
    <w:rsid w:val="004E0E7F"/>
    <w:rsid w:val="004E0EB8"/>
    <w:rsid w:val="004E18E9"/>
    <w:rsid w:val="004E2ADC"/>
    <w:rsid w:val="004E2F75"/>
    <w:rsid w:val="004E4187"/>
    <w:rsid w:val="004E43B2"/>
    <w:rsid w:val="004E6630"/>
    <w:rsid w:val="004E6F00"/>
    <w:rsid w:val="004E7574"/>
    <w:rsid w:val="004F1378"/>
    <w:rsid w:val="004F1D02"/>
    <w:rsid w:val="004F223D"/>
    <w:rsid w:val="004F2679"/>
    <w:rsid w:val="004F2F21"/>
    <w:rsid w:val="004F3758"/>
    <w:rsid w:val="004F3BD3"/>
    <w:rsid w:val="004F3DE5"/>
    <w:rsid w:val="004F40A9"/>
    <w:rsid w:val="004F42DC"/>
    <w:rsid w:val="004F4335"/>
    <w:rsid w:val="004F568A"/>
    <w:rsid w:val="004F5824"/>
    <w:rsid w:val="004F6913"/>
    <w:rsid w:val="004F692A"/>
    <w:rsid w:val="004F7865"/>
    <w:rsid w:val="0050174E"/>
    <w:rsid w:val="00501854"/>
    <w:rsid w:val="00501E6C"/>
    <w:rsid w:val="0050219B"/>
    <w:rsid w:val="00502E35"/>
    <w:rsid w:val="00503767"/>
    <w:rsid w:val="00503AC5"/>
    <w:rsid w:val="00503AD1"/>
    <w:rsid w:val="00503F17"/>
    <w:rsid w:val="00503F3A"/>
    <w:rsid w:val="00504706"/>
    <w:rsid w:val="00506928"/>
    <w:rsid w:val="005077D5"/>
    <w:rsid w:val="005077EF"/>
    <w:rsid w:val="00510D3F"/>
    <w:rsid w:val="0051117B"/>
    <w:rsid w:val="00511AD5"/>
    <w:rsid w:val="00511D5E"/>
    <w:rsid w:val="00511DC7"/>
    <w:rsid w:val="00512C9D"/>
    <w:rsid w:val="00514055"/>
    <w:rsid w:val="005142C5"/>
    <w:rsid w:val="0051501B"/>
    <w:rsid w:val="005152B5"/>
    <w:rsid w:val="00515588"/>
    <w:rsid w:val="00515886"/>
    <w:rsid w:val="00515EB7"/>
    <w:rsid w:val="00516733"/>
    <w:rsid w:val="0051702B"/>
    <w:rsid w:val="0051765F"/>
    <w:rsid w:val="00517674"/>
    <w:rsid w:val="005200E9"/>
    <w:rsid w:val="00520640"/>
    <w:rsid w:val="005208C9"/>
    <w:rsid w:val="0052123C"/>
    <w:rsid w:val="0052124E"/>
    <w:rsid w:val="00521319"/>
    <w:rsid w:val="00522BC8"/>
    <w:rsid w:val="005231E7"/>
    <w:rsid w:val="00523318"/>
    <w:rsid w:val="0052342E"/>
    <w:rsid w:val="00523C28"/>
    <w:rsid w:val="00523D03"/>
    <w:rsid w:val="00523DB5"/>
    <w:rsid w:val="00524B2A"/>
    <w:rsid w:val="005264CE"/>
    <w:rsid w:val="0053176B"/>
    <w:rsid w:val="005330F2"/>
    <w:rsid w:val="00533525"/>
    <w:rsid w:val="00533657"/>
    <w:rsid w:val="005341B3"/>
    <w:rsid w:val="00534244"/>
    <w:rsid w:val="005349EB"/>
    <w:rsid w:val="00534D31"/>
    <w:rsid w:val="00535F85"/>
    <w:rsid w:val="00536D2B"/>
    <w:rsid w:val="00536F42"/>
    <w:rsid w:val="00537182"/>
    <w:rsid w:val="00541EDD"/>
    <w:rsid w:val="00542743"/>
    <w:rsid w:val="00542C2D"/>
    <w:rsid w:val="00543484"/>
    <w:rsid w:val="005446EF"/>
    <w:rsid w:val="0054498C"/>
    <w:rsid w:val="00545769"/>
    <w:rsid w:val="005474D9"/>
    <w:rsid w:val="005478BD"/>
    <w:rsid w:val="005479E3"/>
    <w:rsid w:val="00550859"/>
    <w:rsid w:val="00551076"/>
    <w:rsid w:val="00551985"/>
    <w:rsid w:val="00552BD3"/>
    <w:rsid w:val="00552E1B"/>
    <w:rsid w:val="005532A0"/>
    <w:rsid w:val="00553F4C"/>
    <w:rsid w:val="00554F2E"/>
    <w:rsid w:val="00555109"/>
    <w:rsid w:val="005556FE"/>
    <w:rsid w:val="00555A50"/>
    <w:rsid w:val="00556A81"/>
    <w:rsid w:val="00556B35"/>
    <w:rsid w:val="0055741A"/>
    <w:rsid w:val="00557C91"/>
    <w:rsid w:val="00557DBA"/>
    <w:rsid w:val="00557F28"/>
    <w:rsid w:val="005611B7"/>
    <w:rsid w:val="005618D4"/>
    <w:rsid w:val="005627DE"/>
    <w:rsid w:val="0056394F"/>
    <w:rsid w:val="0056447B"/>
    <w:rsid w:val="005644B4"/>
    <w:rsid w:val="00564867"/>
    <w:rsid w:val="005659BA"/>
    <w:rsid w:val="00565C79"/>
    <w:rsid w:val="00565DF0"/>
    <w:rsid w:val="0056600D"/>
    <w:rsid w:val="0056696F"/>
    <w:rsid w:val="00570263"/>
    <w:rsid w:val="0057039E"/>
    <w:rsid w:val="00572269"/>
    <w:rsid w:val="0057244A"/>
    <w:rsid w:val="005729A0"/>
    <w:rsid w:val="00572F26"/>
    <w:rsid w:val="00573004"/>
    <w:rsid w:val="0057345C"/>
    <w:rsid w:val="005737D7"/>
    <w:rsid w:val="00574961"/>
    <w:rsid w:val="00574C44"/>
    <w:rsid w:val="005750C5"/>
    <w:rsid w:val="005752DE"/>
    <w:rsid w:val="00575441"/>
    <w:rsid w:val="00575D60"/>
    <w:rsid w:val="00575D8D"/>
    <w:rsid w:val="00575DA9"/>
    <w:rsid w:val="00576972"/>
    <w:rsid w:val="00576B46"/>
    <w:rsid w:val="00577248"/>
    <w:rsid w:val="0058015B"/>
    <w:rsid w:val="00581596"/>
    <w:rsid w:val="00583699"/>
    <w:rsid w:val="0058426A"/>
    <w:rsid w:val="00584458"/>
    <w:rsid w:val="0058459E"/>
    <w:rsid w:val="00585CDD"/>
    <w:rsid w:val="005860AE"/>
    <w:rsid w:val="00586D7D"/>
    <w:rsid w:val="00587058"/>
    <w:rsid w:val="00587C8B"/>
    <w:rsid w:val="005900A0"/>
    <w:rsid w:val="0059014F"/>
    <w:rsid w:val="00590BD2"/>
    <w:rsid w:val="00590DBA"/>
    <w:rsid w:val="00591957"/>
    <w:rsid w:val="005924C5"/>
    <w:rsid w:val="005932C5"/>
    <w:rsid w:val="005944B1"/>
    <w:rsid w:val="00594765"/>
    <w:rsid w:val="00594904"/>
    <w:rsid w:val="0059491B"/>
    <w:rsid w:val="005949BF"/>
    <w:rsid w:val="00596CDD"/>
    <w:rsid w:val="00596E06"/>
    <w:rsid w:val="00597BF9"/>
    <w:rsid w:val="005A0C11"/>
    <w:rsid w:val="005A15B8"/>
    <w:rsid w:val="005A309A"/>
    <w:rsid w:val="005A351A"/>
    <w:rsid w:val="005A373D"/>
    <w:rsid w:val="005A399F"/>
    <w:rsid w:val="005A516C"/>
    <w:rsid w:val="005A61B1"/>
    <w:rsid w:val="005A64A2"/>
    <w:rsid w:val="005A79A4"/>
    <w:rsid w:val="005A7BC3"/>
    <w:rsid w:val="005B00A3"/>
    <w:rsid w:val="005B0B58"/>
    <w:rsid w:val="005B1F12"/>
    <w:rsid w:val="005B279D"/>
    <w:rsid w:val="005B3202"/>
    <w:rsid w:val="005B4E53"/>
    <w:rsid w:val="005B5430"/>
    <w:rsid w:val="005B5857"/>
    <w:rsid w:val="005B59A3"/>
    <w:rsid w:val="005B5F8B"/>
    <w:rsid w:val="005B7909"/>
    <w:rsid w:val="005B7AA0"/>
    <w:rsid w:val="005C0F5F"/>
    <w:rsid w:val="005C19C4"/>
    <w:rsid w:val="005C1B83"/>
    <w:rsid w:val="005C25FF"/>
    <w:rsid w:val="005C28E0"/>
    <w:rsid w:val="005C2D55"/>
    <w:rsid w:val="005C32EA"/>
    <w:rsid w:val="005C346B"/>
    <w:rsid w:val="005C4C1E"/>
    <w:rsid w:val="005C5ABC"/>
    <w:rsid w:val="005C5B47"/>
    <w:rsid w:val="005C6E87"/>
    <w:rsid w:val="005D007D"/>
    <w:rsid w:val="005D044D"/>
    <w:rsid w:val="005D09C7"/>
    <w:rsid w:val="005D0ABD"/>
    <w:rsid w:val="005D0C6B"/>
    <w:rsid w:val="005D18AD"/>
    <w:rsid w:val="005D1A40"/>
    <w:rsid w:val="005D26B4"/>
    <w:rsid w:val="005D2713"/>
    <w:rsid w:val="005D3581"/>
    <w:rsid w:val="005D3CBE"/>
    <w:rsid w:val="005D60D1"/>
    <w:rsid w:val="005E05A8"/>
    <w:rsid w:val="005E138A"/>
    <w:rsid w:val="005E15D8"/>
    <w:rsid w:val="005E1995"/>
    <w:rsid w:val="005E4724"/>
    <w:rsid w:val="005E4E7A"/>
    <w:rsid w:val="005E58E4"/>
    <w:rsid w:val="005E592F"/>
    <w:rsid w:val="005E641F"/>
    <w:rsid w:val="005E6607"/>
    <w:rsid w:val="005E6CBC"/>
    <w:rsid w:val="005E7091"/>
    <w:rsid w:val="005E72FF"/>
    <w:rsid w:val="005E73C0"/>
    <w:rsid w:val="005F07ED"/>
    <w:rsid w:val="005F1191"/>
    <w:rsid w:val="005F11B1"/>
    <w:rsid w:val="005F220E"/>
    <w:rsid w:val="005F2706"/>
    <w:rsid w:val="005F46CE"/>
    <w:rsid w:val="005F4A3F"/>
    <w:rsid w:val="005F56F9"/>
    <w:rsid w:val="005F61B1"/>
    <w:rsid w:val="005F6A8F"/>
    <w:rsid w:val="005F6BB7"/>
    <w:rsid w:val="005F7588"/>
    <w:rsid w:val="006028D3"/>
    <w:rsid w:val="0060358E"/>
    <w:rsid w:val="0060379A"/>
    <w:rsid w:val="00603C83"/>
    <w:rsid w:val="00603DB9"/>
    <w:rsid w:val="00603DE4"/>
    <w:rsid w:val="00604365"/>
    <w:rsid w:val="0060494A"/>
    <w:rsid w:val="00606FBA"/>
    <w:rsid w:val="006071AB"/>
    <w:rsid w:val="006074C5"/>
    <w:rsid w:val="006074EB"/>
    <w:rsid w:val="00607669"/>
    <w:rsid w:val="006076F4"/>
    <w:rsid w:val="0060773A"/>
    <w:rsid w:val="00607AFD"/>
    <w:rsid w:val="00610FBE"/>
    <w:rsid w:val="00611B12"/>
    <w:rsid w:val="00611E07"/>
    <w:rsid w:val="00612F97"/>
    <w:rsid w:val="00613365"/>
    <w:rsid w:val="0061345D"/>
    <w:rsid w:val="0061549B"/>
    <w:rsid w:val="00616802"/>
    <w:rsid w:val="00617E12"/>
    <w:rsid w:val="00620C25"/>
    <w:rsid w:val="00621084"/>
    <w:rsid w:val="00621477"/>
    <w:rsid w:val="00621ADA"/>
    <w:rsid w:val="0062307D"/>
    <w:rsid w:val="0062323A"/>
    <w:rsid w:val="00623338"/>
    <w:rsid w:val="0062363B"/>
    <w:rsid w:val="00623F7B"/>
    <w:rsid w:val="00624B32"/>
    <w:rsid w:val="00624BD4"/>
    <w:rsid w:val="00627408"/>
    <w:rsid w:val="00630954"/>
    <w:rsid w:val="00630A58"/>
    <w:rsid w:val="00630DBB"/>
    <w:rsid w:val="006311AC"/>
    <w:rsid w:val="0063158F"/>
    <w:rsid w:val="00631D6B"/>
    <w:rsid w:val="0063200F"/>
    <w:rsid w:val="00632183"/>
    <w:rsid w:val="006330A1"/>
    <w:rsid w:val="0063311A"/>
    <w:rsid w:val="00633ACF"/>
    <w:rsid w:val="0063479F"/>
    <w:rsid w:val="006349C5"/>
    <w:rsid w:val="00634B8B"/>
    <w:rsid w:val="006353F0"/>
    <w:rsid w:val="006357B5"/>
    <w:rsid w:val="006364A1"/>
    <w:rsid w:val="0063678E"/>
    <w:rsid w:val="006375AB"/>
    <w:rsid w:val="00637BFD"/>
    <w:rsid w:val="00637C4C"/>
    <w:rsid w:val="00637C5C"/>
    <w:rsid w:val="0064086D"/>
    <w:rsid w:val="00641951"/>
    <w:rsid w:val="00641C4E"/>
    <w:rsid w:val="00641FB3"/>
    <w:rsid w:val="0064434C"/>
    <w:rsid w:val="006471CC"/>
    <w:rsid w:val="006472FE"/>
    <w:rsid w:val="00647A29"/>
    <w:rsid w:val="00647C48"/>
    <w:rsid w:val="00647E12"/>
    <w:rsid w:val="0065079F"/>
    <w:rsid w:val="006510CD"/>
    <w:rsid w:val="00652A28"/>
    <w:rsid w:val="00653063"/>
    <w:rsid w:val="0065379F"/>
    <w:rsid w:val="00654034"/>
    <w:rsid w:val="006546CD"/>
    <w:rsid w:val="00655686"/>
    <w:rsid w:val="0065582F"/>
    <w:rsid w:val="00656188"/>
    <w:rsid w:val="00656BCA"/>
    <w:rsid w:val="00656D4C"/>
    <w:rsid w:val="0065715A"/>
    <w:rsid w:val="00657A96"/>
    <w:rsid w:val="00660040"/>
    <w:rsid w:val="006610F1"/>
    <w:rsid w:val="006618C9"/>
    <w:rsid w:val="00661C6B"/>
    <w:rsid w:val="00662D3E"/>
    <w:rsid w:val="00663409"/>
    <w:rsid w:val="00663ACB"/>
    <w:rsid w:val="00663E6B"/>
    <w:rsid w:val="006644E4"/>
    <w:rsid w:val="00665230"/>
    <w:rsid w:val="00666743"/>
    <w:rsid w:val="00667212"/>
    <w:rsid w:val="00667BE3"/>
    <w:rsid w:val="00671004"/>
    <w:rsid w:val="00671496"/>
    <w:rsid w:val="006716CD"/>
    <w:rsid w:val="00671926"/>
    <w:rsid w:val="00671E20"/>
    <w:rsid w:val="00672646"/>
    <w:rsid w:val="00673491"/>
    <w:rsid w:val="00673E36"/>
    <w:rsid w:val="00674E42"/>
    <w:rsid w:val="00676538"/>
    <w:rsid w:val="00676563"/>
    <w:rsid w:val="00676B5A"/>
    <w:rsid w:val="0067765D"/>
    <w:rsid w:val="00677ED1"/>
    <w:rsid w:val="006813F8"/>
    <w:rsid w:val="006819B6"/>
    <w:rsid w:val="00682112"/>
    <w:rsid w:val="006824B6"/>
    <w:rsid w:val="00682B93"/>
    <w:rsid w:val="00682BA6"/>
    <w:rsid w:val="0068339B"/>
    <w:rsid w:val="00686957"/>
    <w:rsid w:val="006872BA"/>
    <w:rsid w:val="00687713"/>
    <w:rsid w:val="006900D1"/>
    <w:rsid w:val="00690795"/>
    <w:rsid w:val="00691648"/>
    <w:rsid w:val="006917D7"/>
    <w:rsid w:val="00691C24"/>
    <w:rsid w:val="00691F50"/>
    <w:rsid w:val="0069346D"/>
    <w:rsid w:val="006942A0"/>
    <w:rsid w:val="0069434C"/>
    <w:rsid w:val="0069454F"/>
    <w:rsid w:val="00694F44"/>
    <w:rsid w:val="00695148"/>
    <w:rsid w:val="00695529"/>
    <w:rsid w:val="00695AD4"/>
    <w:rsid w:val="00695D72"/>
    <w:rsid w:val="00696EF9"/>
    <w:rsid w:val="00696F51"/>
    <w:rsid w:val="006979A5"/>
    <w:rsid w:val="006A016F"/>
    <w:rsid w:val="006A052D"/>
    <w:rsid w:val="006A0A51"/>
    <w:rsid w:val="006A0DF7"/>
    <w:rsid w:val="006A1A00"/>
    <w:rsid w:val="006A1E46"/>
    <w:rsid w:val="006A29D7"/>
    <w:rsid w:val="006A3046"/>
    <w:rsid w:val="006A32DD"/>
    <w:rsid w:val="006A4321"/>
    <w:rsid w:val="006A43D9"/>
    <w:rsid w:val="006A503C"/>
    <w:rsid w:val="006A5660"/>
    <w:rsid w:val="006A6B99"/>
    <w:rsid w:val="006A747A"/>
    <w:rsid w:val="006A7E5F"/>
    <w:rsid w:val="006B0D14"/>
    <w:rsid w:val="006B173F"/>
    <w:rsid w:val="006B1B16"/>
    <w:rsid w:val="006B261B"/>
    <w:rsid w:val="006B27ED"/>
    <w:rsid w:val="006B2A7A"/>
    <w:rsid w:val="006B2C90"/>
    <w:rsid w:val="006B35E6"/>
    <w:rsid w:val="006B454F"/>
    <w:rsid w:val="006B465A"/>
    <w:rsid w:val="006B4CC4"/>
    <w:rsid w:val="006B4E35"/>
    <w:rsid w:val="006B54EA"/>
    <w:rsid w:val="006B584C"/>
    <w:rsid w:val="006B6577"/>
    <w:rsid w:val="006B6DD0"/>
    <w:rsid w:val="006C0399"/>
    <w:rsid w:val="006C1C75"/>
    <w:rsid w:val="006C2A8E"/>
    <w:rsid w:val="006C2B88"/>
    <w:rsid w:val="006C3255"/>
    <w:rsid w:val="006C3D9C"/>
    <w:rsid w:val="006C3F26"/>
    <w:rsid w:val="006C4D95"/>
    <w:rsid w:val="006C4E0E"/>
    <w:rsid w:val="006C5295"/>
    <w:rsid w:val="006C5BC4"/>
    <w:rsid w:val="006C6A1B"/>
    <w:rsid w:val="006C73CF"/>
    <w:rsid w:val="006C7B93"/>
    <w:rsid w:val="006C7BE0"/>
    <w:rsid w:val="006D0D17"/>
    <w:rsid w:val="006D16BD"/>
    <w:rsid w:val="006D1B3C"/>
    <w:rsid w:val="006D3260"/>
    <w:rsid w:val="006D36E0"/>
    <w:rsid w:val="006D374F"/>
    <w:rsid w:val="006D39D0"/>
    <w:rsid w:val="006D3C7D"/>
    <w:rsid w:val="006D44A3"/>
    <w:rsid w:val="006D4659"/>
    <w:rsid w:val="006D4A2F"/>
    <w:rsid w:val="006D4B21"/>
    <w:rsid w:val="006D4F38"/>
    <w:rsid w:val="006D54C2"/>
    <w:rsid w:val="006D59A5"/>
    <w:rsid w:val="006D5C57"/>
    <w:rsid w:val="006D5D5F"/>
    <w:rsid w:val="006D6092"/>
    <w:rsid w:val="006D67E9"/>
    <w:rsid w:val="006D68FB"/>
    <w:rsid w:val="006D6EC4"/>
    <w:rsid w:val="006D74E6"/>
    <w:rsid w:val="006E03C9"/>
    <w:rsid w:val="006E26AB"/>
    <w:rsid w:val="006E2868"/>
    <w:rsid w:val="006E2FAA"/>
    <w:rsid w:val="006E39B2"/>
    <w:rsid w:val="006E3A99"/>
    <w:rsid w:val="006E4994"/>
    <w:rsid w:val="006E626E"/>
    <w:rsid w:val="006E63C3"/>
    <w:rsid w:val="006E78C5"/>
    <w:rsid w:val="006F04FF"/>
    <w:rsid w:val="006F306C"/>
    <w:rsid w:val="006F3468"/>
    <w:rsid w:val="006F39CC"/>
    <w:rsid w:val="006F3EF3"/>
    <w:rsid w:val="006F63A5"/>
    <w:rsid w:val="006F7332"/>
    <w:rsid w:val="007003CF"/>
    <w:rsid w:val="00700A71"/>
    <w:rsid w:val="0070142B"/>
    <w:rsid w:val="00701CAE"/>
    <w:rsid w:val="00702314"/>
    <w:rsid w:val="0070276E"/>
    <w:rsid w:val="0070297E"/>
    <w:rsid w:val="00702F8F"/>
    <w:rsid w:val="00703C04"/>
    <w:rsid w:val="007079FC"/>
    <w:rsid w:val="00710360"/>
    <w:rsid w:val="007104A5"/>
    <w:rsid w:val="00711A36"/>
    <w:rsid w:val="007124F3"/>
    <w:rsid w:val="007125D3"/>
    <w:rsid w:val="00712BAC"/>
    <w:rsid w:val="00712F8B"/>
    <w:rsid w:val="00713785"/>
    <w:rsid w:val="00713B71"/>
    <w:rsid w:val="00713B87"/>
    <w:rsid w:val="00713FE0"/>
    <w:rsid w:val="007140E6"/>
    <w:rsid w:val="00714190"/>
    <w:rsid w:val="00714C26"/>
    <w:rsid w:val="0071529C"/>
    <w:rsid w:val="007153B1"/>
    <w:rsid w:val="007159A6"/>
    <w:rsid w:val="00715D98"/>
    <w:rsid w:val="007165D0"/>
    <w:rsid w:val="007170DA"/>
    <w:rsid w:val="007172AD"/>
    <w:rsid w:val="00717546"/>
    <w:rsid w:val="007177CB"/>
    <w:rsid w:val="00717B0A"/>
    <w:rsid w:val="00717B4D"/>
    <w:rsid w:val="00720801"/>
    <w:rsid w:val="00722096"/>
    <w:rsid w:val="00722B1B"/>
    <w:rsid w:val="00722C7A"/>
    <w:rsid w:val="00722D32"/>
    <w:rsid w:val="00723245"/>
    <w:rsid w:val="0072416F"/>
    <w:rsid w:val="00726DC1"/>
    <w:rsid w:val="00726EB4"/>
    <w:rsid w:val="00727C94"/>
    <w:rsid w:val="00727D7B"/>
    <w:rsid w:val="007302D3"/>
    <w:rsid w:val="0073066C"/>
    <w:rsid w:val="007308B9"/>
    <w:rsid w:val="0073135B"/>
    <w:rsid w:val="00731B0A"/>
    <w:rsid w:val="00731EAE"/>
    <w:rsid w:val="00732711"/>
    <w:rsid w:val="00733073"/>
    <w:rsid w:val="00733808"/>
    <w:rsid w:val="007338E7"/>
    <w:rsid w:val="0073427E"/>
    <w:rsid w:val="00734312"/>
    <w:rsid w:val="00734328"/>
    <w:rsid w:val="00735033"/>
    <w:rsid w:val="00735328"/>
    <w:rsid w:val="0073685B"/>
    <w:rsid w:val="00736DBE"/>
    <w:rsid w:val="0073729A"/>
    <w:rsid w:val="007376DE"/>
    <w:rsid w:val="00740349"/>
    <w:rsid w:val="00740B2A"/>
    <w:rsid w:val="007425B0"/>
    <w:rsid w:val="007433F7"/>
    <w:rsid w:val="007440F9"/>
    <w:rsid w:val="007446DB"/>
    <w:rsid w:val="007449BF"/>
    <w:rsid w:val="007463FE"/>
    <w:rsid w:val="00746BC0"/>
    <w:rsid w:val="00747AE2"/>
    <w:rsid w:val="007510B4"/>
    <w:rsid w:val="00751AAA"/>
    <w:rsid w:val="00751F47"/>
    <w:rsid w:val="00752142"/>
    <w:rsid w:val="007523F9"/>
    <w:rsid w:val="00752474"/>
    <w:rsid w:val="00752521"/>
    <w:rsid w:val="0075357E"/>
    <w:rsid w:val="0075375C"/>
    <w:rsid w:val="00753B29"/>
    <w:rsid w:val="00755F7F"/>
    <w:rsid w:val="00756100"/>
    <w:rsid w:val="0075634A"/>
    <w:rsid w:val="007569FB"/>
    <w:rsid w:val="007572F2"/>
    <w:rsid w:val="007572FC"/>
    <w:rsid w:val="007573E8"/>
    <w:rsid w:val="00760C4E"/>
    <w:rsid w:val="00760D55"/>
    <w:rsid w:val="00760F9E"/>
    <w:rsid w:val="007616E6"/>
    <w:rsid w:val="00761FCA"/>
    <w:rsid w:val="007627BE"/>
    <w:rsid w:val="00764F03"/>
    <w:rsid w:val="00765239"/>
    <w:rsid w:val="00765B1A"/>
    <w:rsid w:val="00765DC1"/>
    <w:rsid w:val="007662F9"/>
    <w:rsid w:val="007676D9"/>
    <w:rsid w:val="007702D0"/>
    <w:rsid w:val="00771E99"/>
    <w:rsid w:val="00773BE1"/>
    <w:rsid w:val="0077447F"/>
    <w:rsid w:val="007752E4"/>
    <w:rsid w:val="00776A29"/>
    <w:rsid w:val="00777335"/>
    <w:rsid w:val="00780CBA"/>
    <w:rsid w:val="00782184"/>
    <w:rsid w:val="007821EB"/>
    <w:rsid w:val="0078227D"/>
    <w:rsid w:val="007843F2"/>
    <w:rsid w:val="007846FA"/>
    <w:rsid w:val="00785A9F"/>
    <w:rsid w:val="007871CC"/>
    <w:rsid w:val="007872F4"/>
    <w:rsid w:val="00787A45"/>
    <w:rsid w:val="007904CC"/>
    <w:rsid w:val="007909B3"/>
    <w:rsid w:val="00791286"/>
    <w:rsid w:val="00792224"/>
    <w:rsid w:val="007925DF"/>
    <w:rsid w:val="00792819"/>
    <w:rsid w:val="00792CBF"/>
    <w:rsid w:val="00793515"/>
    <w:rsid w:val="0079357E"/>
    <w:rsid w:val="0079435F"/>
    <w:rsid w:val="00794990"/>
    <w:rsid w:val="00795562"/>
    <w:rsid w:val="007958B7"/>
    <w:rsid w:val="00795D5D"/>
    <w:rsid w:val="00795EE1"/>
    <w:rsid w:val="007A08AA"/>
    <w:rsid w:val="007A0A12"/>
    <w:rsid w:val="007A0A8D"/>
    <w:rsid w:val="007A132D"/>
    <w:rsid w:val="007A1345"/>
    <w:rsid w:val="007A154B"/>
    <w:rsid w:val="007A29DD"/>
    <w:rsid w:val="007A2DDB"/>
    <w:rsid w:val="007A54FC"/>
    <w:rsid w:val="007A5C6C"/>
    <w:rsid w:val="007A5F43"/>
    <w:rsid w:val="007A6D23"/>
    <w:rsid w:val="007A70BA"/>
    <w:rsid w:val="007A7286"/>
    <w:rsid w:val="007B0D68"/>
    <w:rsid w:val="007B251D"/>
    <w:rsid w:val="007B3533"/>
    <w:rsid w:val="007B3B1E"/>
    <w:rsid w:val="007B3F52"/>
    <w:rsid w:val="007B4F58"/>
    <w:rsid w:val="007B528D"/>
    <w:rsid w:val="007B627E"/>
    <w:rsid w:val="007B63CA"/>
    <w:rsid w:val="007B6A82"/>
    <w:rsid w:val="007B77D1"/>
    <w:rsid w:val="007C07C7"/>
    <w:rsid w:val="007C0B66"/>
    <w:rsid w:val="007C11C5"/>
    <w:rsid w:val="007C1CD9"/>
    <w:rsid w:val="007C277F"/>
    <w:rsid w:val="007C2FE1"/>
    <w:rsid w:val="007C32EF"/>
    <w:rsid w:val="007C361D"/>
    <w:rsid w:val="007C3B7A"/>
    <w:rsid w:val="007C41F7"/>
    <w:rsid w:val="007C4B84"/>
    <w:rsid w:val="007C70FF"/>
    <w:rsid w:val="007C750D"/>
    <w:rsid w:val="007C770D"/>
    <w:rsid w:val="007C7B11"/>
    <w:rsid w:val="007C7C25"/>
    <w:rsid w:val="007C7F89"/>
    <w:rsid w:val="007D004F"/>
    <w:rsid w:val="007D035F"/>
    <w:rsid w:val="007D06B2"/>
    <w:rsid w:val="007D0B38"/>
    <w:rsid w:val="007D107B"/>
    <w:rsid w:val="007D12BF"/>
    <w:rsid w:val="007D2B4F"/>
    <w:rsid w:val="007D3015"/>
    <w:rsid w:val="007D31F4"/>
    <w:rsid w:val="007D391F"/>
    <w:rsid w:val="007D3A6D"/>
    <w:rsid w:val="007D3EE7"/>
    <w:rsid w:val="007D4AEB"/>
    <w:rsid w:val="007D5440"/>
    <w:rsid w:val="007D649B"/>
    <w:rsid w:val="007D69EB"/>
    <w:rsid w:val="007E0556"/>
    <w:rsid w:val="007E128F"/>
    <w:rsid w:val="007E1C99"/>
    <w:rsid w:val="007E251D"/>
    <w:rsid w:val="007E2820"/>
    <w:rsid w:val="007E3649"/>
    <w:rsid w:val="007E4EFF"/>
    <w:rsid w:val="007E65CD"/>
    <w:rsid w:val="007E681E"/>
    <w:rsid w:val="007E6D0F"/>
    <w:rsid w:val="007E7820"/>
    <w:rsid w:val="007E7FAA"/>
    <w:rsid w:val="007F0EAC"/>
    <w:rsid w:val="007F1017"/>
    <w:rsid w:val="007F1AB4"/>
    <w:rsid w:val="007F303D"/>
    <w:rsid w:val="007F4A3F"/>
    <w:rsid w:val="007F4A61"/>
    <w:rsid w:val="007F5255"/>
    <w:rsid w:val="007F56CC"/>
    <w:rsid w:val="007F61C2"/>
    <w:rsid w:val="007F65F9"/>
    <w:rsid w:val="007F66C8"/>
    <w:rsid w:val="007F6FBE"/>
    <w:rsid w:val="007F763B"/>
    <w:rsid w:val="00800DEF"/>
    <w:rsid w:val="00801CFA"/>
    <w:rsid w:val="008027C3"/>
    <w:rsid w:val="008027E2"/>
    <w:rsid w:val="00802F73"/>
    <w:rsid w:val="00803889"/>
    <w:rsid w:val="00805142"/>
    <w:rsid w:val="00805665"/>
    <w:rsid w:val="0080566B"/>
    <w:rsid w:val="00805FCE"/>
    <w:rsid w:val="00806B6C"/>
    <w:rsid w:val="00807529"/>
    <w:rsid w:val="008076AB"/>
    <w:rsid w:val="008076B0"/>
    <w:rsid w:val="00807A8B"/>
    <w:rsid w:val="00807BFA"/>
    <w:rsid w:val="00811222"/>
    <w:rsid w:val="00811383"/>
    <w:rsid w:val="00811685"/>
    <w:rsid w:val="0081207F"/>
    <w:rsid w:val="00812149"/>
    <w:rsid w:val="00812153"/>
    <w:rsid w:val="00812CAC"/>
    <w:rsid w:val="00813070"/>
    <w:rsid w:val="0081344D"/>
    <w:rsid w:val="00814024"/>
    <w:rsid w:val="00814E74"/>
    <w:rsid w:val="0081552E"/>
    <w:rsid w:val="008156E7"/>
    <w:rsid w:val="00816361"/>
    <w:rsid w:val="008166EF"/>
    <w:rsid w:val="00816FEF"/>
    <w:rsid w:val="008177F4"/>
    <w:rsid w:val="00820A8C"/>
    <w:rsid w:val="008210D0"/>
    <w:rsid w:val="008215FB"/>
    <w:rsid w:val="00821647"/>
    <w:rsid w:val="008220CC"/>
    <w:rsid w:val="0082228F"/>
    <w:rsid w:val="00823174"/>
    <w:rsid w:val="008235C0"/>
    <w:rsid w:val="00823962"/>
    <w:rsid w:val="00825751"/>
    <w:rsid w:val="00825E7C"/>
    <w:rsid w:val="008264EB"/>
    <w:rsid w:val="008266BD"/>
    <w:rsid w:val="008268CE"/>
    <w:rsid w:val="008276A2"/>
    <w:rsid w:val="00827BFD"/>
    <w:rsid w:val="00827C23"/>
    <w:rsid w:val="00832C56"/>
    <w:rsid w:val="00833B05"/>
    <w:rsid w:val="00833C2B"/>
    <w:rsid w:val="008362B4"/>
    <w:rsid w:val="0084016B"/>
    <w:rsid w:val="00840CA2"/>
    <w:rsid w:val="008412E8"/>
    <w:rsid w:val="00841F61"/>
    <w:rsid w:val="0084374F"/>
    <w:rsid w:val="00844A22"/>
    <w:rsid w:val="00844C5D"/>
    <w:rsid w:val="0084621C"/>
    <w:rsid w:val="0084664F"/>
    <w:rsid w:val="008476C7"/>
    <w:rsid w:val="00847703"/>
    <w:rsid w:val="00847DF5"/>
    <w:rsid w:val="00847EC7"/>
    <w:rsid w:val="00851930"/>
    <w:rsid w:val="0085309D"/>
    <w:rsid w:val="00853F1A"/>
    <w:rsid w:val="008544E5"/>
    <w:rsid w:val="008550C2"/>
    <w:rsid w:val="00856258"/>
    <w:rsid w:val="00856897"/>
    <w:rsid w:val="00856E28"/>
    <w:rsid w:val="00856E9A"/>
    <w:rsid w:val="008573C2"/>
    <w:rsid w:val="008577C1"/>
    <w:rsid w:val="0086075D"/>
    <w:rsid w:val="00861393"/>
    <w:rsid w:val="00861956"/>
    <w:rsid w:val="00862502"/>
    <w:rsid w:val="00862CC1"/>
    <w:rsid w:val="0086370F"/>
    <w:rsid w:val="008642A7"/>
    <w:rsid w:val="00865484"/>
    <w:rsid w:val="00865533"/>
    <w:rsid w:val="008656CB"/>
    <w:rsid w:val="008660D4"/>
    <w:rsid w:val="008672AF"/>
    <w:rsid w:val="0086792F"/>
    <w:rsid w:val="0087120D"/>
    <w:rsid w:val="0087134A"/>
    <w:rsid w:val="008713E8"/>
    <w:rsid w:val="00871F0D"/>
    <w:rsid w:val="00871FA9"/>
    <w:rsid w:val="008720D3"/>
    <w:rsid w:val="008728E9"/>
    <w:rsid w:val="00872AC2"/>
    <w:rsid w:val="00872AF7"/>
    <w:rsid w:val="00875600"/>
    <w:rsid w:val="00875689"/>
    <w:rsid w:val="00876542"/>
    <w:rsid w:val="00876B71"/>
    <w:rsid w:val="00877982"/>
    <w:rsid w:val="008800AA"/>
    <w:rsid w:val="0088172A"/>
    <w:rsid w:val="00881E49"/>
    <w:rsid w:val="00882254"/>
    <w:rsid w:val="00882874"/>
    <w:rsid w:val="008829B7"/>
    <w:rsid w:val="00882AC6"/>
    <w:rsid w:val="00882E3C"/>
    <w:rsid w:val="0088308A"/>
    <w:rsid w:val="0088369A"/>
    <w:rsid w:val="00883787"/>
    <w:rsid w:val="0088474C"/>
    <w:rsid w:val="00885179"/>
    <w:rsid w:val="008855B7"/>
    <w:rsid w:val="008855E4"/>
    <w:rsid w:val="00885B31"/>
    <w:rsid w:val="00885D9B"/>
    <w:rsid w:val="0088680A"/>
    <w:rsid w:val="00886CD2"/>
    <w:rsid w:val="00887A7A"/>
    <w:rsid w:val="00887D67"/>
    <w:rsid w:val="00890345"/>
    <w:rsid w:val="00891AF7"/>
    <w:rsid w:val="00891E6F"/>
    <w:rsid w:val="0089275D"/>
    <w:rsid w:val="00892A36"/>
    <w:rsid w:val="0089316C"/>
    <w:rsid w:val="00893239"/>
    <w:rsid w:val="008934CC"/>
    <w:rsid w:val="0089420E"/>
    <w:rsid w:val="00894489"/>
    <w:rsid w:val="0089480B"/>
    <w:rsid w:val="00894B20"/>
    <w:rsid w:val="00894CD6"/>
    <w:rsid w:val="008955DB"/>
    <w:rsid w:val="0089603E"/>
    <w:rsid w:val="008963A5"/>
    <w:rsid w:val="00896753"/>
    <w:rsid w:val="00896D5D"/>
    <w:rsid w:val="008978FD"/>
    <w:rsid w:val="008A0AB6"/>
    <w:rsid w:val="008A1676"/>
    <w:rsid w:val="008A2BC0"/>
    <w:rsid w:val="008A3158"/>
    <w:rsid w:val="008A3363"/>
    <w:rsid w:val="008A3371"/>
    <w:rsid w:val="008A3C3E"/>
    <w:rsid w:val="008A3D15"/>
    <w:rsid w:val="008A4FA5"/>
    <w:rsid w:val="008A53E8"/>
    <w:rsid w:val="008A561C"/>
    <w:rsid w:val="008A79DE"/>
    <w:rsid w:val="008B12BF"/>
    <w:rsid w:val="008B1422"/>
    <w:rsid w:val="008B1757"/>
    <w:rsid w:val="008B1C33"/>
    <w:rsid w:val="008B1F5D"/>
    <w:rsid w:val="008B3C00"/>
    <w:rsid w:val="008B3FEF"/>
    <w:rsid w:val="008B4B6F"/>
    <w:rsid w:val="008B5012"/>
    <w:rsid w:val="008B5079"/>
    <w:rsid w:val="008B62DE"/>
    <w:rsid w:val="008B63E5"/>
    <w:rsid w:val="008B6B50"/>
    <w:rsid w:val="008B6D5D"/>
    <w:rsid w:val="008B714E"/>
    <w:rsid w:val="008B71FB"/>
    <w:rsid w:val="008B7992"/>
    <w:rsid w:val="008B7A11"/>
    <w:rsid w:val="008B7D7E"/>
    <w:rsid w:val="008C269C"/>
    <w:rsid w:val="008C3361"/>
    <w:rsid w:val="008C5610"/>
    <w:rsid w:val="008C5624"/>
    <w:rsid w:val="008C5739"/>
    <w:rsid w:val="008C6150"/>
    <w:rsid w:val="008C6262"/>
    <w:rsid w:val="008C6A78"/>
    <w:rsid w:val="008C7282"/>
    <w:rsid w:val="008C7ECB"/>
    <w:rsid w:val="008D0913"/>
    <w:rsid w:val="008D0B6A"/>
    <w:rsid w:val="008D387F"/>
    <w:rsid w:val="008D3B86"/>
    <w:rsid w:val="008D43FD"/>
    <w:rsid w:val="008D4755"/>
    <w:rsid w:val="008D47B8"/>
    <w:rsid w:val="008D4C3D"/>
    <w:rsid w:val="008D4FDD"/>
    <w:rsid w:val="008D5178"/>
    <w:rsid w:val="008D5478"/>
    <w:rsid w:val="008D58D7"/>
    <w:rsid w:val="008D5CC6"/>
    <w:rsid w:val="008D743C"/>
    <w:rsid w:val="008D7737"/>
    <w:rsid w:val="008E06F6"/>
    <w:rsid w:val="008E08BA"/>
    <w:rsid w:val="008E0D3C"/>
    <w:rsid w:val="008E14F9"/>
    <w:rsid w:val="008E1B9E"/>
    <w:rsid w:val="008E1E62"/>
    <w:rsid w:val="008E3948"/>
    <w:rsid w:val="008E4AB0"/>
    <w:rsid w:val="008E55AB"/>
    <w:rsid w:val="008E57A6"/>
    <w:rsid w:val="008E6908"/>
    <w:rsid w:val="008E6D7E"/>
    <w:rsid w:val="008E74D4"/>
    <w:rsid w:val="008F0036"/>
    <w:rsid w:val="008F120A"/>
    <w:rsid w:val="008F1F22"/>
    <w:rsid w:val="008F2445"/>
    <w:rsid w:val="008F27E0"/>
    <w:rsid w:val="008F2F33"/>
    <w:rsid w:val="008F46F6"/>
    <w:rsid w:val="008F48EB"/>
    <w:rsid w:val="008F4F0B"/>
    <w:rsid w:val="008F5F10"/>
    <w:rsid w:val="0090160C"/>
    <w:rsid w:val="00902531"/>
    <w:rsid w:val="0090301D"/>
    <w:rsid w:val="009046C4"/>
    <w:rsid w:val="00904FA1"/>
    <w:rsid w:val="00905FA8"/>
    <w:rsid w:val="0090612A"/>
    <w:rsid w:val="009062A5"/>
    <w:rsid w:val="00906C19"/>
    <w:rsid w:val="00907699"/>
    <w:rsid w:val="00907869"/>
    <w:rsid w:val="00910987"/>
    <w:rsid w:val="00910FA7"/>
    <w:rsid w:val="00911272"/>
    <w:rsid w:val="00911339"/>
    <w:rsid w:val="0091218A"/>
    <w:rsid w:val="009135D6"/>
    <w:rsid w:val="00913BD2"/>
    <w:rsid w:val="00913DD9"/>
    <w:rsid w:val="00914C77"/>
    <w:rsid w:val="00917BED"/>
    <w:rsid w:val="00920B71"/>
    <w:rsid w:val="00921ACB"/>
    <w:rsid w:val="0092369B"/>
    <w:rsid w:val="00923C98"/>
    <w:rsid w:val="009243D9"/>
    <w:rsid w:val="00924B83"/>
    <w:rsid w:val="00924DCC"/>
    <w:rsid w:val="00926C86"/>
    <w:rsid w:val="00927ED4"/>
    <w:rsid w:val="0093024F"/>
    <w:rsid w:val="00931851"/>
    <w:rsid w:val="00931940"/>
    <w:rsid w:val="00932982"/>
    <w:rsid w:val="009333FA"/>
    <w:rsid w:val="00933F10"/>
    <w:rsid w:val="00934988"/>
    <w:rsid w:val="00935880"/>
    <w:rsid w:val="00937089"/>
    <w:rsid w:val="0094166A"/>
    <w:rsid w:val="009433A9"/>
    <w:rsid w:val="0094431C"/>
    <w:rsid w:val="00944F8A"/>
    <w:rsid w:val="009458EE"/>
    <w:rsid w:val="00950C33"/>
    <w:rsid w:val="009510A2"/>
    <w:rsid w:val="00951B0B"/>
    <w:rsid w:val="00952372"/>
    <w:rsid w:val="00952A1F"/>
    <w:rsid w:val="00953257"/>
    <w:rsid w:val="0095474C"/>
    <w:rsid w:val="00954CC4"/>
    <w:rsid w:val="00955949"/>
    <w:rsid w:val="00957322"/>
    <w:rsid w:val="00957513"/>
    <w:rsid w:val="00957D92"/>
    <w:rsid w:val="009606DD"/>
    <w:rsid w:val="0096137A"/>
    <w:rsid w:val="009625F7"/>
    <w:rsid w:val="00962CB9"/>
    <w:rsid w:val="00964312"/>
    <w:rsid w:val="0096505F"/>
    <w:rsid w:val="0096578B"/>
    <w:rsid w:val="00965B8A"/>
    <w:rsid w:val="00965F21"/>
    <w:rsid w:val="00967615"/>
    <w:rsid w:val="0096784A"/>
    <w:rsid w:val="0097071F"/>
    <w:rsid w:val="0097100A"/>
    <w:rsid w:val="00971547"/>
    <w:rsid w:val="009717AC"/>
    <w:rsid w:val="00971CD8"/>
    <w:rsid w:val="00971DFD"/>
    <w:rsid w:val="009727C3"/>
    <w:rsid w:val="009729ED"/>
    <w:rsid w:val="00972AA5"/>
    <w:rsid w:val="00973054"/>
    <w:rsid w:val="00974DE8"/>
    <w:rsid w:val="009751C1"/>
    <w:rsid w:val="00975799"/>
    <w:rsid w:val="00977A3E"/>
    <w:rsid w:val="00977F97"/>
    <w:rsid w:val="009809D5"/>
    <w:rsid w:val="009811F1"/>
    <w:rsid w:val="00981FF6"/>
    <w:rsid w:val="009821F2"/>
    <w:rsid w:val="0098262F"/>
    <w:rsid w:val="00983563"/>
    <w:rsid w:val="00983E57"/>
    <w:rsid w:val="00984B2F"/>
    <w:rsid w:val="00984BA3"/>
    <w:rsid w:val="00985DE2"/>
    <w:rsid w:val="0098629B"/>
    <w:rsid w:val="0098675D"/>
    <w:rsid w:val="00986B7E"/>
    <w:rsid w:val="00987BA4"/>
    <w:rsid w:val="00987EB8"/>
    <w:rsid w:val="00990267"/>
    <w:rsid w:val="009905AB"/>
    <w:rsid w:val="0099084D"/>
    <w:rsid w:val="00991316"/>
    <w:rsid w:val="009926E0"/>
    <w:rsid w:val="009932ED"/>
    <w:rsid w:val="0099332A"/>
    <w:rsid w:val="00994511"/>
    <w:rsid w:val="0099451E"/>
    <w:rsid w:val="0099488F"/>
    <w:rsid w:val="00994B04"/>
    <w:rsid w:val="00996B1A"/>
    <w:rsid w:val="00996CA9"/>
    <w:rsid w:val="009A00FC"/>
    <w:rsid w:val="009A10DC"/>
    <w:rsid w:val="009A18F6"/>
    <w:rsid w:val="009A1D59"/>
    <w:rsid w:val="009A238A"/>
    <w:rsid w:val="009A2631"/>
    <w:rsid w:val="009A2DCC"/>
    <w:rsid w:val="009A4A08"/>
    <w:rsid w:val="009A51C7"/>
    <w:rsid w:val="009A5347"/>
    <w:rsid w:val="009A5ABC"/>
    <w:rsid w:val="009A5EC8"/>
    <w:rsid w:val="009A6EE3"/>
    <w:rsid w:val="009A76A3"/>
    <w:rsid w:val="009A7F10"/>
    <w:rsid w:val="009B0511"/>
    <w:rsid w:val="009B1A7F"/>
    <w:rsid w:val="009B3413"/>
    <w:rsid w:val="009B393A"/>
    <w:rsid w:val="009B3E26"/>
    <w:rsid w:val="009B45FF"/>
    <w:rsid w:val="009B53CC"/>
    <w:rsid w:val="009B5C27"/>
    <w:rsid w:val="009B70FD"/>
    <w:rsid w:val="009B7FDE"/>
    <w:rsid w:val="009C0025"/>
    <w:rsid w:val="009C04E1"/>
    <w:rsid w:val="009C0E5C"/>
    <w:rsid w:val="009C1271"/>
    <w:rsid w:val="009C3706"/>
    <w:rsid w:val="009C3A3A"/>
    <w:rsid w:val="009C3A9C"/>
    <w:rsid w:val="009C3DEF"/>
    <w:rsid w:val="009C426B"/>
    <w:rsid w:val="009C6352"/>
    <w:rsid w:val="009C6CEA"/>
    <w:rsid w:val="009C7832"/>
    <w:rsid w:val="009C7B85"/>
    <w:rsid w:val="009D0254"/>
    <w:rsid w:val="009D02FF"/>
    <w:rsid w:val="009D15B1"/>
    <w:rsid w:val="009D19AF"/>
    <w:rsid w:val="009D1A64"/>
    <w:rsid w:val="009D2A48"/>
    <w:rsid w:val="009D2FF0"/>
    <w:rsid w:val="009D3679"/>
    <w:rsid w:val="009D4AF6"/>
    <w:rsid w:val="009D4D77"/>
    <w:rsid w:val="009D5B91"/>
    <w:rsid w:val="009D5F78"/>
    <w:rsid w:val="009D6692"/>
    <w:rsid w:val="009D6A13"/>
    <w:rsid w:val="009D7804"/>
    <w:rsid w:val="009D792E"/>
    <w:rsid w:val="009D7A4C"/>
    <w:rsid w:val="009E0DFE"/>
    <w:rsid w:val="009E1B53"/>
    <w:rsid w:val="009E1DF0"/>
    <w:rsid w:val="009E2728"/>
    <w:rsid w:val="009E28A2"/>
    <w:rsid w:val="009E31F6"/>
    <w:rsid w:val="009E347B"/>
    <w:rsid w:val="009E3786"/>
    <w:rsid w:val="009E3BBA"/>
    <w:rsid w:val="009E4373"/>
    <w:rsid w:val="009E4C07"/>
    <w:rsid w:val="009E58B7"/>
    <w:rsid w:val="009E5944"/>
    <w:rsid w:val="009E743C"/>
    <w:rsid w:val="009E777F"/>
    <w:rsid w:val="009E7896"/>
    <w:rsid w:val="009E7AA7"/>
    <w:rsid w:val="009E7EE6"/>
    <w:rsid w:val="009F0CD1"/>
    <w:rsid w:val="009F10ED"/>
    <w:rsid w:val="009F2C5F"/>
    <w:rsid w:val="009F3E17"/>
    <w:rsid w:val="009F411E"/>
    <w:rsid w:val="009F498A"/>
    <w:rsid w:val="009F5337"/>
    <w:rsid w:val="009F5DC8"/>
    <w:rsid w:val="009F5F99"/>
    <w:rsid w:val="009F6120"/>
    <w:rsid w:val="009F6331"/>
    <w:rsid w:val="009F6615"/>
    <w:rsid w:val="009F6925"/>
    <w:rsid w:val="009F6F34"/>
    <w:rsid w:val="009F765B"/>
    <w:rsid w:val="009F79B0"/>
    <w:rsid w:val="009F7A8D"/>
    <w:rsid w:val="009F7E2B"/>
    <w:rsid w:val="00A00D76"/>
    <w:rsid w:val="00A01184"/>
    <w:rsid w:val="00A01449"/>
    <w:rsid w:val="00A02474"/>
    <w:rsid w:val="00A024CC"/>
    <w:rsid w:val="00A037C2"/>
    <w:rsid w:val="00A03D43"/>
    <w:rsid w:val="00A040C0"/>
    <w:rsid w:val="00A04380"/>
    <w:rsid w:val="00A04786"/>
    <w:rsid w:val="00A05379"/>
    <w:rsid w:val="00A05472"/>
    <w:rsid w:val="00A05C32"/>
    <w:rsid w:val="00A06155"/>
    <w:rsid w:val="00A0653F"/>
    <w:rsid w:val="00A06DBC"/>
    <w:rsid w:val="00A076F3"/>
    <w:rsid w:val="00A119CB"/>
    <w:rsid w:val="00A11CD0"/>
    <w:rsid w:val="00A12F53"/>
    <w:rsid w:val="00A13948"/>
    <w:rsid w:val="00A147F1"/>
    <w:rsid w:val="00A14C91"/>
    <w:rsid w:val="00A1555B"/>
    <w:rsid w:val="00A155C5"/>
    <w:rsid w:val="00A15763"/>
    <w:rsid w:val="00A15A88"/>
    <w:rsid w:val="00A16AD8"/>
    <w:rsid w:val="00A16F5A"/>
    <w:rsid w:val="00A17004"/>
    <w:rsid w:val="00A2021E"/>
    <w:rsid w:val="00A20BC7"/>
    <w:rsid w:val="00A21C95"/>
    <w:rsid w:val="00A21CF3"/>
    <w:rsid w:val="00A238D5"/>
    <w:rsid w:val="00A23ED4"/>
    <w:rsid w:val="00A24813"/>
    <w:rsid w:val="00A24BDC"/>
    <w:rsid w:val="00A25762"/>
    <w:rsid w:val="00A278E8"/>
    <w:rsid w:val="00A27AEC"/>
    <w:rsid w:val="00A27CD1"/>
    <w:rsid w:val="00A30BEC"/>
    <w:rsid w:val="00A30BF0"/>
    <w:rsid w:val="00A3153C"/>
    <w:rsid w:val="00A320DB"/>
    <w:rsid w:val="00A33997"/>
    <w:rsid w:val="00A33FBA"/>
    <w:rsid w:val="00A3499F"/>
    <w:rsid w:val="00A35753"/>
    <w:rsid w:val="00A35D16"/>
    <w:rsid w:val="00A37BCD"/>
    <w:rsid w:val="00A37ED5"/>
    <w:rsid w:val="00A400B6"/>
    <w:rsid w:val="00A40E0D"/>
    <w:rsid w:val="00A41689"/>
    <w:rsid w:val="00A41914"/>
    <w:rsid w:val="00A41D8F"/>
    <w:rsid w:val="00A4231F"/>
    <w:rsid w:val="00A42592"/>
    <w:rsid w:val="00A43C59"/>
    <w:rsid w:val="00A44627"/>
    <w:rsid w:val="00A46055"/>
    <w:rsid w:val="00A461EF"/>
    <w:rsid w:val="00A46690"/>
    <w:rsid w:val="00A46F05"/>
    <w:rsid w:val="00A4705D"/>
    <w:rsid w:val="00A50ECD"/>
    <w:rsid w:val="00A518F3"/>
    <w:rsid w:val="00A51D3C"/>
    <w:rsid w:val="00A51E14"/>
    <w:rsid w:val="00A5233F"/>
    <w:rsid w:val="00A52729"/>
    <w:rsid w:val="00A52D5B"/>
    <w:rsid w:val="00A52F83"/>
    <w:rsid w:val="00A5328D"/>
    <w:rsid w:val="00A53675"/>
    <w:rsid w:val="00A53D1A"/>
    <w:rsid w:val="00A54895"/>
    <w:rsid w:val="00A54D53"/>
    <w:rsid w:val="00A564D7"/>
    <w:rsid w:val="00A567D7"/>
    <w:rsid w:val="00A56B6A"/>
    <w:rsid w:val="00A56E6D"/>
    <w:rsid w:val="00A57665"/>
    <w:rsid w:val="00A57851"/>
    <w:rsid w:val="00A578DC"/>
    <w:rsid w:val="00A57A5D"/>
    <w:rsid w:val="00A61E4A"/>
    <w:rsid w:val="00A62AFB"/>
    <w:rsid w:val="00A63F07"/>
    <w:rsid w:val="00A6409B"/>
    <w:rsid w:val="00A640E2"/>
    <w:rsid w:val="00A64519"/>
    <w:rsid w:val="00A64D65"/>
    <w:rsid w:val="00A65BD3"/>
    <w:rsid w:val="00A6652B"/>
    <w:rsid w:val="00A6725B"/>
    <w:rsid w:val="00A675A1"/>
    <w:rsid w:val="00A67931"/>
    <w:rsid w:val="00A67F02"/>
    <w:rsid w:val="00A70605"/>
    <w:rsid w:val="00A7277F"/>
    <w:rsid w:val="00A73134"/>
    <w:rsid w:val="00A7365A"/>
    <w:rsid w:val="00A757B9"/>
    <w:rsid w:val="00A757D6"/>
    <w:rsid w:val="00A76001"/>
    <w:rsid w:val="00A777B2"/>
    <w:rsid w:val="00A825D4"/>
    <w:rsid w:val="00A828F6"/>
    <w:rsid w:val="00A82B73"/>
    <w:rsid w:val="00A82BCD"/>
    <w:rsid w:val="00A82DF3"/>
    <w:rsid w:val="00A836F4"/>
    <w:rsid w:val="00A83A13"/>
    <w:rsid w:val="00A86329"/>
    <w:rsid w:val="00A86DC6"/>
    <w:rsid w:val="00A86E8B"/>
    <w:rsid w:val="00A870D2"/>
    <w:rsid w:val="00A87164"/>
    <w:rsid w:val="00A871A9"/>
    <w:rsid w:val="00A901DC"/>
    <w:rsid w:val="00A9087F"/>
    <w:rsid w:val="00A9091E"/>
    <w:rsid w:val="00A90B5F"/>
    <w:rsid w:val="00A93072"/>
    <w:rsid w:val="00A938BD"/>
    <w:rsid w:val="00A93953"/>
    <w:rsid w:val="00A93958"/>
    <w:rsid w:val="00A959D8"/>
    <w:rsid w:val="00A9649B"/>
    <w:rsid w:val="00A97060"/>
    <w:rsid w:val="00A978BD"/>
    <w:rsid w:val="00AA011F"/>
    <w:rsid w:val="00AA0FCF"/>
    <w:rsid w:val="00AA113D"/>
    <w:rsid w:val="00AA241E"/>
    <w:rsid w:val="00AA2C7E"/>
    <w:rsid w:val="00AA3DD3"/>
    <w:rsid w:val="00AA3EE6"/>
    <w:rsid w:val="00AA484E"/>
    <w:rsid w:val="00AA4CCD"/>
    <w:rsid w:val="00AA61E2"/>
    <w:rsid w:val="00AA6BD5"/>
    <w:rsid w:val="00AA6BD8"/>
    <w:rsid w:val="00AA6C7D"/>
    <w:rsid w:val="00AA6FF6"/>
    <w:rsid w:val="00AA77AD"/>
    <w:rsid w:val="00AA7FD6"/>
    <w:rsid w:val="00AB042A"/>
    <w:rsid w:val="00AB0735"/>
    <w:rsid w:val="00AB11AD"/>
    <w:rsid w:val="00AB1278"/>
    <w:rsid w:val="00AB19EF"/>
    <w:rsid w:val="00AB2495"/>
    <w:rsid w:val="00AB2D34"/>
    <w:rsid w:val="00AB2F8A"/>
    <w:rsid w:val="00AB3430"/>
    <w:rsid w:val="00AB37B9"/>
    <w:rsid w:val="00AB4952"/>
    <w:rsid w:val="00AB4AD1"/>
    <w:rsid w:val="00AB4E20"/>
    <w:rsid w:val="00AB5E07"/>
    <w:rsid w:val="00AB64B7"/>
    <w:rsid w:val="00AB677F"/>
    <w:rsid w:val="00AB7CFA"/>
    <w:rsid w:val="00AB7EE2"/>
    <w:rsid w:val="00AB7FE7"/>
    <w:rsid w:val="00AC1255"/>
    <w:rsid w:val="00AC1ECC"/>
    <w:rsid w:val="00AC236B"/>
    <w:rsid w:val="00AC3C3C"/>
    <w:rsid w:val="00AC504D"/>
    <w:rsid w:val="00AC5B42"/>
    <w:rsid w:val="00AC5B48"/>
    <w:rsid w:val="00AC62D1"/>
    <w:rsid w:val="00AC7737"/>
    <w:rsid w:val="00AC79DF"/>
    <w:rsid w:val="00AD018B"/>
    <w:rsid w:val="00AD1450"/>
    <w:rsid w:val="00AD15E8"/>
    <w:rsid w:val="00AD2A33"/>
    <w:rsid w:val="00AD3286"/>
    <w:rsid w:val="00AD356D"/>
    <w:rsid w:val="00AD37FD"/>
    <w:rsid w:val="00AD4F32"/>
    <w:rsid w:val="00AD6346"/>
    <w:rsid w:val="00AD6502"/>
    <w:rsid w:val="00AD781C"/>
    <w:rsid w:val="00AE0695"/>
    <w:rsid w:val="00AE308F"/>
    <w:rsid w:val="00AE3721"/>
    <w:rsid w:val="00AE3E7E"/>
    <w:rsid w:val="00AE5190"/>
    <w:rsid w:val="00AE559E"/>
    <w:rsid w:val="00AE6B9E"/>
    <w:rsid w:val="00AE7E53"/>
    <w:rsid w:val="00AF1315"/>
    <w:rsid w:val="00AF1568"/>
    <w:rsid w:val="00AF19BF"/>
    <w:rsid w:val="00AF227B"/>
    <w:rsid w:val="00AF232E"/>
    <w:rsid w:val="00AF2DC3"/>
    <w:rsid w:val="00AF3214"/>
    <w:rsid w:val="00AF39D8"/>
    <w:rsid w:val="00AF4DFD"/>
    <w:rsid w:val="00AF4E2D"/>
    <w:rsid w:val="00AF78F6"/>
    <w:rsid w:val="00AF791A"/>
    <w:rsid w:val="00B00685"/>
    <w:rsid w:val="00B0183F"/>
    <w:rsid w:val="00B02983"/>
    <w:rsid w:val="00B033E5"/>
    <w:rsid w:val="00B03A63"/>
    <w:rsid w:val="00B05664"/>
    <w:rsid w:val="00B05878"/>
    <w:rsid w:val="00B05FAF"/>
    <w:rsid w:val="00B06D10"/>
    <w:rsid w:val="00B0713D"/>
    <w:rsid w:val="00B071B2"/>
    <w:rsid w:val="00B07FB9"/>
    <w:rsid w:val="00B11C63"/>
    <w:rsid w:val="00B129A4"/>
    <w:rsid w:val="00B1343B"/>
    <w:rsid w:val="00B13C29"/>
    <w:rsid w:val="00B1405B"/>
    <w:rsid w:val="00B157B3"/>
    <w:rsid w:val="00B16558"/>
    <w:rsid w:val="00B17F23"/>
    <w:rsid w:val="00B201A4"/>
    <w:rsid w:val="00B201D1"/>
    <w:rsid w:val="00B20CC5"/>
    <w:rsid w:val="00B20FD3"/>
    <w:rsid w:val="00B213A6"/>
    <w:rsid w:val="00B21F17"/>
    <w:rsid w:val="00B22854"/>
    <w:rsid w:val="00B235B0"/>
    <w:rsid w:val="00B2384F"/>
    <w:rsid w:val="00B2472B"/>
    <w:rsid w:val="00B24DF6"/>
    <w:rsid w:val="00B25038"/>
    <w:rsid w:val="00B25283"/>
    <w:rsid w:val="00B26C4B"/>
    <w:rsid w:val="00B27A61"/>
    <w:rsid w:val="00B27F71"/>
    <w:rsid w:val="00B30090"/>
    <w:rsid w:val="00B30D50"/>
    <w:rsid w:val="00B313E3"/>
    <w:rsid w:val="00B34765"/>
    <w:rsid w:val="00B34B00"/>
    <w:rsid w:val="00B34FE2"/>
    <w:rsid w:val="00B35166"/>
    <w:rsid w:val="00B357D8"/>
    <w:rsid w:val="00B360F4"/>
    <w:rsid w:val="00B36A00"/>
    <w:rsid w:val="00B3792B"/>
    <w:rsid w:val="00B37BFC"/>
    <w:rsid w:val="00B40358"/>
    <w:rsid w:val="00B41614"/>
    <w:rsid w:val="00B42851"/>
    <w:rsid w:val="00B42F80"/>
    <w:rsid w:val="00B42FB9"/>
    <w:rsid w:val="00B435CB"/>
    <w:rsid w:val="00B43658"/>
    <w:rsid w:val="00B436D2"/>
    <w:rsid w:val="00B43BFE"/>
    <w:rsid w:val="00B441F4"/>
    <w:rsid w:val="00B465EC"/>
    <w:rsid w:val="00B47D9B"/>
    <w:rsid w:val="00B505C8"/>
    <w:rsid w:val="00B50DB8"/>
    <w:rsid w:val="00B53654"/>
    <w:rsid w:val="00B53905"/>
    <w:rsid w:val="00B54492"/>
    <w:rsid w:val="00B546DB"/>
    <w:rsid w:val="00B54B5B"/>
    <w:rsid w:val="00B55464"/>
    <w:rsid w:val="00B5562E"/>
    <w:rsid w:val="00B55862"/>
    <w:rsid w:val="00B55D65"/>
    <w:rsid w:val="00B56305"/>
    <w:rsid w:val="00B563D6"/>
    <w:rsid w:val="00B57000"/>
    <w:rsid w:val="00B57296"/>
    <w:rsid w:val="00B57B3A"/>
    <w:rsid w:val="00B57FA6"/>
    <w:rsid w:val="00B606A0"/>
    <w:rsid w:val="00B60939"/>
    <w:rsid w:val="00B60AFD"/>
    <w:rsid w:val="00B610C6"/>
    <w:rsid w:val="00B61D8A"/>
    <w:rsid w:val="00B62715"/>
    <w:rsid w:val="00B6482B"/>
    <w:rsid w:val="00B64B2A"/>
    <w:rsid w:val="00B65611"/>
    <w:rsid w:val="00B678AD"/>
    <w:rsid w:val="00B70E8E"/>
    <w:rsid w:val="00B73D65"/>
    <w:rsid w:val="00B7510D"/>
    <w:rsid w:val="00B75CD7"/>
    <w:rsid w:val="00B76BB4"/>
    <w:rsid w:val="00B76C92"/>
    <w:rsid w:val="00B7781F"/>
    <w:rsid w:val="00B808C7"/>
    <w:rsid w:val="00B80EFD"/>
    <w:rsid w:val="00B818A4"/>
    <w:rsid w:val="00B81C88"/>
    <w:rsid w:val="00B835AE"/>
    <w:rsid w:val="00B83739"/>
    <w:rsid w:val="00B84117"/>
    <w:rsid w:val="00B84D4A"/>
    <w:rsid w:val="00B85507"/>
    <w:rsid w:val="00B858F0"/>
    <w:rsid w:val="00B85AA2"/>
    <w:rsid w:val="00B85B41"/>
    <w:rsid w:val="00B85E1F"/>
    <w:rsid w:val="00B8649C"/>
    <w:rsid w:val="00B8695D"/>
    <w:rsid w:val="00B87F0A"/>
    <w:rsid w:val="00B90E03"/>
    <w:rsid w:val="00B91545"/>
    <w:rsid w:val="00B9168A"/>
    <w:rsid w:val="00B91831"/>
    <w:rsid w:val="00B92D0B"/>
    <w:rsid w:val="00B94945"/>
    <w:rsid w:val="00B94DD6"/>
    <w:rsid w:val="00B9526B"/>
    <w:rsid w:val="00B9665B"/>
    <w:rsid w:val="00B97CF3"/>
    <w:rsid w:val="00BA1D06"/>
    <w:rsid w:val="00BA322D"/>
    <w:rsid w:val="00BA4672"/>
    <w:rsid w:val="00BA63FA"/>
    <w:rsid w:val="00BB00B3"/>
    <w:rsid w:val="00BB0BDD"/>
    <w:rsid w:val="00BB176C"/>
    <w:rsid w:val="00BB1948"/>
    <w:rsid w:val="00BB2A73"/>
    <w:rsid w:val="00BB3777"/>
    <w:rsid w:val="00BB3A45"/>
    <w:rsid w:val="00BB4324"/>
    <w:rsid w:val="00BB4ACC"/>
    <w:rsid w:val="00BB5B30"/>
    <w:rsid w:val="00BB702A"/>
    <w:rsid w:val="00BB703E"/>
    <w:rsid w:val="00BB732D"/>
    <w:rsid w:val="00BB7405"/>
    <w:rsid w:val="00BC0280"/>
    <w:rsid w:val="00BC1681"/>
    <w:rsid w:val="00BC3015"/>
    <w:rsid w:val="00BC3631"/>
    <w:rsid w:val="00BC5691"/>
    <w:rsid w:val="00BC591F"/>
    <w:rsid w:val="00BC7D6D"/>
    <w:rsid w:val="00BC7D7B"/>
    <w:rsid w:val="00BD0A0B"/>
    <w:rsid w:val="00BD2108"/>
    <w:rsid w:val="00BD2C94"/>
    <w:rsid w:val="00BD41A4"/>
    <w:rsid w:val="00BD4244"/>
    <w:rsid w:val="00BD4946"/>
    <w:rsid w:val="00BD5172"/>
    <w:rsid w:val="00BD589E"/>
    <w:rsid w:val="00BD5E1F"/>
    <w:rsid w:val="00BD68A3"/>
    <w:rsid w:val="00BD6938"/>
    <w:rsid w:val="00BD6CF3"/>
    <w:rsid w:val="00BD6EB7"/>
    <w:rsid w:val="00BD7F72"/>
    <w:rsid w:val="00BE0ECA"/>
    <w:rsid w:val="00BE2180"/>
    <w:rsid w:val="00BE21F2"/>
    <w:rsid w:val="00BE2472"/>
    <w:rsid w:val="00BE2A16"/>
    <w:rsid w:val="00BE32EB"/>
    <w:rsid w:val="00BE4275"/>
    <w:rsid w:val="00BE4F99"/>
    <w:rsid w:val="00BE5198"/>
    <w:rsid w:val="00BE5663"/>
    <w:rsid w:val="00BE5E98"/>
    <w:rsid w:val="00BE5FCE"/>
    <w:rsid w:val="00BE6133"/>
    <w:rsid w:val="00BF06AE"/>
    <w:rsid w:val="00BF0B80"/>
    <w:rsid w:val="00BF0EFA"/>
    <w:rsid w:val="00BF0F95"/>
    <w:rsid w:val="00BF168A"/>
    <w:rsid w:val="00BF194C"/>
    <w:rsid w:val="00BF1DD3"/>
    <w:rsid w:val="00BF2433"/>
    <w:rsid w:val="00BF2BFB"/>
    <w:rsid w:val="00BF2D04"/>
    <w:rsid w:val="00BF2E6E"/>
    <w:rsid w:val="00BF2F96"/>
    <w:rsid w:val="00BF3A2A"/>
    <w:rsid w:val="00BF40CC"/>
    <w:rsid w:val="00BF482F"/>
    <w:rsid w:val="00BF5D02"/>
    <w:rsid w:val="00BF61C9"/>
    <w:rsid w:val="00BF6C94"/>
    <w:rsid w:val="00C00424"/>
    <w:rsid w:val="00C00BB0"/>
    <w:rsid w:val="00C00E95"/>
    <w:rsid w:val="00C01F9D"/>
    <w:rsid w:val="00C020AA"/>
    <w:rsid w:val="00C033AE"/>
    <w:rsid w:val="00C0789D"/>
    <w:rsid w:val="00C10F47"/>
    <w:rsid w:val="00C1179F"/>
    <w:rsid w:val="00C1252E"/>
    <w:rsid w:val="00C127B9"/>
    <w:rsid w:val="00C128FA"/>
    <w:rsid w:val="00C12C14"/>
    <w:rsid w:val="00C131A8"/>
    <w:rsid w:val="00C1459D"/>
    <w:rsid w:val="00C14CA2"/>
    <w:rsid w:val="00C14CB4"/>
    <w:rsid w:val="00C15603"/>
    <w:rsid w:val="00C15F04"/>
    <w:rsid w:val="00C164E3"/>
    <w:rsid w:val="00C179B3"/>
    <w:rsid w:val="00C17E3F"/>
    <w:rsid w:val="00C200AA"/>
    <w:rsid w:val="00C20E2E"/>
    <w:rsid w:val="00C21A98"/>
    <w:rsid w:val="00C231E7"/>
    <w:rsid w:val="00C237ED"/>
    <w:rsid w:val="00C24632"/>
    <w:rsid w:val="00C24732"/>
    <w:rsid w:val="00C24A50"/>
    <w:rsid w:val="00C24AED"/>
    <w:rsid w:val="00C24F08"/>
    <w:rsid w:val="00C2534C"/>
    <w:rsid w:val="00C25418"/>
    <w:rsid w:val="00C25D9C"/>
    <w:rsid w:val="00C2778B"/>
    <w:rsid w:val="00C27A80"/>
    <w:rsid w:val="00C30183"/>
    <w:rsid w:val="00C31422"/>
    <w:rsid w:val="00C315F7"/>
    <w:rsid w:val="00C31649"/>
    <w:rsid w:val="00C341B5"/>
    <w:rsid w:val="00C3434C"/>
    <w:rsid w:val="00C36635"/>
    <w:rsid w:val="00C370E8"/>
    <w:rsid w:val="00C40385"/>
    <w:rsid w:val="00C41768"/>
    <w:rsid w:val="00C41EDC"/>
    <w:rsid w:val="00C41F41"/>
    <w:rsid w:val="00C428E8"/>
    <w:rsid w:val="00C43C4A"/>
    <w:rsid w:val="00C44B91"/>
    <w:rsid w:val="00C46861"/>
    <w:rsid w:val="00C469B8"/>
    <w:rsid w:val="00C475AA"/>
    <w:rsid w:val="00C50116"/>
    <w:rsid w:val="00C51991"/>
    <w:rsid w:val="00C51E49"/>
    <w:rsid w:val="00C5237B"/>
    <w:rsid w:val="00C527C7"/>
    <w:rsid w:val="00C52E18"/>
    <w:rsid w:val="00C53C98"/>
    <w:rsid w:val="00C54406"/>
    <w:rsid w:val="00C55704"/>
    <w:rsid w:val="00C559BC"/>
    <w:rsid w:val="00C56FCF"/>
    <w:rsid w:val="00C572F6"/>
    <w:rsid w:val="00C57340"/>
    <w:rsid w:val="00C57B6C"/>
    <w:rsid w:val="00C60856"/>
    <w:rsid w:val="00C6091D"/>
    <w:rsid w:val="00C61A59"/>
    <w:rsid w:val="00C61D78"/>
    <w:rsid w:val="00C620BC"/>
    <w:rsid w:val="00C62555"/>
    <w:rsid w:val="00C628A6"/>
    <w:rsid w:val="00C62A4E"/>
    <w:rsid w:val="00C63EAC"/>
    <w:rsid w:val="00C642A7"/>
    <w:rsid w:val="00C642CB"/>
    <w:rsid w:val="00C64344"/>
    <w:rsid w:val="00C64F41"/>
    <w:rsid w:val="00C65108"/>
    <w:rsid w:val="00C65576"/>
    <w:rsid w:val="00C66165"/>
    <w:rsid w:val="00C66E04"/>
    <w:rsid w:val="00C67941"/>
    <w:rsid w:val="00C7060A"/>
    <w:rsid w:val="00C7109D"/>
    <w:rsid w:val="00C7151A"/>
    <w:rsid w:val="00C717E3"/>
    <w:rsid w:val="00C71A14"/>
    <w:rsid w:val="00C71A60"/>
    <w:rsid w:val="00C71F60"/>
    <w:rsid w:val="00C72241"/>
    <w:rsid w:val="00C72D91"/>
    <w:rsid w:val="00C7371C"/>
    <w:rsid w:val="00C74D61"/>
    <w:rsid w:val="00C750C8"/>
    <w:rsid w:val="00C7560F"/>
    <w:rsid w:val="00C75B7F"/>
    <w:rsid w:val="00C771F9"/>
    <w:rsid w:val="00C77757"/>
    <w:rsid w:val="00C80A0E"/>
    <w:rsid w:val="00C8189F"/>
    <w:rsid w:val="00C8213F"/>
    <w:rsid w:val="00C824E3"/>
    <w:rsid w:val="00C82DE2"/>
    <w:rsid w:val="00C82E26"/>
    <w:rsid w:val="00C8303F"/>
    <w:rsid w:val="00C85154"/>
    <w:rsid w:val="00C85A70"/>
    <w:rsid w:val="00C85A77"/>
    <w:rsid w:val="00C86418"/>
    <w:rsid w:val="00C8696D"/>
    <w:rsid w:val="00C8797A"/>
    <w:rsid w:val="00C900B8"/>
    <w:rsid w:val="00C90197"/>
    <w:rsid w:val="00C90998"/>
    <w:rsid w:val="00C90B26"/>
    <w:rsid w:val="00C90C71"/>
    <w:rsid w:val="00C91B1F"/>
    <w:rsid w:val="00C91FD1"/>
    <w:rsid w:val="00C92A81"/>
    <w:rsid w:val="00C931CF"/>
    <w:rsid w:val="00C938CF"/>
    <w:rsid w:val="00C939AB"/>
    <w:rsid w:val="00C94053"/>
    <w:rsid w:val="00C9539C"/>
    <w:rsid w:val="00C955CA"/>
    <w:rsid w:val="00C95F0A"/>
    <w:rsid w:val="00C9624D"/>
    <w:rsid w:val="00C962FB"/>
    <w:rsid w:val="00C969DA"/>
    <w:rsid w:val="00C96B3D"/>
    <w:rsid w:val="00CA0BA1"/>
    <w:rsid w:val="00CA22D3"/>
    <w:rsid w:val="00CA2C77"/>
    <w:rsid w:val="00CA3C7B"/>
    <w:rsid w:val="00CA444F"/>
    <w:rsid w:val="00CA457F"/>
    <w:rsid w:val="00CA5245"/>
    <w:rsid w:val="00CA5DEA"/>
    <w:rsid w:val="00CA5E5F"/>
    <w:rsid w:val="00CA5E6E"/>
    <w:rsid w:val="00CA71F4"/>
    <w:rsid w:val="00CA7706"/>
    <w:rsid w:val="00CA78FB"/>
    <w:rsid w:val="00CA7B09"/>
    <w:rsid w:val="00CB0090"/>
    <w:rsid w:val="00CB1113"/>
    <w:rsid w:val="00CB12A5"/>
    <w:rsid w:val="00CB1CAC"/>
    <w:rsid w:val="00CB2F2A"/>
    <w:rsid w:val="00CB32E8"/>
    <w:rsid w:val="00CB3797"/>
    <w:rsid w:val="00CB4379"/>
    <w:rsid w:val="00CB51AD"/>
    <w:rsid w:val="00CB5B1A"/>
    <w:rsid w:val="00CB5E28"/>
    <w:rsid w:val="00CB5E4B"/>
    <w:rsid w:val="00CB5FE6"/>
    <w:rsid w:val="00CB6B22"/>
    <w:rsid w:val="00CB74F4"/>
    <w:rsid w:val="00CB7F5F"/>
    <w:rsid w:val="00CC16D4"/>
    <w:rsid w:val="00CC1B39"/>
    <w:rsid w:val="00CC1BC3"/>
    <w:rsid w:val="00CC1BFA"/>
    <w:rsid w:val="00CC2E9F"/>
    <w:rsid w:val="00CC35EA"/>
    <w:rsid w:val="00CC3848"/>
    <w:rsid w:val="00CC3950"/>
    <w:rsid w:val="00CC3BF2"/>
    <w:rsid w:val="00CC5B47"/>
    <w:rsid w:val="00CC5E47"/>
    <w:rsid w:val="00CC66C1"/>
    <w:rsid w:val="00CC6D5E"/>
    <w:rsid w:val="00CC7B82"/>
    <w:rsid w:val="00CC7D25"/>
    <w:rsid w:val="00CD0200"/>
    <w:rsid w:val="00CD1CEE"/>
    <w:rsid w:val="00CD2842"/>
    <w:rsid w:val="00CD28A8"/>
    <w:rsid w:val="00CD3F77"/>
    <w:rsid w:val="00CD4C9C"/>
    <w:rsid w:val="00CD4E6F"/>
    <w:rsid w:val="00CD5573"/>
    <w:rsid w:val="00CD571F"/>
    <w:rsid w:val="00CD5983"/>
    <w:rsid w:val="00CD598A"/>
    <w:rsid w:val="00CD5F51"/>
    <w:rsid w:val="00CD61E0"/>
    <w:rsid w:val="00CD645A"/>
    <w:rsid w:val="00CD6ADC"/>
    <w:rsid w:val="00CD7193"/>
    <w:rsid w:val="00CD7C55"/>
    <w:rsid w:val="00CE3692"/>
    <w:rsid w:val="00CE38A6"/>
    <w:rsid w:val="00CE38C8"/>
    <w:rsid w:val="00CE4AC2"/>
    <w:rsid w:val="00CE524F"/>
    <w:rsid w:val="00CE58CC"/>
    <w:rsid w:val="00CE5A61"/>
    <w:rsid w:val="00CE6274"/>
    <w:rsid w:val="00CE7298"/>
    <w:rsid w:val="00CE77B6"/>
    <w:rsid w:val="00CE7B4C"/>
    <w:rsid w:val="00CF15F1"/>
    <w:rsid w:val="00CF19C6"/>
    <w:rsid w:val="00CF243F"/>
    <w:rsid w:val="00CF2B8D"/>
    <w:rsid w:val="00CF2E22"/>
    <w:rsid w:val="00CF3164"/>
    <w:rsid w:val="00CF3A1B"/>
    <w:rsid w:val="00CF3F6F"/>
    <w:rsid w:val="00CF456B"/>
    <w:rsid w:val="00CF5872"/>
    <w:rsid w:val="00CF5A22"/>
    <w:rsid w:val="00CF5A5A"/>
    <w:rsid w:val="00CF60BD"/>
    <w:rsid w:val="00CF652D"/>
    <w:rsid w:val="00CF6A9E"/>
    <w:rsid w:val="00CF78C8"/>
    <w:rsid w:val="00D0014D"/>
    <w:rsid w:val="00D0056C"/>
    <w:rsid w:val="00D01B62"/>
    <w:rsid w:val="00D0262E"/>
    <w:rsid w:val="00D03679"/>
    <w:rsid w:val="00D0463F"/>
    <w:rsid w:val="00D05887"/>
    <w:rsid w:val="00D05E3D"/>
    <w:rsid w:val="00D06139"/>
    <w:rsid w:val="00D1025B"/>
    <w:rsid w:val="00D10929"/>
    <w:rsid w:val="00D10F87"/>
    <w:rsid w:val="00D110BD"/>
    <w:rsid w:val="00D116CB"/>
    <w:rsid w:val="00D13675"/>
    <w:rsid w:val="00D141E1"/>
    <w:rsid w:val="00D15314"/>
    <w:rsid w:val="00D154E3"/>
    <w:rsid w:val="00D15B48"/>
    <w:rsid w:val="00D164B4"/>
    <w:rsid w:val="00D17D6C"/>
    <w:rsid w:val="00D203D8"/>
    <w:rsid w:val="00D207C2"/>
    <w:rsid w:val="00D20D90"/>
    <w:rsid w:val="00D2155B"/>
    <w:rsid w:val="00D22E70"/>
    <w:rsid w:val="00D22FBC"/>
    <w:rsid w:val="00D23D11"/>
    <w:rsid w:val="00D244B6"/>
    <w:rsid w:val="00D2456B"/>
    <w:rsid w:val="00D24B8C"/>
    <w:rsid w:val="00D2576D"/>
    <w:rsid w:val="00D263FC"/>
    <w:rsid w:val="00D2740D"/>
    <w:rsid w:val="00D2754D"/>
    <w:rsid w:val="00D27746"/>
    <w:rsid w:val="00D27B27"/>
    <w:rsid w:val="00D27EDC"/>
    <w:rsid w:val="00D30262"/>
    <w:rsid w:val="00D304AB"/>
    <w:rsid w:val="00D30C57"/>
    <w:rsid w:val="00D30D5B"/>
    <w:rsid w:val="00D30E31"/>
    <w:rsid w:val="00D31782"/>
    <w:rsid w:val="00D31CCB"/>
    <w:rsid w:val="00D33750"/>
    <w:rsid w:val="00D33839"/>
    <w:rsid w:val="00D33BE9"/>
    <w:rsid w:val="00D33F93"/>
    <w:rsid w:val="00D357FF"/>
    <w:rsid w:val="00D35FA3"/>
    <w:rsid w:val="00D403FA"/>
    <w:rsid w:val="00D40506"/>
    <w:rsid w:val="00D40D83"/>
    <w:rsid w:val="00D424C7"/>
    <w:rsid w:val="00D4295F"/>
    <w:rsid w:val="00D43B2A"/>
    <w:rsid w:val="00D43BDF"/>
    <w:rsid w:val="00D43C14"/>
    <w:rsid w:val="00D43CF1"/>
    <w:rsid w:val="00D43D83"/>
    <w:rsid w:val="00D44B72"/>
    <w:rsid w:val="00D44E4A"/>
    <w:rsid w:val="00D45B13"/>
    <w:rsid w:val="00D45DAE"/>
    <w:rsid w:val="00D45F9E"/>
    <w:rsid w:val="00D46777"/>
    <w:rsid w:val="00D46F2F"/>
    <w:rsid w:val="00D47174"/>
    <w:rsid w:val="00D47575"/>
    <w:rsid w:val="00D5087F"/>
    <w:rsid w:val="00D5243B"/>
    <w:rsid w:val="00D533EC"/>
    <w:rsid w:val="00D55023"/>
    <w:rsid w:val="00D55E9B"/>
    <w:rsid w:val="00D56A95"/>
    <w:rsid w:val="00D57461"/>
    <w:rsid w:val="00D57F11"/>
    <w:rsid w:val="00D6076E"/>
    <w:rsid w:val="00D61151"/>
    <w:rsid w:val="00D62822"/>
    <w:rsid w:val="00D633C4"/>
    <w:rsid w:val="00D63FFB"/>
    <w:rsid w:val="00D65D17"/>
    <w:rsid w:val="00D706A7"/>
    <w:rsid w:val="00D70F16"/>
    <w:rsid w:val="00D71EBB"/>
    <w:rsid w:val="00D72617"/>
    <w:rsid w:val="00D72F57"/>
    <w:rsid w:val="00D75375"/>
    <w:rsid w:val="00D7566A"/>
    <w:rsid w:val="00D769AF"/>
    <w:rsid w:val="00D76A44"/>
    <w:rsid w:val="00D77B79"/>
    <w:rsid w:val="00D77BDB"/>
    <w:rsid w:val="00D815EF"/>
    <w:rsid w:val="00D81949"/>
    <w:rsid w:val="00D81F26"/>
    <w:rsid w:val="00D82079"/>
    <w:rsid w:val="00D82187"/>
    <w:rsid w:val="00D822E2"/>
    <w:rsid w:val="00D82AC2"/>
    <w:rsid w:val="00D8394D"/>
    <w:rsid w:val="00D83E9A"/>
    <w:rsid w:val="00D842DC"/>
    <w:rsid w:val="00D843F2"/>
    <w:rsid w:val="00D85532"/>
    <w:rsid w:val="00D86175"/>
    <w:rsid w:val="00D86231"/>
    <w:rsid w:val="00D87756"/>
    <w:rsid w:val="00D912AB"/>
    <w:rsid w:val="00D91923"/>
    <w:rsid w:val="00D92A97"/>
    <w:rsid w:val="00D92D9D"/>
    <w:rsid w:val="00D93753"/>
    <w:rsid w:val="00D93F51"/>
    <w:rsid w:val="00D94A5E"/>
    <w:rsid w:val="00D96BAE"/>
    <w:rsid w:val="00D9778C"/>
    <w:rsid w:val="00DA0414"/>
    <w:rsid w:val="00DA1A67"/>
    <w:rsid w:val="00DA2444"/>
    <w:rsid w:val="00DA298E"/>
    <w:rsid w:val="00DA3167"/>
    <w:rsid w:val="00DA33CD"/>
    <w:rsid w:val="00DA3ECD"/>
    <w:rsid w:val="00DA41A0"/>
    <w:rsid w:val="00DA4DC3"/>
    <w:rsid w:val="00DA573C"/>
    <w:rsid w:val="00DA5906"/>
    <w:rsid w:val="00DA7268"/>
    <w:rsid w:val="00DA77A5"/>
    <w:rsid w:val="00DA7A42"/>
    <w:rsid w:val="00DB00D3"/>
    <w:rsid w:val="00DB0627"/>
    <w:rsid w:val="00DB0E36"/>
    <w:rsid w:val="00DB1B24"/>
    <w:rsid w:val="00DB2723"/>
    <w:rsid w:val="00DB353F"/>
    <w:rsid w:val="00DB3A89"/>
    <w:rsid w:val="00DB3DBF"/>
    <w:rsid w:val="00DB484F"/>
    <w:rsid w:val="00DB4970"/>
    <w:rsid w:val="00DB5DBE"/>
    <w:rsid w:val="00DB7377"/>
    <w:rsid w:val="00DB7537"/>
    <w:rsid w:val="00DC041E"/>
    <w:rsid w:val="00DC04F6"/>
    <w:rsid w:val="00DC0690"/>
    <w:rsid w:val="00DC1D65"/>
    <w:rsid w:val="00DC3C57"/>
    <w:rsid w:val="00DC414E"/>
    <w:rsid w:val="00DC51CC"/>
    <w:rsid w:val="00DC5501"/>
    <w:rsid w:val="00DC5DE4"/>
    <w:rsid w:val="00DC6A87"/>
    <w:rsid w:val="00DC7154"/>
    <w:rsid w:val="00DC7727"/>
    <w:rsid w:val="00DC7E8A"/>
    <w:rsid w:val="00DC7FE6"/>
    <w:rsid w:val="00DD0F78"/>
    <w:rsid w:val="00DD1408"/>
    <w:rsid w:val="00DD17EF"/>
    <w:rsid w:val="00DD1A9E"/>
    <w:rsid w:val="00DD273C"/>
    <w:rsid w:val="00DD3F28"/>
    <w:rsid w:val="00DD4446"/>
    <w:rsid w:val="00DD4537"/>
    <w:rsid w:val="00DD4E15"/>
    <w:rsid w:val="00DD5E54"/>
    <w:rsid w:val="00DE06C8"/>
    <w:rsid w:val="00DE2304"/>
    <w:rsid w:val="00DE3138"/>
    <w:rsid w:val="00DE37F8"/>
    <w:rsid w:val="00DE4273"/>
    <w:rsid w:val="00DE462A"/>
    <w:rsid w:val="00DE4FCB"/>
    <w:rsid w:val="00DE5D07"/>
    <w:rsid w:val="00DE72A7"/>
    <w:rsid w:val="00DE7832"/>
    <w:rsid w:val="00DF1528"/>
    <w:rsid w:val="00DF18FC"/>
    <w:rsid w:val="00DF1FB5"/>
    <w:rsid w:val="00DF3B56"/>
    <w:rsid w:val="00DF3E96"/>
    <w:rsid w:val="00DF4555"/>
    <w:rsid w:val="00DF466C"/>
    <w:rsid w:val="00DF53C3"/>
    <w:rsid w:val="00DF573E"/>
    <w:rsid w:val="00DF58B5"/>
    <w:rsid w:val="00DF5C7D"/>
    <w:rsid w:val="00DF5CEB"/>
    <w:rsid w:val="00DF5D2B"/>
    <w:rsid w:val="00DF6177"/>
    <w:rsid w:val="00DF6341"/>
    <w:rsid w:val="00DF6380"/>
    <w:rsid w:val="00DF64E9"/>
    <w:rsid w:val="00DF6ACC"/>
    <w:rsid w:val="00DF7C80"/>
    <w:rsid w:val="00E00646"/>
    <w:rsid w:val="00E00E8E"/>
    <w:rsid w:val="00E02694"/>
    <w:rsid w:val="00E02984"/>
    <w:rsid w:val="00E029B1"/>
    <w:rsid w:val="00E02B9C"/>
    <w:rsid w:val="00E03B4C"/>
    <w:rsid w:val="00E045E1"/>
    <w:rsid w:val="00E047B4"/>
    <w:rsid w:val="00E05630"/>
    <w:rsid w:val="00E06DBB"/>
    <w:rsid w:val="00E07F4A"/>
    <w:rsid w:val="00E10149"/>
    <w:rsid w:val="00E107B4"/>
    <w:rsid w:val="00E107EF"/>
    <w:rsid w:val="00E10846"/>
    <w:rsid w:val="00E10C89"/>
    <w:rsid w:val="00E11340"/>
    <w:rsid w:val="00E113C8"/>
    <w:rsid w:val="00E11511"/>
    <w:rsid w:val="00E117BF"/>
    <w:rsid w:val="00E11A28"/>
    <w:rsid w:val="00E122A1"/>
    <w:rsid w:val="00E122B7"/>
    <w:rsid w:val="00E13455"/>
    <w:rsid w:val="00E13460"/>
    <w:rsid w:val="00E1413E"/>
    <w:rsid w:val="00E149A8"/>
    <w:rsid w:val="00E16372"/>
    <w:rsid w:val="00E165C2"/>
    <w:rsid w:val="00E1662A"/>
    <w:rsid w:val="00E16AD8"/>
    <w:rsid w:val="00E17FFA"/>
    <w:rsid w:val="00E20C1A"/>
    <w:rsid w:val="00E20E4D"/>
    <w:rsid w:val="00E20ED6"/>
    <w:rsid w:val="00E21126"/>
    <w:rsid w:val="00E21358"/>
    <w:rsid w:val="00E21685"/>
    <w:rsid w:val="00E2249B"/>
    <w:rsid w:val="00E225C6"/>
    <w:rsid w:val="00E22A0D"/>
    <w:rsid w:val="00E240ED"/>
    <w:rsid w:val="00E244F6"/>
    <w:rsid w:val="00E246F8"/>
    <w:rsid w:val="00E254E6"/>
    <w:rsid w:val="00E258DB"/>
    <w:rsid w:val="00E268CE"/>
    <w:rsid w:val="00E2771E"/>
    <w:rsid w:val="00E27BB3"/>
    <w:rsid w:val="00E27EDC"/>
    <w:rsid w:val="00E307E6"/>
    <w:rsid w:val="00E30D86"/>
    <w:rsid w:val="00E311EF"/>
    <w:rsid w:val="00E32180"/>
    <w:rsid w:val="00E332A4"/>
    <w:rsid w:val="00E34948"/>
    <w:rsid w:val="00E3533A"/>
    <w:rsid w:val="00E356FE"/>
    <w:rsid w:val="00E36017"/>
    <w:rsid w:val="00E37569"/>
    <w:rsid w:val="00E379A7"/>
    <w:rsid w:val="00E401B2"/>
    <w:rsid w:val="00E40600"/>
    <w:rsid w:val="00E41E30"/>
    <w:rsid w:val="00E42F73"/>
    <w:rsid w:val="00E43D70"/>
    <w:rsid w:val="00E44DA7"/>
    <w:rsid w:val="00E44FD9"/>
    <w:rsid w:val="00E466F3"/>
    <w:rsid w:val="00E474D6"/>
    <w:rsid w:val="00E47B2C"/>
    <w:rsid w:val="00E51560"/>
    <w:rsid w:val="00E51821"/>
    <w:rsid w:val="00E521BD"/>
    <w:rsid w:val="00E52608"/>
    <w:rsid w:val="00E529A2"/>
    <w:rsid w:val="00E52E3F"/>
    <w:rsid w:val="00E53FC8"/>
    <w:rsid w:val="00E54347"/>
    <w:rsid w:val="00E55424"/>
    <w:rsid w:val="00E554D3"/>
    <w:rsid w:val="00E55915"/>
    <w:rsid w:val="00E55BB5"/>
    <w:rsid w:val="00E5610E"/>
    <w:rsid w:val="00E601F2"/>
    <w:rsid w:val="00E6076D"/>
    <w:rsid w:val="00E611DF"/>
    <w:rsid w:val="00E6188C"/>
    <w:rsid w:val="00E62050"/>
    <w:rsid w:val="00E62931"/>
    <w:rsid w:val="00E63DEF"/>
    <w:rsid w:val="00E6426A"/>
    <w:rsid w:val="00E64920"/>
    <w:rsid w:val="00E64B49"/>
    <w:rsid w:val="00E64CCF"/>
    <w:rsid w:val="00E65E79"/>
    <w:rsid w:val="00E65FA0"/>
    <w:rsid w:val="00E66A42"/>
    <w:rsid w:val="00E66BA2"/>
    <w:rsid w:val="00E67416"/>
    <w:rsid w:val="00E67B04"/>
    <w:rsid w:val="00E70DD5"/>
    <w:rsid w:val="00E718B6"/>
    <w:rsid w:val="00E723A7"/>
    <w:rsid w:val="00E723BA"/>
    <w:rsid w:val="00E723ED"/>
    <w:rsid w:val="00E725F1"/>
    <w:rsid w:val="00E73581"/>
    <w:rsid w:val="00E75F4E"/>
    <w:rsid w:val="00E771E0"/>
    <w:rsid w:val="00E77400"/>
    <w:rsid w:val="00E7753A"/>
    <w:rsid w:val="00E775DB"/>
    <w:rsid w:val="00E77909"/>
    <w:rsid w:val="00E77D89"/>
    <w:rsid w:val="00E81CD0"/>
    <w:rsid w:val="00E81DBB"/>
    <w:rsid w:val="00E8283D"/>
    <w:rsid w:val="00E82D1F"/>
    <w:rsid w:val="00E83000"/>
    <w:rsid w:val="00E833F7"/>
    <w:rsid w:val="00E83532"/>
    <w:rsid w:val="00E83BDF"/>
    <w:rsid w:val="00E8529A"/>
    <w:rsid w:val="00E86FCC"/>
    <w:rsid w:val="00E87A1D"/>
    <w:rsid w:val="00E87F40"/>
    <w:rsid w:val="00E9094A"/>
    <w:rsid w:val="00E912B4"/>
    <w:rsid w:val="00E9199F"/>
    <w:rsid w:val="00E91B0B"/>
    <w:rsid w:val="00E91D35"/>
    <w:rsid w:val="00E926A5"/>
    <w:rsid w:val="00E9365C"/>
    <w:rsid w:val="00E96120"/>
    <w:rsid w:val="00E962CC"/>
    <w:rsid w:val="00E972FF"/>
    <w:rsid w:val="00E97E03"/>
    <w:rsid w:val="00E97F98"/>
    <w:rsid w:val="00EA007C"/>
    <w:rsid w:val="00EA047A"/>
    <w:rsid w:val="00EA04C4"/>
    <w:rsid w:val="00EA17C3"/>
    <w:rsid w:val="00EA2883"/>
    <w:rsid w:val="00EA2CAA"/>
    <w:rsid w:val="00EA2F5B"/>
    <w:rsid w:val="00EA348D"/>
    <w:rsid w:val="00EA34E4"/>
    <w:rsid w:val="00EA3864"/>
    <w:rsid w:val="00EA51E8"/>
    <w:rsid w:val="00EA5E34"/>
    <w:rsid w:val="00EA6716"/>
    <w:rsid w:val="00EA6DDD"/>
    <w:rsid w:val="00EA7C2C"/>
    <w:rsid w:val="00EA7F1C"/>
    <w:rsid w:val="00EB085B"/>
    <w:rsid w:val="00EB0DEE"/>
    <w:rsid w:val="00EB15B6"/>
    <w:rsid w:val="00EB3027"/>
    <w:rsid w:val="00EB36AB"/>
    <w:rsid w:val="00EB3D06"/>
    <w:rsid w:val="00EB3DC6"/>
    <w:rsid w:val="00EB4544"/>
    <w:rsid w:val="00EB4916"/>
    <w:rsid w:val="00EB50FC"/>
    <w:rsid w:val="00EB619A"/>
    <w:rsid w:val="00EB752D"/>
    <w:rsid w:val="00EB7D6A"/>
    <w:rsid w:val="00EC00C9"/>
    <w:rsid w:val="00EC052D"/>
    <w:rsid w:val="00EC0B2A"/>
    <w:rsid w:val="00EC0DD9"/>
    <w:rsid w:val="00EC182F"/>
    <w:rsid w:val="00EC1F7A"/>
    <w:rsid w:val="00EC23DC"/>
    <w:rsid w:val="00EC2649"/>
    <w:rsid w:val="00EC27D0"/>
    <w:rsid w:val="00EC2971"/>
    <w:rsid w:val="00EC31ED"/>
    <w:rsid w:val="00EC3864"/>
    <w:rsid w:val="00EC3B05"/>
    <w:rsid w:val="00EC5836"/>
    <w:rsid w:val="00EC688C"/>
    <w:rsid w:val="00EC73B6"/>
    <w:rsid w:val="00EC7D74"/>
    <w:rsid w:val="00ED0B95"/>
    <w:rsid w:val="00ED0CBB"/>
    <w:rsid w:val="00ED12E3"/>
    <w:rsid w:val="00ED14B2"/>
    <w:rsid w:val="00ED2D56"/>
    <w:rsid w:val="00ED4401"/>
    <w:rsid w:val="00ED4B04"/>
    <w:rsid w:val="00ED57EA"/>
    <w:rsid w:val="00ED5BD4"/>
    <w:rsid w:val="00EE07D3"/>
    <w:rsid w:val="00EE07E3"/>
    <w:rsid w:val="00EE0D0B"/>
    <w:rsid w:val="00EE176D"/>
    <w:rsid w:val="00EE1996"/>
    <w:rsid w:val="00EE1C01"/>
    <w:rsid w:val="00EE1F20"/>
    <w:rsid w:val="00EE22AF"/>
    <w:rsid w:val="00EE59D0"/>
    <w:rsid w:val="00EE6479"/>
    <w:rsid w:val="00EE7434"/>
    <w:rsid w:val="00EE7FF7"/>
    <w:rsid w:val="00EF0171"/>
    <w:rsid w:val="00EF1B25"/>
    <w:rsid w:val="00EF1DA0"/>
    <w:rsid w:val="00EF1F78"/>
    <w:rsid w:val="00EF23DF"/>
    <w:rsid w:val="00EF4747"/>
    <w:rsid w:val="00EF4BF8"/>
    <w:rsid w:val="00EF4C9E"/>
    <w:rsid w:val="00EF4F83"/>
    <w:rsid w:val="00EF7E4E"/>
    <w:rsid w:val="00F001F5"/>
    <w:rsid w:val="00F002A1"/>
    <w:rsid w:val="00F01F6E"/>
    <w:rsid w:val="00F020DB"/>
    <w:rsid w:val="00F0217C"/>
    <w:rsid w:val="00F02253"/>
    <w:rsid w:val="00F02326"/>
    <w:rsid w:val="00F037B9"/>
    <w:rsid w:val="00F03C2E"/>
    <w:rsid w:val="00F03FE9"/>
    <w:rsid w:val="00F04478"/>
    <w:rsid w:val="00F049A4"/>
    <w:rsid w:val="00F04A66"/>
    <w:rsid w:val="00F04B4B"/>
    <w:rsid w:val="00F0516C"/>
    <w:rsid w:val="00F05177"/>
    <w:rsid w:val="00F0530D"/>
    <w:rsid w:val="00F0660A"/>
    <w:rsid w:val="00F06646"/>
    <w:rsid w:val="00F067A2"/>
    <w:rsid w:val="00F06CCD"/>
    <w:rsid w:val="00F07575"/>
    <w:rsid w:val="00F076C1"/>
    <w:rsid w:val="00F07B9E"/>
    <w:rsid w:val="00F07BFF"/>
    <w:rsid w:val="00F104B2"/>
    <w:rsid w:val="00F1116F"/>
    <w:rsid w:val="00F12608"/>
    <w:rsid w:val="00F1263A"/>
    <w:rsid w:val="00F12A5A"/>
    <w:rsid w:val="00F139C5"/>
    <w:rsid w:val="00F15B77"/>
    <w:rsid w:val="00F21236"/>
    <w:rsid w:val="00F220CA"/>
    <w:rsid w:val="00F22BD6"/>
    <w:rsid w:val="00F23982"/>
    <w:rsid w:val="00F239DF"/>
    <w:rsid w:val="00F24837"/>
    <w:rsid w:val="00F251E4"/>
    <w:rsid w:val="00F255D6"/>
    <w:rsid w:val="00F2575F"/>
    <w:rsid w:val="00F264B5"/>
    <w:rsid w:val="00F26784"/>
    <w:rsid w:val="00F27565"/>
    <w:rsid w:val="00F30748"/>
    <w:rsid w:val="00F30B4C"/>
    <w:rsid w:val="00F310D4"/>
    <w:rsid w:val="00F319C6"/>
    <w:rsid w:val="00F31D5A"/>
    <w:rsid w:val="00F33556"/>
    <w:rsid w:val="00F3355D"/>
    <w:rsid w:val="00F33975"/>
    <w:rsid w:val="00F33DE9"/>
    <w:rsid w:val="00F3469F"/>
    <w:rsid w:val="00F35E6D"/>
    <w:rsid w:val="00F3601D"/>
    <w:rsid w:val="00F3619A"/>
    <w:rsid w:val="00F37C0A"/>
    <w:rsid w:val="00F40AAA"/>
    <w:rsid w:val="00F40BA7"/>
    <w:rsid w:val="00F40F9D"/>
    <w:rsid w:val="00F41A4D"/>
    <w:rsid w:val="00F41ACD"/>
    <w:rsid w:val="00F42DBD"/>
    <w:rsid w:val="00F432FF"/>
    <w:rsid w:val="00F43B7A"/>
    <w:rsid w:val="00F43DBA"/>
    <w:rsid w:val="00F4517D"/>
    <w:rsid w:val="00F46CB6"/>
    <w:rsid w:val="00F4756D"/>
    <w:rsid w:val="00F47D69"/>
    <w:rsid w:val="00F47DE8"/>
    <w:rsid w:val="00F518E1"/>
    <w:rsid w:val="00F51F8C"/>
    <w:rsid w:val="00F52F57"/>
    <w:rsid w:val="00F5309E"/>
    <w:rsid w:val="00F534BC"/>
    <w:rsid w:val="00F5372D"/>
    <w:rsid w:val="00F537E8"/>
    <w:rsid w:val="00F542C1"/>
    <w:rsid w:val="00F550E3"/>
    <w:rsid w:val="00F55AB7"/>
    <w:rsid w:val="00F55E73"/>
    <w:rsid w:val="00F55EDA"/>
    <w:rsid w:val="00F56C80"/>
    <w:rsid w:val="00F60092"/>
    <w:rsid w:val="00F60BB9"/>
    <w:rsid w:val="00F61C18"/>
    <w:rsid w:val="00F621C9"/>
    <w:rsid w:val="00F64417"/>
    <w:rsid w:val="00F65F4B"/>
    <w:rsid w:val="00F65FD0"/>
    <w:rsid w:val="00F67711"/>
    <w:rsid w:val="00F67A69"/>
    <w:rsid w:val="00F70BFF"/>
    <w:rsid w:val="00F70C9D"/>
    <w:rsid w:val="00F719A6"/>
    <w:rsid w:val="00F721FE"/>
    <w:rsid w:val="00F7292F"/>
    <w:rsid w:val="00F73052"/>
    <w:rsid w:val="00F73E08"/>
    <w:rsid w:val="00F74CD9"/>
    <w:rsid w:val="00F75351"/>
    <w:rsid w:val="00F76F64"/>
    <w:rsid w:val="00F76F88"/>
    <w:rsid w:val="00F76FAF"/>
    <w:rsid w:val="00F80A7B"/>
    <w:rsid w:val="00F80D9D"/>
    <w:rsid w:val="00F80E5D"/>
    <w:rsid w:val="00F81E78"/>
    <w:rsid w:val="00F82594"/>
    <w:rsid w:val="00F826A5"/>
    <w:rsid w:val="00F826B7"/>
    <w:rsid w:val="00F82799"/>
    <w:rsid w:val="00F83033"/>
    <w:rsid w:val="00F8369B"/>
    <w:rsid w:val="00F83916"/>
    <w:rsid w:val="00F851CE"/>
    <w:rsid w:val="00F8651E"/>
    <w:rsid w:val="00F8786E"/>
    <w:rsid w:val="00F90D52"/>
    <w:rsid w:val="00F91219"/>
    <w:rsid w:val="00F91D89"/>
    <w:rsid w:val="00F92121"/>
    <w:rsid w:val="00F92444"/>
    <w:rsid w:val="00F9321E"/>
    <w:rsid w:val="00F9393E"/>
    <w:rsid w:val="00F9394F"/>
    <w:rsid w:val="00F93A6D"/>
    <w:rsid w:val="00F94156"/>
    <w:rsid w:val="00F94496"/>
    <w:rsid w:val="00F94975"/>
    <w:rsid w:val="00F957E4"/>
    <w:rsid w:val="00F95BD3"/>
    <w:rsid w:val="00F960A4"/>
    <w:rsid w:val="00F961C3"/>
    <w:rsid w:val="00F96FD0"/>
    <w:rsid w:val="00F973F6"/>
    <w:rsid w:val="00F97A78"/>
    <w:rsid w:val="00F97C59"/>
    <w:rsid w:val="00FA0B20"/>
    <w:rsid w:val="00FA17E3"/>
    <w:rsid w:val="00FA1E46"/>
    <w:rsid w:val="00FA24E7"/>
    <w:rsid w:val="00FA277D"/>
    <w:rsid w:val="00FA3C1B"/>
    <w:rsid w:val="00FA4BF5"/>
    <w:rsid w:val="00FA5EE6"/>
    <w:rsid w:val="00FA629D"/>
    <w:rsid w:val="00FA6C70"/>
    <w:rsid w:val="00FA7599"/>
    <w:rsid w:val="00FA7956"/>
    <w:rsid w:val="00FA7E23"/>
    <w:rsid w:val="00FB0824"/>
    <w:rsid w:val="00FB138F"/>
    <w:rsid w:val="00FB21DA"/>
    <w:rsid w:val="00FB276D"/>
    <w:rsid w:val="00FB2FCB"/>
    <w:rsid w:val="00FB3947"/>
    <w:rsid w:val="00FB3ADD"/>
    <w:rsid w:val="00FB4C9C"/>
    <w:rsid w:val="00FB5274"/>
    <w:rsid w:val="00FB616D"/>
    <w:rsid w:val="00FB652E"/>
    <w:rsid w:val="00FB732F"/>
    <w:rsid w:val="00FB7C55"/>
    <w:rsid w:val="00FC0287"/>
    <w:rsid w:val="00FC1074"/>
    <w:rsid w:val="00FC14FB"/>
    <w:rsid w:val="00FC1884"/>
    <w:rsid w:val="00FC371D"/>
    <w:rsid w:val="00FC3BB3"/>
    <w:rsid w:val="00FC5408"/>
    <w:rsid w:val="00FC55CC"/>
    <w:rsid w:val="00FC572A"/>
    <w:rsid w:val="00FC5978"/>
    <w:rsid w:val="00FC5F0B"/>
    <w:rsid w:val="00FC6089"/>
    <w:rsid w:val="00FC7D12"/>
    <w:rsid w:val="00FD0097"/>
    <w:rsid w:val="00FD00B7"/>
    <w:rsid w:val="00FD04B5"/>
    <w:rsid w:val="00FD087E"/>
    <w:rsid w:val="00FD0FEA"/>
    <w:rsid w:val="00FD1107"/>
    <w:rsid w:val="00FD2100"/>
    <w:rsid w:val="00FD288D"/>
    <w:rsid w:val="00FD436C"/>
    <w:rsid w:val="00FD446D"/>
    <w:rsid w:val="00FD4F2C"/>
    <w:rsid w:val="00FD5F51"/>
    <w:rsid w:val="00FD621D"/>
    <w:rsid w:val="00FD62D0"/>
    <w:rsid w:val="00FD6394"/>
    <w:rsid w:val="00FD683A"/>
    <w:rsid w:val="00FD7846"/>
    <w:rsid w:val="00FE0E6C"/>
    <w:rsid w:val="00FE19C8"/>
    <w:rsid w:val="00FE1CDC"/>
    <w:rsid w:val="00FE2C65"/>
    <w:rsid w:val="00FE2EEA"/>
    <w:rsid w:val="00FE330E"/>
    <w:rsid w:val="00FE34E3"/>
    <w:rsid w:val="00FE3B46"/>
    <w:rsid w:val="00FE4333"/>
    <w:rsid w:val="00FE44DC"/>
    <w:rsid w:val="00FE4EBB"/>
    <w:rsid w:val="00FE59ED"/>
    <w:rsid w:val="00FE6314"/>
    <w:rsid w:val="00FE70C3"/>
    <w:rsid w:val="00FE7446"/>
    <w:rsid w:val="00FF00B8"/>
    <w:rsid w:val="00FF1A8B"/>
    <w:rsid w:val="00FF208C"/>
    <w:rsid w:val="00FF2AD9"/>
    <w:rsid w:val="00FF3012"/>
    <w:rsid w:val="00FF359F"/>
    <w:rsid w:val="00FF39D9"/>
    <w:rsid w:val="00FF3DCF"/>
    <w:rsid w:val="00FF492C"/>
    <w:rsid w:val="00FF4A21"/>
    <w:rsid w:val="00FF4C57"/>
    <w:rsid w:val="00FF5AA3"/>
    <w:rsid w:val="00FF5AD8"/>
    <w:rsid w:val="00FF71C9"/>
    <w:rsid w:val="00FF7B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Listenabsatz 2,Bullet List,Lista viñetas,Explanation &amp; guidance,ES Paragraph,Figure_name,lp1"/>
    <w:link w:val="ListParagraphChar"/>
    <w:uiPriority w:val="72"/>
    <w:qFormat/>
    <w:rsid w:val="004C3B02"/>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Listenabsatz 2 Char,Bullet List Char"/>
    <w:basedOn w:val="DefaultParagraphFont"/>
    <w:link w:val="ListParagraph"/>
    <w:uiPriority w:val="72"/>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7D4AEB"/>
    <w:pPr>
      <w:keepNext/>
      <w:keepLines/>
    </w:pPr>
    <w:rPr>
      <w:rFonts w:ascii="Arial Narrow" w:hAnsi="Arial Narrow" w:cs="Arial"/>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E047B4"/>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23"/>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7D4AEB"/>
    <w:rPr>
      <w:rFonts w:ascii="Arial Narrow" w:hAnsi="Arial Narrow" w:cs="Arial"/>
      <w:snapToGrid w:val="0"/>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657A96"/>
    <w:pPr>
      <w:keepLines/>
      <w:spacing w:after="120"/>
      <w:contextualSpacing/>
      <w:jc w:val="left"/>
    </w:pPr>
    <w:rPr>
      <w:rFonts w:ascii="Arial Narrow" w:hAnsi="Arial Narrow"/>
      <w:i/>
      <w:iCs/>
      <w:snapToGrid w:val="0"/>
      <w:sz w:val="18"/>
      <w:szCs w:val="22"/>
    </w:rPr>
  </w:style>
  <w:style w:type="character" w:customStyle="1" w:styleId="TableFigureFooterChar">
    <w:name w:val="Table/Figure Footer Char"/>
    <w:link w:val="TableFigureFooter"/>
    <w:rsid w:val="00657A96"/>
    <w:rPr>
      <w:rFonts w:ascii="Arial Narrow" w:hAnsi="Arial Narrow" w:cs="Arial"/>
      <w:i/>
      <w:iCs/>
      <w:snapToGrid w:val="0"/>
      <w:sz w:val="18"/>
      <w:szCs w:val="22"/>
    </w:rPr>
  </w:style>
  <w:style w:type="paragraph" w:customStyle="1" w:styleId="TableFootnote">
    <w:name w:val="Table Footnote"/>
    <w:basedOn w:val="Normal"/>
    <w:qFormat/>
    <w:rsid w:val="00B6482B"/>
    <w:pPr>
      <w:spacing w:after="200"/>
      <w:jc w:val="left"/>
    </w:pPr>
    <w:rPr>
      <w:rFonts w:ascii="Arial" w:eastAsiaTheme="minorHAnsi" w:hAnsi="Arial" w:cstheme="minorBidi"/>
      <w:sz w:val="16"/>
      <w:szCs w:val="22"/>
      <w:lang w:eastAsia="en-US"/>
    </w:rPr>
  </w:style>
  <w:style w:type="paragraph" w:customStyle="1" w:styleId="V50Instructions">
    <w:name w:val="V5.0 Instructions"/>
    <w:basedOn w:val="Normal"/>
    <w:link w:val="V50InstructionsChar"/>
    <w:qFormat/>
    <w:rsid w:val="00B6482B"/>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6482B"/>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semiHidden/>
    <w:unhideWhenUsed/>
    <w:rsid w:val="00240D65"/>
    <w:rPr>
      <w:sz w:val="20"/>
      <w:szCs w:val="20"/>
    </w:rPr>
  </w:style>
  <w:style w:type="character" w:customStyle="1" w:styleId="FootnoteTextChar">
    <w:name w:val="Footnote Text Char"/>
    <w:basedOn w:val="DefaultParagraphFont"/>
    <w:link w:val="FootnoteText"/>
    <w:semiHidden/>
    <w:rsid w:val="00240D65"/>
    <w:rPr>
      <w:rFonts w:ascii="Calibri" w:hAnsi="Calibri" w:cs="Arial"/>
    </w:rPr>
  </w:style>
  <w:style w:type="character" w:styleId="FootnoteReference">
    <w:name w:val="footnote reference"/>
    <w:basedOn w:val="DefaultParagraphFont"/>
    <w:semiHidden/>
    <w:unhideWhenUsed/>
    <w:rsid w:val="00240D65"/>
    <w:rPr>
      <w:vertAlign w:val="superscript"/>
    </w:rPr>
  </w:style>
  <w:style w:type="paragraph" w:customStyle="1" w:styleId="1MainTitle">
    <w:name w:val="1. Main Title"/>
    <w:basedOn w:val="Title"/>
    <w:link w:val="1MainTitleChar"/>
    <w:qFormat/>
    <w:rsid w:val="00713B71"/>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713B71"/>
    <w:rPr>
      <w:rFonts w:asciiTheme="minorHAnsi" w:eastAsiaTheme="majorEastAsia" w:hAnsiTheme="minorHAnsi" w:cstheme="majorBidi"/>
      <w:b/>
      <w:bCs w:val="0"/>
      <w:snapToGrid/>
      <w:spacing w:val="5"/>
      <w:kern w:val="28"/>
      <w:sz w:val="36"/>
      <w:szCs w:val="36"/>
      <w:lang w:eastAsia="en-US"/>
    </w:rPr>
  </w:style>
  <w:style w:type="paragraph" w:customStyle="1" w:styleId="3Bodytext">
    <w:name w:val="3. Body text"/>
    <w:basedOn w:val="ListParagraph"/>
    <w:link w:val="3BodytextChar"/>
    <w:rsid w:val="00713B71"/>
    <w:pPr>
      <w:spacing w:before="120"/>
      <w:jc w:val="both"/>
    </w:pPr>
    <w:rPr>
      <w:rFonts w:eastAsiaTheme="minorHAnsi" w:cstheme="minorBidi"/>
      <w:snapToGrid/>
      <w:szCs w:val="22"/>
    </w:rPr>
  </w:style>
  <w:style w:type="character" w:customStyle="1" w:styleId="3BodytextChar">
    <w:name w:val="3. Body text Char"/>
    <w:basedOn w:val="ListParagraphChar"/>
    <w:link w:val="3Bodytext"/>
    <w:rsid w:val="00713B71"/>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713B71"/>
    <w:pPr>
      <w:numPr>
        <w:numId w:val="32"/>
      </w:numPr>
      <w:spacing w:before="120"/>
      <w:ind w:left="754" w:hanging="357"/>
      <w:jc w:val="both"/>
    </w:pPr>
    <w:rPr>
      <w:rFonts w:cstheme="minorHAnsi"/>
      <w:color w:val="000000" w:themeColor="text1"/>
    </w:rPr>
  </w:style>
  <w:style w:type="character" w:styleId="UnresolvedMention">
    <w:name w:val="Unresolved Mention"/>
    <w:basedOn w:val="DefaultParagraphFont"/>
    <w:uiPriority w:val="99"/>
    <w:semiHidden/>
    <w:unhideWhenUsed/>
    <w:rsid w:val="00E82D1F"/>
    <w:rPr>
      <w:color w:val="605E5C"/>
      <w:shd w:val="clear" w:color="auto" w:fill="E1DFDD"/>
    </w:rPr>
  </w:style>
  <w:style w:type="paragraph" w:customStyle="1" w:styleId="pf0">
    <w:name w:val="pf0"/>
    <w:basedOn w:val="Normal"/>
    <w:rsid w:val="00654034"/>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6540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hpo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D351B-7F48-498A-939D-D1FD7474B72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F3F04A2C-8654-41B7-B453-ACCFE9DF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6EC2D-0C53-494E-BF0B-773DBF262AFF}">
  <ds:schemaRefs>
    <ds:schemaRef ds:uri="http://schemas.microsoft.com/sharepoint/v3/contenttype/forms"/>
  </ds:schemaRefs>
</ds:datastoreItem>
</file>

<file path=docMetadata/LabelInfo.xml><?xml version="1.0" encoding="utf-8"?>
<clbl:labelList xmlns:clbl="http://schemas.microsoft.com/office/2020/mipLabelMetadata">
  <clbl:label id="{cfb47f1f-2c8f-4e85-a121-5f8dcdaeecec}" enabled="1" method="Privileged" siteId="{30615e74-f8fc-4c90-9bc8-cee5666a8b8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7052</Words>
  <Characters>36393</Characters>
  <Application>Microsoft Office Word</Application>
  <DocSecurity>0</DocSecurity>
  <Lines>1347</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42501</CharactersWithSpaces>
  <SharedDoc>false</SharedDoc>
  <HLinks>
    <vt:vector size="24" baseType="variant">
      <vt:variant>
        <vt:i4>1507399</vt:i4>
      </vt:variant>
      <vt:variant>
        <vt:i4>51</vt:i4>
      </vt:variant>
      <vt:variant>
        <vt:i4>0</vt:i4>
      </vt:variant>
      <vt:variant>
        <vt:i4>5</vt:i4>
      </vt:variant>
      <vt:variant>
        <vt:lpwstr>http://www.servicesaustralia.gov.au/hpos</vt:lpwstr>
      </vt:variant>
      <vt:variant>
        <vt:lpwstr/>
      </vt:variant>
      <vt:variant>
        <vt:i4>1310784</vt:i4>
      </vt:variant>
      <vt:variant>
        <vt:i4>48</vt:i4>
      </vt:variant>
      <vt:variant>
        <vt:i4>0</vt:i4>
      </vt:variant>
      <vt:variant>
        <vt:i4>5</vt:i4>
      </vt:variant>
      <vt:variant>
        <vt:lpwstr>http://www.servicesaustralia.gov.au/</vt:lpwstr>
      </vt:variant>
      <vt:variant>
        <vt:lpwstr/>
      </vt:variant>
      <vt:variant>
        <vt:i4>1507399</vt:i4>
      </vt:variant>
      <vt:variant>
        <vt:i4>36</vt:i4>
      </vt:variant>
      <vt:variant>
        <vt:i4>0</vt:i4>
      </vt:variant>
      <vt:variant>
        <vt:i4>5</vt:i4>
      </vt:variant>
      <vt:variant>
        <vt:lpwstr>http://www.servicesaustralia.gov.au/hpos</vt:lpwstr>
      </vt:variant>
      <vt:variant>
        <vt:lpwstr/>
      </vt:variant>
      <vt:variant>
        <vt:i4>1310784</vt:i4>
      </vt:variant>
      <vt:variant>
        <vt:i4>33</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2026-07-07T06:21:00Z</dcterms:created>
  <dcterms:modified xsi:type="dcterms:W3CDTF">2026-07-07T06:21:00Z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29d3e376,5e955339,34f6efe0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682398e8,4e5f918e,22aacb4f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2026-04-01T03:57:40Z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883cf952-9c55-4ec4-91fe-6776f6de8049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Order">
    <vt:r8>59839000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