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B4E9" w14:textId="4B16F6FB" w:rsidR="00BF27A0" w:rsidRPr="00EF4580" w:rsidRDefault="00DE2C95" w:rsidP="007A591A">
      <w:pPr>
        <w:pStyle w:val="1-MainHeading"/>
        <w:rPr>
          <w:rFonts w:eastAsia="Calibri"/>
          <w:lang w:eastAsia="en-US"/>
        </w:rPr>
      </w:pPr>
      <w:r>
        <w:t>7.05</w:t>
      </w:r>
      <w:r>
        <w:tab/>
        <w:t>TOFERSEN</w:t>
      </w:r>
      <w:r w:rsidR="40930EF5" w:rsidRPr="00EF4580">
        <w:t>,</w:t>
      </w:r>
      <w:r w:rsidR="000B7767" w:rsidRPr="00EF4580">
        <w:br/>
      </w:r>
      <w:r w:rsidR="00453D56">
        <w:t>Solution for intrathecal injection 100 mg in 15 mL</w:t>
      </w:r>
      <w:r w:rsidR="0CF130DF" w:rsidRPr="00EF4580">
        <w:t>,</w:t>
      </w:r>
      <w:r w:rsidR="000B7767" w:rsidRPr="00EF4580">
        <w:br/>
      </w:r>
      <w:r w:rsidR="00453D56">
        <w:t>Qalsody</w:t>
      </w:r>
      <w:r w:rsidR="00E713EB">
        <w:rPr>
          <w:rFonts w:cstheme="minorHAnsi"/>
        </w:rPr>
        <w:t>™</w:t>
      </w:r>
      <w:r w:rsidR="0CF130DF" w:rsidRPr="00EF4580">
        <w:t>,</w:t>
      </w:r>
      <w:r w:rsidR="000B7767" w:rsidRPr="00EF4580">
        <w:br/>
      </w:r>
      <w:r w:rsidR="00453D56">
        <w:t>BIOGEN AUSTRALIA PTY LTD</w:t>
      </w:r>
      <w:r w:rsidR="0CF130DF" w:rsidRPr="00EF4580">
        <w:t xml:space="preserve"> </w:t>
      </w:r>
    </w:p>
    <w:p w14:paraId="1DE8D195" w14:textId="40C679A1" w:rsidR="003F044F" w:rsidRPr="006C5B33" w:rsidRDefault="009C5B72" w:rsidP="007A591A">
      <w:pPr>
        <w:pStyle w:val="2-SectionHeading"/>
        <w:rPr>
          <w:rFonts w:eastAsia="Calibri"/>
        </w:rPr>
      </w:pPr>
      <w:r w:rsidRPr="006C5B33">
        <w:t>Purpose</w:t>
      </w:r>
    </w:p>
    <w:p w14:paraId="055F1FC8" w14:textId="5525EC38" w:rsidR="00F81F7A" w:rsidRPr="002C633F" w:rsidRDefault="00F81F7A" w:rsidP="007A591A">
      <w:pPr>
        <w:pStyle w:val="3-BodyText"/>
      </w:pPr>
      <w:r w:rsidRPr="00F81F7A">
        <w:t xml:space="preserve">The </w:t>
      </w:r>
      <w:r w:rsidR="009D55E2" w:rsidRPr="002C633F">
        <w:t>early re</w:t>
      </w:r>
      <w:r w:rsidR="007A591A">
        <w:noBreakHyphen/>
      </w:r>
      <w:r w:rsidR="009D55E2" w:rsidRPr="002C633F">
        <w:t>entry re</w:t>
      </w:r>
      <w:r w:rsidRPr="002C633F">
        <w:t xml:space="preserve">submission </w:t>
      </w:r>
      <w:r w:rsidR="00E103A0" w:rsidRPr="002C633F">
        <w:t>sought</w:t>
      </w:r>
      <w:r w:rsidRPr="002C633F">
        <w:t xml:space="preserve"> </w:t>
      </w:r>
      <w:r w:rsidR="006C2207">
        <w:t xml:space="preserve">a Section 100 </w:t>
      </w:r>
      <w:r w:rsidR="00F34B12">
        <w:t xml:space="preserve">(Highly Specialised Drugs Program) Authority Required (telephone/electronic) listing for tofersen for the </w:t>
      </w:r>
      <w:r w:rsidR="00680029">
        <w:t>treatment of amyotrophic lateral sclerosis (ALS) associated with a mutation in the superoxide dismutase 1 (SOD1) gene</w:t>
      </w:r>
      <w:r w:rsidR="002C633F" w:rsidRPr="002C633F">
        <w:t>.</w:t>
      </w:r>
    </w:p>
    <w:p w14:paraId="5AB68F30" w14:textId="4770A3AC" w:rsidR="009D55E2" w:rsidRPr="00D34011" w:rsidRDefault="6657D135" w:rsidP="007A591A">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decision </w:t>
      </w:r>
      <w:r w:rsidR="00DF4821" w:rsidRPr="008D3FDA">
        <w:t>to not recommend</w:t>
      </w:r>
      <w:r w:rsidR="00A16E6A" w:rsidRPr="008D3FDA">
        <w:t xml:space="preserve"> tofersen</w:t>
      </w:r>
      <w:r w:rsidR="00DF4821" w:rsidRPr="008D3FDA">
        <w:t xml:space="preserve"> for this indication</w:t>
      </w:r>
      <w:r w:rsidR="00B7286D" w:rsidRPr="008D3FDA">
        <w:t xml:space="preserve"> </w:t>
      </w:r>
      <w:r w:rsidR="00A16E6A">
        <w:t xml:space="preserve">at the </w:t>
      </w:r>
      <w:r w:rsidR="001973ED">
        <w:t>November 2025 PBAC meeting</w:t>
      </w:r>
      <w:r w:rsidRPr="00EF4580">
        <w:t xml:space="preserve">. </w:t>
      </w:r>
      <w:r w:rsidR="001E5498">
        <w:rPr>
          <w:snapToGrid w:val="0"/>
        </w:rPr>
        <w:t>How the</w:t>
      </w:r>
      <w:r w:rsidR="001E5498" w:rsidRPr="00EF4580">
        <w:rPr>
          <w:snapToGrid w:val="0"/>
        </w:rPr>
        <w:t xml:space="preserve"> </w:t>
      </w:r>
      <w:r w:rsidR="009D55E2">
        <w:rPr>
          <w:snapToGrid w:val="0"/>
        </w:rPr>
        <w:t xml:space="preserve">resubmission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9D55E2" w:rsidRPr="009D55E2">
        <w:rPr>
          <w:snapToGrid w:val="0"/>
        </w:rPr>
        <w:t>PBAC</w:t>
      </w:r>
      <w:r w:rsidR="001E5498">
        <w:rPr>
          <w:snapToGrid w:val="0"/>
        </w:rPr>
        <w:t xml:space="preserve"> is presented i</w:t>
      </w:r>
      <w:r w:rsidR="007A0800">
        <w:rPr>
          <w:snapToGrid w:val="0"/>
        </w:rPr>
        <w:t>n the</w:t>
      </w:r>
      <w:r w:rsidR="009B750F">
        <w:rPr>
          <w:snapToGrid w:val="0"/>
        </w:rPr>
        <w:t xml:space="preserve"> t</w:t>
      </w:r>
      <w:r w:rsidR="009D55E2" w:rsidRPr="009D55E2">
        <w:rPr>
          <w:snapToGrid w:val="0"/>
        </w:rPr>
        <w:t>able below.</w:t>
      </w:r>
      <w:r w:rsidR="00D34011">
        <w:rPr>
          <w:snapToGrid w:val="0"/>
        </w:rPr>
        <w:t xml:space="preserve"> </w:t>
      </w:r>
    </w:p>
    <w:p w14:paraId="13DC54C9" w14:textId="50DFE370" w:rsidR="009D55E2" w:rsidRPr="002C633F" w:rsidRDefault="00B96189" w:rsidP="007A591A">
      <w:pPr>
        <w:pStyle w:val="Caption"/>
        <w:jc w:val="left"/>
      </w:pPr>
      <w:r>
        <w:t xml:space="preserve">Table </w:t>
      </w:r>
      <w:fldSimple w:instr=" SEQ Table \* ARABIC ">
        <w:r w:rsidR="002E1A60">
          <w:rPr>
            <w:noProof/>
          </w:rPr>
          <w:t>1</w:t>
        </w:r>
      </w:fldSimple>
      <w:r>
        <w:t xml:space="preserve">: </w:t>
      </w:r>
      <w:r w:rsidR="009D55E2" w:rsidRPr="002C633F">
        <w:t>Summary of key matters to be addressed</w:t>
      </w:r>
      <w:r>
        <w:t xml:space="preserve"> from November 2025 minutes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from November 2025 minutes"/>
      </w:tblPr>
      <w:tblGrid>
        <w:gridCol w:w="3680"/>
        <w:gridCol w:w="3828"/>
        <w:gridCol w:w="1486"/>
      </w:tblGrid>
      <w:tr w:rsidR="002C633F" w:rsidRPr="00D4128D" w14:paraId="5D2DC7BB" w14:textId="77777777" w:rsidTr="00F30EB2">
        <w:trPr>
          <w:cantSplit/>
          <w:tblHeader/>
        </w:trPr>
        <w:tc>
          <w:tcPr>
            <w:tcW w:w="2046" w:type="pct"/>
            <w:vAlign w:val="center"/>
          </w:tcPr>
          <w:p w14:paraId="47875CEE" w14:textId="719157E8" w:rsidR="00D34011" w:rsidRPr="00D4128D" w:rsidRDefault="00D34011" w:rsidP="007A591A">
            <w:pPr>
              <w:pStyle w:val="In-tableHeading"/>
              <w:keepNext w:val="0"/>
            </w:pPr>
            <w:r w:rsidRPr="00D4128D">
              <w:t>Matter of concern</w:t>
            </w:r>
          </w:p>
        </w:tc>
        <w:tc>
          <w:tcPr>
            <w:tcW w:w="2128" w:type="pct"/>
            <w:vAlign w:val="center"/>
          </w:tcPr>
          <w:p w14:paraId="2F0501E9" w14:textId="41F16558" w:rsidR="00D34011" w:rsidRPr="00D4128D" w:rsidRDefault="00D34011" w:rsidP="007A591A">
            <w:pPr>
              <w:pStyle w:val="In-tableHeading"/>
              <w:keepNext w:val="0"/>
            </w:pPr>
            <w:r w:rsidRPr="00D4128D">
              <w:t>Response</w:t>
            </w:r>
          </w:p>
        </w:tc>
        <w:tc>
          <w:tcPr>
            <w:tcW w:w="826" w:type="pct"/>
            <w:vAlign w:val="center"/>
          </w:tcPr>
          <w:p w14:paraId="06AD57D9" w14:textId="20B07578" w:rsidR="00D34011" w:rsidRPr="00D4128D" w:rsidRDefault="00D34011" w:rsidP="007A591A">
            <w:pPr>
              <w:pStyle w:val="In-tableHeading"/>
              <w:keepNext w:val="0"/>
            </w:pPr>
            <w:r w:rsidRPr="00D4128D">
              <w:t>Addressed?</w:t>
            </w:r>
          </w:p>
        </w:tc>
      </w:tr>
      <w:tr w:rsidR="00726931" w:rsidRPr="00D4128D" w14:paraId="0F73D6B9" w14:textId="77777777" w:rsidTr="00F81918">
        <w:trPr>
          <w:cantSplit/>
        </w:trPr>
        <w:tc>
          <w:tcPr>
            <w:tcW w:w="5000" w:type="pct"/>
            <w:gridSpan w:val="3"/>
            <w:vAlign w:val="center"/>
          </w:tcPr>
          <w:p w14:paraId="1B93C832" w14:textId="4A7A1A11" w:rsidR="00726931" w:rsidRPr="00D4128D" w:rsidRDefault="00726931" w:rsidP="007A591A">
            <w:pPr>
              <w:pStyle w:val="In-tableHeading"/>
              <w:keepNext w:val="0"/>
            </w:pPr>
            <w:r w:rsidRPr="00D4128D">
              <w:t>Restriction</w:t>
            </w:r>
          </w:p>
        </w:tc>
      </w:tr>
      <w:tr w:rsidR="00726931" w:rsidRPr="00D4128D" w14:paraId="55555E84" w14:textId="77777777" w:rsidTr="00F30EB2">
        <w:trPr>
          <w:cantSplit/>
        </w:trPr>
        <w:tc>
          <w:tcPr>
            <w:tcW w:w="2046" w:type="pct"/>
          </w:tcPr>
          <w:p w14:paraId="7F7C81B6" w14:textId="77777777" w:rsidR="00726931" w:rsidRPr="00D4128D" w:rsidRDefault="00726931" w:rsidP="007A591A">
            <w:pPr>
              <w:pStyle w:val="In-tableHeading"/>
              <w:keepNext w:val="0"/>
              <w:rPr>
                <w:b w:val="0"/>
                <w:bCs/>
              </w:rPr>
            </w:pPr>
            <w:r w:rsidRPr="00D4128D">
              <w:rPr>
                <w:b w:val="0"/>
                <w:bCs/>
              </w:rPr>
              <w:t xml:space="preserve">The PBAC advised </w:t>
            </w:r>
            <w:r w:rsidR="00344BA2" w:rsidRPr="00D4128D">
              <w:rPr>
                <w:b w:val="0"/>
                <w:bCs/>
              </w:rPr>
              <w:t>that:</w:t>
            </w:r>
          </w:p>
          <w:p w14:paraId="44188B5C" w14:textId="77777777" w:rsidR="00344BA2" w:rsidRPr="00D4128D" w:rsidRDefault="00344BA2" w:rsidP="007A591A">
            <w:pPr>
              <w:pStyle w:val="In-tableHeading"/>
              <w:keepNext w:val="0"/>
              <w:numPr>
                <w:ilvl w:val="0"/>
                <w:numId w:val="17"/>
              </w:numPr>
              <w:ind w:left="284" w:hanging="284"/>
              <w:rPr>
                <w:b w:val="0"/>
                <w:bCs/>
              </w:rPr>
            </w:pPr>
            <w:r w:rsidRPr="00D4128D">
              <w:rPr>
                <w:b w:val="0"/>
                <w:bCs/>
              </w:rPr>
              <w:t>Treatment should be limited to registered specialist clinics equipped to adequately support patients and manage ongoing lumbar punctures;</w:t>
            </w:r>
          </w:p>
          <w:p w14:paraId="471816A1" w14:textId="77777777" w:rsidR="007E40AD" w:rsidRPr="00D4128D" w:rsidRDefault="007E40AD" w:rsidP="007A591A">
            <w:pPr>
              <w:pStyle w:val="In-tableHeading"/>
              <w:keepNext w:val="0"/>
              <w:ind w:left="284"/>
              <w:rPr>
                <w:b w:val="0"/>
                <w:bCs/>
              </w:rPr>
            </w:pPr>
          </w:p>
          <w:p w14:paraId="7C200B77" w14:textId="77777777" w:rsidR="007E40AD" w:rsidRPr="00D4128D" w:rsidRDefault="007E40AD" w:rsidP="007A591A">
            <w:pPr>
              <w:pStyle w:val="In-tableHeading"/>
              <w:keepNext w:val="0"/>
              <w:ind w:left="284"/>
              <w:rPr>
                <w:b w:val="0"/>
                <w:bCs/>
              </w:rPr>
            </w:pPr>
          </w:p>
          <w:p w14:paraId="6E746557" w14:textId="77777777" w:rsidR="00F30EB2" w:rsidRPr="00D4128D" w:rsidRDefault="00F30EB2" w:rsidP="007A591A">
            <w:pPr>
              <w:pStyle w:val="In-tableHeading"/>
              <w:keepNext w:val="0"/>
              <w:ind w:left="284"/>
              <w:rPr>
                <w:b w:val="0"/>
                <w:bCs/>
              </w:rPr>
            </w:pPr>
          </w:p>
          <w:p w14:paraId="01486E7A" w14:textId="085D3DFF" w:rsidR="00344BA2" w:rsidRPr="00D4128D" w:rsidRDefault="00A0132E" w:rsidP="007A591A">
            <w:pPr>
              <w:pStyle w:val="In-tableHeading"/>
              <w:keepNext w:val="0"/>
              <w:numPr>
                <w:ilvl w:val="0"/>
                <w:numId w:val="17"/>
              </w:numPr>
              <w:ind w:left="284" w:hanging="284"/>
              <w:rPr>
                <w:b w:val="0"/>
                <w:bCs/>
              </w:rPr>
            </w:pPr>
            <w:r w:rsidRPr="00D4128D">
              <w:rPr>
                <w:b w:val="0"/>
                <w:bCs/>
              </w:rPr>
              <w:t>Suggested wording changes suggested by the Secretariat should be adopted;</w:t>
            </w:r>
          </w:p>
          <w:p w14:paraId="7346B47C" w14:textId="66AC5F05" w:rsidR="00A0132E" w:rsidRPr="00D4128D" w:rsidRDefault="00A0132E" w:rsidP="007A591A">
            <w:pPr>
              <w:pStyle w:val="In-tableHeading"/>
              <w:keepNext w:val="0"/>
              <w:numPr>
                <w:ilvl w:val="0"/>
                <w:numId w:val="17"/>
              </w:numPr>
              <w:ind w:left="284" w:hanging="284"/>
              <w:rPr>
                <w:b w:val="0"/>
                <w:bCs/>
              </w:rPr>
            </w:pPr>
            <w:r w:rsidRPr="00D4128D">
              <w:rPr>
                <w:b w:val="0"/>
                <w:bCs/>
              </w:rPr>
              <w:t>Initial supply should be amended to 3 vials with 0 repeats</w:t>
            </w:r>
            <w:r w:rsidR="000F1F83" w:rsidRPr="00D4128D">
              <w:rPr>
                <w:b w:val="0"/>
                <w:bCs/>
              </w:rPr>
              <w:t xml:space="preserve"> to cater for the loading doses (paragraph 7.16).</w:t>
            </w:r>
          </w:p>
        </w:tc>
        <w:tc>
          <w:tcPr>
            <w:tcW w:w="2128" w:type="pct"/>
          </w:tcPr>
          <w:p w14:paraId="1111E161" w14:textId="77777777" w:rsidR="00726931" w:rsidRPr="00D4128D" w:rsidRDefault="00230850" w:rsidP="007A591A">
            <w:pPr>
              <w:pStyle w:val="In-tableHeading"/>
              <w:keepNext w:val="0"/>
              <w:rPr>
                <w:b w:val="0"/>
                <w:bCs/>
              </w:rPr>
            </w:pPr>
            <w:r w:rsidRPr="00D4128D">
              <w:rPr>
                <w:b w:val="0"/>
                <w:bCs/>
              </w:rPr>
              <w:t>The resubmission</w:t>
            </w:r>
            <w:r w:rsidR="00B51081" w:rsidRPr="00D4128D">
              <w:rPr>
                <w:b w:val="0"/>
                <w:bCs/>
              </w:rPr>
              <w:t>:</w:t>
            </w:r>
          </w:p>
          <w:p w14:paraId="5F83E552" w14:textId="3AE6F027" w:rsidR="00B51081" w:rsidRPr="00D4128D" w:rsidRDefault="00B51081" w:rsidP="007A591A">
            <w:pPr>
              <w:pStyle w:val="In-tableHeading"/>
              <w:keepNext w:val="0"/>
              <w:numPr>
                <w:ilvl w:val="0"/>
                <w:numId w:val="17"/>
              </w:numPr>
              <w:ind w:left="284" w:hanging="284"/>
              <w:rPr>
                <w:b w:val="0"/>
                <w:bCs/>
              </w:rPr>
            </w:pPr>
            <w:r w:rsidRPr="00D4128D">
              <w:rPr>
                <w:b w:val="0"/>
                <w:bCs/>
              </w:rPr>
              <w:t xml:space="preserve">Limited initial treatment to specialists with expertise </w:t>
            </w:r>
            <w:r w:rsidR="006C5C59" w:rsidRPr="00D4128D">
              <w:rPr>
                <w:b w:val="0"/>
                <w:bCs/>
              </w:rPr>
              <w:t>in the diagnosis and management of ALS, with continuation treatment by a specialist or in consultation with a specialist</w:t>
            </w:r>
            <w:r w:rsidR="00D2558B" w:rsidRPr="00D4128D">
              <w:rPr>
                <w:b w:val="0"/>
                <w:bCs/>
              </w:rPr>
              <w:t>. The resubmission considered that restricting treatment to registered specialist clinics may create equity of access issues</w:t>
            </w:r>
            <w:r w:rsidR="005D426E" w:rsidRPr="00D4128D">
              <w:rPr>
                <w:b w:val="0"/>
                <w:bCs/>
              </w:rPr>
              <w:t>;</w:t>
            </w:r>
          </w:p>
          <w:p w14:paraId="0616B4C8" w14:textId="77777777" w:rsidR="007E40AD" w:rsidRPr="00D4128D" w:rsidRDefault="007E40AD" w:rsidP="007A591A">
            <w:pPr>
              <w:pStyle w:val="In-tableHeading"/>
              <w:keepNext w:val="0"/>
              <w:numPr>
                <w:ilvl w:val="0"/>
                <w:numId w:val="17"/>
              </w:numPr>
              <w:ind w:left="284" w:hanging="284"/>
              <w:rPr>
                <w:b w:val="0"/>
                <w:bCs/>
              </w:rPr>
            </w:pPr>
            <w:r w:rsidRPr="00D4128D">
              <w:rPr>
                <w:b w:val="0"/>
                <w:bCs/>
              </w:rPr>
              <w:t>Accepted the wording changes</w:t>
            </w:r>
            <w:r w:rsidR="005D426E" w:rsidRPr="00D4128D">
              <w:rPr>
                <w:b w:val="0"/>
                <w:bCs/>
              </w:rPr>
              <w:t xml:space="preserve"> suggested by the Secretariat;</w:t>
            </w:r>
          </w:p>
          <w:p w14:paraId="7A86E5D7" w14:textId="20053887" w:rsidR="005D426E" w:rsidRPr="00D4128D" w:rsidRDefault="005D426E" w:rsidP="007A591A">
            <w:pPr>
              <w:pStyle w:val="In-tableHeading"/>
              <w:keepNext w:val="0"/>
              <w:numPr>
                <w:ilvl w:val="0"/>
                <w:numId w:val="17"/>
              </w:numPr>
              <w:ind w:left="284" w:hanging="284"/>
              <w:rPr>
                <w:b w:val="0"/>
                <w:bCs/>
              </w:rPr>
            </w:pPr>
            <w:r w:rsidRPr="00D4128D">
              <w:rPr>
                <w:b w:val="0"/>
                <w:bCs/>
              </w:rPr>
              <w:t>Did not amend the initial supply as recommended</w:t>
            </w:r>
            <w:r w:rsidR="00F30EB2" w:rsidRPr="00D4128D">
              <w:rPr>
                <w:b w:val="0"/>
                <w:bCs/>
              </w:rPr>
              <w:t xml:space="preserve"> as separate listings were required in the context of the proposed pay for performance framework.</w:t>
            </w:r>
          </w:p>
        </w:tc>
        <w:tc>
          <w:tcPr>
            <w:tcW w:w="826" w:type="pct"/>
          </w:tcPr>
          <w:p w14:paraId="24A6C4E4" w14:textId="77777777" w:rsidR="00726931" w:rsidRPr="00D4128D" w:rsidRDefault="00726931" w:rsidP="007A591A">
            <w:pPr>
              <w:pStyle w:val="In-tableHeading"/>
              <w:keepNext w:val="0"/>
              <w:rPr>
                <w:b w:val="0"/>
                <w:bCs/>
              </w:rPr>
            </w:pPr>
          </w:p>
          <w:p w14:paraId="70C9A619" w14:textId="77777777" w:rsidR="00F30EB2" w:rsidRPr="00D4128D" w:rsidRDefault="00F30EB2" w:rsidP="007A591A">
            <w:pPr>
              <w:pStyle w:val="In-tableHeading"/>
              <w:keepNext w:val="0"/>
              <w:rPr>
                <w:b w:val="0"/>
                <w:bCs/>
              </w:rPr>
            </w:pPr>
            <w:r w:rsidRPr="00D4128D">
              <w:rPr>
                <w:b w:val="0"/>
                <w:bCs/>
              </w:rPr>
              <w:t>Partially</w:t>
            </w:r>
          </w:p>
          <w:p w14:paraId="324C1395" w14:textId="77777777" w:rsidR="00F30EB2" w:rsidRPr="00D4128D" w:rsidRDefault="00F30EB2" w:rsidP="007A591A">
            <w:pPr>
              <w:pStyle w:val="In-tableHeading"/>
              <w:keepNext w:val="0"/>
              <w:rPr>
                <w:b w:val="0"/>
                <w:bCs/>
              </w:rPr>
            </w:pPr>
          </w:p>
          <w:p w14:paraId="00C320CE" w14:textId="77777777" w:rsidR="00F30EB2" w:rsidRPr="00D4128D" w:rsidRDefault="00F30EB2" w:rsidP="007A591A">
            <w:pPr>
              <w:pStyle w:val="In-tableHeading"/>
              <w:keepNext w:val="0"/>
              <w:rPr>
                <w:b w:val="0"/>
                <w:bCs/>
              </w:rPr>
            </w:pPr>
          </w:p>
          <w:p w14:paraId="777E8EFA" w14:textId="77777777" w:rsidR="00F30EB2" w:rsidRPr="00D4128D" w:rsidRDefault="00F30EB2" w:rsidP="007A591A">
            <w:pPr>
              <w:pStyle w:val="In-tableHeading"/>
              <w:keepNext w:val="0"/>
              <w:rPr>
                <w:b w:val="0"/>
                <w:bCs/>
              </w:rPr>
            </w:pPr>
          </w:p>
          <w:p w14:paraId="2BE4A0A7" w14:textId="77777777" w:rsidR="00F30EB2" w:rsidRPr="00D4128D" w:rsidRDefault="00F30EB2" w:rsidP="007A591A">
            <w:pPr>
              <w:pStyle w:val="In-tableHeading"/>
              <w:keepNext w:val="0"/>
              <w:rPr>
                <w:b w:val="0"/>
                <w:bCs/>
              </w:rPr>
            </w:pPr>
          </w:p>
          <w:p w14:paraId="340717F7" w14:textId="77777777" w:rsidR="00F30EB2" w:rsidRPr="00D4128D" w:rsidRDefault="00F30EB2" w:rsidP="007A591A">
            <w:pPr>
              <w:pStyle w:val="In-tableHeading"/>
              <w:keepNext w:val="0"/>
              <w:rPr>
                <w:b w:val="0"/>
                <w:bCs/>
              </w:rPr>
            </w:pPr>
          </w:p>
          <w:p w14:paraId="203B5A7E" w14:textId="77777777" w:rsidR="00F30EB2" w:rsidRPr="00D4128D" w:rsidRDefault="00F30EB2" w:rsidP="007A591A">
            <w:pPr>
              <w:pStyle w:val="In-tableHeading"/>
              <w:keepNext w:val="0"/>
              <w:rPr>
                <w:b w:val="0"/>
                <w:bCs/>
              </w:rPr>
            </w:pPr>
          </w:p>
          <w:p w14:paraId="195F7B88" w14:textId="77777777" w:rsidR="00F30EB2" w:rsidRPr="00D4128D" w:rsidRDefault="00F30EB2" w:rsidP="007A591A">
            <w:pPr>
              <w:pStyle w:val="In-tableHeading"/>
              <w:keepNext w:val="0"/>
              <w:rPr>
                <w:b w:val="0"/>
                <w:bCs/>
              </w:rPr>
            </w:pPr>
            <w:r w:rsidRPr="00D4128D">
              <w:rPr>
                <w:b w:val="0"/>
                <w:bCs/>
              </w:rPr>
              <w:t>Yes</w:t>
            </w:r>
          </w:p>
          <w:p w14:paraId="1241551E" w14:textId="77777777" w:rsidR="00F30EB2" w:rsidRPr="00D4128D" w:rsidRDefault="00F30EB2" w:rsidP="007A591A">
            <w:pPr>
              <w:pStyle w:val="In-tableHeading"/>
              <w:keepNext w:val="0"/>
              <w:rPr>
                <w:b w:val="0"/>
                <w:bCs/>
              </w:rPr>
            </w:pPr>
          </w:p>
          <w:p w14:paraId="242C5F6B" w14:textId="2E38FA88" w:rsidR="00F30EB2" w:rsidRPr="00D4128D" w:rsidRDefault="00F30EB2" w:rsidP="007A591A">
            <w:pPr>
              <w:pStyle w:val="In-tableHeading"/>
              <w:keepNext w:val="0"/>
              <w:rPr>
                <w:b w:val="0"/>
                <w:bCs/>
              </w:rPr>
            </w:pPr>
            <w:r w:rsidRPr="00D4128D">
              <w:rPr>
                <w:b w:val="0"/>
                <w:bCs/>
              </w:rPr>
              <w:t>No, but may be reasonable</w:t>
            </w:r>
            <w:r w:rsidR="001D63D6" w:rsidRPr="00D4128D">
              <w:rPr>
                <w:b w:val="0"/>
                <w:bCs/>
              </w:rPr>
              <w:t>.</w:t>
            </w:r>
          </w:p>
        </w:tc>
      </w:tr>
      <w:tr w:rsidR="00726931" w:rsidRPr="00D4128D" w14:paraId="7AADC767" w14:textId="77777777" w:rsidTr="00726931">
        <w:trPr>
          <w:cantSplit/>
          <w:tblHeader/>
        </w:trPr>
        <w:tc>
          <w:tcPr>
            <w:tcW w:w="5000" w:type="pct"/>
            <w:gridSpan w:val="3"/>
            <w:vAlign w:val="center"/>
          </w:tcPr>
          <w:p w14:paraId="0D907A3A" w14:textId="3E0916F6" w:rsidR="00726931" w:rsidRPr="00D4128D" w:rsidRDefault="00726931" w:rsidP="007A591A">
            <w:pPr>
              <w:pStyle w:val="In-tableHeading"/>
              <w:keepLines/>
            </w:pPr>
            <w:r w:rsidRPr="00D4128D">
              <w:lastRenderedPageBreak/>
              <w:t>Clinical evidence</w:t>
            </w:r>
          </w:p>
        </w:tc>
      </w:tr>
      <w:tr w:rsidR="002C633F" w:rsidRPr="00D4128D" w14:paraId="41739F84" w14:textId="77777777" w:rsidTr="001D63D6">
        <w:trPr>
          <w:cantSplit/>
        </w:trPr>
        <w:tc>
          <w:tcPr>
            <w:tcW w:w="2046" w:type="pct"/>
          </w:tcPr>
          <w:p w14:paraId="6B3446A2" w14:textId="09DBCDE7" w:rsidR="00D34011" w:rsidRPr="00D4128D" w:rsidRDefault="00AF1116" w:rsidP="007A591A">
            <w:pPr>
              <w:pStyle w:val="TableText"/>
              <w:keepLines/>
            </w:pPr>
            <w:r w:rsidRPr="00D4128D">
              <w:t xml:space="preserve">The PBAC considered it was reasonable to conclude that tofersen provided some clinical benefit to patients, but that the magnitude of the benefit </w:t>
            </w:r>
            <w:r w:rsidR="00F30EB2" w:rsidRPr="00D4128D">
              <w:t>and longer</w:t>
            </w:r>
            <w:r w:rsidR="007A591A">
              <w:noBreakHyphen/>
            </w:r>
            <w:r w:rsidR="00F30EB2" w:rsidRPr="00D4128D">
              <w:t>term effects were uncerta</w:t>
            </w:r>
            <w:r w:rsidR="001D63D6" w:rsidRPr="00D4128D">
              <w:t xml:space="preserve">in </w:t>
            </w:r>
            <w:r w:rsidRPr="00D4128D">
              <w:t>(paragraph 7.8</w:t>
            </w:r>
            <w:r w:rsidR="004845AF" w:rsidRPr="00D4128D">
              <w:t>)</w:t>
            </w:r>
            <w:r w:rsidR="0066757F" w:rsidRPr="00D4128D">
              <w:t>.</w:t>
            </w:r>
          </w:p>
        </w:tc>
        <w:tc>
          <w:tcPr>
            <w:tcW w:w="2128" w:type="pct"/>
          </w:tcPr>
          <w:p w14:paraId="4F86B4C1" w14:textId="4E8D78D4" w:rsidR="00D34011" w:rsidRPr="00D4128D" w:rsidRDefault="004845AF" w:rsidP="007A591A">
            <w:pPr>
              <w:pStyle w:val="TableText"/>
              <w:keepLines/>
            </w:pPr>
            <w:r w:rsidRPr="00D4128D">
              <w:t>The resubmission provided the final VALOR OLE dataset, extending follow up f</w:t>
            </w:r>
            <w:r w:rsidR="00461F05" w:rsidRPr="00D4128D">
              <w:t>ro</w:t>
            </w:r>
            <w:r w:rsidRPr="00D4128D">
              <w:t xml:space="preserve">m </w:t>
            </w:r>
            <w:r w:rsidR="0066757F" w:rsidRPr="00D4128D">
              <w:t>104 weeks to 148 weeks.</w:t>
            </w:r>
            <w:r w:rsidR="001D63D6" w:rsidRPr="00D4128D">
              <w:t xml:space="preserve"> </w:t>
            </w:r>
            <w:r w:rsidR="00C21E9F" w:rsidRPr="00D4128D">
              <w:t xml:space="preserve">Most </w:t>
            </w:r>
            <w:r w:rsidR="001D63D6" w:rsidRPr="00D4128D">
              <w:t>of the final VALOR OLE data were presented in the November 2025 pre</w:t>
            </w:r>
            <w:r w:rsidR="007A591A">
              <w:noBreakHyphen/>
            </w:r>
            <w:r w:rsidR="001D63D6" w:rsidRPr="00D4128D">
              <w:t>Sub</w:t>
            </w:r>
            <w:r w:rsidR="007A591A">
              <w:noBreakHyphen/>
            </w:r>
            <w:r w:rsidR="001D63D6" w:rsidRPr="00D4128D">
              <w:t>Committee Response.</w:t>
            </w:r>
          </w:p>
        </w:tc>
        <w:tc>
          <w:tcPr>
            <w:tcW w:w="826" w:type="pct"/>
          </w:tcPr>
          <w:p w14:paraId="40542A06" w14:textId="53BA5418" w:rsidR="00D34011" w:rsidRPr="00D4128D" w:rsidRDefault="001D63D6" w:rsidP="007A591A">
            <w:pPr>
              <w:pStyle w:val="TableText"/>
              <w:keepLines/>
            </w:pPr>
            <w:r w:rsidRPr="00D4128D">
              <w:t>No</w:t>
            </w:r>
          </w:p>
        </w:tc>
      </w:tr>
      <w:tr w:rsidR="00726931" w:rsidRPr="00D4128D" w14:paraId="1394F1DA" w14:textId="77777777" w:rsidTr="00726931">
        <w:trPr>
          <w:cantSplit/>
        </w:trPr>
        <w:tc>
          <w:tcPr>
            <w:tcW w:w="5000" w:type="pct"/>
            <w:gridSpan w:val="3"/>
            <w:vAlign w:val="center"/>
          </w:tcPr>
          <w:p w14:paraId="0B27DEA4" w14:textId="06B60C91" w:rsidR="00726931" w:rsidRPr="00D4128D" w:rsidRDefault="00726931" w:rsidP="007A591A">
            <w:pPr>
              <w:pStyle w:val="TableText"/>
              <w:keepLines/>
              <w:rPr>
                <w:b/>
                <w:bCs w:val="0"/>
              </w:rPr>
            </w:pPr>
            <w:r w:rsidRPr="00D4128D">
              <w:rPr>
                <w:b/>
                <w:bCs w:val="0"/>
              </w:rPr>
              <w:t>Economic model</w:t>
            </w:r>
          </w:p>
        </w:tc>
      </w:tr>
      <w:tr w:rsidR="002C633F" w:rsidRPr="00D4128D" w14:paraId="6E83CDA9" w14:textId="77777777" w:rsidTr="00130919">
        <w:trPr>
          <w:cantSplit/>
        </w:trPr>
        <w:tc>
          <w:tcPr>
            <w:tcW w:w="2046" w:type="pct"/>
            <w:vAlign w:val="center"/>
          </w:tcPr>
          <w:p w14:paraId="4DAE69B4" w14:textId="3F2C309F" w:rsidR="00D34011" w:rsidRPr="00D4128D" w:rsidRDefault="003C19A3" w:rsidP="007A591A">
            <w:pPr>
              <w:pStyle w:val="TableText"/>
              <w:keepLines/>
            </w:pPr>
            <w:r w:rsidRPr="00D4128D">
              <w:t xml:space="preserve">The PBAC considered that the </w:t>
            </w:r>
            <w:r w:rsidR="00CE69E3" w:rsidRPr="00D4128D">
              <w:t xml:space="preserve">ICER was very high and unreliable….The PBAC considered that the value proposition was difficult to assess given the uncertainty in the ICER which reflected the limited clinical data, the small number of patients </w:t>
            </w:r>
            <w:r w:rsidR="004E0926" w:rsidRPr="00D4128D">
              <w:t>included in the studies and the individualised nature of ALS</w:t>
            </w:r>
            <w:r w:rsidR="007A591A">
              <w:noBreakHyphen/>
            </w:r>
            <w:r w:rsidR="004E0926" w:rsidRPr="00D4128D">
              <w:t xml:space="preserve">SOD1 progression. The PBAC </w:t>
            </w:r>
            <w:r w:rsidR="006807DB" w:rsidRPr="00D4128D">
              <w:t>considered that the uncertainty in the ICER was unlike</w:t>
            </w:r>
            <w:r w:rsidR="001D137D" w:rsidRPr="00D4128D">
              <w:t>ly</w:t>
            </w:r>
            <w:r w:rsidR="006807DB" w:rsidRPr="00D4128D">
              <w:t xml:space="preserve"> to be adequately resolved with further revision to the model structure and inputs (paragraph </w:t>
            </w:r>
            <w:r w:rsidR="008E6F42" w:rsidRPr="00D4128D">
              <w:t>7.11, Nov minutes).</w:t>
            </w:r>
          </w:p>
          <w:p w14:paraId="5C9F432C" w14:textId="77E56106" w:rsidR="008E6F42" w:rsidRPr="00D4128D" w:rsidRDefault="008E6F42" w:rsidP="007A591A">
            <w:pPr>
              <w:pStyle w:val="TableText"/>
              <w:keepLines/>
            </w:pPr>
            <w:r w:rsidRPr="00D4128D">
              <w:t>The PBAC considered that tofersen would be acceptably cost</w:t>
            </w:r>
            <w:r w:rsidR="007A591A">
              <w:noBreakHyphen/>
            </w:r>
            <w:r w:rsidRPr="00D4128D">
              <w:t xml:space="preserve">effective with a price reduction </w:t>
            </w:r>
            <w:r w:rsidR="007E18BA" w:rsidRPr="00D4128D">
              <w:t xml:space="preserve">that would results in </w:t>
            </w:r>
            <w:r w:rsidR="00216807" w:rsidRPr="00D4128D">
              <w:t>a cost per year that aligned with other treatments for rare diseases funded on the PBS</w:t>
            </w:r>
            <w:r w:rsidR="0054675F" w:rsidRPr="00D4128D">
              <w:t xml:space="preserve">. The PBAC noted that the cost per year </w:t>
            </w:r>
            <w:r w:rsidR="00F81918" w:rsidRPr="00D4128D">
              <w:t xml:space="preserve">in the original submission </w:t>
            </w:r>
            <w:r w:rsidR="0054675F" w:rsidRPr="00D4128D">
              <w:t>was $</w:t>
            </w:r>
            <w:r w:rsidR="00C10EC6" w:rsidRPr="00C10EC6">
              <w:rPr>
                <w:sz w:val="2"/>
                <w:highlight w:val="black"/>
              </w:rPr>
              <w:t>redacted content</w:t>
            </w:r>
            <w:r w:rsidR="00C10EC6" w:rsidRPr="00C10EC6">
              <w:t xml:space="preserve"> </w:t>
            </w:r>
            <w:r w:rsidR="0054675F" w:rsidRPr="00D4128D">
              <w:t>and considered that a substantial price reduction would be required (paragraph 7.12).</w:t>
            </w:r>
          </w:p>
        </w:tc>
        <w:tc>
          <w:tcPr>
            <w:tcW w:w="2128" w:type="pct"/>
          </w:tcPr>
          <w:p w14:paraId="7072FDC0" w14:textId="461DECD2" w:rsidR="00D34011" w:rsidRPr="00D4128D" w:rsidRDefault="00C73EEB" w:rsidP="007A591A">
            <w:pPr>
              <w:pStyle w:val="TableText"/>
              <w:keepLines/>
            </w:pPr>
            <w:r w:rsidRPr="00D4128D">
              <w:t>The resubmission provided an updated economic analysis that included the reduced pric</w:t>
            </w:r>
            <w:r w:rsidR="00441442" w:rsidRPr="00D4128D">
              <w:t>e of tofersen. This resulted in an ICER of $</w:t>
            </w:r>
            <w:r w:rsidR="00C10EC6" w:rsidRPr="00C10EC6">
              <w:rPr>
                <w:sz w:val="2"/>
                <w:highlight w:val="black"/>
              </w:rPr>
              <w:t>redacted content</w:t>
            </w:r>
            <w:r w:rsidR="008342B9">
              <w:rPr>
                <w:vertAlign w:val="superscript"/>
              </w:rPr>
              <w:t>1</w:t>
            </w:r>
            <w:r w:rsidR="008301A3" w:rsidRPr="00D4128D">
              <w:t xml:space="preserve"> per QALY gained (reduced from $</w:t>
            </w:r>
            <w:r w:rsidR="00C10EC6" w:rsidRPr="00C10EC6">
              <w:rPr>
                <w:sz w:val="2"/>
                <w:highlight w:val="black"/>
              </w:rPr>
              <w:t>redacted content</w:t>
            </w:r>
            <w:r w:rsidR="008342B9">
              <w:rPr>
                <w:vertAlign w:val="superscript"/>
              </w:rPr>
              <w:t>2</w:t>
            </w:r>
            <w:r w:rsidR="008301A3" w:rsidRPr="00D4128D">
              <w:t xml:space="preserve"> </w:t>
            </w:r>
            <w:r w:rsidR="00472712" w:rsidRPr="00D4128D">
              <w:t xml:space="preserve">per QALY </w:t>
            </w:r>
            <w:r w:rsidR="008301A3" w:rsidRPr="00D4128D">
              <w:t>in the November 2025 submission).</w:t>
            </w:r>
          </w:p>
          <w:p w14:paraId="2B5D5DF3" w14:textId="77777777" w:rsidR="00883D6E" w:rsidRPr="00D4128D" w:rsidRDefault="00883D6E" w:rsidP="007A591A">
            <w:pPr>
              <w:pStyle w:val="TableText"/>
              <w:keepLines/>
            </w:pPr>
          </w:p>
          <w:p w14:paraId="28930EBF" w14:textId="77777777" w:rsidR="00883D6E" w:rsidRPr="00D4128D" w:rsidRDefault="00883D6E" w:rsidP="007A591A">
            <w:pPr>
              <w:pStyle w:val="TableText"/>
              <w:keepLines/>
            </w:pPr>
          </w:p>
          <w:p w14:paraId="7BCC6512" w14:textId="77777777" w:rsidR="00883D6E" w:rsidRPr="00D4128D" w:rsidRDefault="00883D6E" w:rsidP="007A591A">
            <w:pPr>
              <w:pStyle w:val="TableText"/>
              <w:keepLines/>
            </w:pPr>
          </w:p>
          <w:p w14:paraId="3B15AD99" w14:textId="77777777" w:rsidR="00883D6E" w:rsidRPr="00D4128D" w:rsidRDefault="00883D6E" w:rsidP="007A591A">
            <w:pPr>
              <w:pStyle w:val="TableText"/>
              <w:keepLines/>
            </w:pPr>
          </w:p>
          <w:p w14:paraId="67BE468A" w14:textId="77777777" w:rsidR="00907056" w:rsidRPr="00D4128D" w:rsidRDefault="00907056" w:rsidP="007A591A">
            <w:pPr>
              <w:pStyle w:val="TableText"/>
              <w:keepLines/>
            </w:pPr>
          </w:p>
          <w:p w14:paraId="1C069A65" w14:textId="77777777" w:rsidR="00907056" w:rsidRPr="00D4128D" w:rsidRDefault="00907056" w:rsidP="007A591A">
            <w:pPr>
              <w:pStyle w:val="TableText"/>
              <w:keepLines/>
            </w:pPr>
          </w:p>
          <w:p w14:paraId="5DB24155" w14:textId="77777777" w:rsidR="00907056" w:rsidRPr="00D4128D" w:rsidRDefault="00907056" w:rsidP="007A591A">
            <w:pPr>
              <w:pStyle w:val="TableText"/>
              <w:keepLines/>
            </w:pPr>
          </w:p>
          <w:p w14:paraId="64E0DE1A" w14:textId="655C3991" w:rsidR="008301A3" w:rsidRPr="00D4128D" w:rsidRDefault="008301A3" w:rsidP="007A591A">
            <w:pPr>
              <w:pStyle w:val="TableText"/>
              <w:keepLines/>
            </w:pPr>
            <w:r w:rsidRPr="00D4128D">
              <w:t xml:space="preserve">The </w:t>
            </w:r>
            <w:r w:rsidR="00DA616A" w:rsidRPr="00D4128D">
              <w:t xml:space="preserve">resubmission proposed a </w:t>
            </w:r>
            <w:r w:rsidR="00C10EC6" w:rsidRPr="00C10EC6">
              <w:rPr>
                <w:sz w:val="2"/>
                <w:highlight w:val="black"/>
              </w:rPr>
              <w:t>redacted content</w:t>
            </w:r>
            <w:r w:rsidR="00DA616A" w:rsidRPr="00D4128D">
              <w:t xml:space="preserve">% price reduction </w:t>
            </w:r>
            <w:r w:rsidR="00D93C5B" w:rsidRPr="00D4128D">
              <w:t>for the initiation and response phases</w:t>
            </w:r>
            <w:r w:rsidR="008343A7" w:rsidRPr="00D4128D">
              <w:t xml:space="preserve"> compared to the November 2025 submission</w:t>
            </w:r>
            <w:r w:rsidR="00D93C5B" w:rsidRPr="00D4128D">
              <w:t xml:space="preserve">. A further </w:t>
            </w:r>
            <w:r w:rsidR="00C10EC6" w:rsidRPr="00C10EC6">
              <w:rPr>
                <w:sz w:val="2"/>
                <w:highlight w:val="black"/>
              </w:rPr>
              <w:t>redacted content</w:t>
            </w:r>
            <w:r w:rsidR="00D93C5B" w:rsidRPr="00D4128D">
              <w:t xml:space="preserve">% price reduction was offered for the first continuation phase. This resulted in a cost </w:t>
            </w:r>
            <w:r w:rsidR="00883D6E" w:rsidRPr="00D4128D">
              <w:t>of tofersen in Year 1 of $</w:t>
            </w:r>
            <w:r w:rsidR="00C10EC6" w:rsidRPr="00C10EC6">
              <w:rPr>
                <w:sz w:val="2"/>
                <w:highlight w:val="black"/>
              </w:rPr>
              <w:t>redacted content</w:t>
            </w:r>
            <w:r w:rsidR="00883D6E" w:rsidRPr="00D4128D">
              <w:t xml:space="preserve"> and in Years 2+ of $</w:t>
            </w:r>
            <w:r w:rsidR="00C10EC6" w:rsidRPr="00C10EC6">
              <w:rPr>
                <w:sz w:val="2"/>
                <w:highlight w:val="black"/>
              </w:rPr>
              <w:t>redacted content</w:t>
            </w:r>
            <w:r w:rsidR="00883D6E" w:rsidRPr="00D4128D">
              <w:t>.</w:t>
            </w:r>
          </w:p>
        </w:tc>
        <w:tc>
          <w:tcPr>
            <w:tcW w:w="826" w:type="pct"/>
          </w:tcPr>
          <w:p w14:paraId="73148E99" w14:textId="2BF577E3" w:rsidR="00D34011" w:rsidRPr="00D4128D" w:rsidRDefault="007A591A" w:rsidP="007A591A">
            <w:pPr>
              <w:pStyle w:val="TableText"/>
              <w:keepLines/>
            </w:pPr>
            <w:r>
              <w:noBreakHyphen/>
            </w:r>
          </w:p>
          <w:p w14:paraId="0B8EDC5C" w14:textId="77777777" w:rsidR="00AC3760" w:rsidRPr="00D4128D" w:rsidRDefault="00AC3760" w:rsidP="007A591A">
            <w:pPr>
              <w:pStyle w:val="TableText"/>
              <w:keepLines/>
            </w:pPr>
          </w:p>
          <w:p w14:paraId="101B04C2" w14:textId="77777777" w:rsidR="00AC3760" w:rsidRPr="00D4128D" w:rsidRDefault="00AC3760" w:rsidP="007A591A">
            <w:pPr>
              <w:pStyle w:val="TableText"/>
              <w:keepLines/>
            </w:pPr>
          </w:p>
          <w:p w14:paraId="40F9C07A" w14:textId="77777777" w:rsidR="00AC3760" w:rsidRPr="00D4128D" w:rsidRDefault="00AC3760" w:rsidP="007A591A">
            <w:pPr>
              <w:pStyle w:val="TableText"/>
              <w:keepLines/>
            </w:pPr>
          </w:p>
          <w:p w14:paraId="3CC17F7F" w14:textId="77777777" w:rsidR="00AC3760" w:rsidRPr="00D4128D" w:rsidRDefault="00AC3760" w:rsidP="007A591A">
            <w:pPr>
              <w:pStyle w:val="TableText"/>
              <w:keepLines/>
            </w:pPr>
          </w:p>
          <w:p w14:paraId="7FC3092A" w14:textId="77777777" w:rsidR="00AC3760" w:rsidRPr="00D4128D" w:rsidRDefault="00AC3760" w:rsidP="007A591A">
            <w:pPr>
              <w:pStyle w:val="TableText"/>
              <w:keepLines/>
            </w:pPr>
          </w:p>
          <w:p w14:paraId="5040F0B0" w14:textId="77777777" w:rsidR="00AC3760" w:rsidRPr="00D4128D" w:rsidRDefault="00AC3760" w:rsidP="007A591A">
            <w:pPr>
              <w:pStyle w:val="TableText"/>
              <w:keepLines/>
            </w:pPr>
          </w:p>
          <w:p w14:paraId="4DF8D561" w14:textId="77777777" w:rsidR="00AC3760" w:rsidRPr="00D4128D" w:rsidRDefault="00AC3760" w:rsidP="007A591A">
            <w:pPr>
              <w:pStyle w:val="TableText"/>
              <w:keepLines/>
            </w:pPr>
          </w:p>
          <w:p w14:paraId="5F0FB105" w14:textId="77777777" w:rsidR="00AC3760" w:rsidRPr="00D4128D" w:rsidRDefault="00AC3760" w:rsidP="007A591A">
            <w:pPr>
              <w:pStyle w:val="TableText"/>
              <w:keepLines/>
            </w:pPr>
          </w:p>
          <w:p w14:paraId="15BDA791" w14:textId="77777777" w:rsidR="004660E6" w:rsidRPr="00D4128D" w:rsidRDefault="004660E6" w:rsidP="007A591A">
            <w:pPr>
              <w:pStyle w:val="TableText"/>
              <w:keepLines/>
            </w:pPr>
          </w:p>
          <w:p w14:paraId="45A5361A" w14:textId="77777777" w:rsidR="004660E6" w:rsidRPr="00D4128D" w:rsidRDefault="004660E6" w:rsidP="007A591A">
            <w:pPr>
              <w:pStyle w:val="TableText"/>
              <w:keepLines/>
            </w:pPr>
          </w:p>
          <w:p w14:paraId="4A348177" w14:textId="77777777" w:rsidR="004660E6" w:rsidRPr="00D4128D" w:rsidRDefault="004660E6" w:rsidP="007A591A">
            <w:pPr>
              <w:pStyle w:val="TableText"/>
              <w:keepLines/>
            </w:pPr>
          </w:p>
          <w:p w14:paraId="7A6D4E21" w14:textId="5E377798" w:rsidR="004660E6" w:rsidRPr="00D4128D" w:rsidRDefault="004660E6" w:rsidP="007A591A">
            <w:pPr>
              <w:pStyle w:val="TableText"/>
              <w:keepLines/>
            </w:pPr>
            <w:r w:rsidRPr="00D4128D">
              <w:t xml:space="preserve">PBAC </w:t>
            </w:r>
            <w:r w:rsidR="00117885" w:rsidRPr="00D4128D">
              <w:t>to advise</w:t>
            </w:r>
          </w:p>
        </w:tc>
      </w:tr>
      <w:tr w:rsidR="00726931" w:rsidRPr="00D4128D" w14:paraId="67A091CD" w14:textId="77777777" w:rsidTr="00726931">
        <w:trPr>
          <w:cantSplit/>
        </w:trPr>
        <w:tc>
          <w:tcPr>
            <w:tcW w:w="5000" w:type="pct"/>
            <w:gridSpan w:val="3"/>
            <w:vAlign w:val="center"/>
          </w:tcPr>
          <w:p w14:paraId="20EE0E1F" w14:textId="4441BCDA" w:rsidR="00726931" w:rsidRPr="00D4128D" w:rsidRDefault="00726931" w:rsidP="007A591A">
            <w:pPr>
              <w:pStyle w:val="TableText"/>
              <w:keepNext w:val="0"/>
              <w:rPr>
                <w:b/>
                <w:bCs w:val="0"/>
              </w:rPr>
            </w:pPr>
            <w:r w:rsidRPr="00D4128D">
              <w:rPr>
                <w:b/>
                <w:bCs w:val="0"/>
              </w:rPr>
              <w:t>Financial estimates and RSA</w:t>
            </w:r>
          </w:p>
        </w:tc>
      </w:tr>
      <w:tr w:rsidR="002C633F" w:rsidRPr="00D4128D" w14:paraId="2DF1DD08" w14:textId="77777777" w:rsidTr="00130919">
        <w:trPr>
          <w:cantSplit/>
        </w:trPr>
        <w:tc>
          <w:tcPr>
            <w:tcW w:w="2046" w:type="pct"/>
            <w:vAlign w:val="center"/>
          </w:tcPr>
          <w:p w14:paraId="31C1468F" w14:textId="720DE085" w:rsidR="00D34011" w:rsidRPr="00D4128D" w:rsidRDefault="00A2041C" w:rsidP="007A591A">
            <w:pPr>
              <w:pStyle w:val="TableText"/>
              <w:keepNext w:val="0"/>
            </w:pPr>
            <w:r w:rsidRPr="00D4128D">
              <w:t>The PBAC noted that the estimated ALS</w:t>
            </w:r>
            <w:r w:rsidR="007A591A">
              <w:noBreakHyphen/>
            </w:r>
            <w:r w:rsidRPr="00D4128D">
              <w:t xml:space="preserve">SOD1 population was </w:t>
            </w:r>
            <w:r w:rsidR="00CE39AA" w:rsidRPr="00D4128D">
              <w:t xml:space="preserve">somewhat uncertain….as Australian estimates are not available. </w:t>
            </w:r>
            <w:r w:rsidR="00E11339" w:rsidRPr="00D4128D">
              <w:t>The PBAC noted that:</w:t>
            </w:r>
          </w:p>
          <w:p w14:paraId="01F8ECD7" w14:textId="7A70D74D" w:rsidR="00E11339" w:rsidRPr="00D4128D" w:rsidRDefault="00E11339" w:rsidP="007A591A">
            <w:pPr>
              <w:pStyle w:val="TableText"/>
              <w:keepNext w:val="0"/>
              <w:numPr>
                <w:ilvl w:val="0"/>
                <w:numId w:val="16"/>
              </w:numPr>
              <w:ind w:left="284" w:hanging="284"/>
            </w:pPr>
            <w:r w:rsidRPr="00D4128D">
              <w:t>The estimates were based on a prevalence approach, without incorporating incident patients in each year;</w:t>
            </w:r>
          </w:p>
          <w:p w14:paraId="29C24885" w14:textId="77777777" w:rsidR="00E11339" w:rsidRPr="00D4128D" w:rsidRDefault="00296896" w:rsidP="007A591A">
            <w:pPr>
              <w:pStyle w:val="TableText"/>
              <w:keepNext w:val="0"/>
              <w:numPr>
                <w:ilvl w:val="0"/>
                <w:numId w:val="16"/>
              </w:numPr>
              <w:ind w:left="284" w:hanging="284"/>
            </w:pPr>
            <w:r w:rsidRPr="00D4128D">
              <w:t xml:space="preserve">The duration of treatment, </w:t>
            </w:r>
            <w:r w:rsidR="00AF2837" w:rsidRPr="00D4128D">
              <w:t>extension of survival and additional loading doses for incident patients were not appropriately modelled;</w:t>
            </w:r>
          </w:p>
          <w:p w14:paraId="1749B4D6" w14:textId="77777777" w:rsidR="00AF2837" w:rsidRPr="00D4128D" w:rsidRDefault="006F75B6" w:rsidP="007A591A">
            <w:pPr>
              <w:pStyle w:val="TableText"/>
              <w:keepNext w:val="0"/>
              <w:numPr>
                <w:ilvl w:val="0"/>
                <w:numId w:val="16"/>
              </w:numPr>
              <w:ind w:left="284" w:hanging="284"/>
            </w:pPr>
            <w:r w:rsidRPr="00D4128D">
              <w:t>Uptake may be limited by suitableness for ongoing lumbar punctures and geographical access to treatment centres;</w:t>
            </w:r>
          </w:p>
          <w:p w14:paraId="42E2E48E" w14:textId="77777777" w:rsidR="006F75B6" w:rsidRPr="00D4128D" w:rsidRDefault="009A4FC7" w:rsidP="007A591A">
            <w:pPr>
              <w:pStyle w:val="TableText"/>
              <w:keepNext w:val="0"/>
              <w:numPr>
                <w:ilvl w:val="0"/>
                <w:numId w:val="16"/>
              </w:numPr>
              <w:ind w:left="284" w:hanging="284"/>
            </w:pPr>
            <w:r w:rsidRPr="00D4128D">
              <w:t xml:space="preserve">The duration of treatment in patients who respond to treatment </w:t>
            </w:r>
            <w:r w:rsidR="00AE7BC4" w:rsidRPr="00D4128D">
              <w:t>was uncertain;</w:t>
            </w:r>
          </w:p>
          <w:p w14:paraId="49207A7D" w14:textId="7B735839" w:rsidR="00EC44AC" w:rsidRPr="00D4128D" w:rsidRDefault="00AE7BC4" w:rsidP="007A591A">
            <w:pPr>
              <w:pStyle w:val="TableText"/>
              <w:keepNext w:val="0"/>
              <w:numPr>
                <w:ilvl w:val="0"/>
                <w:numId w:val="16"/>
              </w:numPr>
              <w:ind w:left="284" w:hanging="284"/>
            </w:pPr>
            <w:r w:rsidRPr="00D4128D">
              <w:t>Compliance and discontinuation rates would be affected by response to treatment</w:t>
            </w:r>
            <w:r w:rsidR="00EC44AC" w:rsidRPr="00D4128D">
              <w:t>, especially as administration was via lumbar puncture (paragraph 7.13).</w:t>
            </w:r>
          </w:p>
        </w:tc>
        <w:tc>
          <w:tcPr>
            <w:tcW w:w="2128" w:type="pct"/>
          </w:tcPr>
          <w:p w14:paraId="3B257092" w14:textId="77777777" w:rsidR="00D34011" w:rsidRPr="00D4128D" w:rsidRDefault="00AC3760" w:rsidP="007A591A">
            <w:pPr>
              <w:pStyle w:val="TableText"/>
              <w:keepNext w:val="0"/>
            </w:pPr>
            <w:r w:rsidRPr="00D4128D">
              <w:t>The resubmission made the following changes to the financial estimates:</w:t>
            </w:r>
          </w:p>
          <w:p w14:paraId="41F5F17D" w14:textId="77777777" w:rsidR="006F3D36" w:rsidRPr="00D4128D" w:rsidRDefault="006F3D36" w:rsidP="007A591A">
            <w:pPr>
              <w:pStyle w:val="TableText"/>
              <w:keepNext w:val="0"/>
            </w:pPr>
          </w:p>
          <w:p w14:paraId="51EB6077" w14:textId="77777777" w:rsidR="006F3D36" w:rsidRPr="00D4128D" w:rsidRDefault="006F3D36" w:rsidP="007A591A">
            <w:pPr>
              <w:pStyle w:val="TableText"/>
              <w:keepNext w:val="0"/>
            </w:pPr>
          </w:p>
          <w:p w14:paraId="3A3E79D1" w14:textId="7900F856" w:rsidR="006F3D36" w:rsidRPr="00D4128D" w:rsidRDefault="00492C5A" w:rsidP="007A591A">
            <w:pPr>
              <w:pStyle w:val="TableText"/>
              <w:keepNext w:val="0"/>
              <w:numPr>
                <w:ilvl w:val="0"/>
                <w:numId w:val="16"/>
              </w:numPr>
              <w:ind w:left="284" w:hanging="284"/>
            </w:pPr>
            <w:r w:rsidRPr="00D4128D">
              <w:t>Incident/prevalent approach was adopted</w:t>
            </w:r>
            <w:r w:rsidR="00C43044" w:rsidRPr="00D4128D">
              <w:t>;</w:t>
            </w:r>
          </w:p>
          <w:p w14:paraId="298C95CB" w14:textId="77777777" w:rsidR="006F3D36" w:rsidRPr="00D4128D" w:rsidRDefault="006F3D36" w:rsidP="007A591A">
            <w:pPr>
              <w:pStyle w:val="TableText"/>
              <w:keepNext w:val="0"/>
              <w:ind w:left="284" w:hanging="284"/>
            </w:pPr>
          </w:p>
          <w:p w14:paraId="6A4CE75E" w14:textId="77777777" w:rsidR="006F3D36" w:rsidRPr="00D4128D" w:rsidRDefault="00C43044" w:rsidP="007A591A">
            <w:pPr>
              <w:pStyle w:val="TableText"/>
              <w:keepNext w:val="0"/>
              <w:numPr>
                <w:ilvl w:val="0"/>
                <w:numId w:val="16"/>
              </w:numPr>
              <w:ind w:left="284" w:hanging="284"/>
            </w:pPr>
            <w:r w:rsidRPr="00D4128D">
              <w:t>Continuation of incident patients was modelled;</w:t>
            </w:r>
          </w:p>
          <w:p w14:paraId="2354F969" w14:textId="77777777" w:rsidR="00C43044" w:rsidRPr="00D4128D" w:rsidRDefault="00C43044" w:rsidP="007A591A">
            <w:pPr>
              <w:pStyle w:val="ListParagraph"/>
              <w:spacing w:after="0"/>
              <w:ind w:left="284" w:hanging="284"/>
            </w:pPr>
          </w:p>
          <w:p w14:paraId="6497BF3C" w14:textId="77777777" w:rsidR="00C43044" w:rsidRPr="00D4128D" w:rsidRDefault="00C43044" w:rsidP="007A591A">
            <w:pPr>
              <w:pStyle w:val="TableText"/>
              <w:keepNext w:val="0"/>
              <w:numPr>
                <w:ilvl w:val="0"/>
                <w:numId w:val="16"/>
              </w:numPr>
              <w:ind w:left="284" w:hanging="284"/>
            </w:pPr>
            <w:r w:rsidRPr="00D4128D">
              <w:t>Uptake was adjusted;</w:t>
            </w:r>
          </w:p>
          <w:p w14:paraId="2C9055B0" w14:textId="77777777" w:rsidR="00C43044" w:rsidRPr="00D4128D" w:rsidRDefault="00C43044" w:rsidP="007A591A">
            <w:pPr>
              <w:pStyle w:val="ListParagraph"/>
              <w:spacing w:after="0"/>
              <w:ind w:left="284" w:hanging="284"/>
            </w:pPr>
          </w:p>
          <w:p w14:paraId="00DAEB25" w14:textId="7566707F" w:rsidR="00C43044" w:rsidRPr="00D4128D" w:rsidRDefault="002B30F5" w:rsidP="007A591A">
            <w:pPr>
              <w:pStyle w:val="TableText"/>
              <w:keepNext w:val="0"/>
              <w:numPr>
                <w:ilvl w:val="0"/>
                <w:numId w:val="16"/>
              </w:numPr>
              <w:ind w:left="284" w:hanging="284"/>
            </w:pPr>
            <w:r w:rsidRPr="00D4128D">
              <w:t xml:space="preserve">Continuation </w:t>
            </w:r>
            <w:r w:rsidR="008026D9" w:rsidRPr="00D4128D">
              <w:t xml:space="preserve">rates were updated and </w:t>
            </w:r>
            <w:r w:rsidRPr="00D4128D">
              <w:t>aligned with the economic model</w:t>
            </w:r>
            <w:r w:rsidR="008026D9" w:rsidRPr="00D4128D">
              <w:t>.</w:t>
            </w:r>
          </w:p>
          <w:p w14:paraId="7E07F94E" w14:textId="50E5B051" w:rsidR="002B30F5" w:rsidRPr="00D4128D" w:rsidRDefault="008026D9" w:rsidP="007A591A">
            <w:pPr>
              <w:pStyle w:val="TableText"/>
              <w:keepNext w:val="0"/>
              <w:numPr>
                <w:ilvl w:val="0"/>
                <w:numId w:val="16"/>
              </w:numPr>
              <w:ind w:left="284" w:hanging="284"/>
            </w:pPr>
            <w:r w:rsidRPr="00D4128D">
              <w:t>As above.</w:t>
            </w:r>
            <w:r w:rsidR="004A79E9" w:rsidRPr="00D4128D">
              <w:t xml:space="preserve"> </w:t>
            </w:r>
          </w:p>
        </w:tc>
        <w:tc>
          <w:tcPr>
            <w:tcW w:w="826" w:type="pct"/>
          </w:tcPr>
          <w:p w14:paraId="7BA472C9" w14:textId="77777777" w:rsidR="00D34011" w:rsidRPr="00D4128D" w:rsidRDefault="00D34011" w:rsidP="007A591A">
            <w:pPr>
              <w:pStyle w:val="TableText"/>
              <w:keepNext w:val="0"/>
            </w:pPr>
          </w:p>
          <w:p w14:paraId="6A480563" w14:textId="77777777" w:rsidR="00F42F29" w:rsidRPr="00D4128D" w:rsidRDefault="00F42F29" w:rsidP="007A591A">
            <w:pPr>
              <w:pStyle w:val="TableText"/>
              <w:keepNext w:val="0"/>
            </w:pPr>
          </w:p>
          <w:p w14:paraId="6B489B4C" w14:textId="77777777" w:rsidR="00F42F29" w:rsidRPr="00D4128D" w:rsidRDefault="00F42F29" w:rsidP="007A591A">
            <w:pPr>
              <w:pStyle w:val="TableText"/>
              <w:keepNext w:val="0"/>
            </w:pPr>
          </w:p>
          <w:p w14:paraId="098D10F5" w14:textId="77777777" w:rsidR="00F42F29" w:rsidRPr="00D4128D" w:rsidRDefault="00F42F29" w:rsidP="007A591A">
            <w:pPr>
              <w:pStyle w:val="TableText"/>
              <w:keepNext w:val="0"/>
            </w:pPr>
          </w:p>
          <w:p w14:paraId="6A740FBA" w14:textId="77777777" w:rsidR="00F42F29" w:rsidRPr="00D4128D" w:rsidRDefault="00F42F29" w:rsidP="007A591A">
            <w:pPr>
              <w:pStyle w:val="TableText"/>
              <w:keepNext w:val="0"/>
            </w:pPr>
            <w:r w:rsidRPr="00D4128D">
              <w:t>Yes</w:t>
            </w:r>
          </w:p>
          <w:p w14:paraId="7D9B5B41" w14:textId="77777777" w:rsidR="00F42F29" w:rsidRPr="00D4128D" w:rsidRDefault="00F42F29" w:rsidP="007A591A">
            <w:pPr>
              <w:pStyle w:val="TableText"/>
              <w:keepNext w:val="0"/>
            </w:pPr>
          </w:p>
          <w:p w14:paraId="6CB9F42C" w14:textId="77777777" w:rsidR="00F42F29" w:rsidRPr="00D4128D" w:rsidRDefault="00F42F29" w:rsidP="007A591A">
            <w:pPr>
              <w:pStyle w:val="TableText"/>
              <w:keepNext w:val="0"/>
            </w:pPr>
            <w:r w:rsidRPr="00D4128D">
              <w:t>Yes</w:t>
            </w:r>
          </w:p>
          <w:p w14:paraId="0D540A46" w14:textId="77777777" w:rsidR="00F42F29" w:rsidRPr="00D4128D" w:rsidRDefault="00F42F29" w:rsidP="007A591A">
            <w:pPr>
              <w:pStyle w:val="TableText"/>
              <w:keepNext w:val="0"/>
            </w:pPr>
          </w:p>
          <w:p w14:paraId="42A946E1" w14:textId="77777777" w:rsidR="00C8591D" w:rsidRPr="00D4128D" w:rsidRDefault="00C8591D" w:rsidP="007A591A">
            <w:pPr>
              <w:pStyle w:val="TableText"/>
              <w:keepNext w:val="0"/>
            </w:pPr>
          </w:p>
          <w:p w14:paraId="345DD273" w14:textId="38D50A19" w:rsidR="00F42F29" w:rsidRPr="00D4128D" w:rsidRDefault="00863A20" w:rsidP="007A591A">
            <w:pPr>
              <w:pStyle w:val="TableText"/>
              <w:keepNext w:val="0"/>
            </w:pPr>
            <w:r w:rsidRPr="00D4128D">
              <w:t>Minor changes</w:t>
            </w:r>
          </w:p>
          <w:p w14:paraId="78CAA5C3" w14:textId="77777777" w:rsidR="00C8591D" w:rsidRPr="00D4128D" w:rsidRDefault="00C8591D" w:rsidP="007A591A">
            <w:pPr>
              <w:pStyle w:val="TableText"/>
              <w:keepNext w:val="0"/>
            </w:pPr>
          </w:p>
          <w:p w14:paraId="227EDFD3" w14:textId="77777777" w:rsidR="00C8591D" w:rsidRPr="00D4128D" w:rsidRDefault="00C8591D" w:rsidP="007A591A">
            <w:pPr>
              <w:pStyle w:val="TableText"/>
              <w:keepNext w:val="0"/>
            </w:pPr>
          </w:p>
          <w:p w14:paraId="5175BB10" w14:textId="5A91B2A2" w:rsidR="00C8591D" w:rsidRPr="00D4128D" w:rsidRDefault="00C8591D" w:rsidP="007A591A">
            <w:pPr>
              <w:pStyle w:val="TableText"/>
              <w:keepNext w:val="0"/>
            </w:pPr>
            <w:r w:rsidRPr="00D4128D">
              <w:t>Yes</w:t>
            </w:r>
          </w:p>
        </w:tc>
      </w:tr>
      <w:tr w:rsidR="002C633F" w:rsidRPr="00D4128D" w14:paraId="3B47EDB5" w14:textId="77777777" w:rsidTr="00E117B2">
        <w:trPr>
          <w:cantSplit/>
          <w:trHeight w:val="857"/>
        </w:trPr>
        <w:tc>
          <w:tcPr>
            <w:tcW w:w="2046" w:type="pct"/>
          </w:tcPr>
          <w:p w14:paraId="1FA45752" w14:textId="6B9E1314" w:rsidR="00D34011" w:rsidRPr="00D4128D" w:rsidRDefault="006D3710" w:rsidP="007A591A">
            <w:pPr>
              <w:pStyle w:val="TableText"/>
              <w:keepNext w:val="0"/>
            </w:pPr>
            <w:r w:rsidRPr="00D4128D">
              <w:t>The PBAC considered that a RS</w:t>
            </w:r>
            <w:r w:rsidR="00BF584C" w:rsidRPr="00D4128D">
              <w:t xml:space="preserve">A based on the revised financial </w:t>
            </w:r>
            <w:r w:rsidR="006C0620" w:rsidRPr="00D4128D">
              <w:t>estimates would be required, with higher rebate levels over the Deed term</w:t>
            </w:r>
            <w:r w:rsidR="00B62C12" w:rsidRPr="00D4128D">
              <w:t xml:space="preserve"> (submission offered </w:t>
            </w:r>
            <w:r w:rsidR="00C10EC6" w:rsidRPr="00C10EC6">
              <w:rPr>
                <w:sz w:val="2"/>
                <w:highlight w:val="black"/>
              </w:rPr>
              <w:t>redacted content</w:t>
            </w:r>
            <w:r w:rsidR="00B62C12" w:rsidRPr="00D4128D">
              <w:t xml:space="preserve">% rebate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B62C12" w:rsidRPr="00D4128D">
              <w:t>)</w:t>
            </w:r>
            <w:r w:rsidR="00726931" w:rsidRPr="00D4128D">
              <w:t xml:space="preserve"> (paragraph 7.15)</w:t>
            </w:r>
            <w:r w:rsidR="00B62C12" w:rsidRPr="00D4128D">
              <w:t>.</w:t>
            </w:r>
          </w:p>
        </w:tc>
        <w:tc>
          <w:tcPr>
            <w:tcW w:w="2128" w:type="pct"/>
          </w:tcPr>
          <w:p w14:paraId="7EB6A7C5" w14:textId="3FEE7EFB" w:rsidR="00D75064" w:rsidRPr="00D4128D" w:rsidRDefault="008026D9" w:rsidP="007A591A">
            <w:pPr>
              <w:pStyle w:val="TableText"/>
              <w:keepNext w:val="0"/>
            </w:pPr>
            <w:r w:rsidRPr="00D4128D">
              <w:t xml:space="preserve">The resubmission proposed </w:t>
            </w:r>
            <w:r w:rsidRPr="005F163F">
              <w:t xml:space="preserve">a </w:t>
            </w:r>
            <w:r w:rsidR="00C10EC6" w:rsidRPr="00C10EC6">
              <w:rPr>
                <w:sz w:val="2"/>
                <w:highlight w:val="black"/>
              </w:rPr>
              <w:t>redacted content</w:t>
            </w:r>
            <w:r w:rsidR="00C10EC6" w:rsidRPr="00C10EC6">
              <w:t xml:space="preserve"> </w:t>
            </w:r>
            <w:r w:rsidRPr="005F163F">
              <w:t>RSA</w:t>
            </w:r>
            <w:r w:rsidR="006A1515" w:rsidRPr="00D4128D">
              <w:t xml:space="preserve">, with a </w:t>
            </w:r>
            <w:r w:rsidR="00C10EC6" w:rsidRPr="00C10EC6">
              <w:rPr>
                <w:sz w:val="2"/>
                <w:highlight w:val="black"/>
              </w:rPr>
              <w:t>redacted content</w:t>
            </w:r>
            <w:r w:rsidR="006A1515" w:rsidRPr="00D4128D">
              <w:t xml:space="preserve">% rebate on expenditure up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p>
        </w:tc>
        <w:tc>
          <w:tcPr>
            <w:tcW w:w="826" w:type="pct"/>
          </w:tcPr>
          <w:p w14:paraId="404F3F9B" w14:textId="785D5580" w:rsidR="00D34011" w:rsidRPr="00D4128D" w:rsidRDefault="00F42F29" w:rsidP="007A591A">
            <w:pPr>
              <w:pStyle w:val="TableText"/>
              <w:keepNext w:val="0"/>
            </w:pPr>
            <w:r w:rsidRPr="00D4128D">
              <w:t xml:space="preserve">Yes </w:t>
            </w:r>
          </w:p>
        </w:tc>
      </w:tr>
    </w:tbl>
    <w:p w14:paraId="32B95A78" w14:textId="2C087C03" w:rsidR="009D55E2" w:rsidRDefault="009D55E2" w:rsidP="007A591A">
      <w:pPr>
        <w:pStyle w:val="TableFigureFooter"/>
      </w:pPr>
      <w:r w:rsidRPr="002C633F">
        <w:lastRenderedPageBreak/>
        <w:t xml:space="preserve">Source: </w:t>
      </w:r>
      <w:r w:rsidR="00292981">
        <w:t xml:space="preserve">Compiled </w:t>
      </w:r>
      <w:r w:rsidR="00ED5233">
        <w:t xml:space="preserve">from </w:t>
      </w:r>
      <w:r w:rsidR="005D3C93">
        <w:t xml:space="preserve">the </w:t>
      </w:r>
      <w:r w:rsidR="00ED5233">
        <w:t xml:space="preserve">November 2025 PBAC minutes and </w:t>
      </w:r>
      <w:r w:rsidR="005D3C93">
        <w:t xml:space="preserve">the </w:t>
      </w:r>
      <w:r w:rsidR="00ED5233">
        <w:t>March 2026 early re</w:t>
      </w:r>
      <w:r w:rsidR="007A591A">
        <w:noBreakHyphen/>
      </w:r>
      <w:r w:rsidR="00ED5233">
        <w:t>entry submission</w:t>
      </w:r>
    </w:p>
    <w:p w14:paraId="7C9C0014" w14:textId="5EF50520" w:rsidR="005410D6" w:rsidRDefault="005167CF" w:rsidP="007A591A">
      <w:pPr>
        <w:pStyle w:val="TableFigureFooter"/>
      </w:pPr>
      <w:r>
        <w:t xml:space="preserve">ALS = amyotrophic lateral sclerosis; </w:t>
      </w:r>
      <w:r w:rsidR="00DE4710">
        <w:t>ALS</w:t>
      </w:r>
      <w:r w:rsidR="007A591A">
        <w:noBreakHyphen/>
      </w:r>
      <w:r w:rsidR="00DE4710">
        <w:t>SOD1 =</w:t>
      </w:r>
      <w:r w:rsidR="00F81918">
        <w:t xml:space="preserve"> amyotrophic </w:t>
      </w:r>
      <w:r w:rsidR="00EE2B0B">
        <w:t>lateral sclerosis</w:t>
      </w:r>
      <w:r w:rsidR="007A591A">
        <w:noBreakHyphen/>
      </w:r>
      <w:r w:rsidR="00EE2B0B">
        <w:t>superoxide dismutase 1;</w:t>
      </w:r>
      <w:r w:rsidR="00DE4710">
        <w:t xml:space="preserve"> ICER = incremental cost</w:t>
      </w:r>
      <w:r w:rsidR="007A591A">
        <w:noBreakHyphen/>
      </w:r>
      <w:r w:rsidR="00DE4710">
        <w:t>effectiveness ratio; OLE = open</w:t>
      </w:r>
      <w:r w:rsidR="007A591A">
        <w:noBreakHyphen/>
      </w:r>
      <w:r w:rsidR="00DE4710">
        <w:t>label extension</w:t>
      </w:r>
      <w:r w:rsidR="00F81918">
        <w:t xml:space="preserve">; </w:t>
      </w:r>
      <w:r w:rsidR="00B96189">
        <w:t>QALY = quality</w:t>
      </w:r>
      <w:r w:rsidR="007A591A">
        <w:noBreakHyphen/>
      </w:r>
      <w:r w:rsidR="00B96189">
        <w:t xml:space="preserve">adjusted life year; </w:t>
      </w:r>
      <w:r w:rsidR="00F81918">
        <w:t>RSA = risk sharing arrangement</w:t>
      </w:r>
    </w:p>
    <w:p w14:paraId="6F7B46E2" w14:textId="77777777" w:rsidR="008342B9" w:rsidRPr="008342B9" w:rsidRDefault="008342B9" w:rsidP="008342B9">
      <w:pPr>
        <w:pStyle w:val="TableFigureFooter"/>
        <w:rPr>
          <w:bCs/>
          <w:i/>
          <w:iCs/>
        </w:rPr>
      </w:pPr>
      <w:r w:rsidRPr="008342B9">
        <w:rPr>
          <w:bCs/>
          <w:i/>
          <w:iCs/>
        </w:rPr>
        <w:t xml:space="preserve">The redacted values correspond to the following ranges: </w:t>
      </w:r>
    </w:p>
    <w:p w14:paraId="675B3C6B" w14:textId="77777777" w:rsidR="008342B9" w:rsidRPr="008342B9" w:rsidRDefault="008342B9" w:rsidP="008342B9">
      <w:pPr>
        <w:pStyle w:val="TableFigureFooter"/>
        <w:rPr>
          <w:bCs/>
          <w:i/>
        </w:rPr>
      </w:pPr>
      <w:r w:rsidRPr="008342B9">
        <w:rPr>
          <w:i/>
          <w:vertAlign w:val="superscript"/>
        </w:rPr>
        <w:t>1</w:t>
      </w:r>
      <w:r w:rsidRPr="008342B9">
        <w:rPr>
          <w:i/>
        </w:rPr>
        <w:t xml:space="preserve"> </w:t>
      </w:r>
      <w:r w:rsidRPr="008342B9">
        <w:rPr>
          <w:bCs/>
          <w:i/>
        </w:rPr>
        <w:t>$755,000 to &lt; $855,000</w:t>
      </w:r>
    </w:p>
    <w:p w14:paraId="3229B980" w14:textId="77777777" w:rsidR="008342B9" w:rsidRPr="008342B9" w:rsidRDefault="008342B9" w:rsidP="008342B9">
      <w:pPr>
        <w:pStyle w:val="TableFigureFooter"/>
        <w:rPr>
          <w:bCs/>
          <w:i/>
        </w:rPr>
      </w:pPr>
      <w:r w:rsidRPr="008342B9">
        <w:rPr>
          <w:i/>
          <w:vertAlign w:val="superscript"/>
        </w:rPr>
        <w:t>2</w:t>
      </w:r>
      <w:r w:rsidRPr="008342B9">
        <w:rPr>
          <w:i/>
        </w:rPr>
        <w:t xml:space="preserve"> </w:t>
      </w:r>
      <w:r w:rsidRPr="008342B9">
        <w:rPr>
          <w:bCs/>
          <w:i/>
        </w:rPr>
        <w:t>$955,000 to &lt; $1,055,000</w:t>
      </w:r>
    </w:p>
    <w:p w14:paraId="1D953FD4" w14:textId="77777777" w:rsidR="008342B9" w:rsidRPr="002C633F" w:rsidRDefault="008342B9" w:rsidP="007A591A">
      <w:pPr>
        <w:pStyle w:val="TableFigureFooter"/>
      </w:pPr>
    </w:p>
    <w:p w14:paraId="0935F4B2" w14:textId="15DE73BB" w:rsidR="5D80A09E" w:rsidRPr="006C5B33" w:rsidRDefault="004877C2" w:rsidP="007A591A">
      <w:pPr>
        <w:pStyle w:val="2-SectionHeading"/>
        <w:rPr>
          <w:rFonts w:eastAsiaTheme="minorEastAsia"/>
        </w:rPr>
      </w:pPr>
      <w:r w:rsidRPr="006C5B33">
        <w:t>Background</w:t>
      </w:r>
    </w:p>
    <w:p w14:paraId="67A31682" w14:textId="28E6095F" w:rsidR="004227EE" w:rsidRDefault="008D3FDA" w:rsidP="007A591A">
      <w:pPr>
        <w:pStyle w:val="3-BodyText"/>
      </w:pPr>
      <w:r w:rsidRPr="004227EE">
        <w:t>Tofersen was granted orphan drug status on 5 July 2024</w:t>
      </w:r>
      <w:r w:rsidR="008E3037">
        <w:t>,</w:t>
      </w:r>
      <w:r w:rsidR="005A153E" w:rsidRPr="004227EE">
        <w:t xml:space="preserve"> on the basis that it is intended to treat a rare disease</w:t>
      </w:r>
      <w:r w:rsidR="008E3037">
        <w:t>,</w:t>
      </w:r>
      <w:r w:rsidR="005A153E" w:rsidRPr="004227EE">
        <w:t xml:space="preserve"> and was </w:t>
      </w:r>
      <w:r w:rsidR="00767B84">
        <w:t>considered by the TGA</w:t>
      </w:r>
      <w:r w:rsidR="00FC72D6" w:rsidRPr="004227EE">
        <w:t xml:space="preserve"> via the Provisional Pathway. </w:t>
      </w:r>
      <w:r w:rsidR="002D454B">
        <w:t xml:space="preserve">The TGA Delegate’s Overview </w:t>
      </w:r>
      <w:r w:rsidR="00CB0DE3">
        <w:t>recommended</w:t>
      </w:r>
      <w:r w:rsidR="002D454B">
        <w:t xml:space="preserve"> the provisional registration </w:t>
      </w:r>
      <w:r w:rsidR="00CB0DE3">
        <w:t>of tofersen for:</w:t>
      </w:r>
    </w:p>
    <w:p w14:paraId="60AFC7A8" w14:textId="148300E9" w:rsidR="00492861" w:rsidRDefault="009C7272" w:rsidP="007A591A">
      <w:pPr>
        <w:pStyle w:val="3-BodyText"/>
        <w:numPr>
          <w:ilvl w:val="0"/>
          <w:numId w:val="0"/>
        </w:numPr>
        <w:ind w:left="1440"/>
      </w:pPr>
      <w:r>
        <w:t>‘</w:t>
      </w:r>
      <w:r w:rsidR="00492861">
        <w:t xml:space="preserve">the treatment of </w:t>
      </w:r>
      <w:r w:rsidR="00CB0DE3">
        <w:t xml:space="preserve">adults with </w:t>
      </w:r>
      <w:r w:rsidR="00492861">
        <w:t>amyotrophic lateral sclerosis</w:t>
      </w:r>
      <w:r w:rsidR="00CB0DE3">
        <w:t xml:space="preserve"> (ALS)</w:t>
      </w:r>
      <w:r w:rsidR="00492861">
        <w:t xml:space="preserve"> associated with a mutation in the superoxide dismutase 1 (SOD1) gene</w:t>
      </w:r>
      <w:r>
        <w:t>’</w:t>
      </w:r>
    </w:p>
    <w:p w14:paraId="256C712D" w14:textId="49CCEE6E" w:rsidR="0090775A" w:rsidRPr="00DE06AF" w:rsidRDefault="004F6160" w:rsidP="007A591A">
      <w:pPr>
        <w:pStyle w:val="3-BodyText"/>
      </w:pPr>
      <w:r>
        <w:t xml:space="preserve">The </w:t>
      </w:r>
      <w:r w:rsidRPr="002C633F">
        <w:t>PICO from the previous submission is presented below</w:t>
      </w:r>
      <w:r w:rsidR="00A07C4C" w:rsidRPr="002C633F">
        <w:t>.</w:t>
      </w:r>
    </w:p>
    <w:p w14:paraId="57CAD8DE" w14:textId="3880B70E" w:rsidR="00BE25D7" w:rsidRPr="00C5151E" w:rsidRDefault="008E3037" w:rsidP="007A591A">
      <w:pPr>
        <w:pStyle w:val="Caption"/>
        <w:jc w:val="left"/>
      </w:pPr>
      <w:r>
        <w:t xml:space="preserve">Table </w:t>
      </w:r>
      <w:fldSimple w:instr=" SEQ Table \* ARABIC ">
        <w:r w:rsidR="002E1A60">
          <w:rPr>
            <w:noProof/>
          </w:rPr>
          <w:t>2</w:t>
        </w:r>
      </w:fldSimple>
      <w:r>
        <w:t xml:space="preserve">: </w:t>
      </w:r>
      <w:r w:rsidR="00BE25D7" w:rsidRPr="00C5151E">
        <w:t xml:space="preserve">Key components of the clinical issue addressed by the </w:t>
      </w:r>
      <w:r w:rsidR="005D5696">
        <w:t xml:space="preserve">November 2025 </w:t>
      </w:r>
      <w:r w:rsidR="00BE25D7" w:rsidRPr="00C5151E">
        <w:t xml:space="preserve">submission </w:t>
      </w:r>
    </w:p>
    <w:tbl>
      <w:tblPr>
        <w:tblStyle w:val="PBACtable"/>
        <w:tblW w:w="9156" w:type="dxa"/>
        <w:tblLook w:val="04A0" w:firstRow="1" w:lastRow="0" w:firstColumn="1" w:lastColumn="0" w:noHBand="0" w:noVBand="1"/>
        <w:tblCaption w:val="Table 2: Key components of the clinical issue addressed by the November 2025 submission "/>
      </w:tblPr>
      <w:tblGrid>
        <w:gridCol w:w="1129"/>
        <w:gridCol w:w="8027"/>
      </w:tblGrid>
      <w:tr w:rsidR="00A15FC9" w:rsidRPr="0098262F" w14:paraId="3023CE4A" w14:textId="77777777">
        <w:tc>
          <w:tcPr>
            <w:tcW w:w="1129" w:type="dxa"/>
          </w:tcPr>
          <w:p w14:paraId="13DCE630" w14:textId="77777777" w:rsidR="00A15FC9" w:rsidRPr="0098262F" w:rsidRDefault="00A15FC9" w:rsidP="007A591A">
            <w:pPr>
              <w:pStyle w:val="In-tableHeading"/>
              <w:rPr>
                <w:lang w:val="en-AU"/>
              </w:rPr>
            </w:pPr>
            <w:r w:rsidRPr="0098262F">
              <w:rPr>
                <w:lang w:val="en-AU"/>
              </w:rPr>
              <w:t>Component</w:t>
            </w:r>
          </w:p>
        </w:tc>
        <w:tc>
          <w:tcPr>
            <w:tcW w:w="8027" w:type="dxa"/>
          </w:tcPr>
          <w:p w14:paraId="1C778486" w14:textId="77777777" w:rsidR="00A15FC9" w:rsidRPr="0098262F" w:rsidRDefault="00A15FC9" w:rsidP="007A591A">
            <w:pPr>
              <w:pStyle w:val="In-tableHeading"/>
              <w:rPr>
                <w:lang w:val="en-AU"/>
              </w:rPr>
            </w:pPr>
            <w:r w:rsidRPr="0098262F">
              <w:rPr>
                <w:lang w:val="en-AU"/>
              </w:rPr>
              <w:t>Description</w:t>
            </w:r>
          </w:p>
        </w:tc>
      </w:tr>
      <w:tr w:rsidR="00A15FC9" w:rsidRPr="0098262F" w14:paraId="44FAF973" w14:textId="77777777">
        <w:tc>
          <w:tcPr>
            <w:tcW w:w="1129" w:type="dxa"/>
          </w:tcPr>
          <w:p w14:paraId="68ADBCE7" w14:textId="77777777" w:rsidR="00A15FC9" w:rsidRPr="0098262F" w:rsidRDefault="00A15FC9" w:rsidP="007A591A">
            <w:pPr>
              <w:pStyle w:val="TableText"/>
            </w:pPr>
            <w:r w:rsidRPr="0098262F">
              <w:t>Population</w:t>
            </w:r>
          </w:p>
        </w:tc>
        <w:tc>
          <w:tcPr>
            <w:tcW w:w="8027" w:type="dxa"/>
          </w:tcPr>
          <w:p w14:paraId="6C34E9D1" w14:textId="0229D1D1" w:rsidR="00A15FC9" w:rsidRPr="0098262F" w:rsidRDefault="00A15FC9" w:rsidP="007A591A">
            <w:pPr>
              <w:pStyle w:val="TableText"/>
            </w:pPr>
            <w:r w:rsidRPr="003C5C96">
              <w:t>People with amyotrophic lateral sclerosis (ALS) who have a superoxide dismutase 1 (SOD1) gene</w:t>
            </w:r>
            <w:r>
              <w:t xml:space="preserve"> pathogenic variant</w:t>
            </w:r>
            <w:r w:rsidRPr="003C5C96">
              <w:t>.</w:t>
            </w:r>
          </w:p>
        </w:tc>
      </w:tr>
      <w:tr w:rsidR="00A15FC9" w:rsidRPr="0098262F" w14:paraId="4B5ECC39" w14:textId="77777777">
        <w:tc>
          <w:tcPr>
            <w:tcW w:w="1129" w:type="dxa"/>
          </w:tcPr>
          <w:p w14:paraId="6B409ACC" w14:textId="77777777" w:rsidR="00A15FC9" w:rsidRPr="0098262F" w:rsidRDefault="00A15FC9" w:rsidP="007A591A">
            <w:pPr>
              <w:pStyle w:val="TableText"/>
            </w:pPr>
            <w:r w:rsidRPr="0098262F">
              <w:t>Intervention</w:t>
            </w:r>
          </w:p>
        </w:tc>
        <w:tc>
          <w:tcPr>
            <w:tcW w:w="8027" w:type="dxa"/>
          </w:tcPr>
          <w:p w14:paraId="287F8523" w14:textId="77777777" w:rsidR="00A15FC9" w:rsidRDefault="00A15FC9" w:rsidP="007A591A">
            <w:pPr>
              <w:pStyle w:val="TableText"/>
            </w:pPr>
            <w:r>
              <w:t>Tofersen in addition to best supportive care with or without riluzole.</w:t>
            </w:r>
          </w:p>
          <w:p w14:paraId="3F236176" w14:textId="6526B261" w:rsidR="00A15FC9" w:rsidRPr="0098262F" w:rsidRDefault="00A15FC9" w:rsidP="007A591A">
            <w:pPr>
              <w:pStyle w:val="TableText"/>
            </w:pPr>
            <w:r>
              <w:t>Tofersen is administered at a dose of 100 mg (15 mL) via intrathecal injection: 3 loading doses at 14</w:t>
            </w:r>
            <w:r w:rsidR="007A591A">
              <w:noBreakHyphen/>
            </w:r>
            <w:r>
              <w:t>day intervals (day 0, 14, 28) and maintenance doses every 28 days thereafter.</w:t>
            </w:r>
          </w:p>
        </w:tc>
      </w:tr>
      <w:tr w:rsidR="00A15FC9" w:rsidRPr="0098262F" w14:paraId="689AC1C6" w14:textId="77777777">
        <w:tc>
          <w:tcPr>
            <w:tcW w:w="1129" w:type="dxa"/>
          </w:tcPr>
          <w:p w14:paraId="0ECD972D" w14:textId="77777777" w:rsidR="00A15FC9" w:rsidRPr="0098262F" w:rsidRDefault="00A15FC9" w:rsidP="007A591A">
            <w:pPr>
              <w:pStyle w:val="TableText"/>
            </w:pPr>
            <w:r w:rsidRPr="0098262F">
              <w:t>Comparator</w:t>
            </w:r>
          </w:p>
        </w:tc>
        <w:tc>
          <w:tcPr>
            <w:tcW w:w="8027" w:type="dxa"/>
          </w:tcPr>
          <w:p w14:paraId="002D657B" w14:textId="77777777" w:rsidR="00A15FC9" w:rsidRPr="0098262F" w:rsidRDefault="00A15FC9" w:rsidP="007A591A">
            <w:pPr>
              <w:pStyle w:val="TableText"/>
            </w:pPr>
            <w:r w:rsidRPr="003C5C96">
              <w:t xml:space="preserve">Placebo, as a proxy for best supportive care (BSC) </w:t>
            </w:r>
            <w:r>
              <w:t xml:space="preserve">with or without </w:t>
            </w:r>
            <w:r w:rsidRPr="003C5C96">
              <w:t>riluzole.</w:t>
            </w:r>
          </w:p>
        </w:tc>
      </w:tr>
      <w:tr w:rsidR="00A15FC9" w:rsidRPr="0098262F" w14:paraId="4813B43A" w14:textId="77777777">
        <w:tc>
          <w:tcPr>
            <w:tcW w:w="1129" w:type="dxa"/>
          </w:tcPr>
          <w:p w14:paraId="1408BB93" w14:textId="77777777" w:rsidR="00A15FC9" w:rsidRPr="0098262F" w:rsidRDefault="00A15FC9" w:rsidP="007A591A">
            <w:pPr>
              <w:pStyle w:val="TableText"/>
            </w:pPr>
            <w:r w:rsidRPr="0098262F">
              <w:t>Outcomes</w:t>
            </w:r>
          </w:p>
        </w:tc>
        <w:tc>
          <w:tcPr>
            <w:tcW w:w="8027" w:type="dxa"/>
          </w:tcPr>
          <w:p w14:paraId="2E10B4D2" w14:textId="534C1E39" w:rsidR="00A15FC9" w:rsidRPr="003C5C96" w:rsidRDefault="00A15FC9" w:rsidP="007A591A">
            <w:pPr>
              <w:pStyle w:val="TableText"/>
              <w:rPr>
                <w:u w:val="single"/>
              </w:rPr>
            </w:pPr>
            <w:r w:rsidRPr="003C5C96">
              <w:rPr>
                <w:u w:val="single"/>
              </w:rPr>
              <w:t>VALOR (Phase 3, Study 101, Part C)</w:t>
            </w:r>
            <w:r>
              <w:rPr>
                <w:u w:val="single"/>
              </w:rPr>
              <w:t xml:space="preserve"> </w:t>
            </w:r>
            <w:r w:rsidR="007A591A">
              <w:rPr>
                <w:u w:val="single"/>
              </w:rPr>
              <w:noBreakHyphen/>
            </w:r>
            <w:r w:rsidRPr="003C5C96">
              <w:rPr>
                <w:u w:val="single"/>
              </w:rPr>
              <w:t xml:space="preserve"> 28 weeks</w:t>
            </w:r>
          </w:p>
          <w:p w14:paraId="51F59B87" w14:textId="607D16E5" w:rsidR="00A15FC9" w:rsidRDefault="00A15FC9" w:rsidP="007A591A">
            <w:pPr>
              <w:pStyle w:val="TableText"/>
              <w:keepLines/>
              <w:numPr>
                <w:ilvl w:val="0"/>
                <w:numId w:val="18"/>
              </w:numPr>
              <w:ind w:left="262" w:hanging="262"/>
            </w:pPr>
            <w:r>
              <w:t>change from baseline in ALS Functional Rating Scale</w:t>
            </w:r>
            <w:r w:rsidR="007A591A">
              <w:noBreakHyphen/>
            </w:r>
            <w:r>
              <w:t>Revised (ALSFRS</w:t>
            </w:r>
            <w:r w:rsidR="007A591A">
              <w:noBreakHyphen/>
            </w:r>
            <w:r>
              <w:t>R) total score (primary)</w:t>
            </w:r>
          </w:p>
          <w:p w14:paraId="565C6F92" w14:textId="77777777" w:rsidR="00A15FC9" w:rsidRDefault="00A15FC9" w:rsidP="007A591A">
            <w:pPr>
              <w:pStyle w:val="TableText"/>
              <w:keepLines/>
              <w:numPr>
                <w:ilvl w:val="0"/>
                <w:numId w:val="18"/>
              </w:numPr>
              <w:ind w:left="262" w:hanging="262"/>
            </w:pPr>
            <w:r>
              <w:t>change from baseline in total SOD1 protein concentration in CSF</w:t>
            </w:r>
          </w:p>
          <w:p w14:paraId="3331129A" w14:textId="77777777" w:rsidR="00A15FC9" w:rsidRDefault="00A15FC9" w:rsidP="007A591A">
            <w:pPr>
              <w:pStyle w:val="TableText"/>
              <w:keepLines/>
              <w:numPr>
                <w:ilvl w:val="0"/>
                <w:numId w:val="18"/>
              </w:numPr>
              <w:ind w:left="262" w:hanging="262"/>
            </w:pPr>
            <w:r>
              <w:t>change from baseline in total plasma neurofilament light chain (</w:t>
            </w:r>
            <w:proofErr w:type="spellStart"/>
            <w:r>
              <w:t>NfL</w:t>
            </w:r>
            <w:proofErr w:type="spellEnd"/>
            <w:r>
              <w:t>)</w:t>
            </w:r>
          </w:p>
          <w:p w14:paraId="7CA35A42" w14:textId="77777777" w:rsidR="00A15FC9" w:rsidRDefault="00A15FC9" w:rsidP="007A591A">
            <w:pPr>
              <w:pStyle w:val="TableText"/>
              <w:keepLines/>
              <w:numPr>
                <w:ilvl w:val="0"/>
                <w:numId w:val="18"/>
              </w:numPr>
              <w:ind w:left="262" w:hanging="262"/>
            </w:pPr>
            <w:r>
              <w:t>change from baseline in percent predicted slow vital capacity (SVC)</w:t>
            </w:r>
          </w:p>
          <w:p w14:paraId="21CA9EA6" w14:textId="77777777" w:rsidR="00A15FC9" w:rsidRDefault="00A15FC9" w:rsidP="007A591A">
            <w:pPr>
              <w:pStyle w:val="TableText"/>
              <w:keepLines/>
              <w:numPr>
                <w:ilvl w:val="0"/>
                <w:numId w:val="18"/>
              </w:numPr>
              <w:ind w:left="262" w:hanging="262"/>
            </w:pPr>
            <w:r>
              <w:t xml:space="preserve">change from baseline in handheld dynamometry (HHD) </w:t>
            </w:r>
            <w:proofErr w:type="spellStart"/>
            <w:r>
              <w:t>megascore</w:t>
            </w:r>
            <w:proofErr w:type="spellEnd"/>
            <w:r>
              <w:t xml:space="preserve"> to assess muscle strength</w:t>
            </w:r>
          </w:p>
          <w:p w14:paraId="753505C4" w14:textId="04FABC0F" w:rsidR="00A15FC9" w:rsidRDefault="00A15FC9" w:rsidP="007A591A">
            <w:pPr>
              <w:pStyle w:val="TableText"/>
              <w:keepLines/>
              <w:numPr>
                <w:ilvl w:val="0"/>
                <w:numId w:val="18"/>
              </w:numPr>
              <w:ind w:left="262" w:hanging="262"/>
            </w:pPr>
            <w:r>
              <w:t>time to death or permanent ventilation (PV) (≥22 hours of mechanical ventilation [invasive or non</w:t>
            </w:r>
            <w:r w:rsidR="007A591A">
              <w:noBreakHyphen/>
            </w:r>
            <w:r>
              <w:t>invasive] per day for ≥21 consecutive days)</w:t>
            </w:r>
          </w:p>
          <w:p w14:paraId="0E2B2AA4" w14:textId="77777777" w:rsidR="00A15FC9" w:rsidRDefault="00A15FC9" w:rsidP="007A591A">
            <w:pPr>
              <w:pStyle w:val="TableText"/>
              <w:keepLines/>
              <w:numPr>
                <w:ilvl w:val="0"/>
                <w:numId w:val="18"/>
              </w:numPr>
              <w:ind w:left="262" w:hanging="262"/>
            </w:pPr>
            <w:r>
              <w:t>time to death</w:t>
            </w:r>
          </w:p>
          <w:p w14:paraId="290F8190" w14:textId="72253208" w:rsidR="00A15FC9" w:rsidRDefault="00A15FC9" w:rsidP="007A591A">
            <w:pPr>
              <w:pStyle w:val="TableText"/>
              <w:keepLines/>
              <w:numPr>
                <w:ilvl w:val="0"/>
                <w:numId w:val="18"/>
              </w:numPr>
              <w:ind w:left="262" w:hanging="262"/>
            </w:pPr>
            <w:r>
              <w:t>quality of life (change from baseline in ALSAQ</w:t>
            </w:r>
            <w:r w:rsidR="007A591A">
              <w:noBreakHyphen/>
            </w:r>
            <w:r>
              <w:t>5, EQ</w:t>
            </w:r>
            <w:r w:rsidR="007A591A">
              <w:noBreakHyphen/>
            </w:r>
            <w:r>
              <w:t>5D</w:t>
            </w:r>
            <w:r w:rsidR="007A591A">
              <w:noBreakHyphen/>
            </w:r>
            <w:r>
              <w:t>5L, Fatigue severity scale (FSS))</w:t>
            </w:r>
          </w:p>
          <w:p w14:paraId="52EA3CB1" w14:textId="6DA1F039" w:rsidR="00A15FC9" w:rsidRPr="003C5C96" w:rsidRDefault="00A15FC9" w:rsidP="007A591A">
            <w:pPr>
              <w:pStyle w:val="TableText"/>
              <w:rPr>
                <w:u w:val="single"/>
              </w:rPr>
            </w:pPr>
            <w:r w:rsidRPr="003C5C96">
              <w:rPr>
                <w:u w:val="single"/>
              </w:rPr>
              <w:t xml:space="preserve">VALOR open label extension (Study 102) </w:t>
            </w:r>
            <w:r w:rsidR="007A591A">
              <w:rPr>
                <w:u w:val="single"/>
              </w:rPr>
              <w:noBreakHyphen/>
            </w:r>
            <w:r w:rsidRPr="003C5C96">
              <w:rPr>
                <w:u w:val="single"/>
              </w:rPr>
              <w:t xml:space="preserve"> up to 104 weeks</w:t>
            </w:r>
          </w:p>
          <w:p w14:paraId="7F2721CC" w14:textId="77777777" w:rsidR="00A15FC9" w:rsidRDefault="00A15FC9" w:rsidP="007A591A">
            <w:pPr>
              <w:pStyle w:val="TableText"/>
            </w:pPr>
            <w:r>
              <w:t>AEs and SAEs (in patients completing Part A/B/C of Study 101) (primary)</w:t>
            </w:r>
          </w:p>
          <w:p w14:paraId="1B488499" w14:textId="3DA410E0" w:rsidR="00A15FC9" w:rsidRPr="0098262F" w:rsidRDefault="00A15FC9" w:rsidP="007A591A">
            <w:pPr>
              <w:pStyle w:val="TableText"/>
            </w:pPr>
            <w:r>
              <w:t>Integrated efficacy analysis comparing early</w:t>
            </w:r>
            <w:r w:rsidR="007A591A">
              <w:noBreakHyphen/>
            </w:r>
            <w:r>
              <w:t xml:space="preserve">tofersen vs delayed </w:t>
            </w:r>
            <w:r w:rsidR="007A591A">
              <w:noBreakHyphen/>
            </w:r>
            <w:r>
              <w:t xml:space="preserve">tofersen (patient completing Part C, Study 101) </w:t>
            </w:r>
            <w:r w:rsidR="007A591A">
              <w:noBreakHyphen/>
            </w:r>
            <w:r>
              <w:t xml:space="preserve"> all outcomes listed above</w:t>
            </w:r>
          </w:p>
        </w:tc>
      </w:tr>
      <w:tr w:rsidR="00A15FC9" w:rsidRPr="0098262F" w14:paraId="7662313E" w14:textId="77777777">
        <w:tc>
          <w:tcPr>
            <w:tcW w:w="1129" w:type="dxa"/>
          </w:tcPr>
          <w:p w14:paraId="36F5FC53" w14:textId="77777777" w:rsidR="00A15FC9" w:rsidRPr="0098262F" w:rsidRDefault="00A15FC9" w:rsidP="007A591A">
            <w:pPr>
              <w:pStyle w:val="TableText"/>
            </w:pPr>
            <w:r w:rsidRPr="0098262F">
              <w:t>Clinical claim</w:t>
            </w:r>
          </w:p>
        </w:tc>
        <w:tc>
          <w:tcPr>
            <w:tcW w:w="8027" w:type="dxa"/>
          </w:tcPr>
          <w:p w14:paraId="15DDBB2C" w14:textId="54240246" w:rsidR="00A15FC9" w:rsidRPr="0098262F" w:rsidRDefault="00A15FC9" w:rsidP="007A591A">
            <w:pPr>
              <w:pStyle w:val="TableText"/>
            </w:pPr>
            <w:r w:rsidRPr="003C5C96">
              <w:t>In people with SOD1</w:t>
            </w:r>
            <w:r w:rsidR="007A591A">
              <w:noBreakHyphen/>
            </w:r>
            <w:r w:rsidRPr="003C5C96">
              <w:t>ALS, tofersen is superior in terms of efficacy and inferior in terms of comparative safety, compared to best supportive care</w:t>
            </w:r>
            <w:r>
              <w:t xml:space="preserve"> with or without riluzole.</w:t>
            </w:r>
          </w:p>
        </w:tc>
      </w:tr>
    </w:tbl>
    <w:p w14:paraId="30080273" w14:textId="02CD46C5" w:rsidR="00A15FC9" w:rsidRDefault="00A15FC9" w:rsidP="007A591A">
      <w:pPr>
        <w:pStyle w:val="FooterTableFigure"/>
      </w:pPr>
      <w:r w:rsidRPr="0098262F">
        <w:t xml:space="preserve">Source: </w:t>
      </w:r>
      <w:r>
        <w:t xml:space="preserve">Table 1, </w:t>
      </w:r>
      <w:r w:rsidR="00991D04">
        <w:t xml:space="preserve">p1 </w:t>
      </w:r>
      <w:r>
        <w:t xml:space="preserve">November 2025 </w:t>
      </w:r>
      <w:r w:rsidR="00390BA2">
        <w:t>minutes</w:t>
      </w:r>
      <w:r w:rsidRPr="0098262F">
        <w:t>.</w:t>
      </w:r>
    </w:p>
    <w:p w14:paraId="3E52B10C" w14:textId="110BE2F7" w:rsidR="00A15FC9" w:rsidRDefault="00A15FC9" w:rsidP="007A591A">
      <w:pPr>
        <w:pStyle w:val="FooterTableFigure"/>
      </w:pPr>
      <w:r>
        <w:t>AE</w:t>
      </w:r>
      <w:r w:rsidR="005D5696">
        <w:t xml:space="preserve"> </w:t>
      </w:r>
      <w:r>
        <w:t>=</w:t>
      </w:r>
      <w:r w:rsidR="005D5696">
        <w:t xml:space="preserve"> </w:t>
      </w:r>
      <w:r>
        <w:t xml:space="preserve">adverse event; </w:t>
      </w:r>
      <w:r w:rsidRPr="003C5C96">
        <w:t>ALS</w:t>
      </w:r>
      <w:r w:rsidR="005D5696">
        <w:t xml:space="preserve"> </w:t>
      </w:r>
      <w:r>
        <w:t>=</w:t>
      </w:r>
      <w:r w:rsidR="005D5696">
        <w:t xml:space="preserve"> </w:t>
      </w:r>
      <w:r w:rsidRPr="003C5C96">
        <w:t>amyotrophic lateral sclerosis; CSF</w:t>
      </w:r>
      <w:r w:rsidR="005D5696">
        <w:t xml:space="preserve"> </w:t>
      </w:r>
      <w:r>
        <w:t>=</w:t>
      </w:r>
      <w:r w:rsidR="005D5696">
        <w:t xml:space="preserve"> </w:t>
      </w:r>
      <w:r w:rsidRPr="003C5C96">
        <w:t xml:space="preserve">cerebrospinal fluid; </w:t>
      </w:r>
      <w:proofErr w:type="spellStart"/>
      <w:r w:rsidRPr="003C5C96">
        <w:t>NfL</w:t>
      </w:r>
      <w:proofErr w:type="spellEnd"/>
      <w:r w:rsidR="005D5696">
        <w:t xml:space="preserve"> </w:t>
      </w:r>
      <w:r>
        <w:t>=</w:t>
      </w:r>
      <w:r w:rsidR="005D5696">
        <w:t xml:space="preserve"> </w:t>
      </w:r>
      <w:r w:rsidRPr="003C5C96">
        <w:t xml:space="preserve">neurofilament light chain; </w:t>
      </w:r>
      <w:r>
        <w:t>SAE</w:t>
      </w:r>
      <w:r w:rsidR="005D5696">
        <w:t xml:space="preserve"> </w:t>
      </w:r>
      <w:r>
        <w:t>=</w:t>
      </w:r>
      <w:r w:rsidR="005D5696">
        <w:t xml:space="preserve"> </w:t>
      </w:r>
      <w:r w:rsidRPr="00985BC6">
        <w:t>serious adverse event</w:t>
      </w:r>
      <w:r>
        <w:t xml:space="preserve">; </w:t>
      </w:r>
      <w:r w:rsidRPr="003C5C96">
        <w:t>SOD1</w:t>
      </w:r>
      <w:r w:rsidR="005D5696">
        <w:t xml:space="preserve"> </w:t>
      </w:r>
      <w:r>
        <w:t>=</w:t>
      </w:r>
      <w:r w:rsidR="005D5696">
        <w:t xml:space="preserve"> </w:t>
      </w:r>
      <w:r w:rsidRPr="003C5C96">
        <w:t>superoxide dismutase 1; SVC</w:t>
      </w:r>
      <w:r w:rsidR="005D5696">
        <w:t xml:space="preserve"> </w:t>
      </w:r>
      <w:r>
        <w:t>=</w:t>
      </w:r>
      <w:r w:rsidR="005D5696">
        <w:t xml:space="preserve"> </w:t>
      </w:r>
      <w:r w:rsidRPr="003C5C96">
        <w:t>slow vital capacity</w:t>
      </w:r>
    </w:p>
    <w:p w14:paraId="220420DF" w14:textId="77777777" w:rsidR="00FE348C" w:rsidRDefault="00FE348C" w:rsidP="007A591A">
      <w:pPr>
        <w:pStyle w:val="FooterTableFigure"/>
      </w:pPr>
    </w:p>
    <w:p w14:paraId="748AAF12" w14:textId="15AA37A7" w:rsidR="00FE348C" w:rsidRPr="00FE348C" w:rsidRDefault="00FE348C" w:rsidP="007A591A">
      <w:pPr>
        <w:ind w:firstLine="720"/>
        <w:rPr>
          <w:i/>
          <w:iCs/>
        </w:rPr>
      </w:pPr>
      <w:r w:rsidRPr="00FE348C">
        <w:rPr>
          <w:i/>
          <w:iCs/>
        </w:rPr>
        <w:t>For more detail on PBAC’s view, see section 7 PBAC outcome.</w:t>
      </w:r>
    </w:p>
    <w:p w14:paraId="587432E9" w14:textId="77777777" w:rsidR="00C068A6" w:rsidRPr="006C5B33" w:rsidRDefault="004B2E01" w:rsidP="007A591A">
      <w:pPr>
        <w:pStyle w:val="2-SectionHeading"/>
      </w:pPr>
      <w:r w:rsidRPr="006C5B33">
        <w:lastRenderedPageBreak/>
        <w:t>Requested listing</w:t>
      </w:r>
      <w:r w:rsidR="007C08E0" w:rsidRPr="006C5B33">
        <w:t xml:space="preserve"> </w:t>
      </w:r>
    </w:p>
    <w:p w14:paraId="3F9C0346" w14:textId="0DFA0E20" w:rsidR="00DB1945" w:rsidRDefault="004B2E01" w:rsidP="007A591A">
      <w:pPr>
        <w:pStyle w:val="3-BodyText"/>
      </w:pPr>
      <w:r w:rsidRPr="00EF4580">
        <w:t xml:space="preserve">The </w:t>
      </w:r>
      <w:r w:rsidR="004F6160" w:rsidRPr="002C633F">
        <w:t>re</w:t>
      </w:r>
      <w:r w:rsidRPr="002C633F">
        <w:t xml:space="preserve">submission </w:t>
      </w:r>
      <w:r w:rsidR="008636A1">
        <w:t xml:space="preserve">proposed the </w:t>
      </w:r>
      <w:r w:rsidR="005F4505">
        <w:t>restrictions presented below</w:t>
      </w:r>
      <w:r w:rsidR="00481E1D" w:rsidRPr="002C633F">
        <w:t xml:space="preserve">. </w:t>
      </w:r>
      <w:r w:rsidR="005F4505">
        <w:t xml:space="preserve">The resubmission did not present a separate restriction for the loading doses, as suggested by the PBAC in November 2025, instead </w:t>
      </w:r>
      <w:r w:rsidR="00A35933">
        <w:t>it proposed an initi</w:t>
      </w:r>
      <w:r w:rsidR="004D386D">
        <w:t xml:space="preserve">ation phase (6 </w:t>
      </w:r>
      <w:proofErr w:type="spellStart"/>
      <w:r w:rsidR="004D386D">
        <w:t>months</w:t>
      </w:r>
      <w:proofErr w:type="spellEnd"/>
      <w:r w:rsidR="007173FE">
        <w:t xml:space="preserve"> supply</w:t>
      </w:r>
      <w:r w:rsidR="004D386D">
        <w:t xml:space="preserve">), a first continuation phase (6 </w:t>
      </w:r>
      <w:proofErr w:type="spellStart"/>
      <w:r w:rsidR="004D386D">
        <w:t>months</w:t>
      </w:r>
      <w:proofErr w:type="spellEnd"/>
      <w:r w:rsidR="007173FE">
        <w:t xml:space="preserve"> supply</w:t>
      </w:r>
      <w:r w:rsidR="004D386D">
        <w:t xml:space="preserve">) and a response phase (after 1 year of treatment) </w:t>
      </w:r>
      <w:r w:rsidR="00706EC6">
        <w:t>restriction</w:t>
      </w:r>
      <w:r w:rsidR="00467EFF">
        <w:t>. The resubmission stated</w:t>
      </w:r>
      <w:r w:rsidR="00706EC6">
        <w:t xml:space="preserve"> that the separate listings </w:t>
      </w:r>
      <w:r w:rsidR="00467EFF">
        <w:t>were</w:t>
      </w:r>
      <w:r w:rsidR="00706EC6">
        <w:t xml:space="preserve"> required in the context of the </w:t>
      </w:r>
      <w:r w:rsidR="00467EFF">
        <w:t xml:space="preserve">proposed pay for performance framework (see paragraph </w:t>
      </w:r>
      <w:r w:rsidR="00283153">
        <w:rPr>
          <w:highlight w:val="yellow"/>
        </w:rPr>
        <w:fldChar w:fldCharType="begin"/>
      </w:r>
      <w:r w:rsidR="00283153">
        <w:instrText xml:space="preserve"> REF _Ref220496566 \r \h </w:instrText>
      </w:r>
      <w:r w:rsidR="00283153">
        <w:rPr>
          <w:highlight w:val="yellow"/>
        </w:rPr>
      </w:r>
      <w:r w:rsidR="00283153">
        <w:rPr>
          <w:highlight w:val="yellow"/>
        </w:rPr>
        <w:fldChar w:fldCharType="separate"/>
      </w:r>
      <w:r w:rsidR="00210420">
        <w:t>3.2</w:t>
      </w:r>
      <w:r w:rsidR="00283153">
        <w:rPr>
          <w:highlight w:val="yellow"/>
        </w:rPr>
        <w:fldChar w:fldCharType="end"/>
      </w:r>
      <w:r w:rsidR="00283153">
        <w:t xml:space="preserve"> and </w:t>
      </w:r>
      <w:r w:rsidR="00283153">
        <w:fldChar w:fldCharType="begin"/>
      </w:r>
      <w:r w:rsidR="00283153">
        <w:instrText xml:space="preserve"> REF _Ref220496605 \r \h </w:instrText>
      </w:r>
      <w:r w:rsidR="00283153">
        <w:fldChar w:fldCharType="separate"/>
      </w:r>
      <w:r w:rsidR="00210420">
        <w:t>4.20</w:t>
      </w:r>
      <w:r w:rsidR="00283153">
        <w:fldChar w:fldCharType="end"/>
      </w:r>
      <w:r w:rsidR="00467EFF">
        <w:t>)</w:t>
      </w:r>
      <w:r w:rsidR="00DB1945">
        <w:t>.</w:t>
      </w:r>
    </w:p>
    <w:p w14:paraId="3291A88D" w14:textId="40346DC9" w:rsidR="009C7272" w:rsidRDefault="00B66376" w:rsidP="007A591A">
      <w:pPr>
        <w:pStyle w:val="3-BodyText"/>
      </w:pPr>
      <w:bookmarkStart w:id="0" w:name="_Ref220496566"/>
      <w:r>
        <w:t>The</w:t>
      </w:r>
      <w:r w:rsidR="006C4ADD">
        <w:t xml:space="preserve"> resubmission stated the</w:t>
      </w:r>
      <w:r>
        <w:t xml:space="preserve"> listing structure </w:t>
      </w:r>
      <w:r w:rsidR="003622A6">
        <w:t>wa</w:t>
      </w:r>
      <w:r>
        <w:t xml:space="preserve">s in response to the PBAC’s concerns </w:t>
      </w:r>
      <w:r w:rsidR="00C173CF">
        <w:t>regarding implementing a rebate for non</w:t>
      </w:r>
      <w:r w:rsidR="007A591A">
        <w:noBreakHyphen/>
      </w:r>
      <w:r w:rsidR="00C173CF">
        <w:t xml:space="preserve">response. The </w:t>
      </w:r>
      <w:r w:rsidR="006C4ADD">
        <w:t xml:space="preserve">price proposed for the </w:t>
      </w:r>
      <w:r w:rsidR="00C173CF">
        <w:t xml:space="preserve">first continuation phase (for 6 to 12 months treatment) </w:t>
      </w:r>
      <w:r w:rsidR="00741174">
        <w:t xml:space="preserve">was </w:t>
      </w:r>
      <w:r w:rsidR="00C10EC6" w:rsidRPr="00C10EC6">
        <w:rPr>
          <w:sz w:val="2"/>
          <w:highlight w:val="black"/>
        </w:rPr>
        <w:t>redacted content</w:t>
      </w:r>
      <w:r w:rsidR="00E14A75">
        <w:t xml:space="preserve">% </w:t>
      </w:r>
      <w:r w:rsidR="00741174">
        <w:t>lower</w:t>
      </w:r>
      <w:r w:rsidR="00A62163">
        <w:t xml:space="preserve"> than </w:t>
      </w:r>
      <w:r w:rsidR="00F1557E">
        <w:t xml:space="preserve">for </w:t>
      </w:r>
      <w:r w:rsidR="00A62163">
        <w:t xml:space="preserve">the other </w:t>
      </w:r>
      <w:r w:rsidR="00F1557E">
        <w:t xml:space="preserve">treatment </w:t>
      </w:r>
      <w:r w:rsidR="00A62163">
        <w:t>phases</w:t>
      </w:r>
      <w:r w:rsidR="00873936">
        <w:t>, reflecting the expected proportion of non</w:t>
      </w:r>
      <w:r w:rsidR="007A591A">
        <w:noBreakHyphen/>
      </w:r>
      <w:r w:rsidR="00873936">
        <w:t>responders at 12 months.</w:t>
      </w:r>
      <w:r w:rsidR="00C03977">
        <w:t xml:space="preserve"> </w:t>
      </w:r>
      <w:r w:rsidR="00C95A37">
        <w:t>Patients who meet the pre</w:t>
      </w:r>
      <w:r w:rsidR="007A591A">
        <w:noBreakHyphen/>
      </w:r>
      <w:r w:rsidR="00C95A37">
        <w:t xml:space="preserve">defined response criteria (i.e. any improvement or stabilisation) defined as no more than 20% decline from baseline in </w:t>
      </w:r>
      <w:r w:rsidR="00FE06FC">
        <w:t>the ALS Functional</w:t>
      </w:r>
      <w:r w:rsidR="00A52152">
        <w:t xml:space="preserve"> Rating Scale</w:t>
      </w:r>
      <w:r w:rsidR="007A591A">
        <w:noBreakHyphen/>
      </w:r>
      <w:r w:rsidR="00A52152">
        <w:t>Revised (</w:t>
      </w:r>
      <w:r w:rsidR="00C95A37">
        <w:t>ALSFRS</w:t>
      </w:r>
      <w:r w:rsidR="007A591A">
        <w:noBreakHyphen/>
      </w:r>
      <w:r w:rsidR="00A93826">
        <w:t>R</w:t>
      </w:r>
      <w:r w:rsidR="00A52152">
        <w:t>)</w:t>
      </w:r>
      <w:r w:rsidR="00A93826">
        <w:t xml:space="preserve"> at 12 months continue treatment using the response phase listing at the full effective price.</w:t>
      </w:r>
      <w:bookmarkEnd w:id="0"/>
    </w:p>
    <w:p w14:paraId="3516BB04" w14:textId="77777777" w:rsidR="009C7272" w:rsidRDefault="009C7272" w:rsidP="007A591A">
      <w:pPr>
        <w:jc w:val="left"/>
        <w:rPr>
          <w:rFonts w:asciiTheme="minorHAnsi" w:eastAsiaTheme="minorHAnsi" w:hAnsiTheme="minorHAnsi" w:cstheme="minorBidi"/>
          <w:szCs w:val="22"/>
        </w:rPr>
      </w:pPr>
      <w:r>
        <w:br w:type="page"/>
      </w:r>
    </w:p>
    <w:p w14:paraId="0C4144D5" w14:textId="260E4824" w:rsidR="004C2AF9" w:rsidRDefault="004C2AF9" w:rsidP="007A591A">
      <w:pPr>
        <w:pStyle w:val="3-BodyText"/>
      </w:pPr>
      <w:r>
        <w:lastRenderedPageBreak/>
        <w:t>The proposed listing, with changes suggested by the Secretariat, is shown below.</w:t>
      </w:r>
    </w:p>
    <w:tbl>
      <w:tblPr>
        <w:tblStyle w:val="TableGrid"/>
        <w:tblW w:w="5000" w:type="pct"/>
        <w:tblLayout w:type="fixed"/>
        <w:tblLook w:val="04A0" w:firstRow="1" w:lastRow="0" w:firstColumn="1" w:lastColumn="0" w:noHBand="0" w:noVBand="1"/>
        <w:tblCaption w:val="Proposed listing"/>
      </w:tblPr>
      <w:tblGrid>
        <w:gridCol w:w="2076"/>
        <w:gridCol w:w="972"/>
        <w:gridCol w:w="972"/>
        <w:gridCol w:w="835"/>
        <w:gridCol w:w="1940"/>
        <w:gridCol w:w="1249"/>
        <w:gridCol w:w="972"/>
      </w:tblGrid>
      <w:tr w:rsidR="001E2E23" w:rsidRPr="00CE176A" w14:paraId="468EA93C" w14:textId="77777777" w:rsidTr="00DE2B3A">
        <w:trPr>
          <w:trHeight w:val="265"/>
        </w:trPr>
        <w:tc>
          <w:tcPr>
            <w:tcW w:w="2122" w:type="dxa"/>
            <w:tcMar>
              <w:left w:w="85" w:type="dxa"/>
              <w:right w:w="85" w:type="dxa"/>
            </w:tcMar>
          </w:tcPr>
          <w:p w14:paraId="29EB2485" w14:textId="77777777" w:rsidR="001E2E23" w:rsidRPr="00CE176A" w:rsidRDefault="001E2E23" w:rsidP="007A591A">
            <w:pPr>
              <w:pStyle w:val="PBACTableText"/>
              <w:spacing w:before="0" w:after="0"/>
              <w:rPr>
                <w:b/>
              </w:rPr>
            </w:pPr>
            <w:r w:rsidRPr="00CE176A">
              <w:rPr>
                <w:b/>
              </w:rPr>
              <w:t>Name, restriction, manner of administration and form</w:t>
            </w:r>
          </w:p>
        </w:tc>
        <w:tc>
          <w:tcPr>
            <w:tcW w:w="992" w:type="dxa"/>
            <w:tcMar>
              <w:left w:w="85" w:type="dxa"/>
              <w:right w:w="85" w:type="dxa"/>
            </w:tcMar>
          </w:tcPr>
          <w:p w14:paraId="3CE4D3FD" w14:textId="77777777" w:rsidR="001E2E23" w:rsidRPr="00CE176A" w:rsidRDefault="001E2E23" w:rsidP="007A591A">
            <w:pPr>
              <w:pStyle w:val="PBACTableText"/>
              <w:spacing w:before="0" w:after="0"/>
              <w:jc w:val="center"/>
              <w:rPr>
                <w:b/>
              </w:rPr>
            </w:pPr>
            <w:r w:rsidRPr="00CE176A">
              <w:rPr>
                <w:b/>
              </w:rPr>
              <w:t>Maximum quantity (packs)</w:t>
            </w:r>
          </w:p>
        </w:tc>
        <w:tc>
          <w:tcPr>
            <w:tcW w:w="992" w:type="dxa"/>
            <w:tcMar>
              <w:left w:w="85" w:type="dxa"/>
              <w:right w:w="85" w:type="dxa"/>
            </w:tcMar>
          </w:tcPr>
          <w:p w14:paraId="31A56A4D" w14:textId="77777777" w:rsidR="001E2E23" w:rsidRPr="00CE176A" w:rsidRDefault="001E2E23" w:rsidP="007A591A">
            <w:pPr>
              <w:pStyle w:val="PBACTableText"/>
              <w:spacing w:before="0" w:after="0"/>
              <w:jc w:val="center"/>
              <w:rPr>
                <w:b/>
              </w:rPr>
            </w:pPr>
            <w:r w:rsidRPr="00CE176A">
              <w:rPr>
                <w:b/>
              </w:rPr>
              <w:t>Maximum quantity (units)</w:t>
            </w:r>
          </w:p>
        </w:tc>
        <w:tc>
          <w:tcPr>
            <w:tcW w:w="851" w:type="dxa"/>
            <w:tcMar>
              <w:left w:w="85" w:type="dxa"/>
              <w:right w:w="85" w:type="dxa"/>
            </w:tcMar>
          </w:tcPr>
          <w:p w14:paraId="31EBDA33" w14:textId="77777777" w:rsidR="001E2E23" w:rsidRPr="00CE176A" w:rsidRDefault="001E2E23" w:rsidP="007A591A">
            <w:pPr>
              <w:pStyle w:val="PBACTableText"/>
              <w:spacing w:before="0" w:after="0"/>
              <w:jc w:val="center"/>
              <w:rPr>
                <w:b/>
              </w:rPr>
            </w:pPr>
            <w:r w:rsidRPr="00CE176A">
              <w:rPr>
                <w:b/>
              </w:rPr>
              <w:t>Number of repeats</w:t>
            </w:r>
          </w:p>
        </w:tc>
        <w:tc>
          <w:tcPr>
            <w:tcW w:w="1984" w:type="dxa"/>
            <w:tcMar>
              <w:left w:w="85" w:type="dxa"/>
              <w:right w:w="85" w:type="dxa"/>
            </w:tcMar>
          </w:tcPr>
          <w:p w14:paraId="401EA248" w14:textId="77777777" w:rsidR="001E2E23" w:rsidRPr="00CE176A" w:rsidRDefault="001E2E23" w:rsidP="007A591A">
            <w:pPr>
              <w:pStyle w:val="PBACTableText"/>
              <w:spacing w:before="0" w:after="0"/>
              <w:jc w:val="center"/>
              <w:rPr>
                <w:b/>
              </w:rPr>
            </w:pPr>
            <w:r w:rsidRPr="00CE176A">
              <w:rPr>
                <w:b/>
              </w:rPr>
              <w:t>Dispensed price for maximum quantity</w:t>
            </w:r>
          </w:p>
        </w:tc>
        <w:tc>
          <w:tcPr>
            <w:tcW w:w="2268" w:type="dxa"/>
            <w:gridSpan w:val="2"/>
            <w:tcMar>
              <w:left w:w="85" w:type="dxa"/>
              <w:right w:w="85" w:type="dxa"/>
            </w:tcMar>
          </w:tcPr>
          <w:p w14:paraId="72447021" w14:textId="77777777" w:rsidR="001E2E23" w:rsidRPr="00CE176A" w:rsidRDefault="001E2E23" w:rsidP="007A591A">
            <w:pPr>
              <w:pStyle w:val="PBACTableText"/>
              <w:spacing w:before="0" w:after="0"/>
              <w:rPr>
                <w:b/>
              </w:rPr>
            </w:pPr>
            <w:r w:rsidRPr="00CE176A">
              <w:rPr>
                <w:b/>
              </w:rPr>
              <w:t>Proprietary name and manufacturer</w:t>
            </w:r>
          </w:p>
        </w:tc>
      </w:tr>
      <w:tr w:rsidR="001E2E23" w:rsidRPr="00CE176A" w14:paraId="7EFCD3F0" w14:textId="77777777" w:rsidTr="00DE2B3A">
        <w:trPr>
          <w:trHeight w:val="50"/>
        </w:trPr>
        <w:tc>
          <w:tcPr>
            <w:tcW w:w="9209" w:type="dxa"/>
            <w:gridSpan w:val="7"/>
            <w:tcMar>
              <w:left w:w="85" w:type="dxa"/>
              <w:right w:w="85" w:type="dxa"/>
            </w:tcMar>
          </w:tcPr>
          <w:p w14:paraId="69FF3764" w14:textId="77777777" w:rsidR="001E2E23" w:rsidRPr="00CE176A" w:rsidRDefault="001E2E23" w:rsidP="007A591A">
            <w:pPr>
              <w:pStyle w:val="PBACTableText"/>
              <w:spacing w:before="0" w:after="0"/>
            </w:pPr>
            <w:r w:rsidRPr="00CE176A">
              <w:rPr>
                <w:b/>
                <w:bCs/>
              </w:rPr>
              <w:t>INITIATION PHASE</w:t>
            </w:r>
            <w:r w:rsidRPr="00CE176A">
              <w:rPr>
                <w:b/>
                <w:bCs/>
                <w:vertAlign w:val="superscript"/>
              </w:rPr>
              <w:t>1</w:t>
            </w:r>
          </w:p>
        </w:tc>
      </w:tr>
      <w:tr w:rsidR="001E2E23" w:rsidRPr="00CE176A" w14:paraId="2A3430DC" w14:textId="77777777" w:rsidTr="00DE2B3A">
        <w:trPr>
          <w:trHeight w:val="618"/>
        </w:trPr>
        <w:tc>
          <w:tcPr>
            <w:tcW w:w="2122" w:type="dxa"/>
            <w:tcMar>
              <w:left w:w="85" w:type="dxa"/>
              <w:right w:w="85" w:type="dxa"/>
            </w:tcMar>
            <w:vAlign w:val="center"/>
          </w:tcPr>
          <w:p w14:paraId="445B8B82" w14:textId="77777777" w:rsidR="001E2E23" w:rsidRPr="00CE176A" w:rsidRDefault="001E2E23" w:rsidP="007A591A">
            <w:pPr>
              <w:pStyle w:val="PBACTableText"/>
              <w:spacing w:before="0" w:after="0"/>
            </w:pPr>
            <w:r w:rsidRPr="00CE176A">
              <w:t xml:space="preserve">tofersen, </w:t>
            </w:r>
          </w:p>
          <w:p w14:paraId="0703D4AB" w14:textId="77777777" w:rsidR="001E2E23" w:rsidRPr="00CE176A" w:rsidRDefault="001E2E23" w:rsidP="007A591A">
            <w:pPr>
              <w:pStyle w:val="PBACTableText"/>
              <w:spacing w:before="0" w:after="0"/>
            </w:pPr>
            <w:r w:rsidRPr="00CE176A">
              <w:t>100 mg/ 15 mL injection, 15 mL vial</w:t>
            </w:r>
          </w:p>
        </w:tc>
        <w:tc>
          <w:tcPr>
            <w:tcW w:w="992" w:type="dxa"/>
            <w:tcMar>
              <w:left w:w="85" w:type="dxa"/>
              <w:right w:w="85" w:type="dxa"/>
            </w:tcMar>
            <w:vAlign w:val="center"/>
          </w:tcPr>
          <w:p w14:paraId="390260D0" w14:textId="77777777" w:rsidR="001E2E23" w:rsidRPr="00CE176A" w:rsidRDefault="001E2E23" w:rsidP="007A591A">
            <w:pPr>
              <w:pStyle w:val="PBACTableText"/>
              <w:spacing w:before="0" w:after="0"/>
              <w:jc w:val="center"/>
            </w:pPr>
            <w:r w:rsidRPr="00CE176A">
              <w:t>1</w:t>
            </w:r>
          </w:p>
        </w:tc>
        <w:tc>
          <w:tcPr>
            <w:tcW w:w="992" w:type="dxa"/>
            <w:tcMar>
              <w:left w:w="85" w:type="dxa"/>
              <w:right w:w="85" w:type="dxa"/>
            </w:tcMar>
            <w:vAlign w:val="center"/>
          </w:tcPr>
          <w:p w14:paraId="2B48EA59" w14:textId="77777777" w:rsidR="001E2E23" w:rsidRPr="00CE176A" w:rsidRDefault="001E2E23" w:rsidP="007A591A">
            <w:pPr>
              <w:pStyle w:val="PBACTableText"/>
              <w:spacing w:before="0" w:after="0"/>
              <w:jc w:val="center"/>
            </w:pPr>
            <w:r w:rsidRPr="00CE176A">
              <w:t>1</w:t>
            </w:r>
          </w:p>
        </w:tc>
        <w:tc>
          <w:tcPr>
            <w:tcW w:w="851" w:type="dxa"/>
            <w:tcMar>
              <w:left w:w="85" w:type="dxa"/>
              <w:right w:w="85" w:type="dxa"/>
            </w:tcMar>
            <w:vAlign w:val="center"/>
          </w:tcPr>
          <w:p w14:paraId="2753298E" w14:textId="77777777" w:rsidR="001E2E23" w:rsidRPr="00CE176A" w:rsidRDefault="001E2E23" w:rsidP="007A591A">
            <w:pPr>
              <w:pStyle w:val="PBACTableText"/>
              <w:spacing w:before="0" w:after="0"/>
              <w:jc w:val="center"/>
            </w:pPr>
            <w:r w:rsidRPr="00CE176A">
              <w:t>7</w:t>
            </w:r>
          </w:p>
        </w:tc>
        <w:tc>
          <w:tcPr>
            <w:tcW w:w="1984" w:type="dxa"/>
            <w:tcMar>
              <w:left w:w="85" w:type="dxa"/>
              <w:right w:w="85" w:type="dxa"/>
            </w:tcMar>
            <w:vAlign w:val="center"/>
          </w:tcPr>
          <w:p w14:paraId="1A9A5A68" w14:textId="6D41CADE" w:rsidR="001E2E23" w:rsidRPr="00CE176A" w:rsidRDefault="001E2E23" w:rsidP="007A591A">
            <w:pPr>
              <w:pStyle w:val="PBACTableText"/>
              <w:spacing w:before="0" w:after="0"/>
              <w:jc w:val="center"/>
              <w:rPr>
                <w:u w:val="single"/>
              </w:rPr>
            </w:pPr>
            <w:r w:rsidRPr="00CE176A">
              <w:rPr>
                <w:u w:val="single"/>
              </w:rPr>
              <w:t>Published:</w:t>
            </w:r>
          </w:p>
          <w:p w14:paraId="3C6E0287" w14:textId="49AFC871" w:rsidR="001E2E23" w:rsidRPr="00CE176A" w:rsidRDefault="001E2E23" w:rsidP="007A591A">
            <w:pPr>
              <w:pStyle w:val="PBACTableText"/>
              <w:spacing w:before="0" w:after="0"/>
              <w:jc w:val="center"/>
            </w:pPr>
            <w:r w:rsidRPr="00CE176A">
              <w:t xml:space="preserve">Public: </w:t>
            </w:r>
            <w:r w:rsidR="00C10EC6" w:rsidRPr="00C10EC6">
              <w:rPr>
                <w:sz w:val="2"/>
                <w:highlight w:val="black"/>
              </w:rPr>
              <w:t>redacted content</w:t>
            </w:r>
          </w:p>
          <w:p w14:paraId="6363DBFE" w14:textId="3948B8EA" w:rsidR="001E2E23" w:rsidRPr="00CE176A" w:rsidRDefault="001E2E23" w:rsidP="007A591A">
            <w:pPr>
              <w:pStyle w:val="PBACTableText"/>
              <w:spacing w:before="0" w:after="0"/>
              <w:jc w:val="center"/>
            </w:pPr>
            <w:r w:rsidRPr="00CE176A">
              <w:t>Private: $</w:t>
            </w:r>
            <w:r w:rsidR="00C10EC6" w:rsidRPr="00C10EC6">
              <w:rPr>
                <w:sz w:val="2"/>
                <w:highlight w:val="black"/>
              </w:rPr>
              <w:t>redacted content</w:t>
            </w:r>
          </w:p>
          <w:p w14:paraId="4944529C" w14:textId="032F076D" w:rsidR="001E2E23" w:rsidRPr="00CE176A" w:rsidRDefault="001E2E23" w:rsidP="007A591A">
            <w:pPr>
              <w:pStyle w:val="PBACTableText"/>
              <w:spacing w:before="0" w:after="0"/>
              <w:jc w:val="center"/>
              <w:rPr>
                <w:u w:val="single"/>
              </w:rPr>
            </w:pPr>
            <w:r w:rsidRPr="00CE176A">
              <w:rPr>
                <w:u w:val="single"/>
              </w:rPr>
              <w:t>Effective:</w:t>
            </w:r>
          </w:p>
          <w:p w14:paraId="2F9B9CE8" w14:textId="0C023C55" w:rsidR="001E2E23" w:rsidRPr="00CE176A" w:rsidRDefault="00443B8E" w:rsidP="007A591A">
            <w:pPr>
              <w:pStyle w:val="PBACTableText"/>
              <w:spacing w:before="0" w:after="0"/>
              <w:jc w:val="center"/>
            </w:pPr>
            <w:r w:rsidRPr="00CE176A">
              <w:t>Public</w:t>
            </w:r>
            <w:r w:rsidR="001E2E23" w:rsidRPr="00CE176A">
              <w:t>: $</w:t>
            </w:r>
            <w:r w:rsidR="00C10EC6" w:rsidRPr="00C10EC6">
              <w:rPr>
                <w:sz w:val="2"/>
                <w:highlight w:val="black"/>
              </w:rPr>
              <w:t>redacted content</w:t>
            </w:r>
            <w:r w:rsidR="001E2E23" w:rsidRPr="00CE176A">
              <w:t xml:space="preserve"> </w:t>
            </w:r>
          </w:p>
          <w:p w14:paraId="35AF3930" w14:textId="13587179" w:rsidR="00443B8E" w:rsidRPr="00CE176A" w:rsidRDefault="00443B8E" w:rsidP="007A591A">
            <w:pPr>
              <w:pStyle w:val="PBACTableText"/>
              <w:spacing w:before="0" w:after="0"/>
              <w:jc w:val="center"/>
            </w:pPr>
            <w:r w:rsidRPr="00CE176A">
              <w:t>Private: $</w:t>
            </w:r>
            <w:r w:rsidR="00C10EC6" w:rsidRPr="00C10EC6">
              <w:rPr>
                <w:sz w:val="2"/>
                <w:highlight w:val="black"/>
              </w:rPr>
              <w:t>redacted content</w:t>
            </w:r>
          </w:p>
        </w:tc>
        <w:tc>
          <w:tcPr>
            <w:tcW w:w="1276" w:type="dxa"/>
            <w:tcMar>
              <w:left w:w="85" w:type="dxa"/>
              <w:right w:w="85" w:type="dxa"/>
            </w:tcMar>
            <w:vAlign w:val="center"/>
          </w:tcPr>
          <w:p w14:paraId="1E31A980" w14:textId="77777777" w:rsidR="001E2E23" w:rsidRPr="00CE176A" w:rsidRDefault="001E2E23" w:rsidP="007A591A">
            <w:pPr>
              <w:pStyle w:val="PBACTableText"/>
              <w:spacing w:before="0" w:after="0"/>
            </w:pPr>
            <w:r w:rsidRPr="00CE176A">
              <w:t>QALSODY</w:t>
            </w:r>
            <w:r w:rsidRPr="00CE176A">
              <w:rPr>
                <w:vertAlign w:val="superscript"/>
              </w:rPr>
              <w:t>TM</w:t>
            </w:r>
            <w:r w:rsidRPr="00CE176A">
              <w:t xml:space="preserve"> </w:t>
            </w:r>
          </w:p>
        </w:tc>
        <w:tc>
          <w:tcPr>
            <w:tcW w:w="992" w:type="dxa"/>
            <w:tcMar>
              <w:left w:w="85" w:type="dxa"/>
              <w:right w:w="85" w:type="dxa"/>
            </w:tcMar>
            <w:vAlign w:val="center"/>
          </w:tcPr>
          <w:p w14:paraId="72405CC7" w14:textId="77777777" w:rsidR="001E2E23" w:rsidRPr="00CE176A" w:rsidRDefault="001E2E23" w:rsidP="007A591A">
            <w:pPr>
              <w:pStyle w:val="PBACTableText"/>
              <w:spacing w:before="0" w:after="0"/>
            </w:pPr>
            <w:r w:rsidRPr="00CE176A">
              <w:t>Biogen Australia Pty Ltd</w:t>
            </w:r>
          </w:p>
        </w:tc>
      </w:tr>
      <w:tr w:rsidR="001E2E23" w:rsidRPr="00CE176A" w14:paraId="40B1F95C" w14:textId="77777777" w:rsidTr="00DE2B3A">
        <w:trPr>
          <w:trHeight w:val="163"/>
        </w:trPr>
        <w:tc>
          <w:tcPr>
            <w:tcW w:w="9209" w:type="dxa"/>
            <w:gridSpan w:val="7"/>
            <w:tcMar>
              <w:left w:w="85" w:type="dxa"/>
              <w:right w:w="85" w:type="dxa"/>
            </w:tcMar>
          </w:tcPr>
          <w:p w14:paraId="2F43376C" w14:textId="77777777" w:rsidR="001E2E23" w:rsidRPr="00CE176A" w:rsidRDefault="001E2E23" w:rsidP="007A591A">
            <w:pPr>
              <w:pStyle w:val="PBACTableText"/>
              <w:spacing w:before="0" w:after="0"/>
            </w:pPr>
            <w:r w:rsidRPr="00CE176A">
              <w:rPr>
                <w:b/>
                <w:bCs/>
              </w:rPr>
              <w:t>FIRST CONTINUATION PHASE</w:t>
            </w:r>
            <w:r w:rsidRPr="00CE176A">
              <w:rPr>
                <w:b/>
                <w:bCs/>
                <w:vertAlign w:val="superscript"/>
              </w:rPr>
              <w:t>2</w:t>
            </w:r>
          </w:p>
        </w:tc>
      </w:tr>
      <w:tr w:rsidR="001E2E23" w:rsidRPr="00CE176A" w14:paraId="4C25099E" w14:textId="77777777" w:rsidTr="00DE2B3A">
        <w:trPr>
          <w:trHeight w:val="618"/>
        </w:trPr>
        <w:tc>
          <w:tcPr>
            <w:tcW w:w="2122" w:type="dxa"/>
            <w:tcMar>
              <w:left w:w="85" w:type="dxa"/>
              <w:right w:w="85" w:type="dxa"/>
            </w:tcMar>
            <w:vAlign w:val="center"/>
          </w:tcPr>
          <w:p w14:paraId="06B81112" w14:textId="77777777" w:rsidR="001E2E23" w:rsidRPr="00CE176A" w:rsidRDefault="001E2E23" w:rsidP="007A591A">
            <w:pPr>
              <w:pStyle w:val="PBACTableText"/>
              <w:spacing w:before="0" w:after="0"/>
            </w:pPr>
            <w:r w:rsidRPr="00CE176A">
              <w:t xml:space="preserve">tofersen, </w:t>
            </w:r>
          </w:p>
          <w:p w14:paraId="5E73A06D" w14:textId="77777777" w:rsidR="001E2E23" w:rsidRPr="00CE176A" w:rsidRDefault="001E2E23" w:rsidP="007A591A">
            <w:pPr>
              <w:pStyle w:val="PBACTableText"/>
              <w:spacing w:before="0" w:after="0"/>
            </w:pPr>
            <w:r w:rsidRPr="00CE176A">
              <w:t>100 mg/ 15 mL injection, 15 mL vial</w:t>
            </w:r>
          </w:p>
        </w:tc>
        <w:tc>
          <w:tcPr>
            <w:tcW w:w="992" w:type="dxa"/>
            <w:tcMar>
              <w:left w:w="85" w:type="dxa"/>
              <w:right w:w="85" w:type="dxa"/>
            </w:tcMar>
            <w:vAlign w:val="center"/>
          </w:tcPr>
          <w:p w14:paraId="14DE5AFB" w14:textId="77777777" w:rsidR="001E2E23" w:rsidRPr="00CE176A" w:rsidRDefault="001E2E23" w:rsidP="007A591A">
            <w:pPr>
              <w:pStyle w:val="PBACTableText"/>
              <w:spacing w:before="0" w:after="0"/>
              <w:jc w:val="center"/>
            </w:pPr>
            <w:r w:rsidRPr="00CE176A">
              <w:t>1</w:t>
            </w:r>
          </w:p>
        </w:tc>
        <w:tc>
          <w:tcPr>
            <w:tcW w:w="992" w:type="dxa"/>
            <w:tcMar>
              <w:left w:w="85" w:type="dxa"/>
              <w:right w:w="85" w:type="dxa"/>
            </w:tcMar>
            <w:vAlign w:val="center"/>
          </w:tcPr>
          <w:p w14:paraId="3154F972" w14:textId="77777777" w:rsidR="001E2E23" w:rsidRPr="00CE176A" w:rsidRDefault="001E2E23" w:rsidP="007A591A">
            <w:pPr>
              <w:pStyle w:val="PBACTableText"/>
              <w:spacing w:before="0" w:after="0"/>
              <w:jc w:val="center"/>
            </w:pPr>
            <w:r w:rsidRPr="00CE176A">
              <w:t>1</w:t>
            </w:r>
          </w:p>
        </w:tc>
        <w:tc>
          <w:tcPr>
            <w:tcW w:w="851" w:type="dxa"/>
            <w:tcMar>
              <w:left w:w="85" w:type="dxa"/>
              <w:right w:w="85" w:type="dxa"/>
            </w:tcMar>
            <w:vAlign w:val="center"/>
          </w:tcPr>
          <w:p w14:paraId="23F24EFA" w14:textId="77777777" w:rsidR="001E2E23" w:rsidRPr="00CE176A" w:rsidRDefault="001E2E23" w:rsidP="007A591A">
            <w:pPr>
              <w:pStyle w:val="PBACTableText"/>
              <w:spacing w:before="0" w:after="0"/>
              <w:jc w:val="center"/>
            </w:pPr>
            <w:r w:rsidRPr="00CE176A">
              <w:t>6</w:t>
            </w:r>
          </w:p>
        </w:tc>
        <w:tc>
          <w:tcPr>
            <w:tcW w:w="1984" w:type="dxa"/>
            <w:tcMar>
              <w:left w:w="85" w:type="dxa"/>
              <w:right w:w="85" w:type="dxa"/>
            </w:tcMar>
            <w:vAlign w:val="center"/>
          </w:tcPr>
          <w:p w14:paraId="44FD33B7" w14:textId="435DF24A" w:rsidR="001E2E23" w:rsidRPr="00CE176A" w:rsidRDefault="001E2E23" w:rsidP="007A591A">
            <w:pPr>
              <w:pStyle w:val="PBACTableText"/>
              <w:spacing w:before="0" w:after="0"/>
              <w:jc w:val="center"/>
              <w:rPr>
                <w:u w:val="single"/>
              </w:rPr>
            </w:pPr>
            <w:r w:rsidRPr="00CE176A">
              <w:rPr>
                <w:u w:val="single"/>
              </w:rPr>
              <w:t>Published:</w:t>
            </w:r>
          </w:p>
          <w:p w14:paraId="21CC8804" w14:textId="5598794E" w:rsidR="001E2E23" w:rsidRPr="00CE176A" w:rsidRDefault="001E2E23" w:rsidP="007A591A">
            <w:pPr>
              <w:pStyle w:val="PBACTableText"/>
              <w:spacing w:before="0" w:after="0"/>
              <w:jc w:val="center"/>
            </w:pPr>
            <w:r w:rsidRPr="00CE176A">
              <w:t>Public: $</w:t>
            </w:r>
            <w:r w:rsidR="00C10EC6" w:rsidRPr="00C10EC6">
              <w:rPr>
                <w:sz w:val="2"/>
                <w:highlight w:val="black"/>
              </w:rPr>
              <w:t>redacted content</w:t>
            </w:r>
          </w:p>
          <w:p w14:paraId="3E8AC7F6" w14:textId="23608036" w:rsidR="001E2E23" w:rsidRPr="00CE176A" w:rsidRDefault="001E2E23" w:rsidP="007A591A">
            <w:pPr>
              <w:pStyle w:val="PBACTableText"/>
              <w:spacing w:before="0" w:after="0"/>
              <w:jc w:val="center"/>
            </w:pPr>
            <w:r w:rsidRPr="00CE176A">
              <w:t>Private: $</w:t>
            </w:r>
            <w:r w:rsidR="00C10EC6" w:rsidRPr="00C10EC6">
              <w:rPr>
                <w:sz w:val="2"/>
                <w:highlight w:val="black"/>
              </w:rPr>
              <w:t>redacted content</w:t>
            </w:r>
          </w:p>
          <w:p w14:paraId="1AF8EC48" w14:textId="148C49DF" w:rsidR="001E2E23" w:rsidRPr="008211C0" w:rsidRDefault="001E2E23" w:rsidP="007A591A">
            <w:pPr>
              <w:pStyle w:val="PBACTableText"/>
              <w:spacing w:before="0" w:after="0"/>
              <w:jc w:val="center"/>
              <w:rPr>
                <w:u w:val="single"/>
              </w:rPr>
            </w:pPr>
            <w:r w:rsidRPr="008211C0">
              <w:rPr>
                <w:u w:val="single"/>
              </w:rPr>
              <w:t>Effective:</w:t>
            </w:r>
          </w:p>
          <w:p w14:paraId="22238AE8" w14:textId="1273EACD" w:rsidR="001E2E23" w:rsidRPr="008211C0" w:rsidRDefault="00101EAA" w:rsidP="007A591A">
            <w:pPr>
              <w:pStyle w:val="PBACTableText"/>
              <w:spacing w:before="0" w:after="0"/>
              <w:jc w:val="center"/>
            </w:pPr>
            <w:r w:rsidRPr="008211C0">
              <w:t>Public</w:t>
            </w:r>
            <w:r w:rsidR="001E2E23" w:rsidRPr="008211C0">
              <w:t>: $</w:t>
            </w:r>
            <w:r w:rsidR="00C10EC6" w:rsidRPr="00C10EC6">
              <w:rPr>
                <w:sz w:val="2"/>
                <w:highlight w:val="black"/>
              </w:rPr>
              <w:t>redacted content</w:t>
            </w:r>
          </w:p>
          <w:p w14:paraId="65BF61F8" w14:textId="12981536" w:rsidR="00101EAA" w:rsidRPr="00CE176A" w:rsidRDefault="00101EAA" w:rsidP="007A591A">
            <w:pPr>
              <w:pStyle w:val="PBACTableText"/>
              <w:spacing w:before="0" w:after="0"/>
              <w:jc w:val="center"/>
            </w:pPr>
            <w:r w:rsidRPr="00CE176A">
              <w:rPr>
                <w:lang w:val="de-DE"/>
              </w:rPr>
              <w:t>Private: $</w:t>
            </w:r>
            <w:r w:rsidR="00C10EC6" w:rsidRPr="00C10EC6">
              <w:rPr>
                <w:sz w:val="2"/>
                <w:highlight w:val="black"/>
                <w:lang w:val="de-DE"/>
              </w:rPr>
              <w:t>redacted content</w:t>
            </w:r>
          </w:p>
        </w:tc>
        <w:tc>
          <w:tcPr>
            <w:tcW w:w="1276" w:type="dxa"/>
            <w:tcMar>
              <w:left w:w="85" w:type="dxa"/>
              <w:right w:w="85" w:type="dxa"/>
            </w:tcMar>
            <w:vAlign w:val="center"/>
          </w:tcPr>
          <w:p w14:paraId="7A1E47D3" w14:textId="77777777" w:rsidR="001E2E23" w:rsidRPr="00CE176A" w:rsidRDefault="001E2E23" w:rsidP="007A591A">
            <w:pPr>
              <w:pStyle w:val="PBACTableText"/>
              <w:spacing w:before="0" w:after="0"/>
            </w:pPr>
            <w:r w:rsidRPr="00CE176A">
              <w:t>QALSODY</w:t>
            </w:r>
            <w:r w:rsidRPr="00CE176A">
              <w:rPr>
                <w:vertAlign w:val="superscript"/>
              </w:rPr>
              <w:t>TM</w:t>
            </w:r>
            <w:r w:rsidRPr="00CE176A">
              <w:t xml:space="preserve"> </w:t>
            </w:r>
          </w:p>
        </w:tc>
        <w:tc>
          <w:tcPr>
            <w:tcW w:w="992" w:type="dxa"/>
            <w:tcMar>
              <w:left w:w="85" w:type="dxa"/>
              <w:right w:w="85" w:type="dxa"/>
            </w:tcMar>
            <w:vAlign w:val="center"/>
          </w:tcPr>
          <w:p w14:paraId="76B65698" w14:textId="77777777" w:rsidR="001E2E23" w:rsidRPr="00CE176A" w:rsidRDefault="001E2E23" w:rsidP="007A591A">
            <w:pPr>
              <w:pStyle w:val="PBACTableText"/>
              <w:spacing w:before="0" w:after="0"/>
            </w:pPr>
            <w:r w:rsidRPr="00CE176A">
              <w:t>Biogen Australia Pty Ltd</w:t>
            </w:r>
          </w:p>
        </w:tc>
      </w:tr>
      <w:tr w:rsidR="001E2E23" w:rsidRPr="00CE176A" w14:paraId="3AE4946B" w14:textId="77777777" w:rsidTr="00DE2B3A">
        <w:trPr>
          <w:trHeight w:val="123"/>
        </w:trPr>
        <w:tc>
          <w:tcPr>
            <w:tcW w:w="9209" w:type="dxa"/>
            <w:gridSpan w:val="7"/>
            <w:tcMar>
              <w:left w:w="85" w:type="dxa"/>
              <w:right w:w="85" w:type="dxa"/>
            </w:tcMar>
          </w:tcPr>
          <w:p w14:paraId="43EECABD" w14:textId="77777777" w:rsidR="001E2E23" w:rsidRPr="00CE176A" w:rsidRDefault="001E2E23" w:rsidP="007A591A">
            <w:pPr>
              <w:pStyle w:val="PBACTableText"/>
              <w:spacing w:before="0" w:after="0"/>
            </w:pPr>
            <w:r w:rsidRPr="00CE176A">
              <w:rPr>
                <w:b/>
              </w:rPr>
              <w:t>RESPONSE PHASE</w:t>
            </w:r>
          </w:p>
        </w:tc>
      </w:tr>
      <w:tr w:rsidR="001E2E23" w:rsidRPr="00CE176A" w14:paraId="18FEC9DE" w14:textId="77777777" w:rsidTr="00DE2B3A">
        <w:tc>
          <w:tcPr>
            <w:tcW w:w="2122" w:type="dxa"/>
            <w:tcMar>
              <w:left w:w="85" w:type="dxa"/>
              <w:right w:w="85" w:type="dxa"/>
            </w:tcMar>
            <w:vAlign w:val="center"/>
          </w:tcPr>
          <w:p w14:paraId="6E1EABF4" w14:textId="77777777" w:rsidR="001E2E23" w:rsidRPr="00CE176A" w:rsidRDefault="001E2E23" w:rsidP="007A591A">
            <w:pPr>
              <w:pStyle w:val="PBACTableText"/>
              <w:spacing w:before="0" w:after="0"/>
            </w:pPr>
            <w:r w:rsidRPr="00CE176A">
              <w:t xml:space="preserve">tofersen, </w:t>
            </w:r>
          </w:p>
          <w:p w14:paraId="29B79CBD" w14:textId="77777777" w:rsidR="001E2E23" w:rsidRPr="00CE176A" w:rsidRDefault="001E2E23" w:rsidP="007A591A">
            <w:pPr>
              <w:pStyle w:val="PBACTableText"/>
              <w:spacing w:before="0" w:after="0"/>
            </w:pPr>
            <w:r w:rsidRPr="00CE176A">
              <w:t>100 mg/ 15 mL injection, 15 mL vial</w:t>
            </w:r>
          </w:p>
        </w:tc>
        <w:tc>
          <w:tcPr>
            <w:tcW w:w="992" w:type="dxa"/>
            <w:tcMar>
              <w:left w:w="85" w:type="dxa"/>
              <w:right w:w="85" w:type="dxa"/>
            </w:tcMar>
            <w:vAlign w:val="center"/>
          </w:tcPr>
          <w:p w14:paraId="0404C41F" w14:textId="77777777" w:rsidR="001E2E23" w:rsidRPr="00CE176A" w:rsidRDefault="001E2E23" w:rsidP="007A591A">
            <w:pPr>
              <w:pStyle w:val="PBACTableText"/>
              <w:spacing w:before="0" w:after="0"/>
              <w:jc w:val="center"/>
            </w:pPr>
            <w:r w:rsidRPr="00CE176A">
              <w:t>1</w:t>
            </w:r>
          </w:p>
        </w:tc>
        <w:tc>
          <w:tcPr>
            <w:tcW w:w="992" w:type="dxa"/>
            <w:tcMar>
              <w:left w:w="85" w:type="dxa"/>
              <w:right w:w="85" w:type="dxa"/>
            </w:tcMar>
            <w:vAlign w:val="center"/>
          </w:tcPr>
          <w:p w14:paraId="45E49B59" w14:textId="77777777" w:rsidR="001E2E23" w:rsidRPr="00CE176A" w:rsidRDefault="001E2E23" w:rsidP="007A591A">
            <w:pPr>
              <w:pStyle w:val="PBACTableText"/>
              <w:spacing w:before="0" w:after="0"/>
              <w:jc w:val="center"/>
            </w:pPr>
            <w:r w:rsidRPr="00CE176A">
              <w:t>1</w:t>
            </w:r>
          </w:p>
        </w:tc>
        <w:tc>
          <w:tcPr>
            <w:tcW w:w="851" w:type="dxa"/>
            <w:tcMar>
              <w:left w:w="85" w:type="dxa"/>
              <w:right w:w="85" w:type="dxa"/>
            </w:tcMar>
            <w:vAlign w:val="center"/>
          </w:tcPr>
          <w:p w14:paraId="6E28871C" w14:textId="77777777" w:rsidR="001E2E23" w:rsidRPr="00CE176A" w:rsidRDefault="001E2E23" w:rsidP="007A591A">
            <w:pPr>
              <w:pStyle w:val="PBACTableText"/>
              <w:spacing w:before="0" w:after="0"/>
              <w:jc w:val="center"/>
            </w:pPr>
            <w:r w:rsidRPr="00CE176A">
              <w:t>5</w:t>
            </w:r>
          </w:p>
        </w:tc>
        <w:tc>
          <w:tcPr>
            <w:tcW w:w="1984" w:type="dxa"/>
            <w:tcMar>
              <w:left w:w="85" w:type="dxa"/>
              <w:right w:w="85" w:type="dxa"/>
            </w:tcMar>
            <w:vAlign w:val="center"/>
          </w:tcPr>
          <w:p w14:paraId="78AC2B74" w14:textId="77777777" w:rsidR="001E2E23" w:rsidRPr="00CE176A" w:rsidRDefault="001E2E23" w:rsidP="007A591A">
            <w:pPr>
              <w:pStyle w:val="PBACTableText"/>
              <w:spacing w:before="0" w:after="0"/>
              <w:jc w:val="center"/>
              <w:rPr>
                <w:u w:val="single"/>
              </w:rPr>
            </w:pPr>
            <w:r w:rsidRPr="00CE176A">
              <w:rPr>
                <w:u w:val="single"/>
              </w:rPr>
              <w:t>Published:</w:t>
            </w:r>
          </w:p>
          <w:p w14:paraId="000BFCC7" w14:textId="14D498F2" w:rsidR="001E2E23" w:rsidRPr="00CE176A" w:rsidRDefault="001E2E23" w:rsidP="007A591A">
            <w:pPr>
              <w:pStyle w:val="PBACTableText"/>
              <w:spacing w:before="0" w:after="0"/>
              <w:jc w:val="center"/>
            </w:pPr>
            <w:r w:rsidRPr="00CE176A">
              <w:t>Public: $</w:t>
            </w:r>
            <w:r w:rsidR="00C10EC6" w:rsidRPr="00C10EC6">
              <w:rPr>
                <w:sz w:val="2"/>
                <w:highlight w:val="black"/>
              </w:rPr>
              <w:t>redacted content</w:t>
            </w:r>
          </w:p>
          <w:p w14:paraId="66ED06AD" w14:textId="76AA6CE5" w:rsidR="001E2E23" w:rsidRPr="00CE176A" w:rsidRDefault="001E2E23" w:rsidP="007A591A">
            <w:pPr>
              <w:pStyle w:val="PBACTableText"/>
              <w:spacing w:before="0" w:after="0"/>
              <w:jc w:val="center"/>
            </w:pPr>
            <w:r w:rsidRPr="00CE176A">
              <w:t>Private: $</w:t>
            </w:r>
            <w:r w:rsidR="00C10EC6" w:rsidRPr="00C10EC6">
              <w:rPr>
                <w:sz w:val="2"/>
                <w:highlight w:val="black"/>
              </w:rPr>
              <w:t>redacted content</w:t>
            </w:r>
          </w:p>
          <w:p w14:paraId="2E261762" w14:textId="77777777" w:rsidR="001E2E23" w:rsidRPr="00CE176A" w:rsidRDefault="001E2E23" w:rsidP="007A591A">
            <w:pPr>
              <w:pStyle w:val="PBACTableText"/>
              <w:spacing w:before="0" w:after="0"/>
              <w:jc w:val="center"/>
              <w:rPr>
                <w:u w:val="single"/>
              </w:rPr>
            </w:pPr>
            <w:r w:rsidRPr="00CE176A">
              <w:rPr>
                <w:u w:val="single"/>
              </w:rPr>
              <w:t>Effective:</w:t>
            </w:r>
          </w:p>
          <w:p w14:paraId="7ABA10FB" w14:textId="121F75FA" w:rsidR="00101EAA" w:rsidRPr="00CE176A" w:rsidRDefault="00101EAA" w:rsidP="007A591A">
            <w:pPr>
              <w:pStyle w:val="PBACTableText"/>
              <w:spacing w:before="0" w:after="0"/>
              <w:jc w:val="center"/>
            </w:pPr>
            <w:r w:rsidRPr="00CE176A">
              <w:t>Public: $</w:t>
            </w:r>
            <w:r w:rsidR="00C10EC6" w:rsidRPr="00C10EC6">
              <w:rPr>
                <w:sz w:val="2"/>
                <w:highlight w:val="black"/>
              </w:rPr>
              <w:t>redacted content</w:t>
            </w:r>
            <w:r w:rsidRPr="00CE176A">
              <w:t xml:space="preserve"> </w:t>
            </w:r>
          </w:p>
          <w:p w14:paraId="34A802BC" w14:textId="2F1FBA16" w:rsidR="001E2E23" w:rsidRPr="00CE176A" w:rsidRDefault="00101EAA" w:rsidP="007A591A">
            <w:pPr>
              <w:pStyle w:val="PBACTableText"/>
              <w:spacing w:before="0" w:after="0"/>
              <w:jc w:val="center"/>
            </w:pPr>
            <w:r w:rsidRPr="00CE176A">
              <w:t>Private: $</w:t>
            </w:r>
            <w:r w:rsidR="00C10EC6" w:rsidRPr="00C10EC6">
              <w:rPr>
                <w:sz w:val="2"/>
                <w:highlight w:val="black"/>
              </w:rPr>
              <w:t>redacted content</w:t>
            </w:r>
          </w:p>
        </w:tc>
        <w:tc>
          <w:tcPr>
            <w:tcW w:w="1276" w:type="dxa"/>
            <w:tcMar>
              <w:left w:w="85" w:type="dxa"/>
              <w:right w:w="85" w:type="dxa"/>
            </w:tcMar>
            <w:vAlign w:val="center"/>
          </w:tcPr>
          <w:p w14:paraId="2C7DB4D3" w14:textId="77777777" w:rsidR="001E2E23" w:rsidRPr="00CE176A" w:rsidRDefault="001E2E23" w:rsidP="007A591A">
            <w:pPr>
              <w:pStyle w:val="PBACTableText"/>
              <w:spacing w:before="0" w:after="0"/>
            </w:pPr>
            <w:r w:rsidRPr="00CE176A">
              <w:t>QALSODY</w:t>
            </w:r>
            <w:r w:rsidRPr="00CE176A">
              <w:rPr>
                <w:vertAlign w:val="superscript"/>
              </w:rPr>
              <w:t>TM</w:t>
            </w:r>
            <w:r w:rsidRPr="00CE176A">
              <w:t xml:space="preserve"> </w:t>
            </w:r>
          </w:p>
        </w:tc>
        <w:tc>
          <w:tcPr>
            <w:tcW w:w="992" w:type="dxa"/>
            <w:tcMar>
              <w:left w:w="85" w:type="dxa"/>
              <w:right w:w="85" w:type="dxa"/>
            </w:tcMar>
            <w:vAlign w:val="center"/>
          </w:tcPr>
          <w:p w14:paraId="6D8EC3EA" w14:textId="77777777" w:rsidR="001E2E23" w:rsidRPr="00CE176A" w:rsidRDefault="001E2E23" w:rsidP="007A591A">
            <w:pPr>
              <w:pStyle w:val="PBACTableText"/>
              <w:spacing w:before="0" w:after="0"/>
            </w:pPr>
            <w:r w:rsidRPr="00CE176A">
              <w:t>Biogen Australia Pty Ltd</w:t>
            </w:r>
          </w:p>
        </w:tc>
      </w:tr>
    </w:tbl>
    <w:p w14:paraId="33B96A93" w14:textId="0927E0DC" w:rsidR="00AD44E7" w:rsidRPr="00AD44E7" w:rsidRDefault="00AD44E7" w:rsidP="007A591A">
      <w:pPr>
        <w:pStyle w:val="PBACTblFignote"/>
        <w:spacing w:before="0"/>
      </w:pPr>
      <w:r>
        <w:t xml:space="preserve">Source: Table 1.2 of the March </w:t>
      </w:r>
      <w:r w:rsidR="00F62152">
        <w:t>2026 early re</w:t>
      </w:r>
      <w:r w:rsidR="007A591A">
        <w:noBreakHyphen/>
      </w:r>
      <w:r w:rsidR="00F62152">
        <w:t>entry resubmission</w:t>
      </w:r>
    </w:p>
    <w:p w14:paraId="169D8CF7" w14:textId="34080BCC" w:rsidR="00AD44E7" w:rsidRPr="00FF75BE" w:rsidRDefault="00AD44E7" w:rsidP="007A591A">
      <w:pPr>
        <w:pStyle w:val="PBACTblFignote"/>
        <w:spacing w:before="0"/>
      </w:pPr>
      <w:r w:rsidRPr="00FF75BE">
        <w:rPr>
          <w:vertAlign w:val="superscript"/>
        </w:rPr>
        <w:t xml:space="preserve">1 </w:t>
      </w:r>
      <w:r w:rsidRPr="00FF75BE">
        <w:t>This item can be used only once</w:t>
      </w:r>
    </w:p>
    <w:p w14:paraId="35358F3C" w14:textId="3A27869B" w:rsidR="00AD44E7" w:rsidRPr="00FF75BE" w:rsidRDefault="00AD44E7" w:rsidP="007A591A">
      <w:pPr>
        <w:pStyle w:val="PBACTblFignote"/>
        <w:spacing w:before="0"/>
      </w:pPr>
      <w:r w:rsidRPr="00FF75BE">
        <w:rPr>
          <w:vertAlign w:val="superscript"/>
        </w:rPr>
        <w:t>2</w:t>
      </w:r>
      <w:r w:rsidRPr="00FF75BE">
        <w:t xml:space="preserve"> The maximum number of item(s) to be used is 2 to allow for </w:t>
      </w:r>
      <w:r w:rsidRPr="00FF75BE" w:rsidDel="003A233F">
        <w:t xml:space="preserve">the </w:t>
      </w:r>
      <w:r w:rsidRPr="00FF75BE">
        <w:t>3</w:t>
      </w:r>
      <w:r w:rsidR="007A591A">
        <w:noBreakHyphen/>
      </w:r>
      <w:r w:rsidRPr="00FF75BE">
        <w:t>month confirmation period, which may be utilised prior to discontinuing due to non</w:t>
      </w:r>
      <w:r w:rsidR="007A591A">
        <w:noBreakHyphen/>
      </w:r>
      <w:r w:rsidRPr="00FF75BE">
        <w:t>response, or continuing as a responder</w:t>
      </w:r>
    </w:p>
    <w:p w14:paraId="79A504D3" w14:textId="77777777" w:rsidR="000B29D6" w:rsidRDefault="000B29D6" w:rsidP="007A591A">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listing"/>
      </w:tblPr>
      <w:tblGrid>
        <w:gridCol w:w="1129"/>
        <w:gridCol w:w="2977"/>
        <w:gridCol w:w="1276"/>
        <w:gridCol w:w="850"/>
        <w:gridCol w:w="851"/>
        <w:gridCol w:w="850"/>
        <w:gridCol w:w="1134"/>
      </w:tblGrid>
      <w:tr w:rsidR="00DA782F" w:rsidRPr="00A54CFA" w14:paraId="18195B13" w14:textId="77777777" w:rsidTr="0090323F">
        <w:trPr>
          <w:trHeight w:val="50"/>
        </w:trPr>
        <w:tc>
          <w:tcPr>
            <w:tcW w:w="4106" w:type="dxa"/>
            <w:gridSpan w:val="2"/>
          </w:tcPr>
          <w:p w14:paraId="7D658D90" w14:textId="77777777" w:rsidR="0092160C" w:rsidRPr="00F21EFC" w:rsidRDefault="0092160C" w:rsidP="007A591A">
            <w:pPr>
              <w:keepNext/>
              <w:ind w:left="-57"/>
              <w:rPr>
                <w:rFonts w:ascii="Arial Narrow" w:hAnsi="Arial Narrow" w:cs="Arial"/>
                <w:b/>
                <w:sz w:val="20"/>
                <w:szCs w:val="20"/>
              </w:rPr>
            </w:pPr>
            <w:r w:rsidRPr="00F21EFC">
              <w:rPr>
                <w:rFonts w:ascii="Arial Narrow" w:hAnsi="Arial Narrow" w:cs="Arial"/>
                <w:b/>
                <w:sz w:val="20"/>
                <w:szCs w:val="20"/>
              </w:rPr>
              <w:t>MEDICINAL PRODUCT</w:t>
            </w:r>
          </w:p>
          <w:p w14:paraId="6A0DB92C" w14:textId="3BF4BE3B" w:rsidR="0092160C" w:rsidRPr="00F21EFC" w:rsidRDefault="0092160C" w:rsidP="007A591A">
            <w:pPr>
              <w:keepNext/>
              <w:ind w:left="-57"/>
              <w:rPr>
                <w:rFonts w:ascii="Arial Narrow" w:hAnsi="Arial Narrow" w:cs="Arial"/>
                <w:b/>
                <w:sz w:val="20"/>
                <w:szCs w:val="20"/>
              </w:rPr>
            </w:pPr>
            <w:r w:rsidRPr="00F21EFC">
              <w:rPr>
                <w:rFonts w:ascii="Arial Narrow" w:hAnsi="Arial Narrow" w:cs="Arial"/>
                <w:b/>
                <w:sz w:val="20"/>
                <w:szCs w:val="20"/>
              </w:rPr>
              <w:t>medicinal product pack</w:t>
            </w:r>
          </w:p>
        </w:tc>
        <w:tc>
          <w:tcPr>
            <w:tcW w:w="1276" w:type="dxa"/>
          </w:tcPr>
          <w:p w14:paraId="2B85C9D1" w14:textId="3732AD15" w:rsidR="0092160C" w:rsidRPr="00F21EFC" w:rsidRDefault="0092160C" w:rsidP="007A591A">
            <w:pPr>
              <w:keepNext/>
              <w:ind w:left="-57"/>
              <w:jc w:val="center"/>
              <w:rPr>
                <w:rFonts w:ascii="Arial Narrow" w:hAnsi="Arial Narrow" w:cs="Arial"/>
                <w:b/>
                <w:sz w:val="20"/>
                <w:szCs w:val="20"/>
              </w:rPr>
            </w:pPr>
            <w:r w:rsidRPr="00F21EFC">
              <w:rPr>
                <w:rFonts w:ascii="Arial Narrow" w:hAnsi="Arial Narrow" w:cs="Arial"/>
                <w:b/>
                <w:sz w:val="20"/>
                <w:szCs w:val="20"/>
              </w:rPr>
              <w:t>PBS item code</w:t>
            </w:r>
          </w:p>
        </w:tc>
        <w:tc>
          <w:tcPr>
            <w:tcW w:w="850" w:type="dxa"/>
          </w:tcPr>
          <w:p w14:paraId="469C21EE" w14:textId="2E26DBB1" w:rsidR="0092160C" w:rsidRPr="00F21EFC" w:rsidRDefault="0092160C" w:rsidP="007A591A">
            <w:pPr>
              <w:keepNext/>
              <w:ind w:left="-57"/>
              <w:jc w:val="center"/>
              <w:rPr>
                <w:rFonts w:ascii="Arial Narrow" w:hAnsi="Arial Narrow" w:cs="Arial"/>
                <w:b/>
                <w:sz w:val="20"/>
                <w:szCs w:val="20"/>
              </w:rPr>
            </w:pPr>
            <w:r w:rsidRPr="00F21EFC">
              <w:rPr>
                <w:rFonts w:ascii="Arial Narrow" w:hAnsi="Arial Narrow" w:cs="Arial"/>
                <w:b/>
                <w:sz w:val="20"/>
                <w:szCs w:val="20"/>
              </w:rPr>
              <w:t>Max. qty packs</w:t>
            </w:r>
          </w:p>
        </w:tc>
        <w:tc>
          <w:tcPr>
            <w:tcW w:w="851" w:type="dxa"/>
          </w:tcPr>
          <w:p w14:paraId="6ECE7A7B" w14:textId="23C6DFB5" w:rsidR="0092160C" w:rsidRPr="00F21EFC" w:rsidRDefault="0092160C" w:rsidP="007A591A">
            <w:pPr>
              <w:keepNext/>
              <w:ind w:left="-57"/>
              <w:jc w:val="center"/>
              <w:rPr>
                <w:rFonts w:ascii="Arial Narrow" w:hAnsi="Arial Narrow" w:cs="Arial"/>
                <w:b/>
                <w:sz w:val="20"/>
                <w:szCs w:val="20"/>
              </w:rPr>
            </w:pPr>
            <w:r w:rsidRPr="00F21EFC">
              <w:rPr>
                <w:rFonts w:ascii="Arial Narrow" w:hAnsi="Arial Narrow" w:cs="Arial"/>
                <w:b/>
                <w:sz w:val="20"/>
                <w:szCs w:val="20"/>
              </w:rPr>
              <w:t>Max. qty units</w:t>
            </w:r>
          </w:p>
        </w:tc>
        <w:tc>
          <w:tcPr>
            <w:tcW w:w="850" w:type="dxa"/>
          </w:tcPr>
          <w:p w14:paraId="1F80E465" w14:textId="77777777" w:rsidR="0092160C" w:rsidRPr="00F21EFC" w:rsidRDefault="0092160C" w:rsidP="007A591A">
            <w:pPr>
              <w:keepNext/>
              <w:ind w:left="-57"/>
              <w:jc w:val="center"/>
              <w:rPr>
                <w:rFonts w:ascii="Arial Narrow" w:hAnsi="Arial Narrow" w:cs="Arial"/>
                <w:b/>
                <w:sz w:val="20"/>
                <w:szCs w:val="20"/>
              </w:rPr>
            </w:pPr>
            <w:r w:rsidRPr="00F21EFC">
              <w:rPr>
                <w:rFonts w:ascii="Arial Narrow" w:hAnsi="Arial Narrow" w:cs="Arial"/>
                <w:b/>
                <w:sz w:val="20"/>
                <w:szCs w:val="20"/>
              </w:rPr>
              <w:t>№.of</w:t>
            </w:r>
          </w:p>
          <w:p w14:paraId="023DA46B" w14:textId="2EC6AEAA" w:rsidR="0092160C" w:rsidRPr="00F21EFC" w:rsidRDefault="0092160C" w:rsidP="007A591A">
            <w:pPr>
              <w:keepNext/>
              <w:ind w:left="-57"/>
              <w:jc w:val="center"/>
              <w:rPr>
                <w:rFonts w:ascii="Arial Narrow" w:hAnsi="Arial Narrow" w:cs="Arial"/>
                <w:b/>
                <w:sz w:val="20"/>
                <w:szCs w:val="20"/>
              </w:rPr>
            </w:pPr>
            <w:r w:rsidRPr="00F21EFC">
              <w:rPr>
                <w:rFonts w:ascii="Arial Narrow" w:hAnsi="Arial Narrow" w:cs="Arial"/>
                <w:b/>
                <w:sz w:val="20"/>
                <w:szCs w:val="20"/>
              </w:rPr>
              <w:t>Rpts</w:t>
            </w:r>
          </w:p>
        </w:tc>
        <w:tc>
          <w:tcPr>
            <w:tcW w:w="1134" w:type="dxa"/>
          </w:tcPr>
          <w:p w14:paraId="028A8B94" w14:textId="17277D89" w:rsidR="0092160C" w:rsidRPr="00F21EFC" w:rsidRDefault="0092160C" w:rsidP="007A591A">
            <w:pPr>
              <w:keepNext/>
              <w:ind w:left="-57"/>
              <w:jc w:val="center"/>
              <w:rPr>
                <w:rFonts w:ascii="Arial Narrow" w:hAnsi="Arial Narrow" w:cs="Arial"/>
                <w:b/>
                <w:sz w:val="20"/>
                <w:szCs w:val="20"/>
              </w:rPr>
            </w:pPr>
            <w:r w:rsidRPr="00F21EFC">
              <w:rPr>
                <w:rFonts w:ascii="Arial Narrow" w:hAnsi="Arial Narrow" w:cs="Arial"/>
                <w:b/>
                <w:sz w:val="20"/>
                <w:szCs w:val="20"/>
              </w:rPr>
              <w:t>Available brands</w:t>
            </w:r>
          </w:p>
        </w:tc>
      </w:tr>
      <w:tr w:rsidR="00A54CFA" w:rsidRPr="00A54CFA" w14:paraId="22167145" w14:textId="77777777" w:rsidTr="00447E80">
        <w:trPr>
          <w:trHeight w:val="50"/>
        </w:trPr>
        <w:tc>
          <w:tcPr>
            <w:tcW w:w="9067" w:type="dxa"/>
            <w:gridSpan w:val="7"/>
          </w:tcPr>
          <w:p w14:paraId="0AA61F96" w14:textId="4A7B217F" w:rsidR="00A54CFA" w:rsidRPr="00F21EFC" w:rsidRDefault="006131B0" w:rsidP="007A591A">
            <w:pPr>
              <w:keepNext/>
              <w:ind w:left="-57"/>
              <w:rPr>
                <w:rFonts w:ascii="Arial Narrow" w:hAnsi="Arial Narrow" w:cs="Arial"/>
                <w:sz w:val="20"/>
                <w:szCs w:val="20"/>
              </w:rPr>
            </w:pPr>
            <w:r w:rsidRPr="00F21EFC">
              <w:rPr>
                <w:rFonts w:ascii="Arial Narrow" w:hAnsi="Arial Narrow" w:cs="Arial"/>
                <w:sz w:val="20"/>
                <w:szCs w:val="20"/>
              </w:rPr>
              <w:t>TOFERSEN</w:t>
            </w:r>
          </w:p>
        </w:tc>
      </w:tr>
      <w:tr w:rsidR="00DA782F" w:rsidRPr="00A54CFA" w14:paraId="0BBAB80D" w14:textId="77777777" w:rsidTr="0090323F">
        <w:trPr>
          <w:trHeight w:val="50"/>
        </w:trPr>
        <w:tc>
          <w:tcPr>
            <w:tcW w:w="4106" w:type="dxa"/>
            <w:gridSpan w:val="2"/>
          </w:tcPr>
          <w:p w14:paraId="705D46F6" w14:textId="1596A85D" w:rsidR="00DA782F" w:rsidRPr="00F21EFC" w:rsidRDefault="00DA782F" w:rsidP="007A591A">
            <w:pPr>
              <w:keepNext/>
              <w:ind w:left="-57"/>
              <w:rPr>
                <w:rFonts w:ascii="Arial Narrow" w:hAnsi="Arial Narrow" w:cs="Arial"/>
                <w:b/>
                <w:sz w:val="20"/>
                <w:szCs w:val="20"/>
              </w:rPr>
            </w:pPr>
            <w:r w:rsidRPr="00F21EFC">
              <w:rPr>
                <w:rFonts w:ascii="Arial Narrow" w:hAnsi="Arial Narrow" w:cs="Arial"/>
                <w:sz w:val="20"/>
                <w:szCs w:val="20"/>
              </w:rPr>
              <w:t xml:space="preserve">tofersen 100 mg/ 15 mL injection, 15 mL vial </w:t>
            </w:r>
          </w:p>
        </w:tc>
        <w:tc>
          <w:tcPr>
            <w:tcW w:w="1276" w:type="dxa"/>
          </w:tcPr>
          <w:p w14:paraId="4FC5B886" w14:textId="77777777" w:rsidR="00DA782F" w:rsidRPr="00F21EFC" w:rsidRDefault="00DA782F" w:rsidP="007A591A">
            <w:pPr>
              <w:keepNext/>
              <w:jc w:val="center"/>
              <w:rPr>
                <w:rFonts w:ascii="Arial Narrow" w:hAnsi="Arial Narrow" w:cs="Arial"/>
                <w:sz w:val="20"/>
                <w:szCs w:val="20"/>
              </w:rPr>
            </w:pPr>
            <w:r w:rsidRPr="00F21EFC">
              <w:rPr>
                <w:rFonts w:ascii="Arial Narrow" w:hAnsi="Arial Narrow" w:cs="Arial"/>
                <w:sz w:val="20"/>
                <w:szCs w:val="20"/>
              </w:rPr>
              <w:t>NEW (Private)</w:t>
            </w:r>
          </w:p>
          <w:p w14:paraId="6F44C41E" w14:textId="77777777" w:rsidR="00DA782F" w:rsidRPr="00F21EFC" w:rsidRDefault="00DA782F" w:rsidP="007A591A">
            <w:pPr>
              <w:keepNext/>
              <w:jc w:val="center"/>
              <w:rPr>
                <w:rFonts w:ascii="Arial Narrow" w:hAnsi="Arial Narrow" w:cs="Arial"/>
                <w:sz w:val="20"/>
                <w:szCs w:val="20"/>
              </w:rPr>
            </w:pPr>
            <w:r w:rsidRPr="00F21EFC">
              <w:rPr>
                <w:rFonts w:ascii="Arial Narrow" w:hAnsi="Arial Narrow" w:cs="Arial"/>
                <w:sz w:val="20"/>
                <w:szCs w:val="20"/>
              </w:rPr>
              <w:t>NEW (Public)</w:t>
            </w:r>
          </w:p>
          <w:p w14:paraId="45784ABF" w14:textId="3C24B221" w:rsidR="00DA782F" w:rsidRPr="00F21EFC" w:rsidRDefault="00DA782F" w:rsidP="007A591A">
            <w:pPr>
              <w:keepNext/>
              <w:ind w:left="-57"/>
              <w:jc w:val="center"/>
              <w:rPr>
                <w:rFonts w:ascii="Arial Narrow" w:hAnsi="Arial Narrow" w:cs="Arial"/>
                <w:b/>
                <w:sz w:val="20"/>
                <w:szCs w:val="20"/>
              </w:rPr>
            </w:pPr>
            <w:r w:rsidRPr="00F21EFC">
              <w:rPr>
                <w:rFonts w:ascii="Arial Narrow" w:hAnsi="Arial Narrow" w:cs="Arial"/>
                <w:sz w:val="20"/>
                <w:szCs w:val="20"/>
                <w:vertAlign w:val="subscript"/>
              </w:rPr>
              <w:t>MP</w:t>
            </w:r>
          </w:p>
        </w:tc>
        <w:tc>
          <w:tcPr>
            <w:tcW w:w="850" w:type="dxa"/>
          </w:tcPr>
          <w:p w14:paraId="32D85322" w14:textId="66D25FF2" w:rsidR="00DA782F" w:rsidRPr="00F21EFC" w:rsidRDefault="00DA782F" w:rsidP="007A591A">
            <w:pPr>
              <w:keepNext/>
              <w:ind w:left="-57"/>
              <w:jc w:val="center"/>
              <w:rPr>
                <w:rFonts w:ascii="Arial Narrow" w:hAnsi="Arial Narrow" w:cs="Arial"/>
                <w:b/>
                <w:sz w:val="20"/>
                <w:szCs w:val="20"/>
              </w:rPr>
            </w:pPr>
            <w:r w:rsidRPr="00F21EFC">
              <w:rPr>
                <w:rFonts w:ascii="Arial Narrow" w:hAnsi="Arial Narrow" w:cs="Arial"/>
                <w:sz w:val="20"/>
                <w:szCs w:val="20"/>
              </w:rPr>
              <w:t>1</w:t>
            </w:r>
          </w:p>
        </w:tc>
        <w:tc>
          <w:tcPr>
            <w:tcW w:w="851" w:type="dxa"/>
          </w:tcPr>
          <w:p w14:paraId="2FFA1FB6" w14:textId="2FB7BD74" w:rsidR="00DA782F" w:rsidRPr="00F21EFC" w:rsidRDefault="00DA782F" w:rsidP="007A591A">
            <w:pPr>
              <w:keepNext/>
              <w:ind w:left="-57"/>
              <w:jc w:val="center"/>
              <w:rPr>
                <w:rFonts w:ascii="Arial Narrow" w:hAnsi="Arial Narrow" w:cs="Arial"/>
                <w:b/>
                <w:sz w:val="20"/>
                <w:szCs w:val="20"/>
              </w:rPr>
            </w:pPr>
            <w:r w:rsidRPr="00F21EFC">
              <w:rPr>
                <w:rFonts w:ascii="Arial Narrow" w:hAnsi="Arial Narrow" w:cs="Arial"/>
                <w:sz w:val="20"/>
                <w:szCs w:val="20"/>
              </w:rPr>
              <w:t>1</w:t>
            </w:r>
          </w:p>
        </w:tc>
        <w:tc>
          <w:tcPr>
            <w:tcW w:w="850" w:type="dxa"/>
          </w:tcPr>
          <w:p w14:paraId="299F5339" w14:textId="36EBCC41" w:rsidR="00DA782F" w:rsidRPr="00F21EFC" w:rsidRDefault="00DA782F" w:rsidP="007A591A">
            <w:pPr>
              <w:keepNext/>
              <w:ind w:left="-57"/>
              <w:jc w:val="center"/>
              <w:rPr>
                <w:rFonts w:ascii="Arial Narrow" w:hAnsi="Arial Narrow" w:cs="Arial"/>
                <w:b/>
                <w:sz w:val="20"/>
                <w:szCs w:val="20"/>
              </w:rPr>
            </w:pPr>
            <w:r w:rsidRPr="00F21EFC">
              <w:rPr>
                <w:rFonts w:ascii="Arial Narrow" w:hAnsi="Arial Narrow" w:cs="Arial"/>
                <w:sz w:val="20"/>
                <w:szCs w:val="20"/>
              </w:rPr>
              <w:t>7</w:t>
            </w:r>
          </w:p>
        </w:tc>
        <w:tc>
          <w:tcPr>
            <w:tcW w:w="1134" w:type="dxa"/>
          </w:tcPr>
          <w:p w14:paraId="2B703C01" w14:textId="0F07AD89" w:rsidR="00DA782F" w:rsidRPr="00F21EFC" w:rsidRDefault="00DA782F" w:rsidP="007A591A">
            <w:pPr>
              <w:keepNext/>
              <w:ind w:left="-57"/>
              <w:jc w:val="center"/>
              <w:rPr>
                <w:rFonts w:ascii="Arial Narrow" w:hAnsi="Arial Narrow" w:cs="Arial"/>
                <w:b/>
                <w:sz w:val="20"/>
                <w:szCs w:val="20"/>
              </w:rPr>
            </w:pPr>
            <w:r w:rsidRPr="00F21EFC">
              <w:rPr>
                <w:rFonts w:ascii="Arial Narrow" w:hAnsi="Arial Narrow" w:cs="Arial"/>
                <w:sz w:val="20"/>
                <w:szCs w:val="20"/>
              </w:rPr>
              <w:t>Qalsody</w:t>
            </w:r>
          </w:p>
        </w:tc>
      </w:tr>
      <w:tr w:rsidR="00A54CFA" w:rsidRPr="00A54CFA" w14:paraId="3BBE9DD4" w14:textId="77777777" w:rsidTr="00447E80">
        <w:trPr>
          <w:trHeight w:val="50"/>
        </w:trPr>
        <w:tc>
          <w:tcPr>
            <w:tcW w:w="9067" w:type="dxa"/>
            <w:gridSpan w:val="7"/>
          </w:tcPr>
          <w:p w14:paraId="4ADA821E" w14:textId="77777777" w:rsidR="00A54CFA" w:rsidRPr="00F21EFC" w:rsidRDefault="00A54CFA" w:rsidP="007A591A">
            <w:pPr>
              <w:keepNext/>
              <w:ind w:left="-57"/>
              <w:rPr>
                <w:rFonts w:ascii="Arial Narrow" w:hAnsi="Arial Narrow" w:cs="Arial"/>
                <w:b/>
                <w:sz w:val="20"/>
                <w:szCs w:val="20"/>
              </w:rPr>
            </w:pPr>
          </w:p>
        </w:tc>
      </w:tr>
      <w:tr w:rsidR="00F21EFC" w:rsidRPr="00DA782F" w14:paraId="2368AA34" w14:textId="77777777" w:rsidTr="00A75A2C">
        <w:trPr>
          <w:trHeight w:val="157"/>
        </w:trPr>
        <w:tc>
          <w:tcPr>
            <w:tcW w:w="1129" w:type="dxa"/>
            <w:vMerge w:val="restart"/>
            <w:vAlign w:val="center"/>
          </w:tcPr>
          <w:p w14:paraId="789D1C68" w14:textId="77777777" w:rsidR="009B6ACC" w:rsidRDefault="009B6ACC" w:rsidP="007A591A">
            <w:pPr>
              <w:keepNext/>
              <w:keepLines/>
              <w:jc w:val="center"/>
              <w:rPr>
                <w:rFonts w:ascii="Arial Narrow" w:hAnsi="Arial Narrow"/>
                <w:kern w:val="2"/>
                <w:sz w:val="20"/>
                <w:szCs w:val="20"/>
              </w:rPr>
            </w:pPr>
            <w:r>
              <w:rPr>
                <w:rFonts w:ascii="Arial Narrow" w:hAnsi="Arial Narrow"/>
                <w:b/>
                <w:kern w:val="2"/>
                <w:sz w:val="20"/>
                <w:szCs w:val="20"/>
              </w:rPr>
              <w:t>Concept ID</w:t>
            </w:r>
          </w:p>
          <w:p w14:paraId="145DEF8F" w14:textId="26EC2C18" w:rsidR="00F21EFC" w:rsidRPr="00F21EFC" w:rsidRDefault="009B6ACC" w:rsidP="007A591A">
            <w:pPr>
              <w:rPr>
                <w:rFonts w:ascii="Arial Narrow" w:hAnsi="Arial Narrow"/>
                <w:b/>
                <w:sz w:val="20"/>
                <w:szCs w:val="20"/>
                <w:lang w:val="en-GB"/>
              </w:rPr>
            </w:pPr>
            <w:r>
              <w:rPr>
                <w:rFonts w:ascii="Arial Narrow" w:hAnsi="Arial Narrow"/>
                <w:b/>
                <w:sz w:val="20"/>
                <w:szCs w:val="20"/>
                <w:lang w:val="en-GB"/>
              </w:rPr>
              <w:t>(For Dept</w:t>
            </w:r>
            <w:r w:rsidR="00606A51">
              <w:rPr>
                <w:rFonts w:ascii="Arial Narrow" w:hAnsi="Arial Narrow"/>
                <w:b/>
                <w:sz w:val="20"/>
                <w:szCs w:val="20"/>
                <w:lang w:val="en-GB"/>
              </w:rPr>
              <w:t>.</w:t>
            </w:r>
            <w:r w:rsidR="00BA3E54">
              <w:rPr>
                <w:rFonts w:ascii="Arial Narrow" w:hAnsi="Arial Narrow"/>
                <w:b/>
                <w:sz w:val="20"/>
                <w:szCs w:val="20"/>
                <w:lang w:val="en-GB"/>
              </w:rPr>
              <w:t xml:space="preserve"> </w:t>
            </w:r>
            <w:r w:rsidR="00606A51">
              <w:rPr>
                <w:rFonts w:ascii="Arial Narrow" w:hAnsi="Arial Narrow"/>
                <w:b/>
                <w:sz w:val="20"/>
                <w:szCs w:val="20"/>
                <w:lang w:val="en-GB"/>
              </w:rPr>
              <w:t>use}</w:t>
            </w:r>
          </w:p>
        </w:tc>
        <w:tc>
          <w:tcPr>
            <w:tcW w:w="7938" w:type="dxa"/>
            <w:gridSpan w:val="6"/>
            <w:vAlign w:val="center"/>
          </w:tcPr>
          <w:p w14:paraId="222C954F" w14:textId="03AB55FC" w:rsidR="00F21EFC" w:rsidRPr="00F21EFC" w:rsidRDefault="00F21EFC" w:rsidP="007A591A">
            <w:pPr>
              <w:rPr>
                <w:rFonts w:ascii="Arial Narrow" w:hAnsi="Arial Narrow"/>
                <w:b/>
                <w:sz w:val="20"/>
                <w:szCs w:val="20"/>
                <w:lang w:val="en-GB"/>
              </w:rPr>
            </w:pPr>
            <w:r w:rsidRPr="702C3DC3">
              <w:rPr>
                <w:rFonts w:ascii="Arial Narrow" w:hAnsi="Arial Narrow"/>
                <w:b/>
                <w:sz w:val="20"/>
                <w:szCs w:val="20"/>
              </w:rPr>
              <w:t>Category / Program:</w:t>
            </w:r>
            <w:r w:rsidRPr="702C3DC3">
              <w:rPr>
                <w:rFonts w:ascii="Arial Narrow" w:hAnsi="Arial Narrow"/>
                <w:sz w:val="20"/>
                <w:szCs w:val="20"/>
              </w:rPr>
              <w:t xml:space="preserve"> </w:t>
            </w:r>
            <w:r w:rsidRPr="702C3DC3">
              <w:rPr>
                <w:rFonts w:ascii="Arial Narrow" w:hAnsi="Arial Narrow"/>
                <w:sz w:val="20"/>
                <w:szCs w:val="20"/>
              </w:rPr>
              <w:fldChar w:fldCharType="begin"/>
            </w:r>
            <w:r w:rsidRPr="702C3DC3">
              <w:rPr>
                <w:rFonts w:ascii="Arial Narrow" w:hAnsi="Arial Narrow"/>
                <w:sz w:val="20"/>
                <w:szCs w:val="20"/>
              </w:rPr>
              <w:instrText xml:space="preserve"> FORMCHECKBOX </w:instrText>
            </w:r>
            <w:r w:rsidRPr="702C3DC3">
              <w:rPr>
                <w:rFonts w:ascii="Arial Narrow" w:hAnsi="Arial Narrow"/>
                <w:sz w:val="20"/>
                <w:szCs w:val="20"/>
              </w:rPr>
              <w:fldChar w:fldCharType="separate"/>
            </w:r>
            <w:r w:rsidRPr="702C3DC3">
              <w:rPr>
                <w:rFonts w:ascii="Arial Narrow" w:hAnsi="Arial Narrow"/>
                <w:sz w:val="20"/>
                <w:szCs w:val="20"/>
              </w:rPr>
              <w:fldChar w:fldCharType="end"/>
            </w:r>
            <w:r w:rsidRPr="702C3DC3">
              <w:rPr>
                <w:rFonts w:ascii="Arial Narrow" w:hAnsi="Arial Narrow"/>
                <w:sz w:val="20"/>
                <w:szCs w:val="20"/>
              </w:rPr>
              <w:t xml:space="preserve"> </w:t>
            </w:r>
            <w:r w:rsidRPr="702C3DC3">
              <w:rPr>
                <w:rFonts w:ascii="Arial Narrow" w:eastAsia="Calibri" w:hAnsi="Arial Narrow"/>
                <w:sz w:val="20"/>
                <w:szCs w:val="20"/>
              </w:rPr>
              <w:t>Section 100 – Highly Specialised Drugs Program – Public (Code HB) / Private (Code HS)</w:t>
            </w:r>
          </w:p>
        </w:tc>
      </w:tr>
      <w:tr w:rsidR="00F21EFC" w:rsidRPr="00DA782F" w14:paraId="170AF23C" w14:textId="77777777" w:rsidTr="00A75A2C">
        <w:trPr>
          <w:trHeight w:val="60"/>
        </w:trPr>
        <w:tc>
          <w:tcPr>
            <w:tcW w:w="1129" w:type="dxa"/>
            <w:vMerge/>
            <w:vAlign w:val="center"/>
          </w:tcPr>
          <w:p w14:paraId="611220AB" w14:textId="77777777" w:rsidR="00F21EFC" w:rsidRPr="00F21EFC" w:rsidRDefault="00F21EFC" w:rsidP="007A591A">
            <w:pPr>
              <w:rPr>
                <w:rFonts w:ascii="Arial Narrow" w:hAnsi="Arial Narrow"/>
                <w:b/>
                <w:sz w:val="20"/>
                <w:szCs w:val="20"/>
                <w:lang w:val="en-GB"/>
              </w:rPr>
            </w:pPr>
          </w:p>
        </w:tc>
        <w:tc>
          <w:tcPr>
            <w:tcW w:w="7938" w:type="dxa"/>
            <w:gridSpan w:val="6"/>
            <w:vAlign w:val="center"/>
          </w:tcPr>
          <w:p w14:paraId="55D2E794" w14:textId="5F0E5061" w:rsidR="00F21EFC" w:rsidRPr="00F21EFC" w:rsidRDefault="00F21EFC" w:rsidP="007A591A">
            <w:pPr>
              <w:rPr>
                <w:rFonts w:ascii="Arial Narrow" w:hAnsi="Arial Narrow"/>
                <w:b/>
                <w:sz w:val="20"/>
                <w:szCs w:val="20"/>
                <w:lang w:val="en-GB"/>
              </w:rPr>
            </w:pPr>
            <w:r w:rsidRPr="00F21EFC">
              <w:rPr>
                <w:rFonts w:ascii="Arial Narrow" w:hAnsi="Arial Narrow"/>
                <w:b/>
                <w:kern w:val="2"/>
                <w:sz w:val="20"/>
                <w:szCs w:val="20"/>
              </w:rPr>
              <w:t xml:space="preserve">Prescriber type: </w:t>
            </w:r>
            <w:r w:rsidRPr="00F21EFC">
              <w:rPr>
                <w:rFonts w:ascii="Arial Narrow" w:hAnsi="Arial Narrow"/>
                <w:kern w:val="2"/>
                <w:sz w:val="20"/>
                <w:szCs w:val="20"/>
              </w:rPr>
              <w:fldChar w:fldCharType="begin">
                <w:ffData>
                  <w:name w:val=""/>
                  <w:enabled/>
                  <w:calcOnExit w:val="0"/>
                  <w:checkBox>
                    <w:sizeAuto/>
                    <w:default w:val="1"/>
                  </w:checkBox>
                </w:ffData>
              </w:fldChar>
            </w:r>
            <w:r w:rsidRPr="00F21EFC">
              <w:rPr>
                <w:rFonts w:ascii="Arial Narrow" w:hAnsi="Arial Narrow"/>
                <w:kern w:val="2"/>
                <w:sz w:val="20"/>
                <w:szCs w:val="20"/>
              </w:rPr>
              <w:instrText xml:space="preserve"> FORMCHECKBOX </w:instrText>
            </w:r>
            <w:r w:rsidRPr="00F21EFC">
              <w:rPr>
                <w:rFonts w:ascii="Arial Narrow" w:hAnsi="Arial Narrow"/>
                <w:kern w:val="2"/>
                <w:sz w:val="20"/>
                <w:szCs w:val="20"/>
              </w:rPr>
            </w:r>
            <w:r w:rsidRPr="00F21EFC">
              <w:rPr>
                <w:rFonts w:ascii="Arial Narrow" w:hAnsi="Arial Narrow"/>
                <w:kern w:val="2"/>
                <w:sz w:val="20"/>
                <w:szCs w:val="20"/>
              </w:rPr>
              <w:fldChar w:fldCharType="separate"/>
            </w:r>
            <w:r w:rsidRPr="00F21EFC">
              <w:rPr>
                <w:rFonts w:ascii="Arial Narrow" w:hAnsi="Arial Narrow"/>
                <w:kern w:val="2"/>
                <w:sz w:val="20"/>
                <w:szCs w:val="20"/>
              </w:rPr>
              <w:fldChar w:fldCharType="end"/>
            </w:r>
            <w:r w:rsidRPr="00F21EFC">
              <w:rPr>
                <w:rFonts w:ascii="Arial Narrow" w:hAnsi="Arial Narrow"/>
                <w:kern w:val="2"/>
                <w:sz w:val="20"/>
                <w:szCs w:val="20"/>
              </w:rPr>
              <w:t xml:space="preserve"> Medical Practitioners </w:t>
            </w:r>
          </w:p>
        </w:tc>
      </w:tr>
      <w:tr w:rsidR="00F21EFC" w:rsidRPr="00DA782F" w14:paraId="10C6CF5D" w14:textId="77777777" w:rsidTr="00A75A2C">
        <w:trPr>
          <w:trHeight w:val="60"/>
        </w:trPr>
        <w:tc>
          <w:tcPr>
            <w:tcW w:w="1129" w:type="dxa"/>
            <w:vMerge/>
            <w:vAlign w:val="center"/>
          </w:tcPr>
          <w:p w14:paraId="3E88FBFD" w14:textId="77777777" w:rsidR="00F21EFC" w:rsidRPr="00F21EFC" w:rsidRDefault="00F21EFC" w:rsidP="007A591A">
            <w:pPr>
              <w:rPr>
                <w:rFonts w:ascii="Arial Narrow" w:hAnsi="Arial Narrow"/>
                <w:b/>
                <w:sz w:val="20"/>
                <w:szCs w:val="20"/>
                <w:lang w:val="en-GB"/>
              </w:rPr>
            </w:pPr>
          </w:p>
        </w:tc>
        <w:tc>
          <w:tcPr>
            <w:tcW w:w="7938" w:type="dxa"/>
            <w:gridSpan w:val="6"/>
            <w:vAlign w:val="center"/>
          </w:tcPr>
          <w:p w14:paraId="333B9B6F" w14:textId="432E7D0B" w:rsidR="00F21EFC" w:rsidRPr="00F21EFC" w:rsidRDefault="00F21EFC" w:rsidP="007A591A">
            <w:pPr>
              <w:rPr>
                <w:rFonts w:ascii="Arial Narrow" w:hAnsi="Arial Narrow"/>
                <w:b/>
                <w:sz w:val="20"/>
                <w:szCs w:val="20"/>
                <w:lang w:val="en-GB"/>
              </w:rPr>
            </w:pPr>
            <w:r w:rsidRPr="00F21EFC">
              <w:rPr>
                <w:rFonts w:ascii="Arial Narrow" w:hAnsi="Arial Narrow"/>
                <w:b/>
                <w:kern w:val="2"/>
                <w:sz w:val="20"/>
                <w:szCs w:val="20"/>
              </w:rPr>
              <w:t xml:space="preserve">Benefit type: </w:t>
            </w:r>
            <w:r w:rsidRPr="00F21EFC">
              <w:rPr>
                <w:rFonts w:ascii="Arial Narrow" w:hAnsi="Arial Narrow"/>
                <w:kern w:val="2"/>
                <w:sz w:val="20"/>
                <w:szCs w:val="20"/>
              </w:rPr>
              <w:fldChar w:fldCharType="begin">
                <w:ffData>
                  <w:name w:val=""/>
                  <w:enabled/>
                  <w:calcOnExit w:val="0"/>
                  <w:checkBox>
                    <w:sizeAuto/>
                    <w:default w:val="1"/>
                  </w:checkBox>
                </w:ffData>
              </w:fldChar>
            </w:r>
            <w:r w:rsidRPr="00F21EFC">
              <w:rPr>
                <w:rFonts w:ascii="Arial Narrow" w:hAnsi="Arial Narrow"/>
                <w:kern w:val="2"/>
                <w:sz w:val="20"/>
                <w:szCs w:val="20"/>
              </w:rPr>
              <w:instrText xml:space="preserve"> FORMCHECKBOX </w:instrText>
            </w:r>
            <w:r w:rsidRPr="00F21EFC">
              <w:rPr>
                <w:rFonts w:ascii="Arial Narrow" w:hAnsi="Arial Narrow"/>
                <w:kern w:val="2"/>
                <w:sz w:val="20"/>
                <w:szCs w:val="20"/>
              </w:rPr>
            </w:r>
            <w:r w:rsidRPr="00F21EFC">
              <w:rPr>
                <w:rFonts w:ascii="Arial Narrow" w:hAnsi="Arial Narrow"/>
                <w:kern w:val="2"/>
                <w:sz w:val="20"/>
                <w:szCs w:val="20"/>
              </w:rPr>
              <w:fldChar w:fldCharType="separate"/>
            </w:r>
            <w:r w:rsidRPr="00F21EFC">
              <w:rPr>
                <w:rFonts w:ascii="Arial Narrow" w:hAnsi="Arial Narrow"/>
                <w:kern w:val="2"/>
                <w:sz w:val="20"/>
                <w:szCs w:val="20"/>
              </w:rPr>
              <w:fldChar w:fldCharType="end"/>
            </w:r>
            <w:r w:rsidRPr="00F21EFC">
              <w:rPr>
                <w:rFonts w:ascii="Arial Narrow" w:hAnsi="Arial Narrow"/>
                <w:kern w:val="2"/>
                <w:sz w:val="20"/>
                <w:szCs w:val="20"/>
              </w:rPr>
              <w:t xml:space="preserve"> </w:t>
            </w:r>
            <w:r w:rsidRPr="00F21EFC">
              <w:rPr>
                <w:rFonts w:ascii="Arial Narrow" w:eastAsia="Calibri" w:hAnsi="Arial Narrow"/>
                <w:kern w:val="2"/>
                <w:sz w:val="20"/>
                <w:szCs w:val="20"/>
              </w:rPr>
              <w:t xml:space="preserve">Authority Required (Telephone/ Online PBS Authorities System) </w:t>
            </w:r>
          </w:p>
        </w:tc>
      </w:tr>
      <w:tr w:rsidR="00532824" w:rsidRPr="00DA782F" w14:paraId="26FE2230" w14:textId="77777777" w:rsidTr="00A75A2C">
        <w:trPr>
          <w:trHeight w:val="60"/>
        </w:trPr>
        <w:tc>
          <w:tcPr>
            <w:tcW w:w="9067" w:type="dxa"/>
            <w:gridSpan w:val="7"/>
          </w:tcPr>
          <w:p w14:paraId="645B8B5C" w14:textId="5779DC32" w:rsidR="00532824" w:rsidRPr="00F21EFC" w:rsidRDefault="00532824" w:rsidP="007A591A">
            <w:pPr>
              <w:rPr>
                <w:rFonts w:ascii="Arial Narrow" w:hAnsi="Arial Narrow"/>
                <w:b/>
                <w:sz w:val="20"/>
                <w:szCs w:val="20"/>
                <w:lang w:val="en-GB"/>
              </w:rPr>
            </w:pPr>
            <w:r>
              <w:rPr>
                <w:rFonts w:ascii="Arial Narrow" w:hAnsi="Arial Narrow" w:cs="Arial"/>
                <w:b/>
                <w:kern w:val="2"/>
                <w:sz w:val="20"/>
                <w:szCs w:val="20"/>
                <w:lang w:eastAsia="en-US"/>
                <w14:ligatures w14:val="standardContextual"/>
              </w:rPr>
              <w:t>Prescribing rule level:</w:t>
            </w:r>
            <w:r w:rsidR="007A591A">
              <w:rPr>
                <w:rFonts w:ascii="Arial Narrow" w:hAnsi="Arial Narrow" w:cs="Arial"/>
                <w:b/>
                <w:kern w:val="2"/>
                <w:sz w:val="20"/>
                <w:szCs w:val="20"/>
                <w:lang w:eastAsia="en-US"/>
                <w14:ligatures w14:val="standardContextual"/>
              </w:rPr>
              <w:t xml:space="preserve"> </w:t>
            </w:r>
          </w:p>
        </w:tc>
      </w:tr>
      <w:tr w:rsidR="004E3287" w:rsidRPr="00DA782F" w14:paraId="41B64DE7" w14:textId="77777777" w:rsidTr="00532824">
        <w:trPr>
          <w:trHeight w:val="300"/>
        </w:trPr>
        <w:tc>
          <w:tcPr>
            <w:tcW w:w="1129" w:type="dxa"/>
          </w:tcPr>
          <w:p w14:paraId="7C03CC75" w14:textId="2028B851" w:rsidR="004E3287" w:rsidRPr="006D7FED" w:rsidRDefault="004E3287" w:rsidP="007A591A">
            <w:pPr>
              <w:rPr>
                <w:rFonts w:ascii="Arial Narrow" w:hAnsi="Arial Narrow"/>
                <w:b/>
                <w:i/>
                <w:iCs/>
                <w:sz w:val="20"/>
                <w:szCs w:val="20"/>
                <w:lang w:val="en-GB"/>
              </w:rPr>
            </w:pPr>
          </w:p>
        </w:tc>
        <w:tc>
          <w:tcPr>
            <w:tcW w:w="7938" w:type="dxa"/>
            <w:gridSpan w:val="6"/>
            <w:vAlign w:val="center"/>
          </w:tcPr>
          <w:p w14:paraId="5073B3CE" w14:textId="77777777" w:rsidR="004E3287" w:rsidRPr="006D7FED" w:rsidRDefault="004E328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Administrative Advice:</w:t>
            </w:r>
          </w:p>
          <w:p w14:paraId="2403D2AF" w14:textId="01C5B8C9" w:rsidR="004E3287" w:rsidRPr="006D7FED" w:rsidRDefault="004E3287" w:rsidP="007A591A">
            <w:pPr>
              <w:rPr>
                <w:rFonts w:ascii="Arial Narrow" w:hAnsi="Arial Narrow"/>
                <w:b/>
                <w:i/>
                <w:iCs/>
                <w:sz w:val="20"/>
                <w:szCs w:val="20"/>
                <w:lang w:val="en-GB"/>
              </w:rPr>
            </w:pPr>
            <w:r w:rsidRPr="006D7FED">
              <w:rPr>
                <w:rFonts w:ascii="Arial Narrow" w:hAnsi="Arial Narrow" w:cs="Arial"/>
                <w:bCs/>
                <w:i/>
                <w:iCs/>
                <w:kern w:val="2"/>
                <w:sz w:val="20"/>
                <w:szCs w:val="20"/>
                <w:lang w:eastAsia="en-US"/>
                <w14:ligatures w14:val="standardContextual"/>
              </w:rPr>
              <w:t>No increase in the maximum quantity or number of units may be authorised.</w:t>
            </w:r>
          </w:p>
        </w:tc>
      </w:tr>
      <w:tr w:rsidR="004E3287" w:rsidRPr="00DA782F" w14:paraId="3BAA4506" w14:textId="77777777" w:rsidTr="00532824">
        <w:trPr>
          <w:trHeight w:val="300"/>
        </w:trPr>
        <w:tc>
          <w:tcPr>
            <w:tcW w:w="1129" w:type="dxa"/>
          </w:tcPr>
          <w:p w14:paraId="7F64C596" w14:textId="4A8A50B2" w:rsidR="004E3287" w:rsidRPr="006D7FED" w:rsidRDefault="004E3287" w:rsidP="007A591A">
            <w:pPr>
              <w:rPr>
                <w:rFonts w:ascii="Arial Narrow" w:hAnsi="Arial Narrow"/>
                <w:b/>
                <w:i/>
                <w:iCs/>
                <w:sz w:val="20"/>
                <w:szCs w:val="20"/>
                <w:lang w:val="en-GB"/>
              </w:rPr>
            </w:pPr>
          </w:p>
        </w:tc>
        <w:tc>
          <w:tcPr>
            <w:tcW w:w="7938" w:type="dxa"/>
            <w:gridSpan w:val="6"/>
            <w:vAlign w:val="center"/>
          </w:tcPr>
          <w:p w14:paraId="7A5FB6C4" w14:textId="77777777" w:rsidR="004E3287" w:rsidRPr="006D7FED" w:rsidRDefault="004E328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Administrative Advice:</w:t>
            </w:r>
          </w:p>
          <w:p w14:paraId="6BF546CE" w14:textId="44F36654" w:rsidR="004E3287" w:rsidRPr="006D7FED" w:rsidRDefault="004E3287" w:rsidP="007A591A">
            <w:pPr>
              <w:rPr>
                <w:rFonts w:ascii="Arial Narrow" w:hAnsi="Arial Narrow"/>
                <w:b/>
                <w:i/>
                <w:iCs/>
                <w:sz w:val="20"/>
                <w:szCs w:val="20"/>
                <w:lang w:val="en-GB"/>
              </w:rPr>
            </w:pPr>
            <w:r w:rsidRPr="006D7FED">
              <w:rPr>
                <w:rFonts w:ascii="Arial Narrow" w:hAnsi="Arial Narrow"/>
                <w:i/>
                <w:iCs/>
                <w:color w:val="333333"/>
                <w:kern w:val="2"/>
                <w:sz w:val="20"/>
                <w:szCs w:val="20"/>
              </w:rPr>
              <w:t xml:space="preserve">No increase in the maximum number of repeats may be authorised. </w:t>
            </w:r>
          </w:p>
        </w:tc>
      </w:tr>
      <w:tr w:rsidR="004E3287" w:rsidRPr="00DA782F" w14:paraId="08DE38A0" w14:textId="77777777" w:rsidTr="00532824">
        <w:trPr>
          <w:trHeight w:val="300"/>
        </w:trPr>
        <w:tc>
          <w:tcPr>
            <w:tcW w:w="1129" w:type="dxa"/>
          </w:tcPr>
          <w:p w14:paraId="4484C68C" w14:textId="72E32F0C" w:rsidR="004E3287" w:rsidRPr="004C005A" w:rsidRDefault="004E3287" w:rsidP="007A591A">
            <w:pPr>
              <w:rPr>
                <w:rFonts w:ascii="Arial Narrow" w:hAnsi="Arial Narrow"/>
                <w:i/>
                <w:iCs/>
                <w:color w:val="333333"/>
                <w:kern w:val="2"/>
                <w:sz w:val="20"/>
                <w:szCs w:val="20"/>
              </w:rPr>
            </w:pPr>
          </w:p>
        </w:tc>
        <w:tc>
          <w:tcPr>
            <w:tcW w:w="7938" w:type="dxa"/>
            <w:gridSpan w:val="6"/>
            <w:vAlign w:val="center"/>
          </w:tcPr>
          <w:p w14:paraId="7762C639" w14:textId="77777777" w:rsidR="004E3287" w:rsidRPr="004C005A" w:rsidRDefault="004E3287" w:rsidP="007A591A">
            <w:pPr>
              <w:keepLines/>
              <w:rPr>
                <w:rFonts w:ascii="Arial Narrow" w:hAnsi="Arial Narrow"/>
                <w:b/>
                <w:bCs/>
                <w:i/>
                <w:iCs/>
                <w:color w:val="333333"/>
                <w:kern w:val="2"/>
                <w:sz w:val="20"/>
                <w:szCs w:val="20"/>
              </w:rPr>
            </w:pPr>
            <w:r w:rsidRPr="004C005A">
              <w:rPr>
                <w:rFonts w:ascii="Arial Narrow" w:hAnsi="Arial Narrow"/>
                <w:b/>
                <w:bCs/>
                <w:i/>
                <w:iCs/>
                <w:color w:val="333333"/>
                <w:kern w:val="2"/>
                <w:sz w:val="20"/>
                <w:szCs w:val="20"/>
              </w:rPr>
              <w:t>Administrative Advice:</w:t>
            </w:r>
          </w:p>
          <w:p w14:paraId="34C1C639" w14:textId="235B6C79" w:rsidR="004E3287" w:rsidRPr="004C005A" w:rsidRDefault="004E3287" w:rsidP="007A591A">
            <w:pPr>
              <w:rPr>
                <w:rFonts w:ascii="Arial Narrow" w:hAnsi="Arial Narrow"/>
                <w:b/>
                <w:bCs/>
                <w:i/>
                <w:iCs/>
                <w:color w:val="333333"/>
                <w:kern w:val="2"/>
                <w:sz w:val="20"/>
                <w:szCs w:val="20"/>
              </w:rPr>
            </w:pPr>
            <w:r w:rsidRPr="004C005A">
              <w:rPr>
                <w:rFonts w:ascii="Arial Narrow" w:hAnsi="Arial Narrow"/>
                <w:i/>
                <w:iCs/>
                <w:color w:val="333333"/>
                <w:kern w:val="2"/>
                <w:sz w:val="20"/>
                <w:szCs w:val="20"/>
              </w:rPr>
              <w:t>Special Pricing Arrangements apply.</w:t>
            </w:r>
            <w:r w:rsidRPr="004C005A">
              <w:rPr>
                <w:rFonts w:ascii="Arial Narrow" w:hAnsi="Arial Narrow"/>
                <w:b/>
                <w:i/>
                <w:iCs/>
                <w:color w:val="333333"/>
                <w:kern w:val="2"/>
                <w:sz w:val="20"/>
                <w:szCs w:val="20"/>
              </w:rPr>
              <w:t xml:space="preserve"> </w:t>
            </w:r>
          </w:p>
        </w:tc>
      </w:tr>
      <w:tr w:rsidR="004E3287" w:rsidRPr="00DA782F" w14:paraId="0334976A" w14:textId="77777777" w:rsidTr="006D7FED">
        <w:trPr>
          <w:trHeight w:val="300"/>
        </w:trPr>
        <w:tc>
          <w:tcPr>
            <w:tcW w:w="1129" w:type="dxa"/>
          </w:tcPr>
          <w:p w14:paraId="184CA35B" w14:textId="7D7D28E0" w:rsidR="004E3287" w:rsidRPr="006D7FED" w:rsidRDefault="004E3287" w:rsidP="007A591A">
            <w:pPr>
              <w:rPr>
                <w:rFonts w:ascii="Arial Narrow" w:hAnsi="Arial Narrow"/>
                <w:b/>
                <w:i/>
                <w:iCs/>
                <w:sz w:val="20"/>
                <w:szCs w:val="20"/>
                <w:lang w:val="en-GB"/>
              </w:rPr>
            </w:pPr>
          </w:p>
        </w:tc>
        <w:tc>
          <w:tcPr>
            <w:tcW w:w="7938" w:type="dxa"/>
            <w:gridSpan w:val="6"/>
            <w:vAlign w:val="center"/>
          </w:tcPr>
          <w:p w14:paraId="4EF20DB4" w14:textId="77777777" w:rsidR="004E3287" w:rsidRPr="006D7FED" w:rsidRDefault="004E328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 xml:space="preserve">Administrative Advice: </w:t>
            </w:r>
          </w:p>
          <w:p w14:paraId="16101CFB" w14:textId="370485F0" w:rsidR="004E3287" w:rsidRPr="006D7FED" w:rsidRDefault="004E3287" w:rsidP="007A591A">
            <w:pPr>
              <w:rPr>
                <w:rFonts w:ascii="Arial Narrow" w:hAnsi="Arial Narrow"/>
                <w:b/>
                <w:i/>
                <w:iCs/>
                <w:sz w:val="20"/>
                <w:szCs w:val="20"/>
                <w:lang w:val="en-GB"/>
              </w:rPr>
            </w:pPr>
            <w:r w:rsidRPr="006D7FED">
              <w:rPr>
                <w:rFonts w:ascii="Arial Narrow" w:hAnsi="Arial Narrow"/>
                <w:i/>
                <w:iCs/>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r w:rsidR="00455F49" w:rsidRPr="00DA782F" w14:paraId="603A345C" w14:textId="77777777" w:rsidTr="006D7FED">
        <w:trPr>
          <w:trHeight w:val="300"/>
        </w:trPr>
        <w:tc>
          <w:tcPr>
            <w:tcW w:w="1129" w:type="dxa"/>
          </w:tcPr>
          <w:p w14:paraId="74275DD9" w14:textId="290B74AD" w:rsidR="00455F49" w:rsidRPr="006D7FED" w:rsidRDefault="00455F49" w:rsidP="007A591A">
            <w:pPr>
              <w:jc w:val="left"/>
              <w:rPr>
                <w:rFonts w:ascii="Arial Narrow" w:hAnsi="Arial Narrow"/>
                <w:i/>
                <w:iCs/>
                <w:color w:val="333333"/>
                <w:kern w:val="2"/>
                <w:sz w:val="20"/>
                <w:szCs w:val="20"/>
              </w:rPr>
            </w:pPr>
          </w:p>
        </w:tc>
        <w:tc>
          <w:tcPr>
            <w:tcW w:w="7938" w:type="dxa"/>
            <w:gridSpan w:val="6"/>
            <w:vAlign w:val="center"/>
          </w:tcPr>
          <w:p w14:paraId="29084F49" w14:textId="77777777" w:rsidR="00455F49" w:rsidRPr="00021BB9" w:rsidRDefault="00455F49" w:rsidP="007A591A">
            <w:pPr>
              <w:jc w:val="left"/>
              <w:rPr>
                <w:rFonts w:ascii="Arial Narrow" w:hAnsi="Arial Narrow"/>
                <w:b/>
                <w:bCs/>
                <w:i/>
                <w:iCs/>
                <w:color w:val="333333"/>
                <w:kern w:val="2"/>
                <w:sz w:val="20"/>
                <w:szCs w:val="20"/>
              </w:rPr>
            </w:pPr>
            <w:r>
              <w:rPr>
                <w:rFonts w:ascii="Arial Narrow" w:hAnsi="Arial Narrow"/>
                <w:b/>
                <w:bCs/>
                <w:i/>
                <w:iCs/>
                <w:color w:val="333333"/>
                <w:kern w:val="2"/>
                <w:sz w:val="20"/>
                <w:szCs w:val="20"/>
              </w:rPr>
              <w:t>Administrative Advice:</w:t>
            </w:r>
          </w:p>
          <w:p w14:paraId="3ED66515" w14:textId="35F22954" w:rsidR="00455F49" w:rsidRPr="00513319" w:rsidRDefault="00455F49" w:rsidP="007A591A">
            <w:pPr>
              <w:jc w:val="left"/>
              <w:rPr>
                <w:rFonts w:ascii="Arial Narrow" w:hAnsi="Arial Narrow"/>
                <w:i/>
                <w:iCs/>
                <w:color w:val="333333"/>
                <w:kern w:val="2"/>
                <w:sz w:val="20"/>
                <w:szCs w:val="20"/>
              </w:rPr>
            </w:pPr>
            <w:r w:rsidRPr="00513319">
              <w:rPr>
                <w:rFonts w:ascii="Arial Narrow" w:hAnsi="Arial Narrow"/>
                <w:i/>
                <w:iCs/>
                <w:color w:val="333333"/>
                <w:kern w:val="2"/>
                <w:sz w:val="20"/>
                <w:szCs w:val="20"/>
              </w:rPr>
              <w:t xml:space="preserve">The ALS Functional Rating Scale </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 xml:space="preserve"> Revised (ALSFRS</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R) can be accessed online at:</w:t>
            </w:r>
          </w:p>
          <w:p w14:paraId="254842DF" w14:textId="2D4B0CCB" w:rsidR="00455F49" w:rsidRPr="006D7FED" w:rsidRDefault="00455F49" w:rsidP="007A591A">
            <w:pPr>
              <w:jc w:val="left"/>
              <w:rPr>
                <w:rFonts w:ascii="Arial Narrow" w:hAnsi="Arial Narrow"/>
                <w:b/>
                <w:bCs/>
                <w:i/>
                <w:iCs/>
                <w:color w:val="333333"/>
                <w:kern w:val="2"/>
                <w:sz w:val="20"/>
                <w:szCs w:val="20"/>
              </w:rPr>
            </w:pPr>
            <w:r w:rsidRPr="00513319">
              <w:rPr>
                <w:rFonts w:ascii="Arial Narrow" w:hAnsi="Arial Narrow"/>
                <w:i/>
                <w:iCs/>
                <w:color w:val="333333"/>
                <w:kern w:val="2"/>
                <w:sz w:val="20"/>
                <w:szCs w:val="20"/>
              </w:rPr>
              <w:t>www.mdcalc.com/calc/10166/revised</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amyotrophic</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lateral</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sclerosis</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functional</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rating</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scale</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alsfrs</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r or https://neurotoolkit.com/alsfrs</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r/</w:t>
            </w:r>
          </w:p>
        </w:tc>
      </w:tr>
      <w:tr w:rsidR="00554C5B" w:rsidRPr="00DA782F" w14:paraId="09F06570" w14:textId="77777777" w:rsidTr="00A75A2C">
        <w:trPr>
          <w:trHeight w:val="60"/>
        </w:trPr>
        <w:tc>
          <w:tcPr>
            <w:tcW w:w="9067" w:type="dxa"/>
            <w:gridSpan w:val="7"/>
            <w:vAlign w:val="center"/>
          </w:tcPr>
          <w:p w14:paraId="212E57F0" w14:textId="07D00CA8" w:rsidR="00554C5B" w:rsidRPr="00DA782F" w:rsidRDefault="00160F23" w:rsidP="007A591A">
            <w:pPr>
              <w:rPr>
                <w:rFonts w:ascii="Arial Narrow" w:hAnsi="Arial Narrow"/>
                <w:b/>
                <w:sz w:val="20"/>
                <w:szCs w:val="20"/>
                <w:lang w:val="en-GB"/>
              </w:rPr>
            </w:pPr>
            <w:r>
              <w:rPr>
                <w:rFonts w:ascii="Arial Narrow" w:hAnsi="Arial Narrow"/>
                <w:b/>
                <w:kern w:val="2"/>
                <w:sz w:val="20"/>
                <w:szCs w:val="20"/>
              </w:rPr>
              <w:t xml:space="preserve">Restriction </w:t>
            </w:r>
            <w:r w:rsidRPr="00CB1007">
              <w:rPr>
                <w:rFonts w:ascii="Arial Narrow" w:hAnsi="Arial Narrow"/>
                <w:b/>
                <w:kern w:val="2"/>
                <w:sz w:val="20"/>
                <w:szCs w:val="20"/>
              </w:rPr>
              <w:t>Summary [new1] / Treatment of Concept: [new1A]</w:t>
            </w:r>
          </w:p>
        </w:tc>
      </w:tr>
      <w:tr w:rsidR="0035754A" w:rsidRPr="00DA782F" w14:paraId="16D4AFA7" w14:textId="77777777" w:rsidTr="00A75A2C">
        <w:trPr>
          <w:trHeight w:val="143"/>
        </w:trPr>
        <w:tc>
          <w:tcPr>
            <w:tcW w:w="1129" w:type="dxa"/>
            <w:vAlign w:val="center"/>
            <w:hideMark/>
          </w:tcPr>
          <w:p w14:paraId="01BB19CE" w14:textId="2E4C06A3" w:rsidR="0093591E" w:rsidRPr="00DA782F" w:rsidRDefault="0093591E" w:rsidP="007A591A">
            <w:pPr>
              <w:jc w:val="center"/>
              <w:rPr>
                <w:rFonts w:ascii="Arial Narrow" w:hAnsi="Arial Narrow"/>
                <w:sz w:val="20"/>
                <w:szCs w:val="20"/>
              </w:rPr>
            </w:pPr>
          </w:p>
        </w:tc>
        <w:tc>
          <w:tcPr>
            <w:tcW w:w="7938" w:type="dxa"/>
            <w:gridSpan w:val="6"/>
            <w:vAlign w:val="center"/>
            <w:hideMark/>
          </w:tcPr>
          <w:p w14:paraId="01D9AD29" w14:textId="433E2DA5" w:rsidR="0093591E" w:rsidRPr="00DA782F" w:rsidRDefault="0093591E" w:rsidP="007A591A">
            <w:pPr>
              <w:rPr>
                <w:rFonts w:ascii="Arial Narrow" w:hAnsi="Arial Narrow"/>
                <w:sz w:val="20"/>
                <w:szCs w:val="20"/>
              </w:rPr>
            </w:pPr>
            <w:r w:rsidRPr="00DA782F">
              <w:rPr>
                <w:rFonts w:ascii="Arial Narrow" w:hAnsi="Arial Narrow"/>
                <w:b/>
                <w:sz w:val="20"/>
                <w:szCs w:val="20"/>
              </w:rPr>
              <w:t>Indication:</w:t>
            </w:r>
            <w:r w:rsidRPr="00DA782F">
              <w:rPr>
                <w:rFonts w:ascii="Arial Narrow" w:hAnsi="Arial Narrow"/>
                <w:sz w:val="20"/>
                <w:szCs w:val="20"/>
              </w:rPr>
              <w:t xml:space="preserve"> Amyotrophic lateral sclerosis</w:t>
            </w:r>
            <w:r w:rsidR="007A591A">
              <w:rPr>
                <w:rFonts w:ascii="Arial Narrow" w:hAnsi="Arial Narrow"/>
                <w:sz w:val="20"/>
                <w:szCs w:val="20"/>
              </w:rPr>
              <w:t xml:space="preserve"> </w:t>
            </w:r>
          </w:p>
        </w:tc>
      </w:tr>
      <w:tr w:rsidR="0035754A" w:rsidRPr="00DA782F" w14:paraId="03E579BC" w14:textId="77777777" w:rsidTr="00A75A2C">
        <w:trPr>
          <w:trHeight w:val="60"/>
        </w:trPr>
        <w:tc>
          <w:tcPr>
            <w:tcW w:w="1129" w:type="dxa"/>
            <w:vAlign w:val="center"/>
            <w:hideMark/>
          </w:tcPr>
          <w:p w14:paraId="78635527" w14:textId="77777777" w:rsidR="0093591E" w:rsidRPr="00DA782F" w:rsidRDefault="0093591E" w:rsidP="007A591A">
            <w:pPr>
              <w:jc w:val="center"/>
              <w:rPr>
                <w:rFonts w:ascii="Arial Narrow" w:hAnsi="Arial Narrow"/>
                <w:sz w:val="20"/>
                <w:szCs w:val="20"/>
              </w:rPr>
            </w:pPr>
          </w:p>
        </w:tc>
        <w:tc>
          <w:tcPr>
            <w:tcW w:w="7938" w:type="dxa"/>
            <w:gridSpan w:val="6"/>
            <w:vAlign w:val="center"/>
            <w:hideMark/>
          </w:tcPr>
          <w:p w14:paraId="15C6BA4B" w14:textId="77777777" w:rsidR="0093591E" w:rsidRPr="00DA782F" w:rsidRDefault="0093591E" w:rsidP="007A591A">
            <w:pPr>
              <w:rPr>
                <w:rFonts w:ascii="Arial Narrow" w:hAnsi="Arial Narrow"/>
                <w:sz w:val="20"/>
                <w:szCs w:val="20"/>
              </w:rPr>
            </w:pPr>
            <w:r w:rsidRPr="00DA782F">
              <w:rPr>
                <w:rFonts w:ascii="Arial Narrow" w:hAnsi="Arial Narrow"/>
                <w:b/>
                <w:sz w:val="20"/>
                <w:szCs w:val="20"/>
              </w:rPr>
              <w:t>Treatment Phase:</w:t>
            </w:r>
            <w:r w:rsidRPr="00DA782F">
              <w:rPr>
                <w:rFonts w:ascii="Arial Narrow" w:hAnsi="Arial Narrow"/>
                <w:sz w:val="20"/>
                <w:szCs w:val="20"/>
              </w:rPr>
              <w:t xml:space="preserve"> Initial treatment </w:t>
            </w:r>
            <w:r w:rsidRPr="000669D0">
              <w:rPr>
                <w:rFonts w:ascii="Arial Narrow" w:hAnsi="Arial Narrow"/>
                <w:strike/>
                <w:sz w:val="20"/>
                <w:szCs w:val="20"/>
              </w:rPr>
              <w:t>phase</w:t>
            </w:r>
            <w:r w:rsidRPr="00DA782F">
              <w:rPr>
                <w:rFonts w:ascii="Arial Narrow" w:hAnsi="Arial Narrow"/>
                <w:sz w:val="20"/>
                <w:szCs w:val="20"/>
              </w:rPr>
              <w:t xml:space="preserve"> </w:t>
            </w:r>
          </w:p>
        </w:tc>
      </w:tr>
      <w:tr w:rsidR="007D6ED1" w:rsidRPr="00DA782F" w14:paraId="66D1614A" w14:textId="77777777" w:rsidTr="00DC64B4">
        <w:trPr>
          <w:trHeight w:val="300"/>
        </w:trPr>
        <w:tc>
          <w:tcPr>
            <w:tcW w:w="1129" w:type="dxa"/>
            <w:vAlign w:val="center"/>
          </w:tcPr>
          <w:p w14:paraId="763F8389" w14:textId="0954FA33" w:rsidR="007D6ED1" w:rsidRPr="00DA782F" w:rsidRDefault="007D6ED1" w:rsidP="007A591A">
            <w:pPr>
              <w:jc w:val="center"/>
              <w:rPr>
                <w:rFonts w:ascii="Arial Narrow" w:hAnsi="Arial Narrow"/>
                <w:sz w:val="20"/>
                <w:szCs w:val="20"/>
              </w:rPr>
            </w:pPr>
          </w:p>
        </w:tc>
        <w:tc>
          <w:tcPr>
            <w:tcW w:w="7938" w:type="dxa"/>
            <w:gridSpan w:val="6"/>
            <w:vAlign w:val="center"/>
          </w:tcPr>
          <w:p w14:paraId="7DA6106F" w14:textId="3BD76896" w:rsidR="007D6ED1" w:rsidRPr="00DA782F" w:rsidRDefault="007D6ED1" w:rsidP="007A591A">
            <w:pPr>
              <w:rPr>
                <w:rFonts w:ascii="Arial Narrow" w:hAnsi="Arial Narrow"/>
                <w:b/>
                <w:sz w:val="20"/>
                <w:szCs w:val="20"/>
              </w:rPr>
            </w:pPr>
            <w:r w:rsidRPr="00E74C10">
              <w:rPr>
                <w:rFonts w:ascii="Arial Narrow" w:hAnsi="Arial Narrow"/>
                <w:b/>
                <w:i/>
                <w:iCs/>
                <w:sz w:val="20"/>
                <w:szCs w:val="20"/>
              </w:rPr>
              <w:t>Clinical criteria:</w:t>
            </w:r>
          </w:p>
        </w:tc>
      </w:tr>
      <w:tr w:rsidR="007D6ED1" w:rsidRPr="00DA782F" w14:paraId="3B6A833E" w14:textId="77777777" w:rsidTr="00A75A2C">
        <w:trPr>
          <w:trHeight w:val="214"/>
        </w:trPr>
        <w:tc>
          <w:tcPr>
            <w:tcW w:w="1129" w:type="dxa"/>
            <w:vAlign w:val="center"/>
          </w:tcPr>
          <w:p w14:paraId="1919B9BA" w14:textId="3A973405" w:rsidR="007D6ED1" w:rsidRPr="00DA782F" w:rsidRDefault="007D6ED1" w:rsidP="007A591A">
            <w:pPr>
              <w:jc w:val="center"/>
              <w:rPr>
                <w:rFonts w:ascii="Arial Narrow" w:hAnsi="Arial Narrow"/>
                <w:sz w:val="20"/>
                <w:szCs w:val="20"/>
              </w:rPr>
            </w:pPr>
          </w:p>
        </w:tc>
        <w:tc>
          <w:tcPr>
            <w:tcW w:w="7938" w:type="dxa"/>
            <w:gridSpan w:val="6"/>
            <w:vAlign w:val="center"/>
          </w:tcPr>
          <w:p w14:paraId="0AF6DC35" w14:textId="509A17E8" w:rsidR="007D6ED1" w:rsidRPr="00DA782F" w:rsidRDefault="007D6ED1" w:rsidP="007A591A">
            <w:pPr>
              <w:rPr>
                <w:rFonts w:ascii="Arial Narrow" w:hAnsi="Arial Narrow"/>
                <w:b/>
                <w:sz w:val="20"/>
                <w:szCs w:val="20"/>
              </w:rPr>
            </w:pPr>
            <w:r w:rsidRPr="00E74C10">
              <w:rPr>
                <w:rFonts w:ascii="Arial Narrow" w:hAnsi="Arial Narrow"/>
                <w:bCs/>
                <w:i/>
                <w:iCs/>
                <w:sz w:val="20"/>
                <w:szCs w:val="20"/>
              </w:rPr>
              <w:t>Patient must not have previously received PBS</w:t>
            </w:r>
            <w:r w:rsidR="007A591A">
              <w:rPr>
                <w:rFonts w:ascii="Arial Narrow" w:hAnsi="Arial Narrow"/>
                <w:bCs/>
                <w:i/>
                <w:iCs/>
                <w:sz w:val="20"/>
                <w:szCs w:val="20"/>
              </w:rPr>
              <w:noBreakHyphen/>
            </w:r>
            <w:r w:rsidRPr="00E74C10">
              <w:rPr>
                <w:rFonts w:ascii="Arial Narrow" w:hAnsi="Arial Narrow"/>
                <w:bCs/>
                <w:i/>
                <w:iCs/>
                <w:sz w:val="20"/>
                <w:szCs w:val="20"/>
              </w:rPr>
              <w:t>subsidised treatment with this drug for this condition.</w:t>
            </w:r>
          </w:p>
        </w:tc>
      </w:tr>
      <w:tr w:rsidR="00171A06" w:rsidRPr="00DA782F" w14:paraId="0821ACE3" w14:textId="77777777" w:rsidTr="00DC64B4">
        <w:trPr>
          <w:trHeight w:val="300"/>
        </w:trPr>
        <w:tc>
          <w:tcPr>
            <w:tcW w:w="1129" w:type="dxa"/>
            <w:vAlign w:val="center"/>
          </w:tcPr>
          <w:p w14:paraId="23E22541" w14:textId="77777777" w:rsidR="00171A06" w:rsidRPr="00DA782F" w:rsidRDefault="00171A06" w:rsidP="007A591A">
            <w:pPr>
              <w:jc w:val="center"/>
              <w:rPr>
                <w:rFonts w:ascii="Arial Narrow" w:hAnsi="Arial Narrow"/>
                <w:sz w:val="20"/>
                <w:szCs w:val="20"/>
              </w:rPr>
            </w:pPr>
          </w:p>
        </w:tc>
        <w:tc>
          <w:tcPr>
            <w:tcW w:w="7938" w:type="dxa"/>
            <w:gridSpan w:val="6"/>
            <w:vAlign w:val="center"/>
          </w:tcPr>
          <w:p w14:paraId="35BBFE90" w14:textId="2C0C12B4" w:rsidR="00171A06" w:rsidRPr="00DA782F" w:rsidRDefault="007D6ED1" w:rsidP="007A591A">
            <w:pPr>
              <w:rPr>
                <w:rFonts w:ascii="Arial Narrow" w:hAnsi="Arial Narrow"/>
                <w:b/>
                <w:sz w:val="20"/>
                <w:szCs w:val="20"/>
              </w:rPr>
            </w:pPr>
            <w:r w:rsidRPr="00DA782F">
              <w:rPr>
                <w:rFonts w:ascii="Arial Narrow" w:hAnsi="Arial Narrow"/>
                <w:b/>
                <w:sz w:val="20"/>
                <w:szCs w:val="20"/>
              </w:rPr>
              <w:t>AND</w:t>
            </w:r>
          </w:p>
        </w:tc>
      </w:tr>
      <w:tr w:rsidR="007364FD" w:rsidRPr="00DA782F" w14:paraId="68B4C7CF" w14:textId="77777777" w:rsidTr="00A75A2C">
        <w:trPr>
          <w:trHeight w:val="60"/>
        </w:trPr>
        <w:tc>
          <w:tcPr>
            <w:tcW w:w="1129" w:type="dxa"/>
          </w:tcPr>
          <w:p w14:paraId="7DEA0082" w14:textId="7D14F460" w:rsidR="007364FD" w:rsidRPr="00DA782F" w:rsidRDefault="007364FD" w:rsidP="007A591A">
            <w:pPr>
              <w:jc w:val="center"/>
              <w:rPr>
                <w:rFonts w:ascii="Arial Narrow" w:hAnsi="Arial Narrow"/>
                <w:sz w:val="20"/>
                <w:szCs w:val="20"/>
              </w:rPr>
            </w:pPr>
          </w:p>
        </w:tc>
        <w:tc>
          <w:tcPr>
            <w:tcW w:w="7938" w:type="dxa"/>
            <w:gridSpan w:val="6"/>
            <w:vAlign w:val="center"/>
          </w:tcPr>
          <w:p w14:paraId="1522877F" w14:textId="6EAD3428" w:rsidR="007364FD" w:rsidRPr="00DA782F" w:rsidRDefault="007364FD" w:rsidP="007A591A">
            <w:pPr>
              <w:rPr>
                <w:rFonts w:ascii="Arial Narrow" w:hAnsi="Arial Narrow"/>
                <w:b/>
                <w:sz w:val="20"/>
                <w:szCs w:val="20"/>
              </w:rPr>
            </w:pPr>
            <w:r w:rsidRPr="00DA782F">
              <w:rPr>
                <w:rFonts w:ascii="Arial Narrow" w:hAnsi="Arial Narrow"/>
                <w:b/>
                <w:sz w:val="20"/>
                <w:szCs w:val="20"/>
              </w:rPr>
              <w:t>Clinical criteria:</w:t>
            </w:r>
          </w:p>
        </w:tc>
      </w:tr>
      <w:tr w:rsidR="007364FD" w:rsidRPr="00DA782F" w14:paraId="48EE902F" w14:textId="77777777" w:rsidTr="007364FD">
        <w:trPr>
          <w:trHeight w:val="69"/>
        </w:trPr>
        <w:tc>
          <w:tcPr>
            <w:tcW w:w="1129" w:type="dxa"/>
          </w:tcPr>
          <w:p w14:paraId="16878275" w14:textId="3E777A26" w:rsidR="007364FD" w:rsidRPr="00DA782F" w:rsidRDefault="007364FD" w:rsidP="007A591A">
            <w:pPr>
              <w:jc w:val="center"/>
              <w:rPr>
                <w:rFonts w:ascii="Arial Narrow" w:hAnsi="Arial Narrow"/>
                <w:sz w:val="20"/>
                <w:szCs w:val="20"/>
              </w:rPr>
            </w:pPr>
          </w:p>
        </w:tc>
        <w:tc>
          <w:tcPr>
            <w:tcW w:w="7938" w:type="dxa"/>
            <w:gridSpan w:val="6"/>
            <w:vAlign w:val="center"/>
            <w:hideMark/>
          </w:tcPr>
          <w:p w14:paraId="6FC3E329" w14:textId="520916AE" w:rsidR="007364FD" w:rsidRPr="00DA782F" w:rsidRDefault="007364FD" w:rsidP="007A591A">
            <w:pPr>
              <w:rPr>
                <w:rFonts w:ascii="Arial Narrow" w:hAnsi="Arial Narrow"/>
                <w:b/>
                <w:sz w:val="20"/>
                <w:szCs w:val="20"/>
              </w:rPr>
            </w:pPr>
            <w:r w:rsidRPr="00DA782F">
              <w:rPr>
                <w:rFonts w:ascii="Arial Narrow" w:hAnsi="Arial Narrow"/>
                <w:sz w:val="20"/>
                <w:szCs w:val="20"/>
              </w:rPr>
              <w:t>Patient must have</w:t>
            </w:r>
            <w:r w:rsidRPr="00C73F5C">
              <w:rPr>
                <w:rFonts w:ascii="Arial Narrow" w:hAnsi="Arial Narrow"/>
                <w:sz w:val="20"/>
                <w:szCs w:val="20"/>
              </w:rPr>
              <w:t xml:space="preserve">/have had </w:t>
            </w:r>
            <w:r w:rsidRPr="00DA782F">
              <w:rPr>
                <w:rFonts w:ascii="Arial Narrow" w:hAnsi="Arial Narrow"/>
                <w:sz w:val="20"/>
                <w:szCs w:val="20"/>
              </w:rPr>
              <w:t xml:space="preserve">a clinical symptom(s) of amyotrophic lateral </w:t>
            </w:r>
            <w:r w:rsidRPr="00C73F5C">
              <w:rPr>
                <w:rFonts w:ascii="Arial Narrow" w:hAnsi="Arial Narrow"/>
                <w:sz w:val="20"/>
                <w:szCs w:val="20"/>
              </w:rPr>
              <w:t>sclerosis prior to commencing treatment with this drug,</w:t>
            </w:r>
          </w:p>
        </w:tc>
      </w:tr>
      <w:tr w:rsidR="0035754A" w:rsidRPr="00DA782F" w14:paraId="5752AF0F" w14:textId="77777777" w:rsidTr="00DC64B4">
        <w:trPr>
          <w:trHeight w:val="35"/>
        </w:trPr>
        <w:tc>
          <w:tcPr>
            <w:tcW w:w="1129" w:type="dxa"/>
            <w:vAlign w:val="center"/>
          </w:tcPr>
          <w:p w14:paraId="6FA946FA" w14:textId="77777777" w:rsidR="00DC6F90" w:rsidRPr="00DA782F" w:rsidRDefault="00DC6F90" w:rsidP="007A591A">
            <w:pPr>
              <w:jc w:val="center"/>
              <w:rPr>
                <w:rFonts w:ascii="Arial Narrow" w:hAnsi="Arial Narrow"/>
                <w:sz w:val="20"/>
                <w:szCs w:val="20"/>
              </w:rPr>
            </w:pPr>
          </w:p>
        </w:tc>
        <w:tc>
          <w:tcPr>
            <w:tcW w:w="7938" w:type="dxa"/>
            <w:gridSpan w:val="6"/>
            <w:vAlign w:val="center"/>
          </w:tcPr>
          <w:p w14:paraId="4C14DC42" w14:textId="4996C2E0" w:rsidR="00DC6F90" w:rsidRPr="00DA782F" w:rsidRDefault="00DC6F90" w:rsidP="007A591A">
            <w:pPr>
              <w:rPr>
                <w:rFonts w:ascii="Arial Narrow" w:hAnsi="Arial Narrow"/>
                <w:b/>
                <w:sz w:val="20"/>
                <w:szCs w:val="20"/>
              </w:rPr>
            </w:pPr>
            <w:r w:rsidRPr="00DA782F">
              <w:rPr>
                <w:rFonts w:ascii="Arial Narrow" w:hAnsi="Arial Narrow"/>
                <w:b/>
                <w:sz w:val="20"/>
                <w:szCs w:val="20"/>
              </w:rPr>
              <w:t>AND</w:t>
            </w:r>
          </w:p>
        </w:tc>
      </w:tr>
      <w:tr w:rsidR="00227D86" w:rsidRPr="00DA782F" w14:paraId="05FC40A5" w14:textId="77777777" w:rsidTr="00256B35">
        <w:trPr>
          <w:trHeight w:val="35"/>
        </w:trPr>
        <w:tc>
          <w:tcPr>
            <w:tcW w:w="1129" w:type="dxa"/>
          </w:tcPr>
          <w:p w14:paraId="3D811356" w14:textId="62C08EE8" w:rsidR="00227D86" w:rsidRPr="00DA782F" w:rsidRDefault="00227D86" w:rsidP="007A591A">
            <w:pPr>
              <w:jc w:val="center"/>
              <w:rPr>
                <w:rFonts w:ascii="Arial Narrow" w:hAnsi="Arial Narrow"/>
                <w:sz w:val="20"/>
                <w:szCs w:val="20"/>
              </w:rPr>
            </w:pPr>
          </w:p>
        </w:tc>
        <w:tc>
          <w:tcPr>
            <w:tcW w:w="7938" w:type="dxa"/>
            <w:gridSpan w:val="6"/>
            <w:vAlign w:val="center"/>
          </w:tcPr>
          <w:p w14:paraId="1BCF97B8" w14:textId="21E5ECDB" w:rsidR="00227D86" w:rsidRPr="00DA782F" w:rsidRDefault="00227D86" w:rsidP="007A591A">
            <w:pPr>
              <w:rPr>
                <w:rFonts w:ascii="Arial Narrow" w:hAnsi="Arial Narrow"/>
                <w:b/>
                <w:sz w:val="20"/>
                <w:szCs w:val="20"/>
              </w:rPr>
            </w:pPr>
            <w:r w:rsidRPr="00DA782F">
              <w:rPr>
                <w:rFonts w:ascii="Arial Narrow" w:hAnsi="Arial Narrow"/>
                <w:b/>
                <w:sz w:val="20"/>
                <w:szCs w:val="20"/>
              </w:rPr>
              <w:t>Clinical criteria:</w:t>
            </w:r>
          </w:p>
        </w:tc>
      </w:tr>
      <w:tr w:rsidR="00227D86" w:rsidRPr="00DA782F" w14:paraId="3EBC49FF" w14:textId="77777777" w:rsidTr="00256B35">
        <w:trPr>
          <w:trHeight w:val="35"/>
        </w:trPr>
        <w:tc>
          <w:tcPr>
            <w:tcW w:w="1129" w:type="dxa"/>
          </w:tcPr>
          <w:p w14:paraId="745C11AC" w14:textId="39A9E1E9" w:rsidR="00227D86" w:rsidRPr="00DA782F" w:rsidRDefault="00227D86" w:rsidP="007A591A">
            <w:pPr>
              <w:jc w:val="center"/>
              <w:rPr>
                <w:rFonts w:ascii="Arial Narrow" w:hAnsi="Arial Narrow"/>
                <w:sz w:val="20"/>
                <w:szCs w:val="20"/>
              </w:rPr>
            </w:pPr>
          </w:p>
        </w:tc>
        <w:tc>
          <w:tcPr>
            <w:tcW w:w="7938" w:type="dxa"/>
            <w:gridSpan w:val="6"/>
            <w:vAlign w:val="center"/>
          </w:tcPr>
          <w:p w14:paraId="0B1EFC28" w14:textId="3AAD519B" w:rsidR="00227D86" w:rsidRPr="00DA782F" w:rsidRDefault="00227D86" w:rsidP="007A591A">
            <w:pPr>
              <w:rPr>
                <w:rFonts w:ascii="Arial Narrow" w:hAnsi="Arial Narrow"/>
                <w:b/>
                <w:sz w:val="20"/>
                <w:szCs w:val="20"/>
              </w:rPr>
            </w:pPr>
            <w:r w:rsidRPr="00DA782F">
              <w:rPr>
                <w:rFonts w:ascii="Arial Narrow" w:hAnsi="Arial Narrow"/>
                <w:sz w:val="20"/>
                <w:szCs w:val="20"/>
              </w:rPr>
              <w:t>The condition must have been diagnosed by a neurologist,</w:t>
            </w:r>
          </w:p>
        </w:tc>
      </w:tr>
      <w:tr w:rsidR="0035754A" w:rsidRPr="00DA782F" w14:paraId="4737A369" w14:textId="77777777" w:rsidTr="00DC64B4">
        <w:trPr>
          <w:trHeight w:val="35"/>
        </w:trPr>
        <w:tc>
          <w:tcPr>
            <w:tcW w:w="1129" w:type="dxa"/>
            <w:vAlign w:val="center"/>
          </w:tcPr>
          <w:p w14:paraId="7BBF5E0F" w14:textId="77777777" w:rsidR="00E96463" w:rsidRPr="00DA782F" w:rsidRDefault="00E96463" w:rsidP="007A591A">
            <w:pPr>
              <w:jc w:val="center"/>
              <w:rPr>
                <w:rFonts w:ascii="Arial Narrow" w:hAnsi="Arial Narrow"/>
                <w:sz w:val="20"/>
                <w:szCs w:val="20"/>
              </w:rPr>
            </w:pPr>
          </w:p>
        </w:tc>
        <w:tc>
          <w:tcPr>
            <w:tcW w:w="7938" w:type="dxa"/>
            <w:gridSpan w:val="6"/>
            <w:vAlign w:val="center"/>
          </w:tcPr>
          <w:p w14:paraId="7788692C" w14:textId="07374755" w:rsidR="00E96463" w:rsidRPr="00DA782F" w:rsidRDefault="00DC6F90" w:rsidP="007A591A">
            <w:pPr>
              <w:rPr>
                <w:rFonts w:ascii="Arial Narrow" w:hAnsi="Arial Narrow"/>
                <w:b/>
                <w:sz w:val="20"/>
                <w:szCs w:val="20"/>
              </w:rPr>
            </w:pPr>
            <w:r w:rsidRPr="00DA782F">
              <w:rPr>
                <w:rFonts w:ascii="Arial Narrow" w:hAnsi="Arial Narrow"/>
                <w:b/>
                <w:sz w:val="20"/>
                <w:szCs w:val="20"/>
              </w:rPr>
              <w:t>AND</w:t>
            </w:r>
          </w:p>
        </w:tc>
      </w:tr>
      <w:tr w:rsidR="00256B35" w:rsidRPr="00DA782F" w14:paraId="092F0566" w14:textId="77777777" w:rsidTr="00256B35">
        <w:trPr>
          <w:trHeight w:val="35"/>
        </w:trPr>
        <w:tc>
          <w:tcPr>
            <w:tcW w:w="1129" w:type="dxa"/>
          </w:tcPr>
          <w:p w14:paraId="31C20E98" w14:textId="245DB4B8" w:rsidR="00256B35" w:rsidRPr="00DA782F" w:rsidRDefault="00256B35" w:rsidP="007A591A">
            <w:pPr>
              <w:jc w:val="center"/>
              <w:rPr>
                <w:rFonts w:ascii="Arial Narrow" w:hAnsi="Arial Narrow"/>
                <w:sz w:val="20"/>
                <w:szCs w:val="20"/>
              </w:rPr>
            </w:pPr>
          </w:p>
        </w:tc>
        <w:tc>
          <w:tcPr>
            <w:tcW w:w="7938" w:type="dxa"/>
            <w:gridSpan w:val="6"/>
            <w:vAlign w:val="center"/>
          </w:tcPr>
          <w:p w14:paraId="7CB6BAF3" w14:textId="1FE4A6F6" w:rsidR="00256B35" w:rsidRPr="00DA782F" w:rsidRDefault="00256B35" w:rsidP="007A591A">
            <w:pPr>
              <w:rPr>
                <w:rFonts w:ascii="Arial Narrow" w:hAnsi="Arial Narrow"/>
                <w:b/>
                <w:sz w:val="20"/>
                <w:szCs w:val="20"/>
              </w:rPr>
            </w:pPr>
            <w:r w:rsidRPr="00DA782F">
              <w:rPr>
                <w:rFonts w:ascii="Arial Narrow" w:hAnsi="Arial Narrow"/>
                <w:b/>
                <w:sz w:val="20"/>
                <w:szCs w:val="20"/>
              </w:rPr>
              <w:t>Clinical criteria:</w:t>
            </w:r>
          </w:p>
        </w:tc>
      </w:tr>
      <w:tr w:rsidR="00256B35" w:rsidRPr="00DA782F" w14:paraId="317441A6" w14:textId="77777777" w:rsidTr="00256B35">
        <w:trPr>
          <w:trHeight w:val="35"/>
        </w:trPr>
        <w:tc>
          <w:tcPr>
            <w:tcW w:w="1129" w:type="dxa"/>
          </w:tcPr>
          <w:p w14:paraId="7D790921" w14:textId="1AD18B76" w:rsidR="00256B35" w:rsidRPr="00DA782F" w:rsidRDefault="00256B35" w:rsidP="007A591A">
            <w:pPr>
              <w:jc w:val="center"/>
              <w:rPr>
                <w:rFonts w:ascii="Arial Narrow" w:hAnsi="Arial Narrow"/>
                <w:sz w:val="20"/>
                <w:szCs w:val="20"/>
              </w:rPr>
            </w:pPr>
          </w:p>
        </w:tc>
        <w:tc>
          <w:tcPr>
            <w:tcW w:w="7938" w:type="dxa"/>
            <w:gridSpan w:val="6"/>
            <w:vAlign w:val="center"/>
          </w:tcPr>
          <w:p w14:paraId="276038EA" w14:textId="2825770C" w:rsidR="00256B35" w:rsidRPr="00DA782F" w:rsidRDefault="00256B35" w:rsidP="007A591A">
            <w:pPr>
              <w:rPr>
                <w:rFonts w:ascii="Arial Narrow" w:hAnsi="Arial Narrow"/>
                <w:b/>
                <w:sz w:val="20"/>
                <w:szCs w:val="20"/>
              </w:rPr>
            </w:pPr>
            <w:r w:rsidRPr="00DA782F">
              <w:rPr>
                <w:rFonts w:ascii="Arial Narrow" w:hAnsi="Arial Narrow"/>
                <w:sz w:val="20"/>
                <w:szCs w:val="20"/>
              </w:rPr>
              <w:t>The condition must have a confirmed pathogenic (class 5) or likely pathogenic (class 4) superoxide dismutase 1 (SOD1) gene variant,</w:t>
            </w:r>
          </w:p>
        </w:tc>
      </w:tr>
      <w:tr w:rsidR="0035754A" w:rsidRPr="00DA782F" w14:paraId="1DE0DC9D" w14:textId="77777777" w:rsidTr="00DC64B4">
        <w:trPr>
          <w:trHeight w:val="35"/>
        </w:trPr>
        <w:tc>
          <w:tcPr>
            <w:tcW w:w="1129" w:type="dxa"/>
            <w:vAlign w:val="center"/>
          </w:tcPr>
          <w:p w14:paraId="13154F49" w14:textId="77777777" w:rsidR="00DC6F90" w:rsidRPr="00DA782F" w:rsidRDefault="00DC6F90" w:rsidP="007A591A">
            <w:pPr>
              <w:jc w:val="center"/>
              <w:rPr>
                <w:rFonts w:ascii="Arial Narrow" w:hAnsi="Arial Narrow"/>
                <w:sz w:val="20"/>
                <w:szCs w:val="20"/>
              </w:rPr>
            </w:pPr>
          </w:p>
        </w:tc>
        <w:tc>
          <w:tcPr>
            <w:tcW w:w="7938" w:type="dxa"/>
            <w:gridSpan w:val="6"/>
            <w:vAlign w:val="center"/>
          </w:tcPr>
          <w:p w14:paraId="338F5C9E" w14:textId="1CDA068F" w:rsidR="00DC6F90" w:rsidRPr="00DA782F" w:rsidRDefault="00DC6F90" w:rsidP="007A591A">
            <w:pPr>
              <w:rPr>
                <w:rFonts w:ascii="Arial Narrow" w:hAnsi="Arial Narrow"/>
                <w:b/>
                <w:sz w:val="20"/>
                <w:szCs w:val="20"/>
              </w:rPr>
            </w:pPr>
            <w:r w:rsidRPr="00DA782F">
              <w:rPr>
                <w:rFonts w:ascii="Arial Narrow" w:hAnsi="Arial Narrow"/>
                <w:b/>
                <w:sz w:val="20"/>
                <w:szCs w:val="20"/>
              </w:rPr>
              <w:t>AND</w:t>
            </w:r>
          </w:p>
        </w:tc>
      </w:tr>
      <w:tr w:rsidR="0035754A" w:rsidRPr="00DA782F" w14:paraId="5BBAC2ED" w14:textId="77777777" w:rsidTr="00DC64B4">
        <w:trPr>
          <w:trHeight w:val="35"/>
        </w:trPr>
        <w:tc>
          <w:tcPr>
            <w:tcW w:w="1129" w:type="dxa"/>
            <w:vAlign w:val="center"/>
          </w:tcPr>
          <w:p w14:paraId="02BCF531" w14:textId="6FF71193" w:rsidR="00DC6F90" w:rsidRPr="00DA782F" w:rsidRDefault="00DC6F90" w:rsidP="007A591A">
            <w:pPr>
              <w:jc w:val="center"/>
              <w:rPr>
                <w:rFonts w:ascii="Arial Narrow" w:hAnsi="Arial Narrow"/>
                <w:sz w:val="20"/>
                <w:szCs w:val="20"/>
              </w:rPr>
            </w:pPr>
          </w:p>
        </w:tc>
        <w:tc>
          <w:tcPr>
            <w:tcW w:w="7938" w:type="dxa"/>
            <w:gridSpan w:val="6"/>
            <w:vAlign w:val="center"/>
          </w:tcPr>
          <w:p w14:paraId="2617022A" w14:textId="53611F11" w:rsidR="00DC6F90" w:rsidRPr="00DA782F" w:rsidRDefault="00DC6F90" w:rsidP="007A591A">
            <w:pPr>
              <w:rPr>
                <w:rFonts w:ascii="Arial Narrow" w:hAnsi="Arial Narrow"/>
                <w:b/>
                <w:sz w:val="20"/>
                <w:szCs w:val="20"/>
              </w:rPr>
            </w:pPr>
            <w:r w:rsidRPr="00DA782F">
              <w:rPr>
                <w:rFonts w:ascii="Arial Narrow" w:hAnsi="Arial Narrow"/>
                <w:b/>
                <w:sz w:val="20"/>
                <w:szCs w:val="20"/>
              </w:rPr>
              <w:t>Clinical criteria:</w:t>
            </w:r>
          </w:p>
        </w:tc>
      </w:tr>
      <w:tr w:rsidR="0035754A" w:rsidRPr="00DA782F" w14:paraId="529143FD" w14:textId="77777777" w:rsidTr="00DC64B4">
        <w:trPr>
          <w:trHeight w:val="35"/>
        </w:trPr>
        <w:tc>
          <w:tcPr>
            <w:tcW w:w="1129" w:type="dxa"/>
            <w:vAlign w:val="center"/>
          </w:tcPr>
          <w:p w14:paraId="7C3AA6BE" w14:textId="7DA25F29" w:rsidR="00DC6F90" w:rsidRPr="00DA782F" w:rsidRDefault="00DC6F90" w:rsidP="007A591A">
            <w:pPr>
              <w:jc w:val="center"/>
              <w:rPr>
                <w:rFonts w:ascii="Arial Narrow" w:hAnsi="Arial Narrow"/>
                <w:sz w:val="20"/>
                <w:szCs w:val="20"/>
              </w:rPr>
            </w:pPr>
          </w:p>
        </w:tc>
        <w:tc>
          <w:tcPr>
            <w:tcW w:w="7938" w:type="dxa"/>
            <w:gridSpan w:val="6"/>
            <w:vAlign w:val="center"/>
          </w:tcPr>
          <w:p w14:paraId="711BCCEB" w14:textId="09BE1D67" w:rsidR="00DC6F90" w:rsidRPr="00DA782F" w:rsidRDefault="00DC6F90" w:rsidP="007A591A">
            <w:pPr>
              <w:rPr>
                <w:rFonts w:ascii="Arial Narrow" w:hAnsi="Arial Narrow"/>
                <w:sz w:val="20"/>
                <w:szCs w:val="20"/>
              </w:rPr>
            </w:pPr>
            <w:r w:rsidRPr="00DA782F">
              <w:rPr>
                <w:rFonts w:ascii="Arial Narrow" w:hAnsi="Arial Narrow"/>
                <w:sz w:val="20"/>
                <w:szCs w:val="20"/>
              </w:rPr>
              <w:t>Patient must not have undergone a tracheostomy</w:t>
            </w:r>
            <w:r w:rsidRPr="00DA782F">
              <w:rPr>
                <w:rFonts w:ascii="Arial Narrow" w:hAnsi="Arial Narrow"/>
                <w:b/>
                <w:sz w:val="20"/>
                <w:szCs w:val="20"/>
              </w:rPr>
              <w:t>,</w:t>
            </w:r>
          </w:p>
        </w:tc>
      </w:tr>
      <w:tr w:rsidR="0035754A" w:rsidRPr="00DA782F" w14:paraId="7DB7D766" w14:textId="77777777" w:rsidTr="00DC64B4">
        <w:trPr>
          <w:trHeight w:val="35"/>
        </w:trPr>
        <w:tc>
          <w:tcPr>
            <w:tcW w:w="1129" w:type="dxa"/>
            <w:vAlign w:val="center"/>
          </w:tcPr>
          <w:p w14:paraId="5FCA711E" w14:textId="77777777" w:rsidR="00DC6F90" w:rsidRPr="00DA782F" w:rsidRDefault="00DC6F90" w:rsidP="007A591A">
            <w:pPr>
              <w:jc w:val="center"/>
              <w:rPr>
                <w:rFonts w:ascii="Arial Narrow" w:hAnsi="Arial Narrow"/>
                <w:sz w:val="20"/>
                <w:szCs w:val="20"/>
              </w:rPr>
            </w:pPr>
          </w:p>
        </w:tc>
        <w:tc>
          <w:tcPr>
            <w:tcW w:w="7938" w:type="dxa"/>
            <w:gridSpan w:val="6"/>
            <w:vAlign w:val="center"/>
          </w:tcPr>
          <w:p w14:paraId="74626489" w14:textId="53E6F1CB" w:rsidR="00DC6F90" w:rsidRPr="00DA782F" w:rsidRDefault="00DC6F90" w:rsidP="007A591A">
            <w:pPr>
              <w:rPr>
                <w:rFonts w:ascii="Arial Narrow" w:hAnsi="Arial Narrow"/>
                <w:b/>
                <w:sz w:val="20"/>
                <w:szCs w:val="20"/>
              </w:rPr>
            </w:pPr>
            <w:r w:rsidRPr="00DA782F">
              <w:rPr>
                <w:rFonts w:ascii="Arial Narrow" w:hAnsi="Arial Narrow"/>
                <w:b/>
                <w:sz w:val="20"/>
                <w:szCs w:val="20"/>
              </w:rPr>
              <w:t>AND</w:t>
            </w:r>
          </w:p>
        </w:tc>
      </w:tr>
      <w:tr w:rsidR="0035754A" w:rsidRPr="00DA782F" w14:paraId="3682C10C" w14:textId="77777777" w:rsidTr="00DC64B4">
        <w:trPr>
          <w:trHeight w:val="35"/>
        </w:trPr>
        <w:tc>
          <w:tcPr>
            <w:tcW w:w="1129" w:type="dxa"/>
            <w:vAlign w:val="center"/>
          </w:tcPr>
          <w:p w14:paraId="6A036DBE" w14:textId="4B34867E" w:rsidR="00DC6F90" w:rsidRPr="00DA782F" w:rsidRDefault="00DC6F90" w:rsidP="007A591A">
            <w:pPr>
              <w:jc w:val="center"/>
              <w:rPr>
                <w:rFonts w:ascii="Arial Narrow" w:hAnsi="Arial Narrow"/>
                <w:sz w:val="20"/>
                <w:szCs w:val="20"/>
              </w:rPr>
            </w:pPr>
          </w:p>
        </w:tc>
        <w:tc>
          <w:tcPr>
            <w:tcW w:w="7938" w:type="dxa"/>
            <w:gridSpan w:val="6"/>
            <w:vAlign w:val="center"/>
          </w:tcPr>
          <w:p w14:paraId="20960677" w14:textId="1857EC86" w:rsidR="00DC6F90" w:rsidRPr="00DA782F" w:rsidRDefault="00DC6F90" w:rsidP="007A591A">
            <w:pPr>
              <w:rPr>
                <w:rFonts w:ascii="Arial Narrow" w:hAnsi="Arial Narrow"/>
                <w:b/>
                <w:sz w:val="20"/>
                <w:szCs w:val="20"/>
              </w:rPr>
            </w:pPr>
            <w:r w:rsidRPr="00DA782F">
              <w:rPr>
                <w:rFonts w:ascii="Arial Narrow" w:hAnsi="Arial Narrow"/>
                <w:b/>
                <w:sz w:val="20"/>
                <w:szCs w:val="20"/>
              </w:rPr>
              <w:t>Clinical criteria:</w:t>
            </w:r>
          </w:p>
        </w:tc>
      </w:tr>
      <w:tr w:rsidR="0035754A" w:rsidRPr="00DA782F" w14:paraId="255D0D4F" w14:textId="77777777" w:rsidTr="00DC64B4">
        <w:trPr>
          <w:trHeight w:val="35"/>
        </w:trPr>
        <w:tc>
          <w:tcPr>
            <w:tcW w:w="1129" w:type="dxa"/>
            <w:vAlign w:val="center"/>
          </w:tcPr>
          <w:p w14:paraId="678614CD" w14:textId="39C8C6B5" w:rsidR="00DC6F90" w:rsidRPr="00DA782F" w:rsidRDefault="00DC6F90" w:rsidP="007A591A">
            <w:pPr>
              <w:jc w:val="center"/>
              <w:rPr>
                <w:rFonts w:ascii="Arial Narrow" w:hAnsi="Arial Narrow"/>
                <w:sz w:val="20"/>
                <w:szCs w:val="20"/>
              </w:rPr>
            </w:pPr>
          </w:p>
        </w:tc>
        <w:tc>
          <w:tcPr>
            <w:tcW w:w="7938" w:type="dxa"/>
            <w:gridSpan w:val="6"/>
            <w:vAlign w:val="center"/>
          </w:tcPr>
          <w:p w14:paraId="1DD8E886" w14:textId="6FF17F33" w:rsidR="00DC6F90" w:rsidRPr="00DA782F" w:rsidRDefault="00DC6F90" w:rsidP="007A591A">
            <w:pPr>
              <w:rPr>
                <w:rFonts w:ascii="Arial Narrow" w:hAnsi="Arial Narrow"/>
                <w:sz w:val="20"/>
                <w:szCs w:val="20"/>
              </w:rPr>
            </w:pPr>
            <w:r w:rsidRPr="00DA782F">
              <w:rPr>
                <w:rFonts w:ascii="Arial Narrow" w:hAnsi="Arial Narrow"/>
                <w:sz w:val="20"/>
                <w:szCs w:val="20"/>
              </w:rPr>
              <w:t>Patient must not have experienced respiratory failure,</w:t>
            </w:r>
          </w:p>
        </w:tc>
      </w:tr>
      <w:tr w:rsidR="0035754A" w:rsidRPr="00DA782F" w14:paraId="684D5701" w14:textId="77777777" w:rsidTr="00DC64B4">
        <w:trPr>
          <w:trHeight w:val="35"/>
        </w:trPr>
        <w:tc>
          <w:tcPr>
            <w:tcW w:w="1129" w:type="dxa"/>
            <w:vAlign w:val="center"/>
          </w:tcPr>
          <w:p w14:paraId="5ED52E3E" w14:textId="77777777" w:rsidR="00DC6F90" w:rsidRPr="00DA782F" w:rsidRDefault="00DC6F90" w:rsidP="007A591A">
            <w:pPr>
              <w:jc w:val="center"/>
              <w:rPr>
                <w:rFonts w:ascii="Arial Narrow" w:hAnsi="Arial Narrow"/>
                <w:sz w:val="20"/>
                <w:szCs w:val="20"/>
              </w:rPr>
            </w:pPr>
          </w:p>
        </w:tc>
        <w:tc>
          <w:tcPr>
            <w:tcW w:w="7938" w:type="dxa"/>
            <w:gridSpan w:val="6"/>
            <w:vAlign w:val="center"/>
          </w:tcPr>
          <w:p w14:paraId="335BEAD9" w14:textId="5D6BB8A1" w:rsidR="00DC6F90" w:rsidRPr="00DA782F" w:rsidRDefault="00DC6F90" w:rsidP="007A591A">
            <w:pPr>
              <w:rPr>
                <w:rFonts w:ascii="Arial Narrow" w:hAnsi="Arial Narrow"/>
                <w:b/>
                <w:sz w:val="20"/>
                <w:szCs w:val="20"/>
              </w:rPr>
            </w:pPr>
            <w:r w:rsidRPr="00DA782F">
              <w:rPr>
                <w:rFonts w:ascii="Arial Narrow" w:hAnsi="Arial Narrow"/>
                <w:b/>
                <w:sz w:val="20"/>
                <w:szCs w:val="20"/>
              </w:rPr>
              <w:t>AND</w:t>
            </w:r>
          </w:p>
        </w:tc>
      </w:tr>
      <w:tr w:rsidR="00FA34A7" w:rsidRPr="00DA782F" w14:paraId="457D2545" w14:textId="77777777" w:rsidTr="00DF7721">
        <w:trPr>
          <w:trHeight w:val="35"/>
        </w:trPr>
        <w:tc>
          <w:tcPr>
            <w:tcW w:w="1129" w:type="dxa"/>
          </w:tcPr>
          <w:p w14:paraId="1227F449" w14:textId="3B61F907" w:rsidR="00FA34A7" w:rsidRPr="00DA782F" w:rsidRDefault="00FA34A7" w:rsidP="007A591A">
            <w:pPr>
              <w:jc w:val="center"/>
              <w:rPr>
                <w:rFonts w:ascii="Arial Narrow" w:hAnsi="Arial Narrow"/>
                <w:sz w:val="20"/>
                <w:szCs w:val="20"/>
              </w:rPr>
            </w:pPr>
          </w:p>
        </w:tc>
        <w:tc>
          <w:tcPr>
            <w:tcW w:w="7938" w:type="dxa"/>
            <w:gridSpan w:val="6"/>
            <w:vAlign w:val="center"/>
          </w:tcPr>
          <w:p w14:paraId="21D362AC" w14:textId="43408C84" w:rsidR="00FA34A7" w:rsidRPr="00DA782F" w:rsidRDefault="00FA34A7" w:rsidP="007A591A">
            <w:pPr>
              <w:rPr>
                <w:rFonts w:ascii="Arial Narrow" w:hAnsi="Arial Narrow"/>
                <w:b/>
                <w:sz w:val="20"/>
                <w:szCs w:val="20"/>
              </w:rPr>
            </w:pPr>
            <w:r w:rsidRPr="00DA782F">
              <w:rPr>
                <w:rFonts w:ascii="Arial Narrow" w:hAnsi="Arial Narrow"/>
                <w:b/>
                <w:sz w:val="20"/>
                <w:szCs w:val="20"/>
              </w:rPr>
              <w:t>Clinical criteria:</w:t>
            </w:r>
          </w:p>
        </w:tc>
      </w:tr>
      <w:tr w:rsidR="00FA34A7" w:rsidRPr="00DA782F" w14:paraId="0570DB8E" w14:textId="77777777" w:rsidTr="00DF7721">
        <w:trPr>
          <w:trHeight w:val="35"/>
        </w:trPr>
        <w:tc>
          <w:tcPr>
            <w:tcW w:w="1129" w:type="dxa"/>
          </w:tcPr>
          <w:p w14:paraId="0DEBAF78" w14:textId="5A1E9A7D" w:rsidR="00FA34A7" w:rsidRPr="00DA782F" w:rsidRDefault="00FA34A7" w:rsidP="007A591A">
            <w:pPr>
              <w:jc w:val="center"/>
              <w:rPr>
                <w:rFonts w:ascii="Arial Narrow" w:hAnsi="Arial Narrow"/>
                <w:sz w:val="20"/>
                <w:szCs w:val="20"/>
              </w:rPr>
            </w:pPr>
          </w:p>
        </w:tc>
        <w:tc>
          <w:tcPr>
            <w:tcW w:w="7938" w:type="dxa"/>
            <w:gridSpan w:val="6"/>
            <w:vAlign w:val="center"/>
          </w:tcPr>
          <w:p w14:paraId="25B75627" w14:textId="4543228A" w:rsidR="00FA34A7" w:rsidRPr="00DA782F" w:rsidRDefault="00FA34A7" w:rsidP="007A591A">
            <w:pPr>
              <w:rPr>
                <w:rFonts w:ascii="Arial Narrow" w:hAnsi="Arial Narrow"/>
                <w:sz w:val="20"/>
                <w:szCs w:val="20"/>
              </w:rPr>
            </w:pPr>
            <w:r w:rsidRPr="00DA782F">
              <w:rPr>
                <w:rFonts w:ascii="Arial Narrow" w:hAnsi="Arial Narrow"/>
                <w:sz w:val="20"/>
                <w:szCs w:val="20"/>
              </w:rPr>
              <w:t>The treatment must be given concomitantly with best supportive care (including riluzole where appropriate) for this condition,</w:t>
            </w:r>
          </w:p>
        </w:tc>
      </w:tr>
      <w:tr w:rsidR="0035754A" w:rsidRPr="00DA782F" w14:paraId="5FA5BC2B" w14:textId="77777777" w:rsidTr="00DC64B4">
        <w:trPr>
          <w:trHeight w:val="35"/>
        </w:trPr>
        <w:tc>
          <w:tcPr>
            <w:tcW w:w="1129" w:type="dxa"/>
            <w:vAlign w:val="center"/>
          </w:tcPr>
          <w:p w14:paraId="5A5D2509" w14:textId="77777777" w:rsidR="00DC6F90" w:rsidRPr="00DA782F" w:rsidRDefault="00DC6F90" w:rsidP="007A591A">
            <w:pPr>
              <w:jc w:val="center"/>
              <w:rPr>
                <w:rFonts w:ascii="Arial Narrow" w:hAnsi="Arial Narrow"/>
                <w:sz w:val="20"/>
                <w:szCs w:val="20"/>
              </w:rPr>
            </w:pPr>
          </w:p>
        </w:tc>
        <w:tc>
          <w:tcPr>
            <w:tcW w:w="7938" w:type="dxa"/>
            <w:gridSpan w:val="6"/>
            <w:vAlign w:val="center"/>
          </w:tcPr>
          <w:p w14:paraId="4262B425" w14:textId="3ED796AC" w:rsidR="00DC6F90" w:rsidRPr="00DA782F" w:rsidRDefault="00DC6F90" w:rsidP="007A591A">
            <w:pPr>
              <w:rPr>
                <w:rFonts w:ascii="Arial Narrow" w:hAnsi="Arial Narrow"/>
                <w:b/>
                <w:sz w:val="20"/>
                <w:szCs w:val="20"/>
              </w:rPr>
            </w:pPr>
            <w:r w:rsidRPr="00DA782F">
              <w:rPr>
                <w:rFonts w:ascii="Arial Narrow" w:hAnsi="Arial Narrow"/>
                <w:b/>
                <w:sz w:val="20"/>
                <w:szCs w:val="20"/>
              </w:rPr>
              <w:t>AND</w:t>
            </w:r>
          </w:p>
        </w:tc>
      </w:tr>
      <w:tr w:rsidR="00FA34A7" w:rsidRPr="00DA782F" w14:paraId="72358D67" w14:textId="77777777" w:rsidTr="00DF7721">
        <w:trPr>
          <w:trHeight w:val="35"/>
        </w:trPr>
        <w:tc>
          <w:tcPr>
            <w:tcW w:w="1129" w:type="dxa"/>
          </w:tcPr>
          <w:p w14:paraId="657BE35D" w14:textId="66328ABD" w:rsidR="00FA34A7" w:rsidRPr="00DA782F" w:rsidRDefault="00FA34A7" w:rsidP="007A591A">
            <w:pPr>
              <w:jc w:val="center"/>
              <w:rPr>
                <w:rFonts w:ascii="Arial Narrow" w:hAnsi="Arial Narrow"/>
                <w:sz w:val="20"/>
                <w:szCs w:val="20"/>
              </w:rPr>
            </w:pPr>
          </w:p>
        </w:tc>
        <w:tc>
          <w:tcPr>
            <w:tcW w:w="7938" w:type="dxa"/>
            <w:gridSpan w:val="6"/>
            <w:vAlign w:val="center"/>
          </w:tcPr>
          <w:p w14:paraId="5CCE523B" w14:textId="0B7A7E65" w:rsidR="00FA34A7" w:rsidRPr="00DA782F" w:rsidRDefault="00FA34A7" w:rsidP="007A591A">
            <w:pPr>
              <w:rPr>
                <w:rFonts w:ascii="Arial Narrow" w:hAnsi="Arial Narrow"/>
                <w:b/>
                <w:sz w:val="20"/>
                <w:szCs w:val="20"/>
              </w:rPr>
            </w:pPr>
            <w:r w:rsidRPr="00DA782F">
              <w:rPr>
                <w:rFonts w:ascii="Arial Narrow" w:hAnsi="Arial Narrow"/>
                <w:b/>
                <w:sz w:val="20"/>
                <w:szCs w:val="20"/>
              </w:rPr>
              <w:t>Clinical criteria:</w:t>
            </w:r>
          </w:p>
        </w:tc>
      </w:tr>
      <w:tr w:rsidR="00FA34A7" w:rsidRPr="00DA782F" w14:paraId="3B68F93E" w14:textId="77777777" w:rsidTr="00DF7721">
        <w:trPr>
          <w:trHeight w:val="35"/>
        </w:trPr>
        <w:tc>
          <w:tcPr>
            <w:tcW w:w="1129" w:type="dxa"/>
          </w:tcPr>
          <w:p w14:paraId="1D35A10B" w14:textId="1B411E40" w:rsidR="00FA34A7" w:rsidRPr="00DA782F" w:rsidRDefault="00FA34A7" w:rsidP="007A591A">
            <w:pPr>
              <w:jc w:val="center"/>
              <w:rPr>
                <w:rFonts w:ascii="Arial Narrow" w:hAnsi="Arial Narrow"/>
                <w:sz w:val="20"/>
                <w:szCs w:val="20"/>
              </w:rPr>
            </w:pPr>
          </w:p>
        </w:tc>
        <w:tc>
          <w:tcPr>
            <w:tcW w:w="7938" w:type="dxa"/>
            <w:gridSpan w:val="6"/>
            <w:vAlign w:val="center"/>
          </w:tcPr>
          <w:p w14:paraId="2D6FF724" w14:textId="5063BC55" w:rsidR="00FA34A7" w:rsidRPr="00DA782F" w:rsidRDefault="00FA34A7" w:rsidP="007A591A">
            <w:pPr>
              <w:rPr>
                <w:rFonts w:ascii="Arial Narrow" w:hAnsi="Arial Narrow"/>
                <w:sz w:val="20"/>
                <w:szCs w:val="20"/>
              </w:rPr>
            </w:pPr>
            <w:r w:rsidRPr="00DA782F">
              <w:rPr>
                <w:rFonts w:ascii="Arial Narrow" w:hAnsi="Arial Narrow"/>
                <w:sz w:val="20"/>
                <w:szCs w:val="20"/>
              </w:rPr>
              <w:t>Patient must not be receiving concomitant treatment with edaravone for this condition.</w:t>
            </w:r>
          </w:p>
        </w:tc>
      </w:tr>
      <w:tr w:rsidR="00866DED" w:rsidRPr="00DA782F" w14:paraId="0CA4C46D" w14:textId="77777777" w:rsidTr="001C7825">
        <w:trPr>
          <w:trHeight w:val="35"/>
        </w:trPr>
        <w:tc>
          <w:tcPr>
            <w:tcW w:w="1129" w:type="dxa"/>
          </w:tcPr>
          <w:p w14:paraId="23BAA10C" w14:textId="1D2DB99D" w:rsidR="00866DED" w:rsidRPr="00DA782F" w:rsidRDefault="00866DED" w:rsidP="007A591A">
            <w:pPr>
              <w:jc w:val="center"/>
              <w:rPr>
                <w:rFonts w:ascii="Arial Narrow" w:hAnsi="Arial Narrow"/>
                <w:sz w:val="20"/>
                <w:szCs w:val="20"/>
              </w:rPr>
            </w:pPr>
          </w:p>
        </w:tc>
        <w:tc>
          <w:tcPr>
            <w:tcW w:w="7938" w:type="dxa"/>
            <w:gridSpan w:val="6"/>
            <w:vAlign w:val="center"/>
          </w:tcPr>
          <w:p w14:paraId="49C10334" w14:textId="5A7DD113" w:rsidR="00866DED" w:rsidRPr="00DA782F" w:rsidRDefault="00866DED" w:rsidP="007A591A">
            <w:pPr>
              <w:rPr>
                <w:rFonts w:ascii="Arial Narrow" w:hAnsi="Arial Narrow"/>
                <w:b/>
                <w:sz w:val="20"/>
                <w:szCs w:val="20"/>
              </w:rPr>
            </w:pPr>
            <w:r w:rsidRPr="00DA782F">
              <w:rPr>
                <w:rFonts w:ascii="Arial Narrow" w:hAnsi="Arial Narrow"/>
                <w:b/>
                <w:sz w:val="20"/>
                <w:szCs w:val="20"/>
              </w:rPr>
              <w:t>Treatment criteria:</w:t>
            </w:r>
          </w:p>
        </w:tc>
      </w:tr>
      <w:tr w:rsidR="00866DED" w:rsidRPr="00DA782F" w14:paraId="493FC3B2" w14:textId="77777777" w:rsidTr="001C7825">
        <w:trPr>
          <w:trHeight w:val="35"/>
        </w:trPr>
        <w:tc>
          <w:tcPr>
            <w:tcW w:w="1129" w:type="dxa"/>
          </w:tcPr>
          <w:p w14:paraId="75AA2170" w14:textId="0D1DFB33" w:rsidR="00866DED" w:rsidRPr="00DA782F" w:rsidRDefault="00866DED" w:rsidP="007A591A">
            <w:pPr>
              <w:jc w:val="center"/>
              <w:rPr>
                <w:rFonts w:ascii="Arial Narrow" w:hAnsi="Arial Narrow"/>
                <w:sz w:val="20"/>
                <w:szCs w:val="20"/>
              </w:rPr>
            </w:pPr>
          </w:p>
        </w:tc>
        <w:tc>
          <w:tcPr>
            <w:tcW w:w="7938" w:type="dxa"/>
            <w:gridSpan w:val="6"/>
            <w:vAlign w:val="center"/>
            <w:hideMark/>
          </w:tcPr>
          <w:p w14:paraId="7B821A81" w14:textId="0FC5A43F" w:rsidR="00866DED" w:rsidRPr="00DA782F" w:rsidRDefault="00866DED" w:rsidP="007A591A">
            <w:pPr>
              <w:contextualSpacing/>
              <w:rPr>
                <w:rFonts w:ascii="Arial Narrow" w:hAnsi="Arial Narrow"/>
                <w:strike/>
                <w:sz w:val="20"/>
                <w:szCs w:val="20"/>
              </w:rPr>
            </w:pPr>
            <w:bookmarkStart w:id="1" w:name="_Hlk187329420"/>
            <w:r w:rsidRPr="00DA782F">
              <w:rPr>
                <w:rFonts w:ascii="Arial Narrow" w:hAnsi="Arial Narrow"/>
                <w:sz w:val="20"/>
                <w:szCs w:val="20"/>
              </w:rPr>
              <w:t>Must be treated by a specialist with expertise in the diagnosis and management of amyotrophic lateral sclerosis</w:t>
            </w:r>
            <w:r w:rsidRPr="00DA782F" w:rsidDel="00FE59EB">
              <w:rPr>
                <w:rFonts w:ascii="Arial Narrow" w:hAnsi="Arial Narrow"/>
                <w:sz w:val="20"/>
                <w:szCs w:val="20"/>
              </w:rPr>
              <w:t>.</w:t>
            </w:r>
            <w:bookmarkEnd w:id="1"/>
          </w:p>
        </w:tc>
      </w:tr>
      <w:tr w:rsidR="0035754A" w:rsidRPr="00DA782F" w14:paraId="4F1A8CD2" w14:textId="77777777" w:rsidTr="00DC64B4">
        <w:trPr>
          <w:trHeight w:val="300"/>
        </w:trPr>
        <w:tc>
          <w:tcPr>
            <w:tcW w:w="1129" w:type="dxa"/>
            <w:vAlign w:val="center"/>
          </w:tcPr>
          <w:p w14:paraId="75706F60" w14:textId="723BAD2E" w:rsidR="0093591E" w:rsidRPr="00DA782F" w:rsidRDefault="0093591E" w:rsidP="007A591A">
            <w:pPr>
              <w:jc w:val="center"/>
              <w:rPr>
                <w:rFonts w:ascii="Arial Narrow" w:hAnsi="Arial Narrow"/>
                <w:sz w:val="20"/>
                <w:szCs w:val="20"/>
              </w:rPr>
            </w:pPr>
          </w:p>
        </w:tc>
        <w:tc>
          <w:tcPr>
            <w:tcW w:w="7938" w:type="dxa"/>
            <w:gridSpan w:val="6"/>
            <w:vAlign w:val="center"/>
            <w:hideMark/>
          </w:tcPr>
          <w:p w14:paraId="61636768" w14:textId="77777777" w:rsidR="0093591E" w:rsidRPr="00DA782F" w:rsidRDefault="0093591E" w:rsidP="007A591A">
            <w:pPr>
              <w:rPr>
                <w:rFonts w:ascii="Arial Narrow" w:hAnsi="Arial Narrow"/>
                <w:sz w:val="20"/>
                <w:szCs w:val="20"/>
              </w:rPr>
            </w:pPr>
            <w:r w:rsidRPr="00DA782F">
              <w:rPr>
                <w:rFonts w:ascii="Arial Narrow" w:hAnsi="Arial Narrow"/>
                <w:b/>
                <w:sz w:val="20"/>
                <w:szCs w:val="20"/>
              </w:rPr>
              <w:t>Prescribing Instructions:</w:t>
            </w:r>
            <w:r w:rsidRPr="00DA782F">
              <w:rPr>
                <w:rFonts w:ascii="Arial Narrow" w:hAnsi="Arial Narrow"/>
                <w:sz w:val="20"/>
                <w:szCs w:val="20"/>
              </w:rPr>
              <w:t xml:space="preserve"> </w:t>
            </w:r>
          </w:p>
          <w:p w14:paraId="6216BB0E" w14:textId="77777777" w:rsidR="0065483D" w:rsidRDefault="00B255FB" w:rsidP="007A591A">
            <w:pPr>
              <w:rPr>
                <w:rFonts w:ascii="Arial Narrow" w:hAnsi="Arial Narrow"/>
                <w:i/>
                <w:iCs/>
                <w:sz w:val="20"/>
                <w:szCs w:val="20"/>
              </w:rPr>
            </w:pPr>
            <w:r w:rsidRPr="00EF250F">
              <w:rPr>
                <w:rFonts w:ascii="Arial Narrow" w:hAnsi="Arial Narrow"/>
                <w:i/>
                <w:iCs/>
                <w:sz w:val="20"/>
                <w:szCs w:val="20"/>
              </w:rPr>
              <w:t>The following must be documented in the patient’s medical records:</w:t>
            </w:r>
          </w:p>
          <w:p w14:paraId="4E0462B4" w14:textId="77777777" w:rsidR="0065483D" w:rsidRDefault="007A4C1B" w:rsidP="007A591A">
            <w:pPr>
              <w:rPr>
                <w:strike/>
              </w:rPr>
            </w:pPr>
            <w:r>
              <w:rPr>
                <w:rFonts w:ascii="Arial Narrow" w:hAnsi="Arial Narrow"/>
                <w:i/>
                <w:iCs/>
                <w:sz w:val="20"/>
                <w:szCs w:val="20"/>
              </w:rPr>
              <w:t>a)</w:t>
            </w:r>
            <w:r w:rsidR="00B255FB" w:rsidRPr="00EF250F">
              <w:rPr>
                <w:rFonts w:ascii="Arial Narrow" w:hAnsi="Arial Narrow"/>
                <w:i/>
                <w:iCs/>
                <w:sz w:val="20"/>
                <w:szCs w:val="20"/>
              </w:rPr>
              <w:t xml:space="preserve"> </w:t>
            </w:r>
            <w:r w:rsidR="0093591E" w:rsidRPr="00EF250F">
              <w:rPr>
                <w:rFonts w:ascii="Arial Narrow" w:hAnsi="Arial Narrow"/>
                <w:strike/>
                <w:sz w:val="20"/>
                <w:szCs w:val="20"/>
              </w:rPr>
              <w:t>The d</w:t>
            </w:r>
            <w:r w:rsidR="00280DEA">
              <w:rPr>
                <w:rFonts w:ascii="Arial Narrow" w:hAnsi="Arial Narrow"/>
                <w:strike/>
                <w:sz w:val="20"/>
                <w:szCs w:val="20"/>
              </w:rPr>
              <w:t xml:space="preserve"> </w:t>
            </w:r>
            <w:r w:rsidR="00280DEA" w:rsidRPr="00EF250F">
              <w:rPr>
                <w:rFonts w:ascii="Arial Narrow" w:hAnsi="Arial Narrow"/>
                <w:i/>
                <w:iCs/>
                <w:sz w:val="20"/>
                <w:szCs w:val="20"/>
              </w:rPr>
              <w:t>D</w:t>
            </w:r>
            <w:r w:rsidR="0093591E" w:rsidRPr="00DA782F">
              <w:rPr>
                <w:rFonts w:ascii="Arial Narrow" w:hAnsi="Arial Narrow"/>
                <w:sz w:val="20"/>
                <w:szCs w:val="20"/>
              </w:rPr>
              <w:t xml:space="preserve">ate and details of the patient’s genetic testing confirming the presence of the SOD1 gene mutation </w:t>
            </w:r>
            <w:r w:rsidR="0093591E" w:rsidRPr="005A5C88">
              <w:rPr>
                <w:rFonts w:ascii="Arial Narrow" w:hAnsi="Arial Narrow"/>
                <w:strike/>
                <w:sz w:val="20"/>
                <w:szCs w:val="20"/>
              </w:rPr>
              <w:t>must be documented in the patient’s medical record.</w:t>
            </w:r>
          </w:p>
          <w:p w14:paraId="2F155B7C" w14:textId="4321DC6A" w:rsidR="0093591E" w:rsidRPr="00DA782F" w:rsidRDefault="00E30DC3" w:rsidP="007A591A">
            <w:pPr>
              <w:rPr>
                <w:rFonts w:ascii="Arial Narrow" w:hAnsi="Arial Narrow"/>
                <w:b/>
                <w:sz w:val="20"/>
                <w:szCs w:val="20"/>
              </w:rPr>
            </w:pPr>
            <w:r>
              <w:rPr>
                <w:rFonts w:ascii="Arial Narrow" w:hAnsi="Arial Narrow"/>
                <w:sz w:val="20"/>
                <w:szCs w:val="20"/>
              </w:rPr>
              <w:t xml:space="preserve">b) </w:t>
            </w:r>
            <w:r w:rsidR="0093591E" w:rsidRPr="00EF250F">
              <w:rPr>
                <w:rFonts w:ascii="Arial Narrow" w:hAnsi="Arial Narrow"/>
                <w:strike/>
                <w:sz w:val="20"/>
                <w:szCs w:val="20"/>
              </w:rPr>
              <w:t>The b</w:t>
            </w:r>
            <w:r w:rsidR="00280DEA">
              <w:rPr>
                <w:rFonts w:ascii="Arial Narrow" w:hAnsi="Arial Narrow"/>
                <w:strike/>
                <w:sz w:val="20"/>
                <w:szCs w:val="20"/>
              </w:rPr>
              <w:t xml:space="preserve"> </w:t>
            </w:r>
            <w:r w:rsidR="00832A1C" w:rsidRPr="00EF250F">
              <w:rPr>
                <w:rFonts w:ascii="Arial Narrow" w:hAnsi="Arial Narrow"/>
                <w:i/>
                <w:iCs/>
                <w:sz w:val="20"/>
                <w:szCs w:val="20"/>
              </w:rPr>
              <w:t>B</w:t>
            </w:r>
            <w:r w:rsidR="0093591E" w:rsidRPr="00DA782F">
              <w:rPr>
                <w:rFonts w:ascii="Arial Narrow" w:hAnsi="Arial Narrow"/>
                <w:sz w:val="20"/>
                <w:szCs w:val="20"/>
              </w:rPr>
              <w:t xml:space="preserve">aseline </w:t>
            </w:r>
            <w:r w:rsidR="00115DBD" w:rsidRPr="00115DBD">
              <w:rPr>
                <w:rFonts w:ascii="Arial Narrow" w:hAnsi="Arial Narrow"/>
                <w:i/>
                <w:iCs/>
                <w:sz w:val="20"/>
                <w:szCs w:val="20"/>
              </w:rPr>
              <w:t>score of</w:t>
            </w:r>
            <w:r w:rsidR="00115DBD">
              <w:rPr>
                <w:rFonts w:ascii="Arial Narrow" w:hAnsi="Arial Narrow"/>
                <w:sz w:val="20"/>
                <w:szCs w:val="20"/>
              </w:rPr>
              <w:t xml:space="preserve"> </w:t>
            </w:r>
            <w:r w:rsidR="0093591E" w:rsidRPr="00DA782F">
              <w:rPr>
                <w:rFonts w:ascii="Arial Narrow" w:hAnsi="Arial Narrow"/>
                <w:sz w:val="20"/>
                <w:szCs w:val="20"/>
              </w:rPr>
              <w:t>Amyotrophic Lateral Sclerosis Functional Rating Scale – Revised (ALSFRS</w:t>
            </w:r>
            <w:r w:rsidR="007A591A">
              <w:rPr>
                <w:rFonts w:ascii="Arial Narrow" w:hAnsi="Arial Narrow"/>
                <w:sz w:val="20"/>
                <w:szCs w:val="20"/>
              </w:rPr>
              <w:noBreakHyphen/>
            </w:r>
            <w:r w:rsidR="0093591E" w:rsidRPr="00DA782F">
              <w:rPr>
                <w:rFonts w:ascii="Arial Narrow" w:hAnsi="Arial Narrow"/>
                <w:sz w:val="20"/>
                <w:szCs w:val="20"/>
              </w:rPr>
              <w:t xml:space="preserve">R) </w:t>
            </w:r>
            <w:r w:rsidR="0093591E" w:rsidRPr="00115DBD">
              <w:rPr>
                <w:rFonts w:ascii="Arial Narrow" w:hAnsi="Arial Narrow"/>
                <w:strike/>
                <w:sz w:val="20"/>
                <w:szCs w:val="20"/>
              </w:rPr>
              <w:t>score</w:t>
            </w:r>
            <w:r w:rsidR="0093591E" w:rsidRPr="00DA782F">
              <w:rPr>
                <w:rFonts w:ascii="Arial Narrow" w:hAnsi="Arial Narrow"/>
                <w:sz w:val="20"/>
                <w:szCs w:val="20"/>
              </w:rPr>
              <w:t xml:space="preserve"> at treatment initiation </w:t>
            </w:r>
          </w:p>
        </w:tc>
      </w:tr>
      <w:tr w:rsidR="0035754A" w:rsidRPr="0035754A" w14:paraId="70BB9489" w14:textId="77777777" w:rsidTr="00DC64B4">
        <w:trPr>
          <w:trHeight w:val="300"/>
        </w:trPr>
        <w:tc>
          <w:tcPr>
            <w:tcW w:w="1129" w:type="dxa"/>
            <w:vAlign w:val="center"/>
          </w:tcPr>
          <w:p w14:paraId="0CD99AE0" w14:textId="77777777" w:rsidR="0093591E" w:rsidRPr="00EF250F" w:rsidRDefault="0093591E" w:rsidP="007A591A">
            <w:pPr>
              <w:jc w:val="center"/>
              <w:rPr>
                <w:rFonts w:ascii="Arial Narrow" w:hAnsi="Arial Narrow"/>
                <w:strike/>
                <w:sz w:val="20"/>
                <w:szCs w:val="20"/>
              </w:rPr>
            </w:pPr>
          </w:p>
        </w:tc>
        <w:tc>
          <w:tcPr>
            <w:tcW w:w="7938" w:type="dxa"/>
            <w:gridSpan w:val="6"/>
            <w:vAlign w:val="center"/>
            <w:hideMark/>
          </w:tcPr>
          <w:p w14:paraId="13173AE6" w14:textId="77777777" w:rsidR="0093591E" w:rsidRPr="00EF250F" w:rsidRDefault="0093591E" w:rsidP="007A591A">
            <w:pPr>
              <w:rPr>
                <w:rFonts w:ascii="Arial Narrow" w:hAnsi="Arial Narrow"/>
                <w:strike/>
                <w:sz w:val="20"/>
                <w:szCs w:val="20"/>
              </w:rPr>
            </w:pPr>
            <w:r w:rsidRPr="00EF250F">
              <w:rPr>
                <w:rFonts w:ascii="Arial Narrow" w:hAnsi="Arial Narrow"/>
                <w:b/>
                <w:strike/>
                <w:sz w:val="20"/>
                <w:szCs w:val="20"/>
              </w:rPr>
              <w:t xml:space="preserve">Administrative Advice: </w:t>
            </w:r>
          </w:p>
          <w:p w14:paraId="7D3B53E1" w14:textId="77777777" w:rsidR="0093591E" w:rsidRPr="00EF250F" w:rsidRDefault="0093591E" w:rsidP="007A591A">
            <w:pPr>
              <w:rPr>
                <w:rFonts w:ascii="Arial Narrow" w:hAnsi="Arial Narrow"/>
                <w:b/>
                <w:strike/>
                <w:sz w:val="20"/>
                <w:szCs w:val="20"/>
                <w:u w:val="single"/>
              </w:rPr>
            </w:pPr>
            <w:r w:rsidRPr="00EF250F">
              <w:rPr>
                <w:rFonts w:ascii="Arial Narrow" w:hAnsi="Arial Narrow"/>
                <w:b/>
                <w:strike/>
                <w:sz w:val="20"/>
                <w:szCs w:val="20"/>
                <w:u w:val="single"/>
              </w:rPr>
              <w:t>Note</w:t>
            </w:r>
          </w:p>
          <w:p w14:paraId="680DE622" w14:textId="77777777" w:rsidR="0093591E" w:rsidRPr="00EF250F" w:rsidRDefault="0093591E" w:rsidP="007A591A">
            <w:pPr>
              <w:rPr>
                <w:rFonts w:ascii="Arial Narrow" w:hAnsi="Arial Narrow"/>
                <w:strike/>
                <w:sz w:val="20"/>
                <w:szCs w:val="20"/>
              </w:rPr>
            </w:pPr>
            <w:r w:rsidRPr="00EF250F">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p w14:paraId="2B8A1A79" w14:textId="77777777" w:rsidR="0093591E" w:rsidRPr="00EF250F" w:rsidRDefault="0093591E" w:rsidP="007A591A">
            <w:pPr>
              <w:rPr>
                <w:rFonts w:ascii="Arial Narrow" w:hAnsi="Arial Narrow"/>
                <w:b/>
                <w:strike/>
                <w:sz w:val="20"/>
                <w:szCs w:val="20"/>
                <w:u w:val="single"/>
              </w:rPr>
            </w:pPr>
            <w:r w:rsidRPr="00EF250F">
              <w:rPr>
                <w:rFonts w:ascii="Arial Narrow" w:hAnsi="Arial Narrow"/>
                <w:b/>
                <w:strike/>
                <w:sz w:val="20"/>
                <w:szCs w:val="20"/>
                <w:u w:val="single"/>
              </w:rPr>
              <w:t>Note</w:t>
            </w:r>
          </w:p>
          <w:p w14:paraId="6C265BD0" w14:textId="77777777" w:rsidR="0093591E" w:rsidRPr="00EF250F" w:rsidRDefault="0093591E" w:rsidP="007A591A">
            <w:pPr>
              <w:rPr>
                <w:rFonts w:ascii="Arial Narrow" w:hAnsi="Arial Narrow"/>
                <w:strike/>
                <w:sz w:val="20"/>
                <w:szCs w:val="20"/>
              </w:rPr>
            </w:pPr>
            <w:r w:rsidRPr="00EF250F">
              <w:rPr>
                <w:rFonts w:ascii="Arial Narrow" w:hAnsi="Arial Narrow"/>
                <w:strike/>
                <w:sz w:val="20"/>
                <w:szCs w:val="20"/>
              </w:rPr>
              <w:t>No increase in the maximum quantity or number of units may be authorised.</w:t>
            </w:r>
          </w:p>
          <w:p w14:paraId="24411870" w14:textId="77777777" w:rsidR="0093591E" w:rsidRPr="00EF250F" w:rsidRDefault="0093591E" w:rsidP="007A591A">
            <w:pPr>
              <w:rPr>
                <w:rFonts w:ascii="Arial Narrow" w:hAnsi="Arial Narrow"/>
                <w:b/>
                <w:strike/>
                <w:sz w:val="20"/>
                <w:szCs w:val="20"/>
                <w:u w:val="single"/>
              </w:rPr>
            </w:pPr>
            <w:r w:rsidRPr="00EF250F">
              <w:rPr>
                <w:rFonts w:ascii="Arial Narrow" w:hAnsi="Arial Narrow"/>
                <w:b/>
                <w:strike/>
                <w:sz w:val="20"/>
                <w:szCs w:val="20"/>
                <w:u w:val="single"/>
              </w:rPr>
              <w:t>Note</w:t>
            </w:r>
          </w:p>
          <w:p w14:paraId="70534FA9" w14:textId="77777777" w:rsidR="0093591E" w:rsidRPr="00EF250F" w:rsidRDefault="0093591E" w:rsidP="007A591A">
            <w:pPr>
              <w:rPr>
                <w:rFonts w:ascii="Arial Narrow" w:hAnsi="Arial Narrow"/>
                <w:strike/>
                <w:sz w:val="20"/>
                <w:szCs w:val="20"/>
              </w:rPr>
            </w:pPr>
            <w:r w:rsidRPr="00EF250F">
              <w:rPr>
                <w:rFonts w:ascii="Arial Narrow" w:hAnsi="Arial Narrow"/>
                <w:strike/>
                <w:sz w:val="20"/>
                <w:szCs w:val="20"/>
              </w:rPr>
              <w:t>No increase in the maximum number of repeats may be authorised.</w:t>
            </w:r>
          </w:p>
          <w:p w14:paraId="48F351CC" w14:textId="77777777" w:rsidR="0093591E" w:rsidRPr="00EF250F" w:rsidRDefault="0093591E" w:rsidP="007A591A">
            <w:pPr>
              <w:rPr>
                <w:rFonts w:ascii="Arial Narrow" w:hAnsi="Arial Narrow"/>
                <w:b/>
                <w:strike/>
                <w:sz w:val="20"/>
                <w:szCs w:val="20"/>
                <w:u w:val="single"/>
              </w:rPr>
            </w:pPr>
            <w:r w:rsidRPr="00EF250F">
              <w:rPr>
                <w:rFonts w:ascii="Arial Narrow" w:hAnsi="Arial Narrow"/>
                <w:b/>
                <w:strike/>
                <w:sz w:val="20"/>
                <w:szCs w:val="20"/>
                <w:u w:val="single"/>
              </w:rPr>
              <w:t>Note</w:t>
            </w:r>
          </w:p>
          <w:p w14:paraId="3995EAB5" w14:textId="77777777" w:rsidR="0093591E" w:rsidRPr="00EF250F" w:rsidRDefault="0093591E" w:rsidP="007A591A">
            <w:pPr>
              <w:rPr>
                <w:rFonts w:ascii="Arial Narrow" w:hAnsi="Arial Narrow"/>
                <w:strike/>
                <w:sz w:val="20"/>
                <w:szCs w:val="20"/>
              </w:rPr>
            </w:pPr>
            <w:r w:rsidRPr="00EF250F">
              <w:rPr>
                <w:rFonts w:ascii="Arial Narrow" w:hAnsi="Arial Narrow"/>
                <w:strike/>
                <w:sz w:val="20"/>
                <w:szCs w:val="20"/>
              </w:rPr>
              <w:lastRenderedPageBreak/>
              <w:t>The maximum number of items to be used is 1.</w:t>
            </w:r>
          </w:p>
          <w:p w14:paraId="612452C1" w14:textId="77777777" w:rsidR="0093591E" w:rsidRPr="004C005A" w:rsidRDefault="0093591E" w:rsidP="007A591A">
            <w:pPr>
              <w:rPr>
                <w:rFonts w:ascii="Arial Narrow" w:hAnsi="Arial Narrow"/>
                <w:b/>
                <w:strike/>
                <w:sz w:val="20"/>
                <w:szCs w:val="20"/>
                <w:u w:val="single"/>
              </w:rPr>
            </w:pPr>
            <w:r w:rsidRPr="004C005A">
              <w:rPr>
                <w:rFonts w:ascii="Arial Narrow" w:hAnsi="Arial Narrow"/>
                <w:b/>
                <w:strike/>
                <w:sz w:val="20"/>
                <w:szCs w:val="20"/>
                <w:u w:val="single"/>
              </w:rPr>
              <w:t>Note</w:t>
            </w:r>
          </w:p>
          <w:p w14:paraId="49879067" w14:textId="77777777" w:rsidR="0093591E" w:rsidRPr="004C005A" w:rsidRDefault="0093591E" w:rsidP="007A591A">
            <w:pPr>
              <w:rPr>
                <w:rFonts w:ascii="Arial Narrow" w:hAnsi="Arial Narrow"/>
                <w:strike/>
                <w:sz w:val="20"/>
                <w:szCs w:val="20"/>
              </w:rPr>
            </w:pPr>
            <w:r w:rsidRPr="004C005A">
              <w:rPr>
                <w:rFonts w:ascii="Arial Narrow" w:hAnsi="Arial Narrow"/>
                <w:strike/>
                <w:sz w:val="20"/>
                <w:szCs w:val="20"/>
              </w:rPr>
              <w:t>Special Pricing Arrangements apply.</w:t>
            </w:r>
          </w:p>
        </w:tc>
      </w:tr>
    </w:tbl>
    <w:p w14:paraId="64CEC0D9" w14:textId="77777777" w:rsidR="0093591E" w:rsidRDefault="0093591E" w:rsidP="007A591A">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listing"/>
      </w:tblPr>
      <w:tblGrid>
        <w:gridCol w:w="1271"/>
        <w:gridCol w:w="2835"/>
        <w:gridCol w:w="1377"/>
        <w:gridCol w:w="829"/>
        <w:gridCol w:w="823"/>
        <w:gridCol w:w="822"/>
        <w:gridCol w:w="1110"/>
      </w:tblGrid>
      <w:tr w:rsidR="002F6310" w:rsidRPr="00F21EFC" w14:paraId="4EFF8FDF" w14:textId="77777777" w:rsidTr="00172E1B">
        <w:trPr>
          <w:trHeight w:val="50"/>
        </w:trPr>
        <w:tc>
          <w:tcPr>
            <w:tcW w:w="4106" w:type="dxa"/>
            <w:gridSpan w:val="2"/>
          </w:tcPr>
          <w:p w14:paraId="3E3A8849" w14:textId="77777777" w:rsidR="00EA584F" w:rsidRPr="00F21EFC" w:rsidRDefault="00EA584F" w:rsidP="007A591A">
            <w:pPr>
              <w:keepNext/>
              <w:ind w:left="-57"/>
              <w:rPr>
                <w:rFonts w:ascii="Arial Narrow" w:hAnsi="Arial Narrow" w:cs="Arial"/>
                <w:b/>
                <w:sz w:val="20"/>
                <w:szCs w:val="20"/>
              </w:rPr>
            </w:pPr>
            <w:r w:rsidRPr="00F21EFC">
              <w:rPr>
                <w:rFonts w:ascii="Arial Narrow" w:hAnsi="Arial Narrow" w:cs="Arial"/>
                <w:b/>
                <w:sz w:val="20"/>
                <w:szCs w:val="20"/>
              </w:rPr>
              <w:t>MEDICINAL PRODUCT</w:t>
            </w:r>
          </w:p>
          <w:p w14:paraId="668B28B1" w14:textId="77777777" w:rsidR="00EA584F" w:rsidRPr="00F21EFC" w:rsidRDefault="00EA584F" w:rsidP="007A591A">
            <w:pPr>
              <w:keepNext/>
              <w:ind w:left="-57"/>
              <w:rPr>
                <w:rFonts w:ascii="Arial Narrow" w:hAnsi="Arial Narrow" w:cs="Arial"/>
                <w:b/>
                <w:sz w:val="20"/>
                <w:szCs w:val="20"/>
              </w:rPr>
            </w:pPr>
            <w:r w:rsidRPr="00F21EFC">
              <w:rPr>
                <w:rFonts w:ascii="Arial Narrow" w:hAnsi="Arial Narrow" w:cs="Arial"/>
                <w:b/>
                <w:sz w:val="20"/>
                <w:szCs w:val="20"/>
              </w:rPr>
              <w:t>medicinal product pack</w:t>
            </w:r>
          </w:p>
        </w:tc>
        <w:tc>
          <w:tcPr>
            <w:tcW w:w="1377" w:type="dxa"/>
          </w:tcPr>
          <w:p w14:paraId="03A4F5C8"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b/>
                <w:sz w:val="20"/>
                <w:szCs w:val="20"/>
              </w:rPr>
              <w:t>PBS item code</w:t>
            </w:r>
          </w:p>
        </w:tc>
        <w:tc>
          <w:tcPr>
            <w:tcW w:w="829" w:type="dxa"/>
          </w:tcPr>
          <w:p w14:paraId="6A75A736"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b/>
                <w:sz w:val="20"/>
                <w:szCs w:val="20"/>
              </w:rPr>
              <w:t>Max. qty packs</w:t>
            </w:r>
          </w:p>
        </w:tc>
        <w:tc>
          <w:tcPr>
            <w:tcW w:w="823" w:type="dxa"/>
          </w:tcPr>
          <w:p w14:paraId="3E9CAD3E"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b/>
                <w:sz w:val="20"/>
                <w:szCs w:val="20"/>
              </w:rPr>
              <w:t>Max. qty units</w:t>
            </w:r>
          </w:p>
        </w:tc>
        <w:tc>
          <w:tcPr>
            <w:tcW w:w="822" w:type="dxa"/>
          </w:tcPr>
          <w:p w14:paraId="1BAEE936"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b/>
                <w:sz w:val="20"/>
                <w:szCs w:val="20"/>
              </w:rPr>
              <w:t>№.of</w:t>
            </w:r>
          </w:p>
          <w:p w14:paraId="20356D3F"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b/>
                <w:sz w:val="20"/>
                <w:szCs w:val="20"/>
              </w:rPr>
              <w:t>Rpts</w:t>
            </w:r>
          </w:p>
        </w:tc>
        <w:tc>
          <w:tcPr>
            <w:tcW w:w="1110" w:type="dxa"/>
          </w:tcPr>
          <w:p w14:paraId="3CACDF4E"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b/>
                <w:sz w:val="20"/>
                <w:szCs w:val="20"/>
              </w:rPr>
              <w:t>Available brands</w:t>
            </w:r>
          </w:p>
        </w:tc>
      </w:tr>
      <w:tr w:rsidR="00EA584F" w:rsidRPr="00F21EFC" w14:paraId="3F2E8245" w14:textId="77777777">
        <w:trPr>
          <w:trHeight w:val="50"/>
        </w:trPr>
        <w:tc>
          <w:tcPr>
            <w:tcW w:w="9067" w:type="dxa"/>
            <w:gridSpan w:val="7"/>
          </w:tcPr>
          <w:p w14:paraId="3D3F445D" w14:textId="77777777" w:rsidR="00EA584F" w:rsidRPr="00F21EFC" w:rsidRDefault="00EA584F" w:rsidP="007A591A">
            <w:pPr>
              <w:keepNext/>
              <w:ind w:left="-57"/>
              <w:rPr>
                <w:rFonts w:ascii="Arial Narrow" w:hAnsi="Arial Narrow" w:cs="Arial"/>
                <w:sz w:val="20"/>
                <w:szCs w:val="20"/>
              </w:rPr>
            </w:pPr>
            <w:r w:rsidRPr="00F21EFC">
              <w:rPr>
                <w:rFonts w:ascii="Arial Narrow" w:hAnsi="Arial Narrow" w:cs="Arial"/>
                <w:sz w:val="20"/>
                <w:szCs w:val="20"/>
              </w:rPr>
              <w:t>TOFERSEN</w:t>
            </w:r>
          </w:p>
        </w:tc>
      </w:tr>
      <w:tr w:rsidR="002F6310" w:rsidRPr="00F21EFC" w14:paraId="0A98F16F" w14:textId="77777777" w:rsidTr="00172E1B">
        <w:trPr>
          <w:trHeight w:val="50"/>
        </w:trPr>
        <w:tc>
          <w:tcPr>
            <w:tcW w:w="4106" w:type="dxa"/>
            <w:gridSpan w:val="2"/>
          </w:tcPr>
          <w:p w14:paraId="76486CC7" w14:textId="77777777" w:rsidR="00EA584F" w:rsidRPr="00F21EFC" w:rsidRDefault="00EA584F" w:rsidP="007A591A">
            <w:pPr>
              <w:keepNext/>
              <w:ind w:left="-57"/>
              <w:rPr>
                <w:rFonts w:ascii="Arial Narrow" w:hAnsi="Arial Narrow" w:cs="Arial"/>
                <w:b/>
                <w:sz w:val="20"/>
                <w:szCs w:val="20"/>
              </w:rPr>
            </w:pPr>
            <w:r w:rsidRPr="00F21EFC">
              <w:rPr>
                <w:rFonts w:ascii="Arial Narrow" w:hAnsi="Arial Narrow" w:cs="Arial"/>
                <w:sz w:val="20"/>
                <w:szCs w:val="20"/>
              </w:rPr>
              <w:t xml:space="preserve">tofersen 100 mg/ 15 mL injection, 15 mL vial </w:t>
            </w:r>
          </w:p>
        </w:tc>
        <w:tc>
          <w:tcPr>
            <w:tcW w:w="1377" w:type="dxa"/>
          </w:tcPr>
          <w:p w14:paraId="5381F4B8" w14:textId="77777777" w:rsidR="00EA584F" w:rsidRPr="00F21EFC" w:rsidRDefault="00EA584F" w:rsidP="007A591A">
            <w:pPr>
              <w:keepNext/>
              <w:jc w:val="center"/>
              <w:rPr>
                <w:rFonts w:ascii="Arial Narrow" w:hAnsi="Arial Narrow" w:cs="Arial"/>
                <w:sz w:val="20"/>
                <w:szCs w:val="20"/>
              </w:rPr>
            </w:pPr>
            <w:r w:rsidRPr="00F21EFC">
              <w:rPr>
                <w:rFonts w:ascii="Arial Narrow" w:hAnsi="Arial Narrow" w:cs="Arial"/>
                <w:sz w:val="20"/>
                <w:szCs w:val="20"/>
              </w:rPr>
              <w:t>NEW (Private)</w:t>
            </w:r>
          </w:p>
          <w:p w14:paraId="3B961C5F" w14:textId="77777777" w:rsidR="00EA584F" w:rsidRPr="00F21EFC" w:rsidRDefault="00EA584F" w:rsidP="007A591A">
            <w:pPr>
              <w:keepNext/>
              <w:jc w:val="center"/>
              <w:rPr>
                <w:rFonts w:ascii="Arial Narrow" w:hAnsi="Arial Narrow" w:cs="Arial"/>
                <w:sz w:val="20"/>
                <w:szCs w:val="20"/>
              </w:rPr>
            </w:pPr>
            <w:r w:rsidRPr="00F21EFC">
              <w:rPr>
                <w:rFonts w:ascii="Arial Narrow" w:hAnsi="Arial Narrow" w:cs="Arial"/>
                <w:sz w:val="20"/>
                <w:szCs w:val="20"/>
              </w:rPr>
              <w:t>NEW (Public)</w:t>
            </w:r>
          </w:p>
          <w:p w14:paraId="08CB4713"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sz w:val="20"/>
                <w:szCs w:val="20"/>
                <w:vertAlign w:val="subscript"/>
              </w:rPr>
              <w:t>MP</w:t>
            </w:r>
          </w:p>
        </w:tc>
        <w:tc>
          <w:tcPr>
            <w:tcW w:w="829" w:type="dxa"/>
          </w:tcPr>
          <w:p w14:paraId="79726037"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sz w:val="20"/>
                <w:szCs w:val="20"/>
              </w:rPr>
              <w:t>1</w:t>
            </w:r>
          </w:p>
        </w:tc>
        <w:tc>
          <w:tcPr>
            <w:tcW w:w="823" w:type="dxa"/>
          </w:tcPr>
          <w:p w14:paraId="33E226A7"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sz w:val="20"/>
                <w:szCs w:val="20"/>
              </w:rPr>
              <w:t>1</w:t>
            </w:r>
          </w:p>
        </w:tc>
        <w:tc>
          <w:tcPr>
            <w:tcW w:w="822" w:type="dxa"/>
          </w:tcPr>
          <w:p w14:paraId="05F19423" w14:textId="66E24AD4" w:rsidR="00EA584F" w:rsidRPr="00EA584F" w:rsidRDefault="00EA584F" w:rsidP="007A591A">
            <w:pPr>
              <w:keepNext/>
              <w:ind w:left="-57"/>
              <w:jc w:val="center"/>
              <w:rPr>
                <w:rFonts w:ascii="Arial Narrow" w:hAnsi="Arial Narrow" w:cs="Arial"/>
                <w:bCs/>
                <w:sz w:val="20"/>
                <w:szCs w:val="20"/>
              </w:rPr>
            </w:pPr>
            <w:r w:rsidRPr="00EA584F">
              <w:rPr>
                <w:rFonts w:ascii="Arial Narrow" w:hAnsi="Arial Narrow" w:cs="Arial"/>
                <w:bCs/>
                <w:sz w:val="20"/>
                <w:szCs w:val="20"/>
              </w:rPr>
              <w:t>6</w:t>
            </w:r>
          </w:p>
        </w:tc>
        <w:tc>
          <w:tcPr>
            <w:tcW w:w="1110" w:type="dxa"/>
          </w:tcPr>
          <w:p w14:paraId="1FCCB06C" w14:textId="77777777" w:rsidR="00EA584F" w:rsidRPr="00F21EFC" w:rsidRDefault="00EA584F" w:rsidP="007A591A">
            <w:pPr>
              <w:keepNext/>
              <w:ind w:left="-57"/>
              <w:jc w:val="center"/>
              <w:rPr>
                <w:rFonts w:ascii="Arial Narrow" w:hAnsi="Arial Narrow" w:cs="Arial"/>
                <w:b/>
                <w:sz w:val="20"/>
                <w:szCs w:val="20"/>
              </w:rPr>
            </w:pPr>
            <w:r w:rsidRPr="00F21EFC">
              <w:rPr>
                <w:rFonts w:ascii="Arial Narrow" w:hAnsi="Arial Narrow" w:cs="Arial"/>
                <w:sz w:val="20"/>
                <w:szCs w:val="20"/>
              </w:rPr>
              <w:t>Qalsody</w:t>
            </w:r>
          </w:p>
        </w:tc>
      </w:tr>
      <w:tr w:rsidR="00EA584F" w:rsidRPr="00F21EFC" w14:paraId="5BF1F2F1" w14:textId="77777777">
        <w:trPr>
          <w:trHeight w:val="50"/>
        </w:trPr>
        <w:tc>
          <w:tcPr>
            <w:tcW w:w="9067" w:type="dxa"/>
            <w:gridSpan w:val="7"/>
          </w:tcPr>
          <w:p w14:paraId="2872ECC4" w14:textId="77777777" w:rsidR="00EA584F" w:rsidRPr="00F21EFC" w:rsidRDefault="00EA584F" w:rsidP="007A591A">
            <w:pPr>
              <w:keepNext/>
              <w:ind w:left="-57"/>
              <w:rPr>
                <w:rFonts w:ascii="Arial Narrow" w:hAnsi="Arial Narrow" w:cs="Arial"/>
                <w:b/>
                <w:sz w:val="20"/>
                <w:szCs w:val="20"/>
              </w:rPr>
            </w:pPr>
          </w:p>
        </w:tc>
      </w:tr>
      <w:tr w:rsidR="004E3287" w:rsidRPr="00F21EFC" w14:paraId="4F74E853" w14:textId="77777777" w:rsidTr="004E3287">
        <w:trPr>
          <w:trHeight w:val="50"/>
        </w:trPr>
        <w:tc>
          <w:tcPr>
            <w:tcW w:w="1271" w:type="dxa"/>
            <w:vMerge w:val="restart"/>
            <w:vAlign w:val="center"/>
          </w:tcPr>
          <w:p w14:paraId="43C56AEF" w14:textId="77777777" w:rsidR="004E3287" w:rsidRDefault="004E3287" w:rsidP="007A591A">
            <w:pPr>
              <w:keepNext/>
              <w:keepLines/>
              <w:jc w:val="center"/>
              <w:rPr>
                <w:rFonts w:ascii="Arial Narrow" w:hAnsi="Arial Narrow"/>
                <w:kern w:val="2"/>
                <w:sz w:val="20"/>
                <w:szCs w:val="20"/>
              </w:rPr>
            </w:pPr>
            <w:r>
              <w:rPr>
                <w:rFonts w:ascii="Arial Narrow" w:hAnsi="Arial Narrow"/>
                <w:b/>
                <w:kern w:val="2"/>
                <w:sz w:val="20"/>
                <w:szCs w:val="20"/>
              </w:rPr>
              <w:t>Concept ID</w:t>
            </w:r>
          </w:p>
          <w:p w14:paraId="130218F7" w14:textId="4D6464D1" w:rsidR="004E3287" w:rsidRPr="00F21EFC" w:rsidRDefault="004E3287" w:rsidP="007A591A">
            <w:pPr>
              <w:keepNext/>
              <w:ind w:left="-57"/>
              <w:rPr>
                <w:rFonts w:ascii="Arial Narrow" w:hAnsi="Arial Narrow" w:cs="Arial"/>
                <w:b/>
                <w:sz w:val="20"/>
                <w:szCs w:val="20"/>
              </w:rPr>
            </w:pPr>
            <w:r>
              <w:rPr>
                <w:rFonts w:ascii="Arial Narrow" w:hAnsi="Arial Narrow"/>
                <w:b/>
                <w:sz w:val="20"/>
                <w:szCs w:val="20"/>
                <w:lang w:val="en-GB"/>
              </w:rPr>
              <w:t>(For Dept.</w:t>
            </w:r>
            <w:r w:rsidR="00BA3E54">
              <w:rPr>
                <w:rFonts w:ascii="Arial Narrow" w:hAnsi="Arial Narrow"/>
                <w:b/>
                <w:sz w:val="20"/>
                <w:szCs w:val="20"/>
                <w:lang w:val="en-GB"/>
              </w:rPr>
              <w:t xml:space="preserve"> </w:t>
            </w:r>
            <w:r>
              <w:rPr>
                <w:rFonts w:ascii="Arial Narrow" w:hAnsi="Arial Narrow"/>
                <w:b/>
                <w:sz w:val="20"/>
                <w:szCs w:val="20"/>
                <w:lang w:val="en-GB"/>
              </w:rPr>
              <w:t>use}</w:t>
            </w:r>
          </w:p>
        </w:tc>
        <w:tc>
          <w:tcPr>
            <w:tcW w:w="7796" w:type="dxa"/>
            <w:gridSpan w:val="6"/>
            <w:vAlign w:val="center"/>
          </w:tcPr>
          <w:p w14:paraId="492C9C4C" w14:textId="41E4B553" w:rsidR="004E3287" w:rsidRPr="00F21EFC" w:rsidRDefault="004E3287" w:rsidP="007A591A">
            <w:pPr>
              <w:keepNext/>
              <w:ind w:left="-57"/>
              <w:rPr>
                <w:rFonts w:ascii="Arial Narrow" w:hAnsi="Arial Narrow" w:cs="Arial"/>
                <w:b/>
                <w:sz w:val="20"/>
                <w:szCs w:val="20"/>
              </w:rPr>
            </w:pPr>
            <w:r w:rsidRPr="2D614269">
              <w:rPr>
                <w:rFonts w:ascii="Arial Narrow" w:hAnsi="Arial Narrow"/>
                <w:b/>
                <w:sz w:val="20"/>
                <w:szCs w:val="20"/>
              </w:rPr>
              <w:t>Category / Program:</w:t>
            </w:r>
            <w:r w:rsidRPr="2D614269">
              <w:rPr>
                <w:rFonts w:ascii="Arial Narrow" w:hAnsi="Arial Narrow"/>
                <w:sz w:val="20"/>
                <w:szCs w:val="20"/>
              </w:rPr>
              <w:t xml:space="preserve"> </w:t>
            </w:r>
            <w:r w:rsidRPr="2D614269">
              <w:rPr>
                <w:rFonts w:ascii="Arial Narrow" w:hAnsi="Arial Narrow"/>
                <w:sz w:val="20"/>
                <w:szCs w:val="20"/>
              </w:rPr>
              <w:fldChar w:fldCharType="begin"/>
            </w:r>
            <w:r w:rsidRPr="2D614269">
              <w:rPr>
                <w:rFonts w:ascii="Arial Narrow" w:hAnsi="Arial Narrow"/>
                <w:sz w:val="20"/>
                <w:szCs w:val="20"/>
              </w:rPr>
              <w:instrText xml:space="preserve"> FORMCHECKBOX </w:instrText>
            </w:r>
            <w:r w:rsidRPr="2D614269">
              <w:rPr>
                <w:rFonts w:ascii="Arial Narrow" w:hAnsi="Arial Narrow"/>
                <w:sz w:val="20"/>
                <w:szCs w:val="20"/>
              </w:rPr>
              <w:fldChar w:fldCharType="separate"/>
            </w:r>
            <w:r w:rsidRPr="2D614269">
              <w:rPr>
                <w:rFonts w:ascii="Arial Narrow" w:hAnsi="Arial Narrow"/>
                <w:sz w:val="20"/>
                <w:szCs w:val="20"/>
              </w:rPr>
              <w:fldChar w:fldCharType="end"/>
            </w:r>
            <w:r w:rsidRPr="2D614269">
              <w:rPr>
                <w:rFonts w:ascii="Arial Narrow" w:hAnsi="Arial Narrow"/>
                <w:sz w:val="20"/>
                <w:szCs w:val="20"/>
              </w:rPr>
              <w:t xml:space="preserve"> </w:t>
            </w:r>
            <w:r w:rsidRPr="2D614269">
              <w:rPr>
                <w:rFonts w:ascii="Arial Narrow" w:eastAsia="Calibri" w:hAnsi="Arial Narrow"/>
                <w:sz w:val="20"/>
                <w:szCs w:val="20"/>
              </w:rPr>
              <w:t>Section 100 – Highly Specialised Drugs Program – Public (Code HB) / Private (Code HS)</w:t>
            </w:r>
          </w:p>
        </w:tc>
      </w:tr>
      <w:tr w:rsidR="004E3287" w:rsidRPr="00F21EFC" w14:paraId="0E4036B6" w14:textId="77777777" w:rsidTr="00032A8D">
        <w:trPr>
          <w:trHeight w:val="61"/>
        </w:trPr>
        <w:tc>
          <w:tcPr>
            <w:tcW w:w="1271" w:type="dxa"/>
            <w:vMerge/>
            <w:vAlign w:val="center"/>
          </w:tcPr>
          <w:p w14:paraId="304EECA3" w14:textId="77777777" w:rsidR="004E3287" w:rsidRPr="00F21EFC" w:rsidRDefault="004E3287" w:rsidP="007A591A">
            <w:pPr>
              <w:keepNext/>
              <w:ind w:left="-57"/>
              <w:rPr>
                <w:rFonts w:ascii="Arial Narrow" w:hAnsi="Arial Narrow" w:cs="Arial"/>
                <w:b/>
                <w:sz w:val="20"/>
                <w:szCs w:val="20"/>
              </w:rPr>
            </w:pPr>
          </w:p>
        </w:tc>
        <w:tc>
          <w:tcPr>
            <w:tcW w:w="7796" w:type="dxa"/>
            <w:gridSpan w:val="6"/>
            <w:vAlign w:val="center"/>
          </w:tcPr>
          <w:p w14:paraId="3BA6EF89" w14:textId="7E0D090A" w:rsidR="004E3287" w:rsidRPr="00F21EFC" w:rsidRDefault="004E3287" w:rsidP="007A591A">
            <w:pPr>
              <w:keepNext/>
              <w:ind w:left="-57"/>
              <w:rPr>
                <w:rFonts w:ascii="Arial Narrow" w:hAnsi="Arial Narrow" w:cs="Arial"/>
                <w:b/>
                <w:sz w:val="20"/>
                <w:szCs w:val="20"/>
              </w:rPr>
            </w:pPr>
            <w:r w:rsidRPr="00F21EFC">
              <w:rPr>
                <w:rFonts w:ascii="Arial Narrow" w:hAnsi="Arial Narrow"/>
                <w:b/>
                <w:kern w:val="2"/>
                <w:sz w:val="20"/>
                <w:szCs w:val="20"/>
              </w:rPr>
              <w:t xml:space="preserve">Prescriber type: </w:t>
            </w:r>
            <w:r w:rsidRPr="00F21EFC">
              <w:rPr>
                <w:rFonts w:ascii="Arial Narrow" w:hAnsi="Arial Narrow"/>
                <w:kern w:val="2"/>
                <w:sz w:val="20"/>
                <w:szCs w:val="20"/>
              </w:rPr>
              <w:fldChar w:fldCharType="begin">
                <w:ffData>
                  <w:name w:val=""/>
                  <w:enabled/>
                  <w:calcOnExit w:val="0"/>
                  <w:checkBox>
                    <w:sizeAuto/>
                    <w:default w:val="1"/>
                  </w:checkBox>
                </w:ffData>
              </w:fldChar>
            </w:r>
            <w:r w:rsidRPr="00F21EFC">
              <w:rPr>
                <w:rFonts w:ascii="Arial Narrow" w:hAnsi="Arial Narrow"/>
                <w:kern w:val="2"/>
                <w:sz w:val="20"/>
                <w:szCs w:val="20"/>
              </w:rPr>
              <w:instrText xml:space="preserve"> FORMCHECKBOX </w:instrText>
            </w:r>
            <w:r w:rsidRPr="00F21EFC">
              <w:rPr>
                <w:rFonts w:ascii="Arial Narrow" w:hAnsi="Arial Narrow"/>
                <w:kern w:val="2"/>
                <w:sz w:val="20"/>
                <w:szCs w:val="20"/>
              </w:rPr>
            </w:r>
            <w:r w:rsidRPr="00F21EFC">
              <w:rPr>
                <w:rFonts w:ascii="Arial Narrow" w:hAnsi="Arial Narrow"/>
                <w:kern w:val="2"/>
                <w:sz w:val="20"/>
                <w:szCs w:val="20"/>
              </w:rPr>
              <w:fldChar w:fldCharType="separate"/>
            </w:r>
            <w:r w:rsidRPr="00F21EFC">
              <w:rPr>
                <w:rFonts w:ascii="Arial Narrow" w:hAnsi="Arial Narrow"/>
                <w:kern w:val="2"/>
                <w:sz w:val="20"/>
                <w:szCs w:val="20"/>
              </w:rPr>
              <w:fldChar w:fldCharType="end"/>
            </w:r>
            <w:r w:rsidRPr="00F21EFC">
              <w:rPr>
                <w:rFonts w:ascii="Arial Narrow" w:hAnsi="Arial Narrow"/>
                <w:kern w:val="2"/>
                <w:sz w:val="20"/>
                <w:szCs w:val="20"/>
              </w:rPr>
              <w:t xml:space="preserve"> Medical Practitioners </w:t>
            </w:r>
          </w:p>
        </w:tc>
      </w:tr>
      <w:tr w:rsidR="004E3287" w:rsidRPr="00F21EFC" w14:paraId="66B88D66" w14:textId="77777777" w:rsidTr="004E3287">
        <w:trPr>
          <w:trHeight w:val="50"/>
        </w:trPr>
        <w:tc>
          <w:tcPr>
            <w:tcW w:w="1271" w:type="dxa"/>
            <w:vMerge/>
            <w:vAlign w:val="center"/>
          </w:tcPr>
          <w:p w14:paraId="7F61F73A" w14:textId="77777777" w:rsidR="004E3287" w:rsidRPr="00F21EFC" w:rsidRDefault="004E3287" w:rsidP="007A591A">
            <w:pPr>
              <w:keepNext/>
              <w:ind w:left="-57"/>
              <w:rPr>
                <w:rFonts w:ascii="Arial Narrow" w:hAnsi="Arial Narrow" w:cs="Arial"/>
                <w:b/>
                <w:sz w:val="20"/>
                <w:szCs w:val="20"/>
              </w:rPr>
            </w:pPr>
          </w:p>
        </w:tc>
        <w:tc>
          <w:tcPr>
            <w:tcW w:w="7796" w:type="dxa"/>
            <w:gridSpan w:val="6"/>
            <w:vAlign w:val="center"/>
          </w:tcPr>
          <w:p w14:paraId="44D2D169" w14:textId="5520C74F" w:rsidR="004E3287" w:rsidRPr="00F21EFC" w:rsidRDefault="004E3287" w:rsidP="007A591A">
            <w:pPr>
              <w:keepNext/>
              <w:ind w:left="-57"/>
              <w:rPr>
                <w:rFonts w:ascii="Arial Narrow" w:hAnsi="Arial Narrow" w:cs="Arial"/>
                <w:b/>
                <w:sz w:val="20"/>
                <w:szCs w:val="20"/>
              </w:rPr>
            </w:pPr>
            <w:r w:rsidRPr="00F21EFC">
              <w:rPr>
                <w:rFonts w:ascii="Arial Narrow" w:hAnsi="Arial Narrow"/>
                <w:b/>
                <w:kern w:val="2"/>
                <w:sz w:val="20"/>
                <w:szCs w:val="20"/>
              </w:rPr>
              <w:t xml:space="preserve">Benefit type: </w:t>
            </w:r>
            <w:r w:rsidRPr="00F21EFC">
              <w:rPr>
                <w:rFonts w:ascii="Arial Narrow" w:hAnsi="Arial Narrow"/>
                <w:kern w:val="2"/>
                <w:sz w:val="20"/>
                <w:szCs w:val="20"/>
              </w:rPr>
              <w:fldChar w:fldCharType="begin">
                <w:ffData>
                  <w:name w:val=""/>
                  <w:enabled/>
                  <w:calcOnExit w:val="0"/>
                  <w:checkBox>
                    <w:sizeAuto/>
                    <w:default w:val="1"/>
                  </w:checkBox>
                </w:ffData>
              </w:fldChar>
            </w:r>
            <w:r w:rsidRPr="00F21EFC">
              <w:rPr>
                <w:rFonts w:ascii="Arial Narrow" w:hAnsi="Arial Narrow"/>
                <w:kern w:val="2"/>
                <w:sz w:val="20"/>
                <w:szCs w:val="20"/>
              </w:rPr>
              <w:instrText xml:space="preserve"> FORMCHECKBOX </w:instrText>
            </w:r>
            <w:r w:rsidRPr="00F21EFC">
              <w:rPr>
                <w:rFonts w:ascii="Arial Narrow" w:hAnsi="Arial Narrow"/>
                <w:kern w:val="2"/>
                <w:sz w:val="20"/>
                <w:szCs w:val="20"/>
              </w:rPr>
            </w:r>
            <w:r w:rsidRPr="00F21EFC">
              <w:rPr>
                <w:rFonts w:ascii="Arial Narrow" w:hAnsi="Arial Narrow"/>
                <w:kern w:val="2"/>
                <w:sz w:val="20"/>
                <w:szCs w:val="20"/>
              </w:rPr>
              <w:fldChar w:fldCharType="separate"/>
            </w:r>
            <w:r w:rsidRPr="00F21EFC">
              <w:rPr>
                <w:rFonts w:ascii="Arial Narrow" w:hAnsi="Arial Narrow"/>
                <w:kern w:val="2"/>
                <w:sz w:val="20"/>
                <w:szCs w:val="20"/>
              </w:rPr>
              <w:fldChar w:fldCharType="end"/>
            </w:r>
            <w:r w:rsidRPr="00F21EFC">
              <w:rPr>
                <w:rFonts w:ascii="Arial Narrow" w:hAnsi="Arial Narrow"/>
                <w:kern w:val="2"/>
                <w:sz w:val="20"/>
                <w:szCs w:val="20"/>
              </w:rPr>
              <w:t xml:space="preserve"> </w:t>
            </w:r>
            <w:r w:rsidRPr="00F21EFC">
              <w:rPr>
                <w:rFonts w:ascii="Arial Narrow" w:eastAsia="Calibri" w:hAnsi="Arial Narrow"/>
                <w:kern w:val="2"/>
                <w:sz w:val="20"/>
                <w:szCs w:val="20"/>
              </w:rPr>
              <w:t xml:space="preserve">Authority Required (Telephone/ Online PBS Authorities System) </w:t>
            </w:r>
          </w:p>
        </w:tc>
      </w:tr>
      <w:tr w:rsidR="004E3287" w:rsidRPr="00F21EFC" w14:paraId="549B268A" w14:textId="77777777">
        <w:trPr>
          <w:trHeight w:val="50"/>
        </w:trPr>
        <w:tc>
          <w:tcPr>
            <w:tcW w:w="9067" w:type="dxa"/>
            <w:gridSpan w:val="7"/>
          </w:tcPr>
          <w:p w14:paraId="2A0673F4" w14:textId="5037D724" w:rsidR="004E3287" w:rsidRPr="00F21EFC" w:rsidRDefault="004E3287" w:rsidP="007A591A">
            <w:pPr>
              <w:keepNext/>
              <w:rPr>
                <w:rFonts w:ascii="Arial Narrow" w:hAnsi="Arial Narrow" w:cs="Arial"/>
                <w:b/>
                <w:sz w:val="20"/>
                <w:szCs w:val="20"/>
              </w:rPr>
            </w:pPr>
            <w:r>
              <w:rPr>
                <w:rFonts w:ascii="Arial Narrow" w:hAnsi="Arial Narrow" w:cs="Arial"/>
                <w:b/>
                <w:kern w:val="2"/>
                <w:sz w:val="20"/>
                <w:szCs w:val="20"/>
                <w:lang w:eastAsia="en-US"/>
                <w14:ligatures w14:val="standardContextual"/>
              </w:rPr>
              <w:t>Prescribing rule level:</w:t>
            </w:r>
            <w:r w:rsidR="007A591A">
              <w:rPr>
                <w:rFonts w:ascii="Arial Narrow" w:hAnsi="Arial Narrow" w:cs="Arial"/>
                <w:b/>
                <w:kern w:val="2"/>
                <w:sz w:val="20"/>
                <w:szCs w:val="20"/>
                <w:lang w:eastAsia="en-US"/>
                <w14:ligatures w14:val="standardContextual"/>
              </w:rPr>
              <w:t xml:space="preserve"> </w:t>
            </w:r>
          </w:p>
        </w:tc>
      </w:tr>
      <w:tr w:rsidR="004E3287" w:rsidRPr="00F21EFC" w14:paraId="14418E54" w14:textId="77777777" w:rsidTr="00172E1B">
        <w:trPr>
          <w:trHeight w:val="50"/>
        </w:trPr>
        <w:tc>
          <w:tcPr>
            <w:tcW w:w="1271" w:type="dxa"/>
            <w:tcBorders>
              <w:top w:val="single" w:sz="4" w:space="0" w:color="auto"/>
              <w:left w:val="single" w:sz="4" w:space="0" w:color="auto"/>
              <w:bottom w:val="single" w:sz="4" w:space="0" w:color="auto"/>
              <w:right w:val="single" w:sz="4" w:space="0" w:color="auto"/>
            </w:tcBorders>
          </w:tcPr>
          <w:p w14:paraId="12419B3C" w14:textId="766FBF42" w:rsidR="004E3287" w:rsidRPr="00F21EFC" w:rsidRDefault="004E3287" w:rsidP="007A591A">
            <w:pPr>
              <w:keepNext/>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20BA7E57" w14:textId="77777777" w:rsidR="004E3287" w:rsidRPr="006D7FED" w:rsidRDefault="004E328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Administrative Advice:</w:t>
            </w:r>
          </w:p>
          <w:p w14:paraId="79ED00B8" w14:textId="2D8D9C8F" w:rsidR="004E3287" w:rsidRPr="00F21EFC" w:rsidRDefault="004E3287" w:rsidP="007A591A">
            <w:pPr>
              <w:keepNext/>
              <w:rPr>
                <w:rFonts w:ascii="Arial Narrow" w:hAnsi="Arial Narrow" w:cs="Arial"/>
                <w:b/>
                <w:sz w:val="20"/>
                <w:szCs w:val="20"/>
              </w:rPr>
            </w:pPr>
            <w:r w:rsidRPr="006D7FED">
              <w:rPr>
                <w:rFonts w:ascii="Arial Narrow" w:hAnsi="Arial Narrow" w:cs="Arial"/>
                <w:bCs/>
                <w:i/>
                <w:iCs/>
                <w:kern w:val="2"/>
                <w:sz w:val="20"/>
                <w:szCs w:val="20"/>
                <w:lang w:eastAsia="en-US"/>
                <w14:ligatures w14:val="standardContextual"/>
              </w:rPr>
              <w:t>No increase in the maximum quantity or number of units may be authorised.</w:t>
            </w:r>
          </w:p>
        </w:tc>
      </w:tr>
      <w:tr w:rsidR="004E3287" w:rsidRPr="00F21EFC" w14:paraId="52915EB6" w14:textId="77777777" w:rsidTr="00172E1B">
        <w:trPr>
          <w:trHeight w:val="50"/>
        </w:trPr>
        <w:tc>
          <w:tcPr>
            <w:tcW w:w="1271" w:type="dxa"/>
            <w:tcBorders>
              <w:top w:val="single" w:sz="4" w:space="0" w:color="auto"/>
              <w:left w:val="single" w:sz="4" w:space="0" w:color="auto"/>
              <w:bottom w:val="single" w:sz="4" w:space="0" w:color="auto"/>
              <w:right w:val="single" w:sz="4" w:space="0" w:color="auto"/>
            </w:tcBorders>
          </w:tcPr>
          <w:p w14:paraId="7532ECD5" w14:textId="3809496D" w:rsidR="004E3287" w:rsidRPr="00F21EFC" w:rsidRDefault="004E3287" w:rsidP="007A591A">
            <w:pPr>
              <w:keepNext/>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3EE69C30" w14:textId="77777777" w:rsidR="004E3287" w:rsidRPr="006D7FED" w:rsidRDefault="004E328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Administrative Advice:</w:t>
            </w:r>
          </w:p>
          <w:p w14:paraId="3DB48CFB" w14:textId="3002B7F4" w:rsidR="004E3287" w:rsidRPr="00F21EFC" w:rsidRDefault="004E3287" w:rsidP="007A591A">
            <w:pPr>
              <w:keepNext/>
              <w:rPr>
                <w:rFonts w:ascii="Arial Narrow" w:hAnsi="Arial Narrow" w:cs="Arial"/>
                <w:b/>
                <w:sz w:val="20"/>
                <w:szCs w:val="20"/>
              </w:rPr>
            </w:pPr>
            <w:r w:rsidRPr="006D7FED">
              <w:rPr>
                <w:rFonts w:ascii="Arial Narrow" w:hAnsi="Arial Narrow"/>
                <w:i/>
                <w:iCs/>
                <w:color w:val="333333"/>
                <w:kern w:val="2"/>
                <w:sz w:val="20"/>
                <w:szCs w:val="20"/>
              </w:rPr>
              <w:t xml:space="preserve">No increase in the maximum number of repeats may be authorised. </w:t>
            </w:r>
          </w:p>
        </w:tc>
      </w:tr>
      <w:tr w:rsidR="004E3287" w:rsidRPr="00F21EFC" w14:paraId="1D25695C" w14:textId="77777777" w:rsidTr="00172E1B">
        <w:trPr>
          <w:trHeight w:val="50"/>
        </w:trPr>
        <w:tc>
          <w:tcPr>
            <w:tcW w:w="1271" w:type="dxa"/>
            <w:tcBorders>
              <w:top w:val="single" w:sz="4" w:space="0" w:color="auto"/>
              <w:left w:val="single" w:sz="4" w:space="0" w:color="auto"/>
              <w:bottom w:val="single" w:sz="4" w:space="0" w:color="auto"/>
              <w:right w:val="single" w:sz="4" w:space="0" w:color="auto"/>
            </w:tcBorders>
          </w:tcPr>
          <w:p w14:paraId="1E4C98CA" w14:textId="1587F91E" w:rsidR="004E3287" w:rsidRPr="00F21EFC" w:rsidRDefault="004E3287" w:rsidP="007A591A">
            <w:pPr>
              <w:keepNext/>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0AB897A4" w14:textId="77777777" w:rsidR="004E3287" w:rsidRPr="004C005A" w:rsidRDefault="004E3287" w:rsidP="007A591A">
            <w:pPr>
              <w:keepLines/>
              <w:rPr>
                <w:rFonts w:ascii="Arial Narrow" w:hAnsi="Arial Narrow"/>
                <w:b/>
                <w:bCs/>
                <w:i/>
                <w:iCs/>
                <w:color w:val="333333"/>
                <w:kern w:val="2"/>
                <w:sz w:val="20"/>
                <w:szCs w:val="20"/>
              </w:rPr>
            </w:pPr>
            <w:r w:rsidRPr="004C005A">
              <w:rPr>
                <w:rFonts w:ascii="Arial Narrow" w:hAnsi="Arial Narrow"/>
                <w:b/>
                <w:bCs/>
                <w:i/>
                <w:iCs/>
                <w:color w:val="333333"/>
                <w:kern w:val="2"/>
                <w:sz w:val="20"/>
                <w:szCs w:val="20"/>
              </w:rPr>
              <w:t>Administrative Advice:</w:t>
            </w:r>
          </w:p>
          <w:p w14:paraId="7B8E4CCE" w14:textId="669E19F6" w:rsidR="004E3287" w:rsidRPr="00F21EFC" w:rsidRDefault="004E3287" w:rsidP="007A591A">
            <w:pPr>
              <w:keepNext/>
              <w:rPr>
                <w:rFonts w:ascii="Arial Narrow" w:hAnsi="Arial Narrow" w:cs="Arial"/>
                <w:b/>
                <w:sz w:val="20"/>
                <w:szCs w:val="20"/>
              </w:rPr>
            </w:pPr>
            <w:r w:rsidRPr="004C005A">
              <w:rPr>
                <w:rFonts w:ascii="Arial Narrow" w:hAnsi="Arial Narrow"/>
                <w:i/>
                <w:iCs/>
                <w:color w:val="333333"/>
                <w:kern w:val="2"/>
                <w:sz w:val="20"/>
                <w:szCs w:val="20"/>
              </w:rPr>
              <w:t>Special Pricing Arrangements apply.</w:t>
            </w:r>
            <w:r w:rsidRPr="004C005A">
              <w:rPr>
                <w:rFonts w:ascii="Arial Narrow" w:hAnsi="Arial Narrow"/>
                <w:b/>
                <w:i/>
                <w:iCs/>
                <w:color w:val="333333"/>
                <w:kern w:val="2"/>
                <w:sz w:val="20"/>
                <w:szCs w:val="20"/>
              </w:rPr>
              <w:t xml:space="preserve"> </w:t>
            </w:r>
          </w:p>
        </w:tc>
      </w:tr>
      <w:tr w:rsidR="004E3287" w:rsidRPr="00F21EFC" w14:paraId="301C0566" w14:textId="77777777" w:rsidTr="00172E1B">
        <w:trPr>
          <w:trHeight w:val="50"/>
        </w:trPr>
        <w:tc>
          <w:tcPr>
            <w:tcW w:w="1271" w:type="dxa"/>
            <w:tcBorders>
              <w:top w:val="single" w:sz="4" w:space="0" w:color="auto"/>
              <w:left w:val="single" w:sz="4" w:space="0" w:color="auto"/>
              <w:bottom w:val="single" w:sz="4" w:space="0" w:color="auto"/>
              <w:right w:val="single" w:sz="4" w:space="0" w:color="auto"/>
            </w:tcBorders>
          </w:tcPr>
          <w:p w14:paraId="1BFF2660" w14:textId="4E5217EA" w:rsidR="004E3287" w:rsidRPr="00F21EFC" w:rsidRDefault="004E3287" w:rsidP="007A591A">
            <w:pPr>
              <w:keepNext/>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4FDEF3AC" w14:textId="77777777" w:rsidR="004E3287" w:rsidRPr="006D7FED" w:rsidRDefault="004E328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 xml:space="preserve">Administrative Advice: </w:t>
            </w:r>
          </w:p>
          <w:p w14:paraId="266FF523" w14:textId="3736FFFA" w:rsidR="004E3287" w:rsidRPr="00F21EFC" w:rsidRDefault="004E3287" w:rsidP="007A591A">
            <w:pPr>
              <w:keepNext/>
              <w:ind w:left="-57"/>
              <w:rPr>
                <w:rFonts w:ascii="Arial Narrow" w:hAnsi="Arial Narrow" w:cs="Arial"/>
                <w:b/>
                <w:sz w:val="20"/>
                <w:szCs w:val="20"/>
              </w:rPr>
            </w:pPr>
            <w:r w:rsidRPr="006D7FED">
              <w:rPr>
                <w:rFonts w:ascii="Arial Narrow" w:hAnsi="Arial Narrow"/>
                <w:i/>
                <w:iCs/>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r w:rsidR="00637533" w:rsidRPr="00F21EFC" w14:paraId="539633F9" w14:textId="77777777" w:rsidTr="00172E1B">
        <w:trPr>
          <w:trHeight w:val="50"/>
        </w:trPr>
        <w:tc>
          <w:tcPr>
            <w:tcW w:w="1271" w:type="dxa"/>
            <w:tcBorders>
              <w:top w:val="single" w:sz="4" w:space="0" w:color="auto"/>
              <w:left w:val="single" w:sz="4" w:space="0" w:color="auto"/>
              <w:bottom w:val="single" w:sz="4" w:space="0" w:color="auto"/>
              <w:right w:val="single" w:sz="4" w:space="0" w:color="auto"/>
            </w:tcBorders>
          </w:tcPr>
          <w:p w14:paraId="01C8082B" w14:textId="5FBE5BCE" w:rsidR="00637533" w:rsidRPr="006D7FED" w:rsidRDefault="00637533" w:rsidP="007A591A">
            <w:pPr>
              <w:keepNext/>
              <w:rPr>
                <w:rFonts w:ascii="Arial Narrow" w:hAnsi="Arial Narrow"/>
                <w:i/>
                <w:iCs/>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21ECF077" w14:textId="5E076C00" w:rsidR="00637533" w:rsidRPr="00021BB9" w:rsidRDefault="00021BB9" w:rsidP="007A591A">
            <w:pPr>
              <w:rPr>
                <w:rFonts w:ascii="Arial Narrow" w:hAnsi="Arial Narrow"/>
                <w:b/>
                <w:bCs/>
                <w:i/>
                <w:iCs/>
                <w:color w:val="333333"/>
                <w:kern w:val="2"/>
                <w:sz w:val="20"/>
                <w:szCs w:val="20"/>
              </w:rPr>
            </w:pPr>
            <w:r>
              <w:rPr>
                <w:rFonts w:ascii="Arial Narrow" w:hAnsi="Arial Narrow"/>
                <w:b/>
                <w:bCs/>
                <w:i/>
                <w:iCs/>
                <w:color w:val="333333"/>
                <w:kern w:val="2"/>
                <w:sz w:val="20"/>
                <w:szCs w:val="20"/>
              </w:rPr>
              <w:t>Administrative Advice:</w:t>
            </w:r>
          </w:p>
          <w:p w14:paraId="08B54307" w14:textId="4D4DB77A" w:rsidR="00021BB9" w:rsidRPr="00EF250F" w:rsidRDefault="00021BB9" w:rsidP="007A591A">
            <w:pPr>
              <w:jc w:val="left"/>
              <w:rPr>
                <w:rFonts w:ascii="Arial Narrow" w:hAnsi="Arial Narrow"/>
                <w:i/>
                <w:iCs/>
                <w:color w:val="333333"/>
                <w:kern w:val="2"/>
                <w:sz w:val="20"/>
                <w:szCs w:val="20"/>
              </w:rPr>
            </w:pPr>
            <w:r w:rsidRPr="00EF250F">
              <w:rPr>
                <w:rFonts w:ascii="Arial Narrow" w:hAnsi="Arial Narrow"/>
                <w:i/>
                <w:iCs/>
                <w:color w:val="333333"/>
                <w:kern w:val="2"/>
                <w:sz w:val="20"/>
                <w:szCs w:val="20"/>
              </w:rPr>
              <w:t xml:space="preserve">The ALS Functional Rating Scale </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 xml:space="preserve"> Revised (ALSFRS</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R) can be accessed online at:</w:t>
            </w:r>
          </w:p>
          <w:p w14:paraId="71EE072D" w14:textId="03576292" w:rsidR="00021BB9" w:rsidRPr="006D7FED" w:rsidRDefault="00021BB9" w:rsidP="007A591A">
            <w:pPr>
              <w:jc w:val="left"/>
              <w:rPr>
                <w:rFonts w:ascii="Arial Narrow" w:hAnsi="Arial Narrow"/>
                <w:b/>
                <w:bCs/>
                <w:i/>
                <w:iCs/>
                <w:color w:val="333333"/>
                <w:kern w:val="2"/>
                <w:sz w:val="20"/>
                <w:szCs w:val="20"/>
              </w:rPr>
            </w:pPr>
            <w:r w:rsidRPr="00EF250F">
              <w:rPr>
                <w:rFonts w:ascii="Arial Narrow" w:hAnsi="Arial Narrow"/>
                <w:i/>
                <w:iCs/>
                <w:color w:val="333333"/>
                <w:kern w:val="2"/>
                <w:sz w:val="20"/>
                <w:szCs w:val="20"/>
              </w:rPr>
              <w:t>www.mdcalc.com/calc/10166/revised</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amyotrophic</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lateral</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sclerosis</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functional</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rating</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scale</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alsfrs</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r or https://neurotoolkit.com/alsfrs</w:t>
            </w:r>
            <w:r w:rsidR="007A591A">
              <w:rPr>
                <w:rFonts w:ascii="Arial Narrow" w:hAnsi="Arial Narrow"/>
                <w:i/>
                <w:iCs/>
                <w:color w:val="333333"/>
                <w:kern w:val="2"/>
                <w:sz w:val="20"/>
                <w:szCs w:val="20"/>
              </w:rPr>
              <w:noBreakHyphen/>
            </w:r>
            <w:r w:rsidRPr="00EF250F">
              <w:rPr>
                <w:rFonts w:ascii="Arial Narrow" w:hAnsi="Arial Narrow"/>
                <w:i/>
                <w:iCs/>
                <w:color w:val="333333"/>
                <w:kern w:val="2"/>
                <w:sz w:val="20"/>
                <w:szCs w:val="20"/>
              </w:rPr>
              <w:t>r/</w:t>
            </w:r>
          </w:p>
        </w:tc>
      </w:tr>
      <w:tr w:rsidR="00EA584F" w:rsidRPr="00F21EFC" w14:paraId="563983F9" w14:textId="77777777">
        <w:trPr>
          <w:trHeight w:val="50"/>
        </w:trPr>
        <w:tc>
          <w:tcPr>
            <w:tcW w:w="9067" w:type="dxa"/>
            <w:gridSpan w:val="7"/>
          </w:tcPr>
          <w:p w14:paraId="61640C52" w14:textId="74D77690" w:rsidR="00EA584F" w:rsidRPr="00F21EFC" w:rsidRDefault="00EA584F" w:rsidP="007A591A">
            <w:pPr>
              <w:keepNext/>
              <w:ind w:left="-57"/>
              <w:rPr>
                <w:rFonts w:ascii="Arial Narrow" w:hAnsi="Arial Narrow" w:cs="Arial"/>
                <w:b/>
                <w:sz w:val="20"/>
                <w:szCs w:val="20"/>
              </w:rPr>
            </w:pPr>
            <w:r>
              <w:rPr>
                <w:rFonts w:ascii="Arial Narrow" w:hAnsi="Arial Narrow"/>
                <w:b/>
                <w:kern w:val="2"/>
                <w:sz w:val="20"/>
                <w:szCs w:val="20"/>
              </w:rPr>
              <w:t xml:space="preserve">Restriction </w:t>
            </w:r>
            <w:r w:rsidRPr="00CB1007">
              <w:rPr>
                <w:rFonts w:ascii="Arial Narrow" w:hAnsi="Arial Narrow"/>
                <w:b/>
                <w:kern w:val="2"/>
                <w:sz w:val="20"/>
                <w:szCs w:val="20"/>
              </w:rPr>
              <w:t>Summary [new</w:t>
            </w:r>
            <w:r>
              <w:rPr>
                <w:rFonts w:ascii="Arial Narrow" w:hAnsi="Arial Narrow"/>
                <w:b/>
                <w:kern w:val="2"/>
                <w:sz w:val="20"/>
                <w:szCs w:val="20"/>
              </w:rPr>
              <w:t>2</w:t>
            </w:r>
            <w:r w:rsidRPr="00CB1007">
              <w:rPr>
                <w:rFonts w:ascii="Arial Narrow" w:hAnsi="Arial Narrow"/>
                <w:b/>
                <w:kern w:val="2"/>
                <w:sz w:val="20"/>
                <w:szCs w:val="20"/>
              </w:rPr>
              <w:t>] / Treatment of Concept: [new</w:t>
            </w:r>
            <w:r>
              <w:rPr>
                <w:rFonts w:ascii="Arial Narrow" w:hAnsi="Arial Narrow"/>
                <w:b/>
                <w:kern w:val="2"/>
                <w:sz w:val="20"/>
                <w:szCs w:val="20"/>
              </w:rPr>
              <w:t>2</w:t>
            </w:r>
            <w:r w:rsidRPr="00CB1007">
              <w:rPr>
                <w:rFonts w:ascii="Arial Narrow" w:hAnsi="Arial Narrow"/>
                <w:b/>
                <w:kern w:val="2"/>
                <w:sz w:val="20"/>
                <w:szCs w:val="20"/>
              </w:rPr>
              <w:t>A]</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96"/>
      </w:tblGrid>
      <w:tr w:rsidR="004E3287" w:rsidRPr="006E0984" w14:paraId="07AC58D4" w14:textId="77777777" w:rsidTr="004E3287">
        <w:trPr>
          <w:trHeight w:val="35"/>
        </w:trPr>
        <w:tc>
          <w:tcPr>
            <w:tcW w:w="1271" w:type="dxa"/>
            <w:vAlign w:val="center"/>
          </w:tcPr>
          <w:p w14:paraId="59146E73" w14:textId="24D4E5F3" w:rsidR="004E3287" w:rsidRPr="006E0984" w:rsidRDefault="004E3287" w:rsidP="007A591A">
            <w:pPr>
              <w:jc w:val="center"/>
              <w:rPr>
                <w:rFonts w:ascii="Arial Narrow" w:hAnsi="Arial Narrow"/>
                <w:sz w:val="20"/>
                <w:szCs w:val="20"/>
              </w:rPr>
            </w:pPr>
          </w:p>
        </w:tc>
        <w:tc>
          <w:tcPr>
            <w:tcW w:w="7796" w:type="dxa"/>
            <w:vAlign w:val="center"/>
          </w:tcPr>
          <w:p w14:paraId="7FDE2131" w14:textId="44526126" w:rsidR="004E3287" w:rsidRPr="006E0984" w:rsidRDefault="004E3287" w:rsidP="007A591A">
            <w:pPr>
              <w:rPr>
                <w:rFonts w:ascii="Arial Narrow" w:hAnsi="Arial Narrow"/>
                <w:b/>
                <w:sz w:val="20"/>
                <w:szCs w:val="20"/>
              </w:rPr>
            </w:pPr>
            <w:r w:rsidRPr="00DA782F">
              <w:rPr>
                <w:rFonts w:ascii="Arial Narrow" w:hAnsi="Arial Narrow"/>
                <w:b/>
                <w:sz w:val="20"/>
                <w:szCs w:val="20"/>
              </w:rPr>
              <w:t>Indication:</w:t>
            </w:r>
            <w:r w:rsidRPr="00DA782F">
              <w:rPr>
                <w:rFonts w:ascii="Arial Narrow" w:hAnsi="Arial Narrow"/>
                <w:sz w:val="20"/>
                <w:szCs w:val="20"/>
              </w:rPr>
              <w:t xml:space="preserve"> Amyotrophic lateral sclerosis</w:t>
            </w:r>
            <w:r w:rsidR="007A591A">
              <w:rPr>
                <w:rFonts w:ascii="Arial Narrow" w:hAnsi="Arial Narrow"/>
                <w:sz w:val="20"/>
                <w:szCs w:val="20"/>
              </w:rPr>
              <w:t xml:space="preserve"> </w:t>
            </w:r>
          </w:p>
        </w:tc>
      </w:tr>
      <w:tr w:rsidR="00EA584F" w:rsidRPr="006E0984" w14:paraId="3F877AE4" w14:textId="77777777" w:rsidTr="00A75A2C">
        <w:trPr>
          <w:trHeight w:val="69"/>
        </w:trPr>
        <w:tc>
          <w:tcPr>
            <w:tcW w:w="1271" w:type="dxa"/>
            <w:vAlign w:val="center"/>
            <w:hideMark/>
          </w:tcPr>
          <w:p w14:paraId="79D87296" w14:textId="77777777" w:rsidR="00EA584F" w:rsidRPr="006E0984" w:rsidRDefault="00EA584F" w:rsidP="007A591A">
            <w:pPr>
              <w:jc w:val="center"/>
              <w:rPr>
                <w:rFonts w:ascii="Arial Narrow" w:hAnsi="Arial Narrow"/>
                <w:sz w:val="20"/>
                <w:szCs w:val="20"/>
              </w:rPr>
            </w:pPr>
          </w:p>
        </w:tc>
        <w:tc>
          <w:tcPr>
            <w:tcW w:w="7796" w:type="dxa"/>
            <w:vAlign w:val="center"/>
            <w:hideMark/>
          </w:tcPr>
          <w:p w14:paraId="7FB0DFD2" w14:textId="77777777" w:rsidR="00EA584F" w:rsidRPr="006E0984" w:rsidRDefault="00EA584F" w:rsidP="007A591A">
            <w:pPr>
              <w:rPr>
                <w:rFonts w:ascii="Arial Narrow" w:hAnsi="Arial Narrow"/>
                <w:sz w:val="20"/>
                <w:szCs w:val="20"/>
              </w:rPr>
            </w:pPr>
            <w:r w:rsidRPr="006E0984">
              <w:rPr>
                <w:rFonts w:ascii="Arial Narrow" w:hAnsi="Arial Narrow"/>
                <w:b/>
                <w:sz w:val="20"/>
                <w:szCs w:val="20"/>
              </w:rPr>
              <w:t>Treatment Phase:</w:t>
            </w:r>
            <w:r w:rsidRPr="006E0984">
              <w:rPr>
                <w:rFonts w:ascii="Arial Narrow" w:hAnsi="Arial Narrow"/>
                <w:sz w:val="20"/>
                <w:szCs w:val="20"/>
              </w:rPr>
              <w:t xml:space="preserve"> First continuing treatment </w:t>
            </w:r>
            <w:r w:rsidRPr="00EA584F">
              <w:rPr>
                <w:rFonts w:ascii="Arial Narrow" w:hAnsi="Arial Narrow"/>
                <w:strike/>
                <w:sz w:val="20"/>
                <w:szCs w:val="20"/>
              </w:rPr>
              <w:t>phase</w:t>
            </w:r>
          </w:p>
        </w:tc>
      </w:tr>
      <w:tr w:rsidR="00EA584F" w:rsidRPr="006E0984" w14:paraId="710AFD54" w14:textId="77777777" w:rsidTr="004E3287">
        <w:tc>
          <w:tcPr>
            <w:tcW w:w="1271" w:type="dxa"/>
            <w:vAlign w:val="center"/>
          </w:tcPr>
          <w:p w14:paraId="4B82638E" w14:textId="228BCA59" w:rsidR="00EA584F" w:rsidRPr="00172E1B" w:rsidRDefault="00EA584F" w:rsidP="007A591A">
            <w:pPr>
              <w:jc w:val="center"/>
              <w:rPr>
                <w:rFonts w:ascii="Arial Narrow" w:hAnsi="Arial Narrow"/>
                <w:sz w:val="20"/>
                <w:szCs w:val="20"/>
              </w:rPr>
            </w:pPr>
          </w:p>
        </w:tc>
        <w:tc>
          <w:tcPr>
            <w:tcW w:w="7796" w:type="dxa"/>
            <w:vAlign w:val="center"/>
          </w:tcPr>
          <w:p w14:paraId="6432198C" w14:textId="77777777" w:rsidR="00EA584F" w:rsidRPr="006E0984" w:rsidRDefault="00EA584F" w:rsidP="007A591A">
            <w:pPr>
              <w:rPr>
                <w:rFonts w:ascii="Arial Narrow" w:hAnsi="Arial Narrow"/>
                <w:b/>
                <w:sz w:val="20"/>
                <w:szCs w:val="20"/>
              </w:rPr>
            </w:pPr>
            <w:r w:rsidRPr="006E0984">
              <w:rPr>
                <w:rFonts w:ascii="Arial Narrow" w:hAnsi="Arial Narrow"/>
                <w:b/>
                <w:sz w:val="20"/>
                <w:szCs w:val="20"/>
              </w:rPr>
              <w:t>Clinical criteria</w:t>
            </w:r>
          </w:p>
        </w:tc>
      </w:tr>
      <w:tr w:rsidR="00EA584F" w:rsidRPr="006E0984" w14:paraId="749AB938" w14:textId="77777777" w:rsidTr="004E3287">
        <w:trPr>
          <w:trHeight w:val="35"/>
        </w:trPr>
        <w:tc>
          <w:tcPr>
            <w:tcW w:w="1271" w:type="dxa"/>
            <w:vAlign w:val="center"/>
          </w:tcPr>
          <w:p w14:paraId="4DA567D1" w14:textId="139936B2" w:rsidR="00EA584F" w:rsidRPr="006E0984" w:rsidRDefault="00EA584F" w:rsidP="007A591A">
            <w:pPr>
              <w:jc w:val="center"/>
              <w:rPr>
                <w:rFonts w:ascii="Arial Narrow" w:hAnsi="Arial Narrow"/>
                <w:sz w:val="20"/>
                <w:szCs w:val="20"/>
              </w:rPr>
            </w:pPr>
          </w:p>
        </w:tc>
        <w:tc>
          <w:tcPr>
            <w:tcW w:w="7796" w:type="dxa"/>
            <w:vAlign w:val="center"/>
            <w:hideMark/>
          </w:tcPr>
          <w:p w14:paraId="5D8C90C5" w14:textId="5AD1E1C9" w:rsidR="00EA584F" w:rsidRPr="006E0984" w:rsidRDefault="00EA584F" w:rsidP="007A591A">
            <w:pPr>
              <w:rPr>
                <w:rFonts w:ascii="Arial Narrow" w:hAnsi="Arial Narrow"/>
                <w:b/>
                <w:sz w:val="20"/>
                <w:szCs w:val="20"/>
              </w:rPr>
            </w:pPr>
            <w:r w:rsidRPr="006E0984">
              <w:rPr>
                <w:rFonts w:ascii="Arial Narrow" w:hAnsi="Arial Narrow"/>
                <w:sz w:val="20"/>
                <w:szCs w:val="20"/>
              </w:rPr>
              <w:t>Patient must have previously received PBS</w:t>
            </w:r>
            <w:r w:rsidR="007A591A">
              <w:rPr>
                <w:rFonts w:ascii="Arial Narrow" w:hAnsi="Arial Narrow"/>
                <w:sz w:val="20"/>
                <w:szCs w:val="20"/>
              </w:rPr>
              <w:noBreakHyphen/>
            </w:r>
            <w:r w:rsidRPr="006E0984">
              <w:rPr>
                <w:rFonts w:ascii="Arial Narrow" w:hAnsi="Arial Narrow"/>
                <w:sz w:val="20"/>
                <w:szCs w:val="20"/>
              </w:rPr>
              <w:t>subsidised treatment with this drug for this condition</w:t>
            </w:r>
            <w:r w:rsidR="004E3287">
              <w:rPr>
                <w:rFonts w:ascii="Arial Narrow" w:hAnsi="Arial Narrow"/>
                <w:sz w:val="20"/>
                <w:szCs w:val="20"/>
              </w:rPr>
              <w:t xml:space="preserve"> </w:t>
            </w:r>
            <w:r w:rsidR="004E3287" w:rsidRPr="00172E1B">
              <w:rPr>
                <w:rFonts w:ascii="Arial Narrow" w:hAnsi="Arial Narrow"/>
                <w:i/>
                <w:iCs/>
                <w:sz w:val="20"/>
                <w:szCs w:val="20"/>
              </w:rPr>
              <w:t>unde</w:t>
            </w:r>
            <w:r w:rsidR="00B910A1" w:rsidRPr="00172E1B">
              <w:rPr>
                <w:rFonts w:ascii="Arial Narrow" w:hAnsi="Arial Narrow"/>
                <w:i/>
                <w:iCs/>
                <w:sz w:val="20"/>
                <w:szCs w:val="20"/>
              </w:rPr>
              <w:t>r</w:t>
            </w:r>
            <w:r w:rsidR="004E3287" w:rsidRPr="00172E1B">
              <w:rPr>
                <w:rFonts w:ascii="Arial Narrow" w:hAnsi="Arial Narrow"/>
                <w:i/>
                <w:iCs/>
                <w:sz w:val="20"/>
                <w:szCs w:val="20"/>
              </w:rPr>
              <w:t xml:space="preserve"> the initial </w:t>
            </w:r>
            <w:r w:rsidR="00B910A1" w:rsidRPr="00172E1B">
              <w:rPr>
                <w:rFonts w:ascii="Arial Narrow" w:hAnsi="Arial Narrow"/>
                <w:i/>
                <w:iCs/>
                <w:sz w:val="20"/>
                <w:szCs w:val="20"/>
              </w:rPr>
              <w:t xml:space="preserve">treatment </w:t>
            </w:r>
            <w:r w:rsidR="004E3287" w:rsidRPr="00172E1B">
              <w:rPr>
                <w:rFonts w:ascii="Arial Narrow" w:hAnsi="Arial Narrow"/>
                <w:i/>
                <w:iCs/>
                <w:sz w:val="20"/>
                <w:szCs w:val="20"/>
              </w:rPr>
              <w:t>restriction</w:t>
            </w:r>
            <w:r w:rsidRPr="00172E1B">
              <w:rPr>
                <w:rFonts w:ascii="Arial Narrow" w:hAnsi="Arial Narrow"/>
                <w:i/>
                <w:iCs/>
                <w:sz w:val="20"/>
                <w:szCs w:val="20"/>
              </w:rPr>
              <w:t>,</w:t>
            </w:r>
          </w:p>
        </w:tc>
      </w:tr>
      <w:tr w:rsidR="00EA584F" w:rsidRPr="006E0984" w14:paraId="1903D324" w14:textId="77777777" w:rsidTr="004E3287">
        <w:trPr>
          <w:trHeight w:val="35"/>
        </w:trPr>
        <w:tc>
          <w:tcPr>
            <w:tcW w:w="1271" w:type="dxa"/>
            <w:vAlign w:val="center"/>
          </w:tcPr>
          <w:p w14:paraId="6EC08982" w14:textId="77777777" w:rsidR="00EA584F" w:rsidRPr="006E0984" w:rsidRDefault="00EA584F" w:rsidP="007A591A">
            <w:pPr>
              <w:jc w:val="center"/>
              <w:rPr>
                <w:rFonts w:ascii="Arial Narrow" w:hAnsi="Arial Narrow"/>
                <w:sz w:val="20"/>
                <w:szCs w:val="20"/>
              </w:rPr>
            </w:pPr>
          </w:p>
        </w:tc>
        <w:tc>
          <w:tcPr>
            <w:tcW w:w="7796" w:type="dxa"/>
            <w:vAlign w:val="center"/>
          </w:tcPr>
          <w:p w14:paraId="6B683D48" w14:textId="77777777" w:rsidR="00EA584F" w:rsidRPr="006E0984" w:rsidRDefault="00EA584F" w:rsidP="007A591A">
            <w:pPr>
              <w:rPr>
                <w:rFonts w:ascii="Arial Narrow" w:hAnsi="Arial Narrow"/>
                <w:b/>
                <w:sz w:val="20"/>
                <w:szCs w:val="20"/>
              </w:rPr>
            </w:pPr>
            <w:r w:rsidRPr="006E0984">
              <w:rPr>
                <w:rFonts w:ascii="Arial Narrow" w:hAnsi="Arial Narrow"/>
                <w:b/>
                <w:sz w:val="20"/>
                <w:szCs w:val="20"/>
              </w:rPr>
              <w:t>AND</w:t>
            </w:r>
          </w:p>
        </w:tc>
      </w:tr>
      <w:tr w:rsidR="00172E1B" w:rsidRPr="006E0984" w14:paraId="324C8F19" w14:textId="77777777" w:rsidTr="00172E1B">
        <w:trPr>
          <w:trHeight w:val="35"/>
        </w:trPr>
        <w:tc>
          <w:tcPr>
            <w:tcW w:w="1271" w:type="dxa"/>
          </w:tcPr>
          <w:p w14:paraId="42C7D9C7" w14:textId="46D38DE1" w:rsidR="002604CA" w:rsidRPr="006E0984" w:rsidRDefault="002604CA" w:rsidP="007A591A">
            <w:pPr>
              <w:jc w:val="center"/>
              <w:rPr>
                <w:rFonts w:ascii="Arial Narrow" w:hAnsi="Arial Narrow"/>
                <w:sz w:val="20"/>
                <w:szCs w:val="20"/>
              </w:rPr>
            </w:pPr>
          </w:p>
        </w:tc>
        <w:tc>
          <w:tcPr>
            <w:tcW w:w="7796" w:type="dxa"/>
            <w:vAlign w:val="center"/>
          </w:tcPr>
          <w:p w14:paraId="07FA8EFF" w14:textId="77777777" w:rsidR="002604CA" w:rsidRPr="006E0984" w:rsidRDefault="002604CA" w:rsidP="007A591A">
            <w:pPr>
              <w:rPr>
                <w:rFonts w:ascii="Arial Narrow" w:hAnsi="Arial Narrow"/>
                <w:b/>
                <w:sz w:val="20"/>
                <w:szCs w:val="20"/>
              </w:rPr>
            </w:pPr>
            <w:r w:rsidRPr="006E0984">
              <w:rPr>
                <w:rFonts w:ascii="Arial Narrow" w:hAnsi="Arial Narrow"/>
                <w:b/>
                <w:sz w:val="20"/>
                <w:szCs w:val="20"/>
              </w:rPr>
              <w:t>Clinical criteria:</w:t>
            </w:r>
          </w:p>
        </w:tc>
      </w:tr>
      <w:tr w:rsidR="00172E1B" w:rsidRPr="006E0984" w14:paraId="1D480CB9" w14:textId="77777777" w:rsidTr="00172E1B">
        <w:trPr>
          <w:trHeight w:val="35"/>
        </w:trPr>
        <w:tc>
          <w:tcPr>
            <w:tcW w:w="1271" w:type="dxa"/>
          </w:tcPr>
          <w:p w14:paraId="3E1A9058" w14:textId="05C01B30" w:rsidR="002604CA" w:rsidRPr="006E0984" w:rsidRDefault="002604CA" w:rsidP="007A591A">
            <w:pPr>
              <w:jc w:val="center"/>
              <w:rPr>
                <w:rFonts w:ascii="Arial Narrow" w:hAnsi="Arial Narrow"/>
                <w:sz w:val="20"/>
                <w:szCs w:val="20"/>
              </w:rPr>
            </w:pPr>
          </w:p>
        </w:tc>
        <w:tc>
          <w:tcPr>
            <w:tcW w:w="7796" w:type="dxa"/>
            <w:vAlign w:val="center"/>
          </w:tcPr>
          <w:p w14:paraId="1C2046C7" w14:textId="77777777" w:rsidR="002604CA" w:rsidRPr="006E0984" w:rsidRDefault="002604CA" w:rsidP="007A591A">
            <w:pPr>
              <w:rPr>
                <w:rFonts w:ascii="Arial Narrow" w:hAnsi="Arial Narrow"/>
                <w:b/>
                <w:sz w:val="20"/>
                <w:szCs w:val="20"/>
              </w:rPr>
            </w:pPr>
            <w:r w:rsidRPr="006E0984">
              <w:rPr>
                <w:rFonts w:ascii="Arial Narrow" w:hAnsi="Arial Narrow"/>
                <w:sz w:val="20"/>
                <w:szCs w:val="20"/>
              </w:rPr>
              <w:t>Patient must not have experienced</w:t>
            </w:r>
            <w:r w:rsidRPr="006E0984">
              <w:rPr>
                <w:sz w:val="20"/>
                <w:szCs w:val="20"/>
              </w:rPr>
              <w:t xml:space="preserve"> </w:t>
            </w:r>
            <w:r w:rsidRPr="006E0984">
              <w:rPr>
                <w:rFonts w:ascii="Arial Narrow" w:hAnsi="Arial Narrow"/>
                <w:sz w:val="20"/>
                <w:szCs w:val="20"/>
              </w:rPr>
              <w:t>respiratory failure,</w:t>
            </w:r>
          </w:p>
        </w:tc>
      </w:tr>
      <w:tr w:rsidR="00EA584F" w:rsidRPr="006E0984" w14:paraId="10AA3A1F" w14:textId="77777777" w:rsidTr="004E3287">
        <w:trPr>
          <w:trHeight w:val="35"/>
        </w:trPr>
        <w:tc>
          <w:tcPr>
            <w:tcW w:w="1271" w:type="dxa"/>
            <w:vAlign w:val="center"/>
          </w:tcPr>
          <w:p w14:paraId="701CD32C" w14:textId="77777777" w:rsidR="00EA584F" w:rsidRPr="006E0984" w:rsidRDefault="00EA584F" w:rsidP="007A591A">
            <w:pPr>
              <w:jc w:val="center"/>
              <w:rPr>
                <w:rFonts w:ascii="Arial Narrow" w:hAnsi="Arial Narrow"/>
                <w:sz w:val="20"/>
                <w:szCs w:val="20"/>
              </w:rPr>
            </w:pPr>
          </w:p>
        </w:tc>
        <w:tc>
          <w:tcPr>
            <w:tcW w:w="7796" w:type="dxa"/>
            <w:vAlign w:val="center"/>
          </w:tcPr>
          <w:p w14:paraId="1CDE2125" w14:textId="77777777" w:rsidR="00EA584F" w:rsidRPr="006E0984" w:rsidRDefault="00EA584F" w:rsidP="007A591A">
            <w:pPr>
              <w:rPr>
                <w:rFonts w:ascii="Arial Narrow" w:hAnsi="Arial Narrow"/>
                <w:b/>
                <w:sz w:val="20"/>
                <w:szCs w:val="20"/>
              </w:rPr>
            </w:pPr>
            <w:r w:rsidRPr="006E0984">
              <w:rPr>
                <w:rFonts w:ascii="Arial Narrow" w:hAnsi="Arial Narrow"/>
                <w:b/>
                <w:sz w:val="20"/>
                <w:szCs w:val="20"/>
              </w:rPr>
              <w:t>AND</w:t>
            </w:r>
          </w:p>
        </w:tc>
      </w:tr>
      <w:tr w:rsidR="00355EF0" w:rsidRPr="006E0984" w14:paraId="3FD97A66" w14:textId="77777777" w:rsidTr="00355EF0">
        <w:trPr>
          <w:trHeight w:val="35"/>
        </w:trPr>
        <w:tc>
          <w:tcPr>
            <w:tcW w:w="1271" w:type="dxa"/>
          </w:tcPr>
          <w:p w14:paraId="6D847B25" w14:textId="5FE0E261" w:rsidR="00355EF0" w:rsidRPr="006E0984" w:rsidRDefault="00355EF0" w:rsidP="007A591A">
            <w:pPr>
              <w:jc w:val="center"/>
              <w:rPr>
                <w:rFonts w:ascii="Arial Narrow" w:hAnsi="Arial Narrow"/>
                <w:sz w:val="20"/>
                <w:szCs w:val="20"/>
              </w:rPr>
            </w:pPr>
          </w:p>
        </w:tc>
        <w:tc>
          <w:tcPr>
            <w:tcW w:w="7796" w:type="dxa"/>
            <w:vAlign w:val="center"/>
          </w:tcPr>
          <w:p w14:paraId="0E752A03" w14:textId="77777777" w:rsidR="00355EF0" w:rsidRPr="006E0984" w:rsidRDefault="00355EF0" w:rsidP="007A591A">
            <w:pPr>
              <w:rPr>
                <w:rFonts w:ascii="Arial Narrow" w:hAnsi="Arial Narrow"/>
                <w:b/>
                <w:sz w:val="20"/>
                <w:szCs w:val="20"/>
              </w:rPr>
            </w:pPr>
            <w:r w:rsidRPr="006E0984">
              <w:rPr>
                <w:rFonts w:ascii="Arial Narrow" w:hAnsi="Arial Narrow"/>
                <w:b/>
                <w:sz w:val="20"/>
                <w:szCs w:val="20"/>
              </w:rPr>
              <w:t>Clinical criteria:</w:t>
            </w:r>
          </w:p>
        </w:tc>
      </w:tr>
      <w:tr w:rsidR="00355EF0" w:rsidRPr="006E0984" w14:paraId="7B931EB0" w14:textId="77777777" w:rsidTr="00355EF0">
        <w:trPr>
          <w:trHeight w:val="35"/>
        </w:trPr>
        <w:tc>
          <w:tcPr>
            <w:tcW w:w="1271" w:type="dxa"/>
          </w:tcPr>
          <w:p w14:paraId="15397592" w14:textId="31F3286A" w:rsidR="00355EF0" w:rsidRPr="006E0984" w:rsidRDefault="00355EF0" w:rsidP="007A591A">
            <w:pPr>
              <w:jc w:val="center"/>
              <w:rPr>
                <w:rFonts w:ascii="Arial Narrow" w:hAnsi="Arial Narrow"/>
                <w:sz w:val="20"/>
                <w:szCs w:val="20"/>
              </w:rPr>
            </w:pPr>
          </w:p>
        </w:tc>
        <w:tc>
          <w:tcPr>
            <w:tcW w:w="7796" w:type="dxa"/>
            <w:vAlign w:val="center"/>
          </w:tcPr>
          <w:p w14:paraId="586025B3" w14:textId="77777777" w:rsidR="00355EF0" w:rsidRPr="006E0984" w:rsidRDefault="00355EF0" w:rsidP="007A591A">
            <w:pPr>
              <w:rPr>
                <w:rFonts w:ascii="Arial Narrow" w:hAnsi="Arial Narrow"/>
                <w:b/>
                <w:sz w:val="20"/>
                <w:szCs w:val="20"/>
              </w:rPr>
            </w:pPr>
            <w:r w:rsidRPr="006E0984">
              <w:rPr>
                <w:rFonts w:ascii="Arial Narrow" w:hAnsi="Arial Narrow"/>
                <w:sz w:val="20"/>
                <w:szCs w:val="20"/>
              </w:rPr>
              <w:t>Patient must not be receiving palliative care,</w:t>
            </w:r>
          </w:p>
        </w:tc>
      </w:tr>
      <w:tr w:rsidR="00EA584F" w:rsidRPr="006E0984" w14:paraId="59A69309" w14:textId="77777777" w:rsidTr="004E3287">
        <w:trPr>
          <w:trHeight w:val="35"/>
        </w:trPr>
        <w:tc>
          <w:tcPr>
            <w:tcW w:w="1271" w:type="dxa"/>
            <w:vAlign w:val="center"/>
          </w:tcPr>
          <w:p w14:paraId="560D3DE6" w14:textId="77777777" w:rsidR="00EA584F" w:rsidRPr="006E0984" w:rsidRDefault="00EA584F" w:rsidP="007A591A">
            <w:pPr>
              <w:jc w:val="center"/>
              <w:rPr>
                <w:rFonts w:ascii="Arial Narrow" w:hAnsi="Arial Narrow"/>
                <w:sz w:val="20"/>
                <w:szCs w:val="20"/>
              </w:rPr>
            </w:pPr>
          </w:p>
        </w:tc>
        <w:tc>
          <w:tcPr>
            <w:tcW w:w="7796" w:type="dxa"/>
            <w:vAlign w:val="center"/>
          </w:tcPr>
          <w:p w14:paraId="550C730D" w14:textId="77777777" w:rsidR="00EA584F" w:rsidRPr="006E0984" w:rsidRDefault="00EA584F" w:rsidP="007A591A">
            <w:pPr>
              <w:rPr>
                <w:rFonts w:ascii="Arial Narrow" w:hAnsi="Arial Narrow"/>
                <w:b/>
                <w:sz w:val="20"/>
                <w:szCs w:val="20"/>
              </w:rPr>
            </w:pPr>
            <w:r w:rsidRPr="006E0984">
              <w:rPr>
                <w:rFonts w:ascii="Arial Narrow" w:hAnsi="Arial Narrow"/>
                <w:b/>
                <w:sz w:val="20"/>
                <w:szCs w:val="20"/>
              </w:rPr>
              <w:t xml:space="preserve">AND </w:t>
            </w:r>
          </w:p>
        </w:tc>
      </w:tr>
      <w:tr w:rsidR="00DF2AA9" w:rsidRPr="006E0984" w14:paraId="02506BFF" w14:textId="77777777" w:rsidTr="00DF2AA9">
        <w:trPr>
          <w:trHeight w:val="35"/>
        </w:trPr>
        <w:tc>
          <w:tcPr>
            <w:tcW w:w="1271" w:type="dxa"/>
          </w:tcPr>
          <w:p w14:paraId="6663ADE3" w14:textId="4C860045" w:rsidR="00DF2AA9" w:rsidRPr="006E0984" w:rsidRDefault="00DF2AA9" w:rsidP="007A591A">
            <w:pPr>
              <w:jc w:val="center"/>
              <w:rPr>
                <w:rFonts w:ascii="Arial Narrow" w:hAnsi="Arial Narrow"/>
                <w:sz w:val="20"/>
                <w:szCs w:val="20"/>
              </w:rPr>
            </w:pPr>
          </w:p>
        </w:tc>
        <w:tc>
          <w:tcPr>
            <w:tcW w:w="7796" w:type="dxa"/>
            <w:vAlign w:val="center"/>
          </w:tcPr>
          <w:p w14:paraId="1912D3B4" w14:textId="77777777" w:rsidR="00DF2AA9" w:rsidRPr="006E0984" w:rsidRDefault="00DF2AA9" w:rsidP="007A591A">
            <w:pPr>
              <w:rPr>
                <w:rFonts w:ascii="Arial Narrow" w:hAnsi="Arial Narrow"/>
                <w:b/>
                <w:sz w:val="20"/>
                <w:szCs w:val="20"/>
              </w:rPr>
            </w:pPr>
            <w:r w:rsidRPr="006E0984">
              <w:rPr>
                <w:rFonts w:ascii="Arial Narrow" w:hAnsi="Arial Narrow"/>
                <w:b/>
                <w:sz w:val="20"/>
                <w:szCs w:val="20"/>
              </w:rPr>
              <w:t>Clinical criteria:</w:t>
            </w:r>
          </w:p>
        </w:tc>
      </w:tr>
      <w:tr w:rsidR="00DF2AA9" w:rsidRPr="006E0984" w14:paraId="513B473B" w14:textId="77777777" w:rsidTr="00DF2AA9">
        <w:trPr>
          <w:trHeight w:val="35"/>
        </w:trPr>
        <w:tc>
          <w:tcPr>
            <w:tcW w:w="1271" w:type="dxa"/>
          </w:tcPr>
          <w:p w14:paraId="624BD3AD" w14:textId="2D91F53F" w:rsidR="00DF2AA9" w:rsidRPr="006E0984" w:rsidRDefault="00DF2AA9" w:rsidP="007A591A">
            <w:pPr>
              <w:jc w:val="center"/>
              <w:rPr>
                <w:rFonts w:ascii="Arial Narrow" w:hAnsi="Arial Narrow"/>
                <w:sz w:val="20"/>
                <w:szCs w:val="20"/>
              </w:rPr>
            </w:pPr>
          </w:p>
        </w:tc>
        <w:tc>
          <w:tcPr>
            <w:tcW w:w="7796" w:type="dxa"/>
            <w:vAlign w:val="center"/>
          </w:tcPr>
          <w:p w14:paraId="12047CFA" w14:textId="77777777" w:rsidR="00DF2AA9" w:rsidRPr="006E0984" w:rsidRDefault="00DF2AA9" w:rsidP="007A591A">
            <w:pPr>
              <w:rPr>
                <w:rFonts w:ascii="Arial Narrow" w:hAnsi="Arial Narrow"/>
                <w:b/>
                <w:sz w:val="20"/>
                <w:szCs w:val="20"/>
              </w:rPr>
            </w:pPr>
            <w:r w:rsidRPr="006E0984">
              <w:rPr>
                <w:rFonts w:ascii="Arial Narrow" w:hAnsi="Arial Narrow"/>
                <w:sz w:val="20"/>
                <w:szCs w:val="20"/>
              </w:rPr>
              <w:t>The treatment must be given concomitantly with best supportive care (including riluzole where appropriate) for this condition,</w:t>
            </w:r>
          </w:p>
        </w:tc>
      </w:tr>
      <w:tr w:rsidR="00DF2AA9" w:rsidRPr="006E0984" w14:paraId="68C378E8" w14:textId="77777777" w:rsidTr="00DF2AA9">
        <w:trPr>
          <w:trHeight w:val="35"/>
        </w:trPr>
        <w:tc>
          <w:tcPr>
            <w:tcW w:w="1271" w:type="dxa"/>
          </w:tcPr>
          <w:p w14:paraId="6A28760D" w14:textId="77777777" w:rsidR="00DF2AA9" w:rsidRPr="006E0984" w:rsidRDefault="00DF2AA9" w:rsidP="007A591A">
            <w:pPr>
              <w:jc w:val="center"/>
              <w:rPr>
                <w:rFonts w:ascii="Arial Narrow" w:hAnsi="Arial Narrow"/>
                <w:sz w:val="20"/>
                <w:szCs w:val="20"/>
              </w:rPr>
            </w:pPr>
          </w:p>
        </w:tc>
        <w:tc>
          <w:tcPr>
            <w:tcW w:w="7796" w:type="dxa"/>
            <w:vAlign w:val="center"/>
          </w:tcPr>
          <w:p w14:paraId="2D45C5D6" w14:textId="77777777" w:rsidR="00DF2AA9" w:rsidRPr="006E0984" w:rsidRDefault="00DF2AA9" w:rsidP="007A591A">
            <w:pPr>
              <w:rPr>
                <w:rFonts w:ascii="Arial Narrow" w:hAnsi="Arial Narrow"/>
                <w:b/>
                <w:sz w:val="20"/>
                <w:szCs w:val="20"/>
              </w:rPr>
            </w:pPr>
            <w:r w:rsidRPr="006E0984">
              <w:rPr>
                <w:rFonts w:ascii="Arial Narrow" w:hAnsi="Arial Narrow"/>
                <w:b/>
                <w:sz w:val="20"/>
                <w:szCs w:val="20"/>
              </w:rPr>
              <w:t>AND</w:t>
            </w:r>
          </w:p>
        </w:tc>
      </w:tr>
      <w:tr w:rsidR="00DF2AA9" w:rsidRPr="006E0984" w14:paraId="2486B894" w14:textId="77777777" w:rsidTr="00DF2AA9">
        <w:trPr>
          <w:trHeight w:val="35"/>
        </w:trPr>
        <w:tc>
          <w:tcPr>
            <w:tcW w:w="1271" w:type="dxa"/>
          </w:tcPr>
          <w:p w14:paraId="2E025824" w14:textId="12EC3073" w:rsidR="00DF2AA9" w:rsidRPr="006E0984" w:rsidRDefault="00DF2AA9" w:rsidP="007A591A">
            <w:pPr>
              <w:jc w:val="center"/>
              <w:rPr>
                <w:rFonts w:ascii="Arial Narrow" w:hAnsi="Arial Narrow"/>
                <w:sz w:val="20"/>
                <w:szCs w:val="20"/>
              </w:rPr>
            </w:pPr>
          </w:p>
        </w:tc>
        <w:tc>
          <w:tcPr>
            <w:tcW w:w="7796" w:type="dxa"/>
            <w:vAlign w:val="center"/>
          </w:tcPr>
          <w:p w14:paraId="2AFC1A39" w14:textId="77777777" w:rsidR="00DF2AA9" w:rsidRPr="006E0984" w:rsidRDefault="00DF2AA9" w:rsidP="007A591A">
            <w:pPr>
              <w:rPr>
                <w:rFonts w:ascii="Arial Narrow" w:hAnsi="Arial Narrow"/>
                <w:b/>
                <w:sz w:val="20"/>
                <w:szCs w:val="20"/>
              </w:rPr>
            </w:pPr>
            <w:r w:rsidRPr="006E0984">
              <w:rPr>
                <w:rFonts w:ascii="Arial Narrow" w:hAnsi="Arial Narrow"/>
                <w:b/>
                <w:sz w:val="20"/>
                <w:szCs w:val="20"/>
              </w:rPr>
              <w:t>Clinical criteria</w:t>
            </w:r>
          </w:p>
        </w:tc>
      </w:tr>
      <w:tr w:rsidR="00DF2AA9" w:rsidRPr="006E0984" w14:paraId="22937B3B" w14:textId="77777777" w:rsidTr="00DF2AA9">
        <w:trPr>
          <w:trHeight w:val="35"/>
        </w:trPr>
        <w:tc>
          <w:tcPr>
            <w:tcW w:w="1271" w:type="dxa"/>
          </w:tcPr>
          <w:p w14:paraId="5F63BE43" w14:textId="6295FFB7" w:rsidR="00DF2AA9" w:rsidRPr="006E0984" w:rsidRDefault="00DF2AA9" w:rsidP="007A591A">
            <w:pPr>
              <w:jc w:val="center"/>
              <w:rPr>
                <w:rFonts w:ascii="Arial Narrow" w:hAnsi="Arial Narrow"/>
                <w:sz w:val="20"/>
                <w:szCs w:val="20"/>
              </w:rPr>
            </w:pPr>
          </w:p>
        </w:tc>
        <w:tc>
          <w:tcPr>
            <w:tcW w:w="7796" w:type="dxa"/>
            <w:vAlign w:val="center"/>
          </w:tcPr>
          <w:p w14:paraId="1086E889" w14:textId="78DADA2E" w:rsidR="00DF2AA9" w:rsidRPr="006E0984" w:rsidRDefault="00DF2AA9" w:rsidP="007A591A">
            <w:pPr>
              <w:rPr>
                <w:rFonts w:ascii="Arial Narrow" w:hAnsi="Arial Narrow"/>
                <w:b/>
                <w:sz w:val="20"/>
                <w:szCs w:val="20"/>
              </w:rPr>
            </w:pPr>
            <w:r w:rsidRPr="006E0984">
              <w:rPr>
                <w:rFonts w:ascii="Arial Narrow" w:hAnsi="Arial Narrow"/>
                <w:sz w:val="20"/>
                <w:szCs w:val="20"/>
              </w:rPr>
              <w:t>Patient must not be receiving concomitant treatment with edaravone for this condition.</w:t>
            </w:r>
          </w:p>
        </w:tc>
      </w:tr>
      <w:tr w:rsidR="00EA584F" w:rsidRPr="006E0984" w14:paraId="019F7E24" w14:textId="77777777" w:rsidTr="004E3287">
        <w:trPr>
          <w:trHeight w:val="35"/>
        </w:trPr>
        <w:tc>
          <w:tcPr>
            <w:tcW w:w="1271" w:type="dxa"/>
            <w:vAlign w:val="center"/>
          </w:tcPr>
          <w:p w14:paraId="0EEB4766" w14:textId="77777777" w:rsidR="00EA584F" w:rsidRPr="006E0984" w:rsidRDefault="00EA584F" w:rsidP="007A591A">
            <w:pPr>
              <w:jc w:val="center"/>
              <w:rPr>
                <w:rFonts w:ascii="Arial Narrow" w:hAnsi="Arial Narrow"/>
                <w:sz w:val="20"/>
                <w:szCs w:val="20"/>
              </w:rPr>
            </w:pPr>
          </w:p>
        </w:tc>
        <w:tc>
          <w:tcPr>
            <w:tcW w:w="7796" w:type="dxa"/>
            <w:vAlign w:val="center"/>
          </w:tcPr>
          <w:p w14:paraId="731EDA09" w14:textId="77777777" w:rsidR="00EA584F" w:rsidRPr="006E0984" w:rsidRDefault="00EA584F" w:rsidP="007A591A">
            <w:pPr>
              <w:rPr>
                <w:rFonts w:ascii="Arial Narrow" w:hAnsi="Arial Narrow"/>
                <w:b/>
                <w:sz w:val="20"/>
                <w:szCs w:val="20"/>
              </w:rPr>
            </w:pPr>
            <w:r w:rsidRPr="006E0984">
              <w:rPr>
                <w:rFonts w:ascii="Arial Narrow" w:hAnsi="Arial Narrow"/>
                <w:b/>
                <w:sz w:val="20"/>
                <w:szCs w:val="20"/>
              </w:rPr>
              <w:t>AND</w:t>
            </w:r>
          </w:p>
        </w:tc>
      </w:tr>
      <w:tr w:rsidR="00A7025A" w:rsidRPr="006E0984" w14:paraId="47332E3A" w14:textId="77777777" w:rsidTr="00A7025A">
        <w:trPr>
          <w:trHeight w:val="35"/>
        </w:trPr>
        <w:tc>
          <w:tcPr>
            <w:tcW w:w="1271" w:type="dxa"/>
          </w:tcPr>
          <w:p w14:paraId="5EB6C9B9" w14:textId="7E1403D5" w:rsidR="00A7025A" w:rsidRPr="006E0984" w:rsidRDefault="00A7025A" w:rsidP="007A591A">
            <w:pPr>
              <w:jc w:val="center"/>
              <w:rPr>
                <w:rFonts w:ascii="Arial Narrow" w:hAnsi="Arial Narrow"/>
                <w:sz w:val="20"/>
                <w:szCs w:val="20"/>
              </w:rPr>
            </w:pPr>
          </w:p>
        </w:tc>
        <w:tc>
          <w:tcPr>
            <w:tcW w:w="7796" w:type="dxa"/>
            <w:vAlign w:val="center"/>
          </w:tcPr>
          <w:p w14:paraId="2565A337" w14:textId="77777777" w:rsidR="00A7025A" w:rsidRPr="006E0984" w:rsidRDefault="00A7025A" w:rsidP="007A591A">
            <w:pPr>
              <w:rPr>
                <w:rFonts w:ascii="Arial Narrow" w:hAnsi="Arial Narrow"/>
                <w:b/>
                <w:sz w:val="20"/>
                <w:szCs w:val="20"/>
              </w:rPr>
            </w:pPr>
            <w:r w:rsidRPr="006E0984">
              <w:rPr>
                <w:rFonts w:ascii="Arial Narrow" w:hAnsi="Arial Narrow"/>
                <w:b/>
                <w:sz w:val="20"/>
                <w:szCs w:val="20"/>
              </w:rPr>
              <w:t>Treatment criteria:</w:t>
            </w:r>
          </w:p>
        </w:tc>
      </w:tr>
      <w:tr w:rsidR="00A7025A" w:rsidRPr="006E0984" w14:paraId="042B8D81" w14:textId="77777777" w:rsidTr="00A7025A">
        <w:trPr>
          <w:trHeight w:val="35"/>
        </w:trPr>
        <w:tc>
          <w:tcPr>
            <w:tcW w:w="1271" w:type="dxa"/>
          </w:tcPr>
          <w:p w14:paraId="11813839" w14:textId="1657C05B" w:rsidR="00A7025A" w:rsidRPr="006E0984" w:rsidRDefault="00A7025A" w:rsidP="007A591A">
            <w:pPr>
              <w:jc w:val="center"/>
              <w:rPr>
                <w:rFonts w:ascii="Arial Narrow" w:hAnsi="Arial Narrow"/>
                <w:sz w:val="20"/>
                <w:szCs w:val="20"/>
              </w:rPr>
            </w:pPr>
          </w:p>
        </w:tc>
        <w:tc>
          <w:tcPr>
            <w:tcW w:w="7796" w:type="dxa"/>
            <w:vAlign w:val="center"/>
            <w:hideMark/>
          </w:tcPr>
          <w:p w14:paraId="25568B52" w14:textId="6BF17DD5" w:rsidR="00A7025A" w:rsidRPr="006E0984" w:rsidRDefault="00A7025A" w:rsidP="007A591A">
            <w:pPr>
              <w:rPr>
                <w:rFonts w:ascii="Arial Narrow" w:hAnsi="Arial Narrow"/>
                <w:b/>
                <w:sz w:val="20"/>
                <w:szCs w:val="20"/>
              </w:rPr>
            </w:pPr>
            <w:r w:rsidRPr="006E0984">
              <w:rPr>
                <w:rFonts w:ascii="Arial Narrow" w:hAnsi="Arial Narrow"/>
                <w:sz w:val="20"/>
                <w:szCs w:val="20"/>
              </w:rPr>
              <w:t>Must be treated by a specialist with expertise in the diagnosis and management of amyotrophic lateral sclerosis,</w:t>
            </w:r>
            <w:r w:rsidR="00D64F89" w:rsidRPr="006E0984">
              <w:rPr>
                <w:rFonts w:ascii="Arial Narrow" w:hAnsi="Arial Narrow"/>
                <w:b/>
                <w:sz w:val="20"/>
                <w:szCs w:val="20"/>
              </w:rPr>
              <w:t xml:space="preserve"> OR</w:t>
            </w:r>
          </w:p>
        </w:tc>
      </w:tr>
      <w:tr w:rsidR="00A7025A" w:rsidRPr="006E0984" w14:paraId="3D04EE48" w14:textId="77777777" w:rsidTr="00A7025A">
        <w:tc>
          <w:tcPr>
            <w:tcW w:w="1271" w:type="dxa"/>
          </w:tcPr>
          <w:p w14:paraId="05D59D16" w14:textId="5151B0F5" w:rsidR="00A7025A" w:rsidRPr="006E0984" w:rsidRDefault="00A7025A" w:rsidP="007A591A">
            <w:pPr>
              <w:jc w:val="center"/>
              <w:rPr>
                <w:rFonts w:ascii="Arial Narrow" w:hAnsi="Arial Narrow"/>
                <w:sz w:val="20"/>
                <w:szCs w:val="20"/>
              </w:rPr>
            </w:pPr>
          </w:p>
        </w:tc>
        <w:tc>
          <w:tcPr>
            <w:tcW w:w="7796" w:type="dxa"/>
            <w:vAlign w:val="center"/>
          </w:tcPr>
          <w:p w14:paraId="6EF80C83" w14:textId="77777777" w:rsidR="00A7025A" w:rsidRPr="006E0984" w:rsidRDefault="00A7025A" w:rsidP="007A591A">
            <w:pPr>
              <w:rPr>
                <w:rFonts w:ascii="Arial Narrow" w:hAnsi="Arial Narrow"/>
                <w:sz w:val="20"/>
                <w:szCs w:val="20"/>
              </w:rPr>
            </w:pPr>
            <w:r w:rsidRPr="006E0984">
              <w:rPr>
                <w:rFonts w:ascii="Arial Narrow" w:hAnsi="Arial Narrow"/>
                <w:sz w:val="20"/>
                <w:szCs w:val="20"/>
              </w:rPr>
              <w:t>Must be treated by a medical practitioner in consultation with a specialist with expertise in the management of patients with amyotrophic lateral sclerosis.</w:t>
            </w:r>
          </w:p>
        </w:tc>
      </w:tr>
      <w:tr w:rsidR="00EA584F" w:rsidRPr="006E0984" w14:paraId="0069127A" w14:textId="77777777" w:rsidTr="004E3287">
        <w:tc>
          <w:tcPr>
            <w:tcW w:w="1271" w:type="dxa"/>
            <w:vAlign w:val="center"/>
          </w:tcPr>
          <w:p w14:paraId="01362131" w14:textId="77777777" w:rsidR="00EA584F" w:rsidRPr="006E0984" w:rsidRDefault="00EA584F" w:rsidP="007A591A">
            <w:pPr>
              <w:jc w:val="center"/>
              <w:rPr>
                <w:rFonts w:ascii="Arial Narrow" w:hAnsi="Arial Narrow"/>
                <w:sz w:val="20"/>
                <w:szCs w:val="20"/>
              </w:rPr>
            </w:pPr>
          </w:p>
        </w:tc>
        <w:tc>
          <w:tcPr>
            <w:tcW w:w="7796" w:type="dxa"/>
            <w:vAlign w:val="center"/>
            <w:hideMark/>
          </w:tcPr>
          <w:p w14:paraId="14A410E5" w14:textId="77777777" w:rsidR="00EA584F" w:rsidRPr="0016144B" w:rsidRDefault="00EA584F" w:rsidP="007A591A">
            <w:pPr>
              <w:rPr>
                <w:rFonts w:ascii="Arial Narrow" w:hAnsi="Arial Narrow"/>
                <w:strike/>
                <w:sz w:val="20"/>
                <w:szCs w:val="20"/>
              </w:rPr>
            </w:pPr>
            <w:r w:rsidRPr="0016144B">
              <w:rPr>
                <w:rFonts w:ascii="Arial Narrow" w:hAnsi="Arial Narrow"/>
                <w:b/>
                <w:strike/>
                <w:sz w:val="20"/>
                <w:szCs w:val="20"/>
              </w:rPr>
              <w:t xml:space="preserve">Administrative Advice: </w:t>
            </w:r>
          </w:p>
          <w:p w14:paraId="7528EE97" w14:textId="77777777" w:rsidR="00EA584F" w:rsidRPr="0016144B" w:rsidRDefault="00EA584F" w:rsidP="007A591A">
            <w:pPr>
              <w:rPr>
                <w:rFonts w:ascii="Arial Narrow" w:hAnsi="Arial Narrow"/>
                <w:b/>
                <w:strike/>
                <w:sz w:val="20"/>
                <w:szCs w:val="20"/>
                <w:u w:val="single"/>
              </w:rPr>
            </w:pPr>
            <w:r w:rsidRPr="0016144B">
              <w:rPr>
                <w:rFonts w:ascii="Arial Narrow" w:hAnsi="Arial Narrow"/>
                <w:b/>
                <w:strike/>
                <w:sz w:val="20"/>
                <w:szCs w:val="20"/>
                <w:u w:val="single"/>
              </w:rPr>
              <w:t>Note</w:t>
            </w:r>
          </w:p>
          <w:p w14:paraId="3E56148C" w14:textId="77777777" w:rsidR="00EA584F" w:rsidRPr="0016144B" w:rsidRDefault="00EA584F" w:rsidP="007A591A">
            <w:pPr>
              <w:rPr>
                <w:rFonts w:ascii="Arial Narrow" w:hAnsi="Arial Narrow"/>
                <w:strike/>
                <w:sz w:val="20"/>
                <w:szCs w:val="20"/>
              </w:rPr>
            </w:pPr>
            <w:r w:rsidRPr="0016144B">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p w14:paraId="676E4F3F" w14:textId="77777777" w:rsidR="00EA584F" w:rsidRPr="0016144B" w:rsidRDefault="00EA584F" w:rsidP="007A591A">
            <w:pPr>
              <w:rPr>
                <w:rFonts w:ascii="Arial Narrow" w:hAnsi="Arial Narrow"/>
                <w:b/>
                <w:strike/>
                <w:sz w:val="20"/>
                <w:szCs w:val="20"/>
                <w:u w:val="single"/>
              </w:rPr>
            </w:pPr>
            <w:r w:rsidRPr="0016144B">
              <w:rPr>
                <w:rFonts w:ascii="Arial Narrow" w:hAnsi="Arial Narrow"/>
                <w:b/>
                <w:strike/>
                <w:sz w:val="20"/>
                <w:szCs w:val="20"/>
                <w:u w:val="single"/>
              </w:rPr>
              <w:t>Note</w:t>
            </w:r>
          </w:p>
          <w:p w14:paraId="0DE31D0D" w14:textId="77777777" w:rsidR="00EA584F" w:rsidRPr="0016144B" w:rsidRDefault="00EA584F" w:rsidP="007A591A">
            <w:pPr>
              <w:rPr>
                <w:rFonts w:ascii="Arial Narrow" w:hAnsi="Arial Narrow"/>
                <w:strike/>
                <w:sz w:val="20"/>
                <w:szCs w:val="20"/>
              </w:rPr>
            </w:pPr>
            <w:r w:rsidRPr="0016144B">
              <w:rPr>
                <w:rFonts w:ascii="Arial Narrow" w:hAnsi="Arial Narrow"/>
                <w:strike/>
                <w:sz w:val="20"/>
                <w:szCs w:val="20"/>
              </w:rPr>
              <w:t>No increase in the maximum quantity or number of units may be authorised.</w:t>
            </w:r>
          </w:p>
          <w:p w14:paraId="511EFC36" w14:textId="77777777" w:rsidR="00EA584F" w:rsidRPr="0016144B" w:rsidRDefault="00EA584F" w:rsidP="007A591A">
            <w:pPr>
              <w:rPr>
                <w:rFonts w:ascii="Arial Narrow" w:hAnsi="Arial Narrow"/>
                <w:b/>
                <w:strike/>
                <w:sz w:val="20"/>
                <w:szCs w:val="20"/>
                <w:u w:val="single"/>
              </w:rPr>
            </w:pPr>
            <w:r w:rsidRPr="0016144B">
              <w:rPr>
                <w:rFonts w:ascii="Arial Narrow" w:hAnsi="Arial Narrow"/>
                <w:b/>
                <w:strike/>
                <w:sz w:val="20"/>
                <w:szCs w:val="20"/>
                <w:u w:val="single"/>
              </w:rPr>
              <w:t>Note</w:t>
            </w:r>
          </w:p>
          <w:p w14:paraId="2CBE74FE" w14:textId="77777777" w:rsidR="00EA584F" w:rsidRPr="0016144B" w:rsidRDefault="00EA584F" w:rsidP="007A591A">
            <w:pPr>
              <w:rPr>
                <w:rFonts w:ascii="Arial Narrow" w:hAnsi="Arial Narrow"/>
                <w:strike/>
                <w:sz w:val="20"/>
                <w:szCs w:val="20"/>
              </w:rPr>
            </w:pPr>
            <w:r w:rsidRPr="0016144B">
              <w:rPr>
                <w:rFonts w:ascii="Arial Narrow" w:hAnsi="Arial Narrow"/>
                <w:strike/>
                <w:sz w:val="20"/>
                <w:szCs w:val="20"/>
              </w:rPr>
              <w:t>No increase in the maximum number of repeats may be authorised.</w:t>
            </w:r>
          </w:p>
          <w:p w14:paraId="503AB117" w14:textId="77777777" w:rsidR="00EA584F" w:rsidRPr="0030204A" w:rsidRDefault="00EA584F" w:rsidP="007A591A">
            <w:pPr>
              <w:rPr>
                <w:rFonts w:ascii="Arial Narrow" w:hAnsi="Arial Narrow"/>
                <w:b/>
                <w:strike/>
                <w:sz w:val="20"/>
                <w:szCs w:val="20"/>
                <w:u w:val="single"/>
              </w:rPr>
            </w:pPr>
            <w:r w:rsidRPr="0030204A">
              <w:rPr>
                <w:rFonts w:ascii="Arial Narrow" w:hAnsi="Arial Narrow"/>
                <w:b/>
                <w:strike/>
                <w:sz w:val="20"/>
                <w:szCs w:val="20"/>
                <w:u w:val="single"/>
              </w:rPr>
              <w:t>Note</w:t>
            </w:r>
          </w:p>
          <w:p w14:paraId="76A8AFF8" w14:textId="77777777" w:rsidR="00EA584F" w:rsidRPr="0030204A" w:rsidRDefault="00EA584F" w:rsidP="007A591A">
            <w:pPr>
              <w:rPr>
                <w:rFonts w:ascii="Arial Narrow" w:hAnsi="Arial Narrow"/>
                <w:strike/>
                <w:sz w:val="20"/>
                <w:szCs w:val="20"/>
              </w:rPr>
            </w:pPr>
            <w:r w:rsidRPr="0030204A">
              <w:rPr>
                <w:rFonts w:ascii="Arial Narrow" w:hAnsi="Arial Narrow"/>
                <w:strike/>
                <w:sz w:val="20"/>
                <w:szCs w:val="20"/>
              </w:rPr>
              <w:t>The maximum number of items to be used is 2.</w:t>
            </w:r>
          </w:p>
          <w:p w14:paraId="333A7E0B" w14:textId="77777777" w:rsidR="00EA584F" w:rsidRPr="00543075" w:rsidRDefault="00EA584F" w:rsidP="007A591A">
            <w:pPr>
              <w:rPr>
                <w:rFonts w:ascii="Arial Narrow" w:hAnsi="Arial Narrow"/>
                <w:b/>
                <w:strike/>
                <w:sz w:val="20"/>
                <w:szCs w:val="20"/>
                <w:u w:val="single"/>
              </w:rPr>
            </w:pPr>
            <w:r w:rsidRPr="00543075">
              <w:rPr>
                <w:rFonts w:ascii="Arial Narrow" w:hAnsi="Arial Narrow"/>
                <w:b/>
                <w:strike/>
                <w:sz w:val="20"/>
                <w:szCs w:val="20"/>
                <w:u w:val="single"/>
              </w:rPr>
              <w:t>Note</w:t>
            </w:r>
          </w:p>
          <w:p w14:paraId="660246F5" w14:textId="77777777" w:rsidR="00EA584F" w:rsidRPr="006E0984" w:rsidRDefault="00EA584F" w:rsidP="007A591A">
            <w:pPr>
              <w:rPr>
                <w:rFonts w:ascii="Arial Narrow" w:hAnsi="Arial Narrow"/>
                <w:sz w:val="20"/>
                <w:szCs w:val="20"/>
              </w:rPr>
            </w:pPr>
            <w:r w:rsidRPr="00543075">
              <w:rPr>
                <w:rFonts w:ascii="Arial Narrow" w:hAnsi="Arial Narrow"/>
                <w:strike/>
                <w:sz w:val="20"/>
                <w:szCs w:val="20"/>
              </w:rPr>
              <w:t>Special Pricing Arrangements apply.</w:t>
            </w:r>
          </w:p>
        </w:tc>
      </w:tr>
      <w:tr w:rsidR="00EA584F" w:rsidRPr="006E0984" w14:paraId="065996E4" w14:textId="77777777" w:rsidTr="004E3287">
        <w:tc>
          <w:tcPr>
            <w:tcW w:w="1271" w:type="dxa"/>
            <w:vAlign w:val="center"/>
          </w:tcPr>
          <w:p w14:paraId="59F69442" w14:textId="5479205B" w:rsidR="00EA584F" w:rsidRPr="006E0984" w:rsidRDefault="00EA584F" w:rsidP="007A591A">
            <w:pPr>
              <w:jc w:val="center"/>
              <w:rPr>
                <w:rFonts w:ascii="Arial Narrow" w:hAnsi="Arial Narrow"/>
                <w:sz w:val="20"/>
                <w:szCs w:val="20"/>
              </w:rPr>
            </w:pPr>
          </w:p>
        </w:tc>
        <w:tc>
          <w:tcPr>
            <w:tcW w:w="7796" w:type="dxa"/>
            <w:vAlign w:val="center"/>
          </w:tcPr>
          <w:p w14:paraId="63A27BD2" w14:textId="77777777" w:rsidR="00EA584F" w:rsidRPr="006E0984" w:rsidRDefault="00EA584F" w:rsidP="007A591A">
            <w:pPr>
              <w:rPr>
                <w:rFonts w:ascii="Arial Narrow" w:hAnsi="Arial Narrow"/>
                <w:b/>
                <w:i/>
                <w:sz w:val="20"/>
                <w:szCs w:val="20"/>
              </w:rPr>
            </w:pPr>
            <w:r w:rsidRPr="006E0984">
              <w:rPr>
                <w:rFonts w:ascii="Arial Narrow" w:hAnsi="Arial Narrow"/>
                <w:b/>
                <w:i/>
                <w:sz w:val="20"/>
                <w:szCs w:val="20"/>
              </w:rPr>
              <w:t xml:space="preserve">Prescribing Instructions: </w:t>
            </w:r>
          </w:p>
          <w:p w14:paraId="6FA12509" w14:textId="7481BF38" w:rsidR="000069E2" w:rsidRPr="000069E2" w:rsidRDefault="000069E2" w:rsidP="007A591A">
            <w:pPr>
              <w:rPr>
                <w:rFonts w:ascii="Arial Narrow" w:hAnsi="Arial Narrow"/>
                <w:bCs/>
                <w:i/>
                <w:sz w:val="20"/>
                <w:szCs w:val="20"/>
              </w:rPr>
            </w:pPr>
            <w:r w:rsidRPr="000069E2">
              <w:rPr>
                <w:rFonts w:ascii="Arial Narrow" w:hAnsi="Arial Narrow"/>
                <w:bCs/>
                <w:i/>
                <w:sz w:val="20"/>
                <w:szCs w:val="20"/>
              </w:rPr>
              <w:t xml:space="preserve">Assessment of response must be conducted after </w:t>
            </w:r>
            <w:r>
              <w:rPr>
                <w:rFonts w:ascii="Arial Narrow" w:hAnsi="Arial Narrow"/>
                <w:bCs/>
                <w:i/>
                <w:sz w:val="20"/>
                <w:szCs w:val="20"/>
              </w:rPr>
              <w:t>6</w:t>
            </w:r>
            <w:r w:rsidRPr="000069E2">
              <w:rPr>
                <w:rFonts w:ascii="Arial Narrow" w:hAnsi="Arial Narrow"/>
                <w:bCs/>
                <w:i/>
                <w:sz w:val="20"/>
                <w:szCs w:val="20"/>
              </w:rPr>
              <w:t xml:space="preserve"> months of the first continuing treatment, </w:t>
            </w:r>
            <w:r>
              <w:rPr>
                <w:rFonts w:ascii="Arial Narrow" w:hAnsi="Arial Narrow"/>
                <w:bCs/>
                <w:i/>
                <w:sz w:val="20"/>
                <w:szCs w:val="20"/>
              </w:rPr>
              <w:t xml:space="preserve">(i.e. </w:t>
            </w:r>
            <w:r w:rsidRPr="000069E2">
              <w:rPr>
                <w:rFonts w:ascii="Arial Narrow" w:hAnsi="Arial Narrow"/>
                <w:bCs/>
                <w:i/>
                <w:sz w:val="20"/>
                <w:szCs w:val="20"/>
              </w:rPr>
              <w:t>at 12 months from treatment initiation</w:t>
            </w:r>
            <w:r>
              <w:rPr>
                <w:rFonts w:ascii="Arial Narrow" w:hAnsi="Arial Narrow"/>
                <w:bCs/>
                <w:i/>
                <w:sz w:val="20"/>
                <w:szCs w:val="20"/>
              </w:rPr>
              <w:t>)</w:t>
            </w:r>
            <w:r w:rsidRPr="000069E2">
              <w:rPr>
                <w:rFonts w:ascii="Arial Narrow" w:hAnsi="Arial Narrow"/>
                <w:bCs/>
                <w:i/>
                <w:sz w:val="20"/>
                <w:szCs w:val="20"/>
              </w:rPr>
              <w:t>.</w:t>
            </w:r>
          </w:p>
          <w:p w14:paraId="1416AB14" w14:textId="7E57C9DF" w:rsidR="000069E2" w:rsidRPr="000069E2" w:rsidRDefault="000069E2" w:rsidP="007A591A">
            <w:pPr>
              <w:rPr>
                <w:rFonts w:ascii="Arial Narrow" w:hAnsi="Arial Narrow"/>
                <w:bCs/>
                <w:i/>
                <w:sz w:val="20"/>
                <w:szCs w:val="20"/>
              </w:rPr>
            </w:pPr>
            <w:r w:rsidRPr="000069E2">
              <w:rPr>
                <w:rFonts w:ascii="Arial Narrow" w:hAnsi="Arial Narrow"/>
                <w:bCs/>
                <w:i/>
                <w:sz w:val="20"/>
                <w:szCs w:val="20"/>
              </w:rPr>
              <w:t xml:space="preserve">If a response to treatment cannot be demonstrated at this assessment, prescribers may apply for up to </w:t>
            </w:r>
            <w:r w:rsidR="009D35D7">
              <w:rPr>
                <w:rFonts w:ascii="Arial Narrow" w:hAnsi="Arial Narrow"/>
                <w:bCs/>
                <w:i/>
                <w:sz w:val="20"/>
                <w:szCs w:val="20"/>
              </w:rPr>
              <w:t xml:space="preserve">a maximum of </w:t>
            </w:r>
            <w:r w:rsidR="007A06B4">
              <w:rPr>
                <w:rFonts w:ascii="Arial Narrow" w:hAnsi="Arial Narrow"/>
                <w:bCs/>
                <w:i/>
                <w:sz w:val="20"/>
                <w:szCs w:val="20"/>
              </w:rPr>
              <w:t xml:space="preserve">three months (i.e. 2 </w:t>
            </w:r>
            <w:r w:rsidRPr="000069E2">
              <w:rPr>
                <w:rFonts w:ascii="Arial Narrow" w:hAnsi="Arial Narrow"/>
                <w:bCs/>
                <w:i/>
                <w:sz w:val="20"/>
                <w:szCs w:val="20"/>
              </w:rPr>
              <w:t>repeats</w:t>
            </w:r>
            <w:r w:rsidR="007A06B4">
              <w:rPr>
                <w:rFonts w:ascii="Arial Narrow" w:hAnsi="Arial Narrow"/>
                <w:bCs/>
                <w:i/>
                <w:sz w:val="20"/>
                <w:szCs w:val="20"/>
              </w:rPr>
              <w:t>)</w:t>
            </w:r>
            <w:r w:rsidRPr="000069E2">
              <w:rPr>
                <w:rFonts w:ascii="Arial Narrow" w:hAnsi="Arial Narrow"/>
                <w:bCs/>
                <w:i/>
                <w:sz w:val="20"/>
                <w:szCs w:val="20"/>
              </w:rPr>
              <w:t xml:space="preserve"> of additional continuing treatment</w:t>
            </w:r>
            <w:r w:rsidR="00BB1761">
              <w:rPr>
                <w:rFonts w:ascii="Arial Narrow" w:hAnsi="Arial Narrow"/>
                <w:bCs/>
                <w:i/>
                <w:sz w:val="20"/>
                <w:szCs w:val="20"/>
              </w:rPr>
              <w:t xml:space="preserve"> under </w:t>
            </w:r>
            <w:r w:rsidR="00AC0770">
              <w:rPr>
                <w:rFonts w:ascii="Arial Narrow" w:hAnsi="Arial Narrow"/>
                <w:bCs/>
                <w:i/>
                <w:sz w:val="20"/>
                <w:szCs w:val="20"/>
              </w:rPr>
              <w:t>the extended first continuing</w:t>
            </w:r>
            <w:r w:rsidR="00BB1761">
              <w:rPr>
                <w:rFonts w:ascii="Arial Narrow" w:hAnsi="Arial Narrow"/>
                <w:bCs/>
                <w:i/>
                <w:sz w:val="20"/>
                <w:szCs w:val="20"/>
              </w:rPr>
              <w:t xml:space="preserve"> treatment phase</w:t>
            </w:r>
            <w:r w:rsidR="000C0423">
              <w:rPr>
                <w:rFonts w:ascii="Arial Narrow" w:hAnsi="Arial Narrow"/>
                <w:bCs/>
                <w:i/>
                <w:sz w:val="20"/>
                <w:szCs w:val="20"/>
              </w:rPr>
              <w:t xml:space="preserve"> to verify non</w:t>
            </w:r>
            <w:r w:rsidR="007A591A">
              <w:rPr>
                <w:rFonts w:ascii="Arial Narrow" w:hAnsi="Arial Narrow"/>
                <w:bCs/>
                <w:i/>
                <w:sz w:val="20"/>
                <w:szCs w:val="20"/>
              </w:rPr>
              <w:noBreakHyphen/>
            </w:r>
            <w:r w:rsidR="000C0423">
              <w:rPr>
                <w:rFonts w:ascii="Arial Narrow" w:hAnsi="Arial Narrow"/>
                <w:bCs/>
                <w:i/>
                <w:sz w:val="20"/>
                <w:szCs w:val="20"/>
              </w:rPr>
              <w:t>response</w:t>
            </w:r>
            <w:r w:rsidRPr="000069E2">
              <w:rPr>
                <w:rFonts w:ascii="Arial Narrow" w:hAnsi="Arial Narrow"/>
                <w:bCs/>
                <w:i/>
                <w:sz w:val="20"/>
                <w:szCs w:val="20"/>
              </w:rPr>
              <w:t>.</w:t>
            </w:r>
            <w:r w:rsidR="003036F9">
              <w:rPr>
                <w:rFonts w:ascii="Arial Narrow" w:hAnsi="Arial Narrow"/>
                <w:bCs/>
                <w:i/>
                <w:sz w:val="20"/>
                <w:szCs w:val="20"/>
              </w:rPr>
              <w:t xml:space="preserve"> </w:t>
            </w:r>
          </w:p>
          <w:p w14:paraId="44ADEBD1" w14:textId="4DF07053" w:rsidR="000069E2" w:rsidRPr="000069E2" w:rsidRDefault="000069E2" w:rsidP="007A591A">
            <w:pPr>
              <w:rPr>
                <w:rFonts w:ascii="Arial Narrow" w:hAnsi="Arial Narrow"/>
                <w:bCs/>
                <w:i/>
                <w:sz w:val="20"/>
                <w:szCs w:val="20"/>
              </w:rPr>
            </w:pPr>
            <w:r w:rsidRPr="000069E2">
              <w:rPr>
                <w:rFonts w:ascii="Arial Narrow" w:hAnsi="Arial Narrow"/>
                <w:bCs/>
                <w:i/>
                <w:sz w:val="20"/>
                <w:szCs w:val="20"/>
              </w:rPr>
              <w:t xml:space="preserve">Reassessment of response must be conducted after the additional three months of therapy to determine the patient’s eligibility for </w:t>
            </w:r>
            <w:r w:rsidR="00216A24">
              <w:rPr>
                <w:rFonts w:ascii="Arial Narrow" w:hAnsi="Arial Narrow"/>
                <w:bCs/>
                <w:i/>
                <w:sz w:val="20"/>
                <w:szCs w:val="20"/>
              </w:rPr>
              <w:t>further</w:t>
            </w:r>
            <w:r w:rsidRPr="000069E2">
              <w:rPr>
                <w:rFonts w:ascii="Arial Narrow" w:hAnsi="Arial Narrow"/>
                <w:bCs/>
                <w:i/>
                <w:sz w:val="20"/>
                <w:szCs w:val="20"/>
              </w:rPr>
              <w:t xml:space="preserve"> treatment.</w:t>
            </w:r>
          </w:p>
          <w:p w14:paraId="6B751954" w14:textId="4C693BFB" w:rsidR="00A405BD" w:rsidRPr="00032C99" w:rsidRDefault="000069E2" w:rsidP="007A591A">
            <w:pPr>
              <w:rPr>
                <w:rFonts w:ascii="Arial Narrow" w:hAnsi="Arial Narrow"/>
                <w:bCs/>
                <w:i/>
                <w:sz w:val="20"/>
                <w:szCs w:val="20"/>
              </w:rPr>
            </w:pPr>
            <w:r w:rsidRPr="000069E2">
              <w:rPr>
                <w:rFonts w:ascii="Arial Narrow" w:hAnsi="Arial Narrow"/>
                <w:bCs/>
                <w:i/>
                <w:sz w:val="20"/>
                <w:szCs w:val="20"/>
              </w:rPr>
              <w:t>If this reassessment is not undertaken, the patient will not be eligible for ongoing treatment.</w:t>
            </w:r>
          </w:p>
        </w:tc>
      </w:tr>
      <w:tr w:rsidR="00C177A4" w:rsidRPr="006E0984" w14:paraId="2B95CE43" w14:textId="77777777" w:rsidTr="004E3287">
        <w:tc>
          <w:tcPr>
            <w:tcW w:w="1271" w:type="dxa"/>
            <w:vAlign w:val="center"/>
          </w:tcPr>
          <w:p w14:paraId="12580415" w14:textId="2C83A2F0" w:rsidR="00C177A4" w:rsidRPr="006E0984" w:rsidRDefault="00C177A4" w:rsidP="007A591A">
            <w:pPr>
              <w:jc w:val="center"/>
              <w:rPr>
                <w:rFonts w:ascii="Arial Narrow" w:hAnsi="Arial Narrow"/>
                <w:sz w:val="20"/>
                <w:szCs w:val="20"/>
              </w:rPr>
            </w:pPr>
          </w:p>
        </w:tc>
        <w:tc>
          <w:tcPr>
            <w:tcW w:w="7796" w:type="dxa"/>
            <w:vAlign w:val="center"/>
          </w:tcPr>
          <w:p w14:paraId="458D658F" w14:textId="77777777" w:rsidR="00C177A4" w:rsidRPr="006E0984" w:rsidRDefault="00C177A4" w:rsidP="007A591A">
            <w:pPr>
              <w:rPr>
                <w:rFonts w:ascii="Arial Narrow" w:hAnsi="Arial Narrow"/>
                <w:b/>
                <w:i/>
                <w:sz w:val="20"/>
                <w:szCs w:val="20"/>
              </w:rPr>
            </w:pPr>
            <w:r w:rsidRPr="006E0984">
              <w:rPr>
                <w:rFonts w:ascii="Arial Narrow" w:hAnsi="Arial Narrow"/>
                <w:b/>
                <w:i/>
                <w:sz w:val="20"/>
                <w:szCs w:val="20"/>
              </w:rPr>
              <w:t xml:space="preserve">Prescribing Instructions: </w:t>
            </w:r>
          </w:p>
          <w:p w14:paraId="55A16468" w14:textId="7D0A45E1" w:rsidR="00C177A4" w:rsidRPr="00EF250F" w:rsidRDefault="00773ED0" w:rsidP="007A591A">
            <w:pPr>
              <w:rPr>
                <w:rFonts w:ascii="Arial Narrow" w:hAnsi="Arial Narrow"/>
                <w:bCs/>
                <w:i/>
                <w:sz w:val="20"/>
                <w:szCs w:val="20"/>
              </w:rPr>
            </w:pPr>
            <w:r w:rsidRPr="000069E2">
              <w:rPr>
                <w:rFonts w:ascii="Arial Narrow" w:hAnsi="Arial Narrow"/>
                <w:bCs/>
                <w:i/>
                <w:sz w:val="20"/>
                <w:szCs w:val="20"/>
              </w:rPr>
              <w:t xml:space="preserve">All </w:t>
            </w:r>
            <w:r>
              <w:rPr>
                <w:rFonts w:ascii="Arial Narrow" w:hAnsi="Arial Narrow"/>
                <w:bCs/>
                <w:i/>
                <w:sz w:val="20"/>
                <w:szCs w:val="20"/>
              </w:rPr>
              <w:t xml:space="preserve">the </w:t>
            </w:r>
            <w:r w:rsidRPr="000069E2">
              <w:rPr>
                <w:rFonts w:ascii="Arial Narrow" w:hAnsi="Arial Narrow"/>
                <w:bCs/>
                <w:i/>
                <w:sz w:val="20"/>
                <w:szCs w:val="20"/>
              </w:rPr>
              <w:t>assessments of response must be documented in the patient’s medical records.</w:t>
            </w:r>
          </w:p>
        </w:tc>
      </w:tr>
      <w:tr w:rsidR="00910DF5" w:rsidRPr="006E0984" w14:paraId="06A9AD8A" w14:textId="77777777" w:rsidTr="004E3287">
        <w:tc>
          <w:tcPr>
            <w:tcW w:w="1271" w:type="dxa"/>
            <w:vAlign w:val="center"/>
          </w:tcPr>
          <w:p w14:paraId="5D1ED0A2" w14:textId="12B2CE06" w:rsidR="00910DF5" w:rsidRPr="006E0984" w:rsidRDefault="00910DF5" w:rsidP="007A591A">
            <w:pPr>
              <w:jc w:val="center"/>
              <w:rPr>
                <w:rFonts w:ascii="Arial Narrow" w:hAnsi="Arial Narrow"/>
                <w:sz w:val="20"/>
                <w:szCs w:val="20"/>
              </w:rPr>
            </w:pPr>
          </w:p>
        </w:tc>
        <w:tc>
          <w:tcPr>
            <w:tcW w:w="7796" w:type="dxa"/>
            <w:vAlign w:val="center"/>
          </w:tcPr>
          <w:p w14:paraId="15E25857" w14:textId="77777777" w:rsidR="00910DF5" w:rsidRPr="006E0984" w:rsidRDefault="00910DF5" w:rsidP="007A591A">
            <w:pPr>
              <w:rPr>
                <w:rFonts w:ascii="Arial Narrow" w:hAnsi="Arial Narrow"/>
                <w:b/>
                <w:i/>
                <w:sz w:val="20"/>
                <w:szCs w:val="20"/>
              </w:rPr>
            </w:pPr>
            <w:r w:rsidRPr="006E0984">
              <w:rPr>
                <w:rFonts w:ascii="Arial Narrow" w:hAnsi="Arial Narrow"/>
                <w:b/>
                <w:i/>
                <w:sz w:val="20"/>
                <w:szCs w:val="20"/>
              </w:rPr>
              <w:t xml:space="preserve">Prescribing Instructions: </w:t>
            </w:r>
          </w:p>
          <w:p w14:paraId="0236AD79" w14:textId="570EEC58" w:rsidR="00910DF5" w:rsidRPr="00F40E9B" w:rsidRDefault="00654DBB" w:rsidP="007A591A">
            <w:pPr>
              <w:rPr>
                <w:rFonts w:ascii="Arial Narrow" w:hAnsi="Arial Narrow"/>
                <w:b/>
                <w:i/>
                <w:iCs/>
                <w:sz w:val="20"/>
                <w:szCs w:val="20"/>
              </w:rPr>
            </w:pPr>
            <w:r>
              <w:rPr>
                <w:rFonts w:ascii="Arial Narrow" w:hAnsi="Arial Narrow"/>
                <w:i/>
                <w:iCs/>
                <w:sz w:val="20"/>
                <w:szCs w:val="20"/>
              </w:rPr>
              <w:t>Adequate response to t</w:t>
            </w:r>
            <w:r w:rsidRPr="00D7339D">
              <w:rPr>
                <w:rFonts w:ascii="Arial Narrow" w:hAnsi="Arial Narrow"/>
                <w:i/>
                <w:iCs/>
                <w:sz w:val="20"/>
                <w:szCs w:val="20"/>
              </w:rPr>
              <w:t>reatment</w:t>
            </w:r>
            <w:r w:rsidR="00910DF5" w:rsidRPr="00D7339D">
              <w:rPr>
                <w:rFonts w:ascii="Arial Narrow" w:hAnsi="Arial Narrow"/>
                <w:i/>
                <w:sz w:val="20"/>
                <w:szCs w:val="20"/>
              </w:rPr>
              <w:t xml:space="preserve"> </w:t>
            </w:r>
            <w:r w:rsidR="00910DF5" w:rsidRPr="00EF250F">
              <w:rPr>
                <w:rFonts w:ascii="Arial Narrow" w:hAnsi="Arial Narrow"/>
                <w:i/>
                <w:iCs/>
                <w:sz w:val="20"/>
                <w:szCs w:val="20"/>
              </w:rPr>
              <w:t xml:space="preserve">is defined as any improvement or stabilisation (no more than 20% decline) from baseline </w:t>
            </w:r>
            <w:r w:rsidR="00115DBD" w:rsidRPr="00EF250F">
              <w:rPr>
                <w:rFonts w:ascii="Arial Narrow" w:hAnsi="Arial Narrow"/>
                <w:i/>
                <w:iCs/>
                <w:sz w:val="20"/>
                <w:szCs w:val="20"/>
              </w:rPr>
              <w:t xml:space="preserve">score of </w:t>
            </w:r>
            <w:r w:rsidR="00910DF5" w:rsidRPr="00EF250F">
              <w:rPr>
                <w:rFonts w:ascii="Arial Narrow" w:hAnsi="Arial Narrow"/>
                <w:i/>
                <w:iCs/>
                <w:sz w:val="20"/>
                <w:szCs w:val="20"/>
              </w:rPr>
              <w:t>ALSFRS</w:t>
            </w:r>
            <w:r w:rsidR="007A591A">
              <w:rPr>
                <w:rFonts w:ascii="Arial Narrow" w:hAnsi="Arial Narrow"/>
                <w:i/>
                <w:iCs/>
                <w:sz w:val="20"/>
                <w:szCs w:val="20"/>
              </w:rPr>
              <w:noBreakHyphen/>
            </w:r>
            <w:r w:rsidR="00910DF5" w:rsidRPr="00EF250F">
              <w:rPr>
                <w:rFonts w:ascii="Arial Narrow" w:hAnsi="Arial Narrow"/>
                <w:i/>
                <w:iCs/>
                <w:sz w:val="20"/>
                <w:szCs w:val="20"/>
              </w:rPr>
              <w:t>R</w:t>
            </w:r>
            <w:r w:rsidR="00DD6DA6">
              <w:rPr>
                <w:rFonts w:ascii="Arial Narrow" w:hAnsi="Arial Narrow"/>
                <w:i/>
                <w:iCs/>
                <w:sz w:val="20"/>
                <w:szCs w:val="20"/>
              </w:rPr>
              <w:t>.</w:t>
            </w:r>
          </w:p>
        </w:tc>
      </w:tr>
    </w:tbl>
    <w:p w14:paraId="31010D80" w14:textId="77777777" w:rsidR="005E2F1E" w:rsidRDefault="005E2F1E" w:rsidP="007A591A">
      <w:pPr>
        <w:pStyle w:val="3-BodyText"/>
        <w:numPr>
          <w:ilvl w:val="0"/>
          <w:numId w:val="0"/>
        </w:numPr>
        <w:rPr>
          <w:rFonts w:ascii="Arial Narrow" w:eastAsia="Times New Roman" w:hAnsi="Arial Narrow" w:cs="Times New Roman"/>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listing"/>
      </w:tblPr>
      <w:tblGrid>
        <w:gridCol w:w="1271"/>
        <w:gridCol w:w="2835"/>
        <w:gridCol w:w="1377"/>
        <w:gridCol w:w="829"/>
        <w:gridCol w:w="823"/>
        <w:gridCol w:w="822"/>
        <w:gridCol w:w="1110"/>
      </w:tblGrid>
      <w:tr w:rsidR="00E140A2" w:rsidRPr="00204385" w14:paraId="58DE55E3" w14:textId="77777777">
        <w:trPr>
          <w:trHeight w:val="50"/>
        </w:trPr>
        <w:tc>
          <w:tcPr>
            <w:tcW w:w="4106" w:type="dxa"/>
            <w:gridSpan w:val="2"/>
          </w:tcPr>
          <w:p w14:paraId="0799B923" w14:textId="77777777" w:rsidR="00E140A2" w:rsidRPr="00204385" w:rsidRDefault="00E140A2" w:rsidP="007A591A">
            <w:pPr>
              <w:keepNext/>
              <w:ind w:left="-57"/>
              <w:rPr>
                <w:rFonts w:ascii="Arial Narrow" w:hAnsi="Arial Narrow" w:cs="Arial"/>
                <w:b/>
                <w:i/>
                <w:iCs/>
                <w:sz w:val="20"/>
                <w:szCs w:val="20"/>
              </w:rPr>
            </w:pPr>
            <w:r w:rsidRPr="00204385">
              <w:rPr>
                <w:rFonts w:ascii="Arial Narrow" w:hAnsi="Arial Narrow" w:cs="Arial"/>
                <w:b/>
                <w:i/>
                <w:iCs/>
                <w:sz w:val="20"/>
                <w:szCs w:val="20"/>
              </w:rPr>
              <w:lastRenderedPageBreak/>
              <w:t>MEDICINAL PRODUCT</w:t>
            </w:r>
          </w:p>
          <w:p w14:paraId="2F6022D9" w14:textId="77777777" w:rsidR="00E140A2" w:rsidRPr="00204385" w:rsidRDefault="00E140A2" w:rsidP="007A591A">
            <w:pPr>
              <w:keepNext/>
              <w:ind w:left="-57"/>
              <w:rPr>
                <w:rFonts w:ascii="Arial Narrow" w:hAnsi="Arial Narrow" w:cs="Arial"/>
                <w:b/>
                <w:i/>
                <w:iCs/>
                <w:sz w:val="20"/>
                <w:szCs w:val="20"/>
              </w:rPr>
            </w:pPr>
            <w:r w:rsidRPr="00204385">
              <w:rPr>
                <w:rFonts w:ascii="Arial Narrow" w:hAnsi="Arial Narrow" w:cs="Arial"/>
                <w:b/>
                <w:i/>
                <w:iCs/>
                <w:sz w:val="20"/>
                <w:szCs w:val="20"/>
              </w:rPr>
              <w:t>medicinal product pack</w:t>
            </w:r>
          </w:p>
        </w:tc>
        <w:tc>
          <w:tcPr>
            <w:tcW w:w="1377" w:type="dxa"/>
          </w:tcPr>
          <w:p w14:paraId="16259BFA"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b/>
                <w:i/>
                <w:iCs/>
                <w:sz w:val="20"/>
                <w:szCs w:val="20"/>
              </w:rPr>
              <w:t>PBS item code</w:t>
            </w:r>
          </w:p>
        </w:tc>
        <w:tc>
          <w:tcPr>
            <w:tcW w:w="829" w:type="dxa"/>
          </w:tcPr>
          <w:p w14:paraId="3BDD81B0"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b/>
                <w:i/>
                <w:iCs/>
                <w:sz w:val="20"/>
                <w:szCs w:val="20"/>
              </w:rPr>
              <w:t>Max. qty packs</w:t>
            </w:r>
          </w:p>
        </w:tc>
        <w:tc>
          <w:tcPr>
            <w:tcW w:w="823" w:type="dxa"/>
          </w:tcPr>
          <w:p w14:paraId="3BC51BCC"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b/>
                <w:i/>
                <w:iCs/>
                <w:sz w:val="20"/>
                <w:szCs w:val="20"/>
              </w:rPr>
              <w:t>Max. qty units</w:t>
            </w:r>
          </w:p>
        </w:tc>
        <w:tc>
          <w:tcPr>
            <w:tcW w:w="822" w:type="dxa"/>
          </w:tcPr>
          <w:p w14:paraId="13C8394E"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b/>
                <w:i/>
                <w:iCs/>
                <w:sz w:val="20"/>
                <w:szCs w:val="20"/>
              </w:rPr>
              <w:t>№.of</w:t>
            </w:r>
          </w:p>
          <w:p w14:paraId="034B10CC"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b/>
                <w:i/>
                <w:iCs/>
                <w:sz w:val="20"/>
                <w:szCs w:val="20"/>
              </w:rPr>
              <w:t>Rpts</w:t>
            </w:r>
          </w:p>
        </w:tc>
        <w:tc>
          <w:tcPr>
            <w:tcW w:w="1110" w:type="dxa"/>
          </w:tcPr>
          <w:p w14:paraId="71D02312"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b/>
                <w:i/>
                <w:iCs/>
                <w:sz w:val="20"/>
                <w:szCs w:val="20"/>
              </w:rPr>
              <w:t>Available brands</w:t>
            </w:r>
          </w:p>
        </w:tc>
      </w:tr>
      <w:tr w:rsidR="00E140A2" w:rsidRPr="00204385" w14:paraId="47DA9432" w14:textId="77777777">
        <w:trPr>
          <w:trHeight w:val="50"/>
        </w:trPr>
        <w:tc>
          <w:tcPr>
            <w:tcW w:w="9067" w:type="dxa"/>
            <w:gridSpan w:val="7"/>
          </w:tcPr>
          <w:p w14:paraId="6491C90B" w14:textId="77777777" w:rsidR="00E140A2" w:rsidRPr="00204385" w:rsidRDefault="00E140A2" w:rsidP="007A591A">
            <w:pPr>
              <w:keepNext/>
              <w:ind w:left="-57"/>
              <w:rPr>
                <w:rFonts w:ascii="Arial Narrow" w:hAnsi="Arial Narrow" w:cs="Arial"/>
                <w:i/>
                <w:iCs/>
                <w:sz w:val="20"/>
                <w:szCs w:val="20"/>
              </w:rPr>
            </w:pPr>
            <w:r w:rsidRPr="00204385">
              <w:rPr>
                <w:rFonts w:ascii="Arial Narrow" w:hAnsi="Arial Narrow" w:cs="Arial"/>
                <w:i/>
                <w:iCs/>
                <w:sz w:val="20"/>
                <w:szCs w:val="20"/>
              </w:rPr>
              <w:t>TOFERSEN</w:t>
            </w:r>
          </w:p>
        </w:tc>
      </w:tr>
      <w:tr w:rsidR="00E140A2" w:rsidRPr="00204385" w14:paraId="11F1D290" w14:textId="77777777">
        <w:trPr>
          <w:trHeight w:val="50"/>
        </w:trPr>
        <w:tc>
          <w:tcPr>
            <w:tcW w:w="4106" w:type="dxa"/>
            <w:gridSpan w:val="2"/>
          </w:tcPr>
          <w:p w14:paraId="27741CE7" w14:textId="77777777" w:rsidR="00E140A2" w:rsidRPr="00204385" w:rsidRDefault="00E140A2" w:rsidP="007A591A">
            <w:pPr>
              <w:keepNext/>
              <w:ind w:left="-57"/>
              <w:rPr>
                <w:rFonts w:ascii="Arial Narrow" w:hAnsi="Arial Narrow" w:cs="Arial"/>
                <w:b/>
                <w:i/>
                <w:iCs/>
                <w:sz w:val="20"/>
                <w:szCs w:val="20"/>
              </w:rPr>
            </w:pPr>
            <w:r w:rsidRPr="00204385">
              <w:rPr>
                <w:rFonts w:ascii="Arial Narrow" w:hAnsi="Arial Narrow" w:cs="Arial"/>
                <w:i/>
                <w:iCs/>
                <w:sz w:val="20"/>
                <w:szCs w:val="20"/>
              </w:rPr>
              <w:t xml:space="preserve">tofersen 100 mg/ 15 mL injection, 15 mL vial </w:t>
            </w:r>
          </w:p>
        </w:tc>
        <w:tc>
          <w:tcPr>
            <w:tcW w:w="1377" w:type="dxa"/>
          </w:tcPr>
          <w:p w14:paraId="2C85A27C" w14:textId="77777777" w:rsidR="00E140A2" w:rsidRPr="00204385" w:rsidRDefault="00E140A2" w:rsidP="007A591A">
            <w:pPr>
              <w:keepNext/>
              <w:jc w:val="center"/>
              <w:rPr>
                <w:rFonts w:ascii="Arial Narrow" w:hAnsi="Arial Narrow" w:cs="Arial"/>
                <w:i/>
                <w:iCs/>
                <w:sz w:val="20"/>
                <w:szCs w:val="20"/>
              </w:rPr>
            </w:pPr>
            <w:r w:rsidRPr="00204385">
              <w:rPr>
                <w:rFonts w:ascii="Arial Narrow" w:hAnsi="Arial Narrow" w:cs="Arial"/>
                <w:i/>
                <w:iCs/>
                <w:sz w:val="20"/>
                <w:szCs w:val="20"/>
              </w:rPr>
              <w:t>NEW (Private)</w:t>
            </w:r>
          </w:p>
          <w:p w14:paraId="1DB73D59" w14:textId="77777777" w:rsidR="00E140A2" w:rsidRPr="00204385" w:rsidRDefault="00E140A2" w:rsidP="007A591A">
            <w:pPr>
              <w:keepNext/>
              <w:jc w:val="center"/>
              <w:rPr>
                <w:rFonts w:ascii="Arial Narrow" w:hAnsi="Arial Narrow" w:cs="Arial"/>
                <w:i/>
                <w:iCs/>
                <w:sz w:val="20"/>
                <w:szCs w:val="20"/>
              </w:rPr>
            </w:pPr>
            <w:r w:rsidRPr="00204385">
              <w:rPr>
                <w:rFonts w:ascii="Arial Narrow" w:hAnsi="Arial Narrow" w:cs="Arial"/>
                <w:i/>
                <w:iCs/>
                <w:sz w:val="20"/>
                <w:szCs w:val="20"/>
              </w:rPr>
              <w:t>NEW (Public)</w:t>
            </w:r>
          </w:p>
          <w:p w14:paraId="19B9520E"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i/>
                <w:iCs/>
                <w:sz w:val="20"/>
                <w:szCs w:val="20"/>
                <w:vertAlign w:val="subscript"/>
              </w:rPr>
              <w:t>MP</w:t>
            </w:r>
          </w:p>
        </w:tc>
        <w:tc>
          <w:tcPr>
            <w:tcW w:w="829" w:type="dxa"/>
          </w:tcPr>
          <w:p w14:paraId="758DAAF0"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i/>
                <w:iCs/>
                <w:sz w:val="20"/>
                <w:szCs w:val="20"/>
              </w:rPr>
              <w:t>1</w:t>
            </w:r>
          </w:p>
        </w:tc>
        <w:tc>
          <w:tcPr>
            <w:tcW w:w="823" w:type="dxa"/>
          </w:tcPr>
          <w:p w14:paraId="56E3C0CF"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i/>
                <w:iCs/>
                <w:sz w:val="20"/>
                <w:szCs w:val="20"/>
              </w:rPr>
              <w:t>1</w:t>
            </w:r>
          </w:p>
        </w:tc>
        <w:tc>
          <w:tcPr>
            <w:tcW w:w="822" w:type="dxa"/>
          </w:tcPr>
          <w:p w14:paraId="7A689658" w14:textId="77777777" w:rsidR="00E140A2" w:rsidRPr="00204385" w:rsidRDefault="00E140A2" w:rsidP="007A591A">
            <w:pPr>
              <w:keepNext/>
              <w:ind w:left="-57"/>
              <w:jc w:val="center"/>
              <w:rPr>
                <w:rFonts w:ascii="Arial Narrow" w:hAnsi="Arial Narrow" w:cs="Arial"/>
                <w:i/>
                <w:iCs/>
                <w:sz w:val="20"/>
                <w:szCs w:val="20"/>
              </w:rPr>
            </w:pPr>
            <w:r w:rsidRPr="00204385">
              <w:rPr>
                <w:rFonts w:ascii="Arial Narrow" w:hAnsi="Arial Narrow" w:cs="Arial"/>
                <w:i/>
                <w:iCs/>
                <w:sz w:val="20"/>
                <w:szCs w:val="20"/>
              </w:rPr>
              <w:t>2</w:t>
            </w:r>
          </w:p>
        </w:tc>
        <w:tc>
          <w:tcPr>
            <w:tcW w:w="1110" w:type="dxa"/>
          </w:tcPr>
          <w:p w14:paraId="195CA34F" w14:textId="77777777"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cs="Arial"/>
                <w:i/>
                <w:iCs/>
                <w:sz w:val="20"/>
                <w:szCs w:val="20"/>
              </w:rPr>
              <w:t>Qalsody</w:t>
            </w:r>
          </w:p>
        </w:tc>
      </w:tr>
      <w:tr w:rsidR="00E140A2" w:rsidRPr="00204385" w14:paraId="59A668D7" w14:textId="77777777">
        <w:trPr>
          <w:trHeight w:val="50"/>
        </w:trPr>
        <w:tc>
          <w:tcPr>
            <w:tcW w:w="9067" w:type="dxa"/>
            <w:gridSpan w:val="7"/>
          </w:tcPr>
          <w:p w14:paraId="05278F05" w14:textId="77777777" w:rsidR="00E140A2" w:rsidRPr="00204385" w:rsidRDefault="00E140A2" w:rsidP="007A591A">
            <w:pPr>
              <w:keepNext/>
              <w:ind w:left="-57"/>
              <w:rPr>
                <w:rFonts w:ascii="Arial Narrow" w:hAnsi="Arial Narrow" w:cs="Arial"/>
                <w:b/>
                <w:i/>
                <w:iCs/>
                <w:sz w:val="20"/>
                <w:szCs w:val="20"/>
              </w:rPr>
            </w:pPr>
          </w:p>
        </w:tc>
      </w:tr>
      <w:tr w:rsidR="00E140A2" w:rsidRPr="00204385" w14:paraId="1C92997A" w14:textId="77777777">
        <w:trPr>
          <w:trHeight w:val="50"/>
        </w:trPr>
        <w:tc>
          <w:tcPr>
            <w:tcW w:w="1271" w:type="dxa"/>
            <w:vMerge w:val="restart"/>
            <w:vAlign w:val="center"/>
          </w:tcPr>
          <w:p w14:paraId="6010D885" w14:textId="77777777" w:rsidR="00E140A2" w:rsidRPr="00204385" w:rsidRDefault="00E140A2" w:rsidP="007A591A">
            <w:pPr>
              <w:keepNext/>
              <w:keepLines/>
              <w:jc w:val="center"/>
              <w:rPr>
                <w:rFonts w:ascii="Arial Narrow" w:hAnsi="Arial Narrow"/>
                <w:i/>
                <w:iCs/>
                <w:kern w:val="2"/>
                <w:sz w:val="20"/>
                <w:szCs w:val="20"/>
              </w:rPr>
            </w:pPr>
            <w:r w:rsidRPr="00204385">
              <w:rPr>
                <w:rFonts w:ascii="Arial Narrow" w:hAnsi="Arial Narrow"/>
                <w:b/>
                <w:i/>
                <w:iCs/>
                <w:kern w:val="2"/>
                <w:sz w:val="20"/>
                <w:szCs w:val="20"/>
              </w:rPr>
              <w:t>Concept ID</w:t>
            </w:r>
          </w:p>
          <w:p w14:paraId="014F4D0C" w14:textId="74CB59A0" w:rsidR="00E140A2" w:rsidRPr="00204385" w:rsidRDefault="00E140A2" w:rsidP="007A591A">
            <w:pPr>
              <w:keepNext/>
              <w:ind w:left="-57"/>
              <w:jc w:val="center"/>
              <w:rPr>
                <w:rFonts w:ascii="Arial Narrow" w:hAnsi="Arial Narrow" w:cs="Arial"/>
                <w:b/>
                <w:i/>
                <w:iCs/>
                <w:sz w:val="20"/>
                <w:szCs w:val="20"/>
              </w:rPr>
            </w:pPr>
            <w:r w:rsidRPr="00204385">
              <w:rPr>
                <w:rFonts w:ascii="Arial Narrow" w:hAnsi="Arial Narrow"/>
                <w:b/>
                <w:i/>
                <w:iCs/>
                <w:sz w:val="20"/>
                <w:szCs w:val="20"/>
                <w:lang w:val="en-GB"/>
              </w:rPr>
              <w:t xml:space="preserve">(For </w:t>
            </w:r>
            <w:r w:rsidR="00BA3E54" w:rsidRPr="00204385">
              <w:rPr>
                <w:rFonts w:ascii="Arial Narrow" w:hAnsi="Arial Narrow"/>
                <w:b/>
                <w:i/>
                <w:iCs/>
                <w:sz w:val="20"/>
                <w:szCs w:val="20"/>
                <w:lang w:val="en-GB"/>
              </w:rPr>
              <w:t xml:space="preserve">Dept. </w:t>
            </w:r>
            <w:r w:rsidR="00BA3E54">
              <w:rPr>
                <w:rFonts w:ascii="Arial Narrow" w:hAnsi="Arial Narrow"/>
                <w:b/>
                <w:i/>
                <w:iCs/>
                <w:sz w:val="20"/>
                <w:szCs w:val="20"/>
                <w:lang w:val="en-GB"/>
              </w:rPr>
              <w:t>u</w:t>
            </w:r>
            <w:r w:rsidR="00BA3E54" w:rsidRPr="00204385">
              <w:rPr>
                <w:rFonts w:ascii="Arial Narrow" w:hAnsi="Arial Narrow"/>
                <w:b/>
                <w:i/>
                <w:iCs/>
                <w:sz w:val="20"/>
                <w:szCs w:val="20"/>
                <w:lang w:val="en-GB"/>
              </w:rPr>
              <w:t>se</w:t>
            </w:r>
            <w:r w:rsidRPr="00204385">
              <w:rPr>
                <w:rFonts w:ascii="Arial Narrow" w:hAnsi="Arial Narrow"/>
                <w:b/>
                <w:i/>
                <w:iCs/>
                <w:sz w:val="20"/>
                <w:szCs w:val="20"/>
                <w:lang w:val="en-GB"/>
              </w:rPr>
              <w:t>}</w:t>
            </w:r>
          </w:p>
        </w:tc>
        <w:tc>
          <w:tcPr>
            <w:tcW w:w="7796" w:type="dxa"/>
            <w:gridSpan w:val="6"/>
            <w:vAlign w:val="center"/>
          </w:tcPr>
          <w:p w14:paraId="5A4B79F5" w14:textId="77777777" w:rsidR="00E140A2" w:rsidRPr="00204385" w:rsidRDefault="00E140A2" w:rsidP="007A591A">
            <w:pPr>
              <w:keepNext/>
              <w:ind w:left="-57"/>
              <w:rPr>
                <w:rFonts w:ascii="Arial Narrow" w:hAnsi="Arial Narrow" w:cs="Arial"/>
                <w:b/>
                <w:i/>
                <w:iCs/>
                <w:sz w:val="20"/>
                <w:szCs w:val="20"/>
              </w:rPr>
            </w:pPr>
            <w:r w:rsidRPr="00204385">
              <w:rPr>
                <w:rFonts w:ascii="Arial Narrow" w:hAnsi="Arial Narrow"/>
                <w:b/>
                <w:i/>
                <w:iCs/>
                <w:sz w:val="20"/>
                <w:szCs w:val="20"/>
              </w:rPr>
              <w:t>Category / Program:</w:t>
            </w:r>
            <w:r w:rsidRPr="00204385">
              <w:rPr>
                <w:rFonts w:ascii="Arial Narrow" w:hAnsi="Arial Narrow"/>
                <w:i/>
                <w:iCs/>
                <w:sz w:val="20"/>
                <w:szCs w:val="20"/>
              </w:rPr>
              <w:t xml:space="preserve"> </w:t>
            </w:r>
            <w:r w:rsidRPr="00204385">
              <w:rPr>
                <w:rFonts w:ascii="Arial Narrow" w:hAnsi="Arial Narrow"/>
                <w:i/>
                <w:iCs/>
                <w:sz w:val="20"/>
                <w:szCs w:val="20"/>
              </w:rPr>
              <w:fldChar w:fldCharType="begin"/>
            </w:r>
            <w:r w:rsidRPr="00204385">
              <w:rPr>
                <w:rFonts w:ascii="Arial Narrow" w:hAnsi="Arial Narrow"/>
                <w:i/>
                <w:iCs/>
                <w:sz w:val="20"/>
                <w:szCs w:val="20"/>
              </w:rPr>
              <w:instrText xml:space="preserve"> FORMCHECKBOX </w:instrText>
            </w:r>
            <w:r w:rsidRPr="00204385">
              <w:rPr>
                <w:rFonts w:ascii="Arial Narrow" w:hAnsi="Arial Narrow"/>
                <w:i/>
                <w:iCs/>
                <w:sz w:val="20"/>
                <w:szCs w:val="20"/>
              </w:rPr>
              <w:fldChar w:fldCharType="separate"/>
            </w:r>
            <w:r w:rsidRPr="00204385">
              <w:rPr>
                <w:rFonts w:ascii="Arial Narrow" w:hAnsi="Arial Narrow"/>
                <w:i/>
                <w:iCs/>
                <w:sz w:val="20"/>
                <w:szCs w:val="20"/>
              </w:rPr>
              <w:fldChar w:fldCharType="end"/>
            </w:r>
            <w:r w:rsidRPr="00204385">
              <w:rPr>
                <w:rFonts w:ascii="Arial Narrow" w:hAnsi="Arial Narrow"/>
                <w:i/>
                <w:iCs/>
                <w:sz w:val="20"/>
                <w:szCs w:val="20"/>
              </w:rPr>
              <w:t xml:space="preserve"> </w:t>
            </w:r>
            <w:r w:rsidRPr="00204385">
              <w:rPr>
                <w:rFonts w:ascii="Arial Narrow" w:eastAsia="Calibri" w:hAnsi="Arial Narrow"/>
                <w:i/>
                <w:iCs/>
                <w:sz w:val="20"/>
                <w:szCs w:val="20"/>
              </w:rPr>
              <w:t>Section 100 – Highly Specialised Drugs Program – Public (Code HB) / Private (Code HS)</w:t>
            </w:r>
          </w:p>
        </w:tc>
      </w:tr>
      <w:tr w:rsidR="00E140A2" w:rsidRPr="00204385" w14:paraId="16D1F738" w14:textId="77777777">
        <w:trPr>
          <w:trHeight w:val="50"/>
        </w:trPr>
        <w:tc>
          <w:tcPr>
            <w:tcW w:w="1271" w:type="dxa"/>
            <w:vMerge/>
            <w:vAlign w:val="center"/>
          </w:tcPr>
          <w:p w14:paraId="3F16AAB9" w14:textId="77777777" w:rsidR="00E140A2" w:rsidRPr="00204385" w:rsidRDefault="00E140A2" w:rsidP="007A591A">
            <w:pPr>
              <w:keepNext/>
              <w:ind w:left="-57"/>
              <w:rPr>
                <w:rFonts w:ascii="Arial Narrow" w:hAnsi="Arial Narrow" w:cs="Arial"/>
                <w:b/>
                <w:i/>
                <w:iCs/>
                <w:sz w:val="20"/>
                <w:szCs w:val="20"/>
              </w:rPr>
            </w:pPr>
          </w:p>
        </w:tc>
        <w:tc>
          <w:tcPr>
            <w:tcW w:w="7796" w:type="dxa"/>
            <w:gridSpan w:val="6"/>
            <w:vAlign w:val="center"/>
          </w:tcPr>
          <w:p w14:paraId="63A04708" w14:textId="77777777" w:rsidR="00E140A2" w:rsidRPr="00204385" w:rsidRDefault="00E140A2" w:rsidP="007A591A">
            <w:pPr>
              <w:keepNext/>
              <w:ind w:left="-57"/>
              <w:rPr>
                <w:rFonts w:ascii="Arial Narrow" w:hAnsi="Arial Narrow" w:cs="Arial"/>
                <w:b/>
                <w:i/>
                <w:iCs/>
                <w:sz w:val="20"/>
                <w:szCs w:val="20"/>
              </w:rPr>
            </w:pPr>
            <w:r w:rsidRPr="00204385">
              <w:rPr>
                <w:rFonts w:ascii="Arial Narrow" w:hAnsi="Arial Narrow"/>
                <w:b/>
                <w:i/>
                <w:iCs/>
                <w:kern w:val="2"/>
                <w:sz w:val="20"/>
                <w:szCs w:val="20"/>
              </w:rPr>
              <w:t xml:space="preserve">Prescriber type: </w:t>
            </w:r>
            <w:r w:rsidRPr="00204385">
              <w:rPr>
                <w:rFonts w:ascii="Arial Narrow" w:hAnsi="Arial Narrow"/>
                <w:i/>
                <w:iCs/>
                <w:kern w:val="2"/>
                <w:sz w:val="20"/>
                <w:szCs w:val="20"/>
              </w:rPr>
              <w:fldChar w:fldCharType="begin">
                <w:ffData>
                  <w:name w:val=""/>
                  <w:enabled/>
                  <w:calcOnExit w:val="0"/>
                  <w:checkBox>
                    <w:sizeAuto/>
                    <w:default w:val="1"/>
                  </w:checkBox>
                </w:ffData>
              </w:fldChar>
            </w:r>
            <w:r w:rsidRPr="00204385">
              <w:rPr>
                <w:rFonts w:ascii="Arial Narrow" w:hAnsi="Arial Narrow"/>
                <w:i/>
                <w:iCs/>
                <w:kern w:val="2"/>
                <w:sz w:val="20"/>
                <w:szCs w:val="20"/>
              </w:rPr>
              <w:instrText xml:space="preserve"> FORMCHECKBOX </w:instrText>
            </w:r>
            <w:r w:rsidRPr="00204385">
              <w:rPr>
                <w:rFonts w:ascii="Arial Narrow" w:hAnsi="Arial Narrow"/>
                <w:i/>
                <w:iCs/>
                <w:kern w:val="2"/>
                <w:sz w:val="20"/>
                <w:szCs w:val="20"/>
              </w:rPr>
            </w:r>
            <w:r w:rsidRPr="00204385">
              <w:rPr>
                <w:rFonts w:ascii="Arial Narrow" w:hAnsi="Arial Narrow"/>
                <w:i/>
                <w:iCs/>
                <w:kern w:val="2"/>
                <w:sz w:val="20"/>
                <w:szCs w:val="20"/>
              </w:rPr>
              <w:fldChar w:fldCharType="separate"/>
            </w:r>
            <w:r w:rsidRPr="00204385">
              <w:rPr>
                <w:rFonts w:ascii="Arial Narrow" w:hAnsi="Arial Narrow"/>
                <w:i/>
                <w:iCs/>
                <w:kern w:val="2"/>
                <w:sz w:val="20"/>
                <w:szCs w:val="20"/>
              </w:rPr>
              <w:fldChar w:fldCharType="end"/>
            </w:r>
            <w:r w:rsidRPr="00204385">
              <w:rPr>
                <w:rFonts w:ascii="Arial Narrow" w:hAnsi="Arial Narrow"/>
                <w:i/>
                <w:iCs/>
                <w:kern w:val="2"/>
                <w:sz w:val="20"/>
                <w:szCs w:val="20"/>
              </w:rPr>
              <w:t xml:space="preserve"> Medical Practitioners </w:t>
            </w:r>
          </w:p>
        </w:tc>
      </w:tr>
      <w:tr w:rsidR="00E140A2" w:rsidRPr="00204385" w14:paraId="68743F7E" w14:textId="77777777">
        <w:trPr>
          <w:trHeight w:val="50"/>
        </w:trPr>
        <w:tc>
          <w:tcPr>
            <w:tcW w:w="1271" w:type="dxa"/>
            <w:vMerge/>
            <w:vAlign w:val="center"/>
          </w:tcPr>
          <w:p w14:paraId="1005D5BF" w14:textId="77777777" w:rsidR="00E140A2" w:rsidRPr="00204385" w:rsidRDefault="00E140A2" w:rsidP="007A591A">
            <w:pPr>
              <w:keepNext/>
              <w:ind w:left="-57"/>
              <w:rPr>
                <w:rFonts w:ascii="Arial Narrow" w:hAnsi="Arial Narrow" w:cs="Arial"/>
                <w:b/>
                <w:i/>
                <w:iCs/>
                <w:sz w:val="20"/>
                <w:szCs w:val="20"/>
              </w:rPr>
            </w:pPr>
          </w:p>
        </w:tc>
        <w:tc>
          <w:tcPr>
            <w:tcW w:w="7796" w:type="dxa"/>
            <w:gridSpan w:val="6"/>
            <w:vAlign w:val="center"/>
          </w:tcPr>
          <w:p w14:paraId="4AE5AEEB" w14:textId="77777777" w:rsidR="00E140A2" w:rsidRPr="00204385" w:rsidRDefault="00E140A2" w:rsidP="007A591A">
            <w:pPr>
              <w:keepNext/>
              <w:ind w:left="-57"/>
              <w:rPr>
                <w:rFonts w:ascii="Arial Narrow" w:hAnsi="Arial Narrow" w:cs="Arial"/>
                <w:b/>
                <w:i/>
                <w:iCs/>
                <w:sz w:val="20"/>
                <w:szCs w:val="20"/>
              </w:rPr>
            </w:pPr>
            <w:r w:rsidRPr="00204385">
              <w:rPr>
                <w:rFonts w:ascii="Arial Narrow" w:hAnsi="Arial Narrow"/>
                <w:b/>
                <w:i/>
                <w:iCs/>
                <w:kern w:val="2"/>
                <w:sz w:val="20"/>
                <w:szCs w:val="20"/>
              </w:rPr>
              <w:t xml:space="preserve">Benefit type: </w:t>
            </w:r>
            <w:r w:rsidRPr="00204385">
              <w:rPr>
                <w:rFonts w:ascii="Arial Narrow" w:hAnsi="Arial Narrow"/>
                <w:i/>
                <w:iCs/>
                <w:kern w:val="2"/>
                <w:sz w:val="20"/>
                <w:szCs w:val="20"/>
              </w:rPr>
              <w:fldChar w:fldCharType="begin">
                <w:ffData>
                  <w:name w:val=""/>
                  <w:enabled/>
                  <w:calcOnExit w:val="0"/>
                  <w:checkBox>
                    <w:sizeAuto/>
                    <w:default w:val="1"/>
                  </w:checkBox>
                </w:ffData>
              </w:fldChar>
            </w:r>
            <w:r w:rsidRPr="00204385">
              <w:rPr>
                <w:rFonts w:ascii="Arial Narrow" w:hAnsi="Arial Narrow"/>
                <w:i/>
                <w:iCs/>
                <w:kern w:val="2"/>
                <w:sz w:val="20"/>
                <w:szCs w:val="20"/>
              </w:rPr>
              <w:instrText xml:space="preserve"> FORMCHECKBOX </w:instrText>
            </w:r>
            <w:r w:rsidRPr="00204385">
              <w:rPr>
                <w:rFonts w:ascii="Arial Narrow" w:hAnsi="Arial Narrow"/>
                <w:i/>
                <w:iCs/>
                <w:kern w:val="2"/>
                <w:sz w:val="20"/>
                <w:szCs w:val="20"/>
              </w:rPr>
            </w:r>
            <w:r w:rsidRPr="00204385">
              <w:rPr>
                <w:rFonts w:ascii="Arial Narrow" w:hAnsi="Arial Narrow"/>
                <w:i/>
                <w:iCs/>
                <w:kern w:val="2"/>
                <w:sz w:val="20"/>
                <w:szCs w:val="20"/>
              </w:rPr>
              <w:fldChar w:fldCharType="separate"/>
            </w:r>
            <w:r w:rsidRPr="00204385">
              <w:rPr>
                <w:rFonts w:ascii="Arial Narrow" w:hAnsi="Arial Narrow"/>
                <w:i/>
                <w:iCs/>
                <w:kern w:val="2"/>
                <w:sz w:val="20"/>
                <w:szCs w:val="20"/>
              </w:rPr>
              <w:fldChar w:fldCharType="end"/>
            </w:r>
            <w:r w:rsidRPr="00204385">
              <w:rPr>
                <w:rFonts w:ascii="Arial Narrow" w:hAnsi="Arial Narrow"/>
                <w:i/>
                <w:iCs/>
                <w:kern w:val="2"/>
                <w:sz w:val="20"/>
                <w:szCs w:val="20"/>
              </w:rPr>
              <w:t xml:space="preserve"> </w:t>
            </w:r>
            <w:r w:rsidRPr="00204385">
              <w:rPr>
                <w:rFonts w:ascii="Arial Narrow" w:eastAsia="Calibri" w:hAnsi="Arial Narrow"/>
                <w:i/>
                <w:iCs/>
                <w:kern w:val="2"/>
                <w:sz w:val="20"/>
                <w:szCs w:val="20"/>
              </w:rPr>
              <w:t xml:space="preserve">Authority Required (Telephone/ Online PBS Authorities System) </w:t>
            </w:r>
          </w:p>
        </w:tc>
      </w:tr>
      <w:tr w:rsidR="00E140A2" w:rsidRPr="00204385" w14:paraId="02A8B98A" w14:textId="77777777">
        <w:trPr>
          <w:trHeight w:val="50"/>
        </w:trPr>
        <w:tc>
          <w:tcPr>
            <w:tcW w:w="9067" w:type="dxa"/>
            <w:gridSpan w:val="7"/>
          </w:tcPr>
          <w:p w14:paraId="4EB4A19C" w14:textId="04511054" w:rsidR="00E140A2" w:rsidRPr="00204385" w:rsidRDefault="00E140A2" w:rsidP="007A591A">
            <w:pPr>
              <w:keepNext/>
              <w:rPr>
                <w:rFonts w:ascii="Arial Narrow" w:hAnsi="Arial Narrow" w:cs="Arial"/>
                <w:b/>
                <w:i/>
                <w:iCs/>
                <w:sz w:val="20"/>
                <w:szCs w:val="20"/>
              </w:rPr>
            </w:pPr>
            <w:r w:rsidRPr="00204385">
              <w:rPr>
                <w:rFonts w:ascii="Arial Narrow" w:hAnsi="Arial Narrow" w:cs="Arial"/>
                <w:b/>
                <w:i/>
                <w:iCs/>
                <w:kern w:val="2"/>
                <w:sz w:val="20"/>
                <w:szCs w:val="20"/>
                <w:lang w:eastAsia="en-US"/>
                <w14:ligatures w14:val="standardContextual"/>
              </w:rPr>
              <w:t>Prescribing rule level:</w:t>
            </w:r>
            <w:r w:rsidR="007A591A">
              <w:rPr>
                <w:rFonts w:ascii="Arial Narrow" w:hAnsi="Arial Narrow" w:cs="Arial"/>
                <w:b/>
                <w:i/>
                <w:iCs/>
                <w:kern w:val="2"/>
                <w:sz w:val="20"/>
                <w:szCs w:val="20"/>
                <w:lang w:eastAsia="en-US"/>
                <w14:ligatures w14:val="standardContextual"/>
              </w:rPr>
              <w:t xml:space="preserve"> </w:t>
            </w:r>
          </w:p>
        </w:tc>
      </w:tr>
      <w:tr w:rsidR="00E140A2" w:rsidRPr="00204385" w14:paraId="5E3104E8" w14:textId="77777777">
        <w:trPr>
          <w:trHeight w:val="50"/>
        </w:trPr>
        <w:tc>
          <w:tcPr>
            <w:tcW w:w="1271" w:type="dxa"/>
            <w:tcBorders>
              <w:top w:val="single" w:sz="4" w:space="0" w:color="auto"/>
              <w:left w:val="single" w:sz="4" w:space="0" w:color="auto"/>
              <w:bottom w:val="single" w:sz="4" w:space="0" w:color="auto"/>
              <w:right w:val="single" w:sz="4" w:space="0" w:color="auto"/>
            </w:tcBorders>
          </w:tcPr>
          <w:p w14:paraId="1DE28AC6" w14:textId="40E15F1F" w:rsidR="00E140A2" w:rsidRPr="00204385" w:rsidRDefault="00E140A2" w:rsidP="007A591A">
            <w:pPr>
              <w:keepNext/>
              <w:rPr>
                <w:rFonts w:ascii="Arial Narrow" w:hAnsi="Arial Narrow" w:cs="Arial"/>
                <w:b/>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6F284C8" w14:textId="77777777" w:rsidR="00E140A2" w:rsidRPr="00204385" w:rsidRDefault="00E140A2" w:rsidP="007A591A">
            <w:pPr>
              <w:rPr>
                <w:rFonts w:ascii="Arial Narrow" w:hAnsi="Arial Narrow"/>
                <w:b/>
                <w:bCs/>
                <w:i/>
                <w:iCs/>
                <w:color w:val="333333"/>
                <w:kern w:val="2"/>
                <w:sz w:val="20"/>
                <w:szCs w:val="20"/>
              </w:rPr>
            </w:pPr>
            <w:r w:rsidRPr="00204385">
              <w:rPr>
                <w:rFonts w:ascii="Arial Narrow" w:hAnsi="Arial Narrow"/>
                <w:b/>
                <w:bCs/>
                <w:i/>
                <w:iCs/>
                <w:color w:val="333333"/>
                <w:kern w:val="2"/>
                <w:sz w:val="20"/>
                <w:szCs w:val="20"/>
              </w:rPr>
              <w:t>Administrative Advice:</w:t>
            </w:r>
          </w:p>
          <w:p w14:paraId="70DCB5A2" w14:textId="77777777" w:rsidR="00E140A2" w:rsidRPr="00204385" w:rsidRDefault="00E140A2" w:rsidP="007A591A">
            <w:pPr>
              <w:keepNext/>
              <w:rPr>
                <w:rFonts w:ascii="Arial Narrow" w:hAnsi="Arial Narrow" w:cs="Arial"/>
                <w:b/>
                <w:i/>
                <w:iCs/>
                <w:sz w:val="20"/>
                <w:szCs w:val="20"/>
              </w:rPr>
            </w:pPr>
            <w:r w:rsidRPr="00204385">
              <w:rPr>
                <w:rFonts w:ascii="Arial Narrow" w:hAnsi="Arial Narrow" w:cs="Arial"/>
                <w:bCs/>
                <w:i/>
                <w:iCs/>
                <w:kern w:val="2"/>
                <w:sz w:val="20"/>
                <w:szCs w:val="20"/>
                <w:lang w:eastAsia="en-US"/>
                <w14:ligatures w14:val="standardContextual"/>
              </w:rPr>
              <w:t>No increase in the maximum quantity or number of units may be authorised.</w:t>
            </w:r>
          </w:p>
        </w:tc>
      </w:tr>
      <w:tr w:rsidR="00E140A2" w:rsidRPr="00204385" w14:paraId="06427ED6" w14:textId="77777777">
        <w:trPr>
          <w:trHeight w:val="50"/>
        </w:trPr>
        <w:tc>
          <w:tcPr>
            <w:tcW w:w="1271" w:type="dxa"/>
            <w:tcBorders>
              <w:top w:val="single" w:sz="4" w:space="0" w:color="auto"/>
              <w:left w:val="single" w:sz="4" w:space="0" w:color="auto"/>
              <w:bottom w:val="single" w:sz="4" w:space="0" w:color="auto"/>
              <w:right w:val="single" w:sz="4" w:space="0" w:color="auto"/>
            </w:tcBorders>
          </w:tcPr>
          <w:p w14:paraId="19961844" w14:textId="004F9721" w:rsidR="00E140A2" w:rsidRPr="00204385" w:rsidRDefault="00E140A2" w:rsidP="007A591A">
            <w:pPr>
              <w:keepNext/>
              <w:rPr>
                <w:rFonts w:ascii="Arial Narrow" w:hAnsi="Arial Narrow" w:cs="Arial"/>
                <w:b/>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2E2DB655" w14:textId="77777777" w:rsidR="00E140A2" w:rsidRPr="00204385" w:rsidRDefault="00E140A2" w:rsidP="007A591A">
            <w:pPr>
              <w:rPr>
                <w:rFonts w:ascii="Arial Narrow" w:hAnsi="Arial Narrow"/>
                <w:b/>
                <w:bCs/>
                <w:i/>
                <w:iCs/>
                <w:color w:val="333333"/>
                <w:kern w:val="2"/>
                <w:sz w:val="20"/>
                <w:szCs w:val="20"/>
              </w:rPr>
            </w:pPr>
            <w:r w:rsidRPr="00204385">
              <w:rPr>
                <w:rFonts w:ascii="Arial Narrow" w:hAnsi="Arial Narrow"/>
                <w:b/>
                <w:bCs/>
                <w:i/>
                <w:iCs/>
                <w:color w:val="333333"/>
                <w:kern w:val="2"/>
                <w:sz w:val="20"/>
                <w:szCs w:val="20"/>
              </w:rPr>
              <w:t>Administrative Advice:</w:t>
            </w:r>
          </w:p>
          <w:p w14:paraId="2AB89540" w14:textId="77777777" w:rsidR="00E140A2" w:rsidRPr="00204385" w:rsidRDefault="00E140A2" w:rsidP="007A591A">
            <w:pPr>
              <w:keepNext/>
              <w:rPr>
                <w:rFonts w:ascii="Arial Narrow" w:hAnsi="Arial Narrow" w:cs="Arial"/>
                <w:b/>
                <w:i/>
                <w:iCs/>
                <w:sz w:val="20"/>
                <w:szCs w:val="20"/>
              </w:rPr>
            </w:pPr>
            <w:r w:rsidRPr="00204385">
              <w:rPr>
                <w:rFonts w:ascii="Arial Narrow" w:hAnsi="Arial Narrow"/>
                <w:i/>
                <w:iCs/>
                <w:color w:val="333333"/>
                <w:kern w:val="2"/>
                <w:sz w:val="20"/>
                <w:szCs w:val="20"/>
              </w:rPr>
              <w:t xml:space="preserve">No increase in the maximum number of repeats may be authorised. </w:t>
            </w:r>
          </w:p>
        </w:tc>
      </w:tr>
      <w:tr w:rsidR="00E140A2" w:rsidRPr="00204385" w14:paraId="545C9EA4" w14:textId="77777777">
        <w:trPr>
          <w:trHeight w:val="50"/>
        </w:trPr>
        <w:tc>
          <w:tcPr>
            <w:tcW w:w="1271" w:type="dxa"/>
            <w:tcBorders>
              <w:top w:val="single" w:sz="4" w:space="0" w:color="auto"/>
              <w:left w:val="single" w:sz="4" w:space="0" w:color="auto"/>
              <w:bottom w:val="single" w:sz="4" w:space="0" w:color="auto"/>
              <w:right w:val="single" w:sz="4" w:space="0" w:color="auto"/>
            </w:tcBorders>
          </w:tcPr>
          <w:p w14:paraId="40088F44" w14:textId="1BC3EC9B" w:rsidR="00E140A2" w:rsidRPr="00204385" w:rsidRDefault="00E140A2" w:rsidP="007A591A">
            <w:pPr>
              <w:keepNext/>
              <w:rPr>
                <w:rFonts w:ascii="Arial Narrow" w:hAnsi="Arial Narrow" w:cs="Arial"/>
                <w:b/>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236CEE09" w14:textId="77777777" w:rsidR="00E140A2" w:rsidRPr="00204385" w:rsidRDefault="00E140A2" w:rsidP="007A591A">
            <w:pPr>
              <w:keepLines/>
              <w:rPr>
                <w:rFonts w:ascii="Arial Narrow" w:hAnsi="Arial Narrow"/>
                <w:b/>
                <w:bCs/>
                <w:i/>
                <w:iCs/>
                <w:color w:val="333333"/>
                <w:kern w:val="2"/>
                <w:sz w:val="20"/>
                <w:szCs w:val="20"/>
              </w:rPr>
            </w:pPr>
            <w:r w:rsidRPr="00204385">
              <w:rPr>
                <w:rFonts w:ascii="Arial Narrow" w:hAnsi="Arial Narrow"/>
                <w:b/>
                <w:bCs/>
                <w:i/>
                <w:iCs/>
                <w:color w:val="333333"/>
                <w:kern w:val="2"/>
                <w:sz w:val="20"/>
                <w:szCs w:val="20"/>
              </w:rPr>
              <w:t>Administrative Advice:</w:t>
            </w:r>
          </w:p>
          <w:p w14:paraId="24F489F1" w14:textId="77777777" w:rsidR="00E140A2" w:rsidRPr="00204385" w:rsidRDefault="00E140A2" w:rsidP="007A591A">
            <w:pPr>
              <w:keepNext/>
              <w:rPr>
                <w:rFonts w:ascii="Arial Narrow" w:hAnsi="Arial Narrow" w:cs="Arial"/>
                <w:b/>
                <w:i/>
                <w:iCs/>
                <w:sz w:val="20"/>
                <w:szCs w:val="20"/>
              </w:rPr>
            </w:pPr>
            <w:r w:rsidRPr="00204385">
              <w:rPr>
                <w:rFonts w:ascii="Arial Narrow" w:hAnsi="Arial Narrow"/>
                <w:i/>
                <w:iCs/>
                <w:color w:val="333333"/>
                <w:kern w:val="2"/>
                <w:sz w:val="20"/>
                <w:szCs w:val="20"/>
              </w:rPr>
              <w:t>Special Pricing Arrangements apply.</w:t>
            </w:r>
            <w:r w:rsidRPr="00204385">
              <w:rPr>
                <w:rFonts w:ascii="Arial Narrow" w:hAnsi="Arial Narrow"/>
                <w:b/>
                <w:i/>
                <w:iCs/>
                <w:color w:val="333333"/>
                <w:kern w:val="2"/>
                <w:sz w:val="20"/>
                <w:szCs w:val="20"/>
              </w:rPr>
              <w:t xml:space="preserve"> </w:t>
            </w:r>
          </w:p>
        </w:tc>
      </w:tr>
      <w:tr w:rsidR="00E140A2" w:rsidRPr="00204385" w14:paraId="26E8693A" w14:textId="77777777">
        <w:trPr>
          <w:trHeight w:val="50"/>
        </w:trPr>
        <w:tc>
          <w:tcPr>
            <w:tcW w:w="1271" w:type="dxa"/>
            <w:tcBorders>
              <w:top w:val="single" w:sz="4" w:space="0" w:color="auto"/>
              <w:left w:val="single" w:sz="4" w:space="0" w:color="auto"/>
              <w:bottom w:val="single" w:sz="4" w:space="0" w:color="auto"/>
              <w:right w:val="single" w:sz="4" w:space="0" w:color="auto"/>
            </w:tcBorders>
          </w:tcPr>
          <w:p w14:paraId="003EED59" w14:textId="4512A3D4" w:rsidR="00E140A2" w:rsidRPr="00204385" w:rsidRDefault="00E140A2" w:rsidP="007A591A">
            <w:pPr>
              <w:keepNext/>
              <w:rPr>
                <w:rFonts w:ascii="Arial Narrow" w:hAnsi="Arial Narrow" w:cs="Arial"/>
                <w:b/>
                <w:i/>
                <w:i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092414CD" w14:textId="77777777" w:rsidR="00E140A2" w:rsidRPr="00204385" w:rsidRDefault="00E140A2" w:rsidP="007A591A">
            <w:pPr>
              <w:rPr>
                <w:rFonts w:ascii="Arial Narrow" w:hAnsi="Arial Narrow"/>
                <w:b/>
                <w:bCs/>
                <w:i/>
                <w:iCs/>
                <w:color w:val="333333"/>
                <w:kern w:val="2"/>
                <w:sz w:val="20"/>
                <w:szCs w:val="20"/>
              </w:rPr>
            </w:pPr>
            <w:r w:rsidRPr="00204385">
              <w:rPr>
                <w:rFonts w:ascii="Arial Narrow" w:hAnsi="Arial Narrow"/>
                <w:b/>
                <w:bCs/>
                <w:i/>
                <w:iCs/>
                <w:color w:val="333333"/>
                <w:kern w:val="2"/>
                <w:sz w:val="20"/>
                <w:szCs w:val="20"/>
              </w:rPr>
              <w:t xml:space="preserve">Administrative Advice: </w:t>
            </w:r>
          </w:p>
          <w:p w14:paraId="483EA90E" w14:textId="77777777" w:rsidR="00E140A2" w:rsidRPr="00204385" w:rsidRDefault="00E140A2" w:rsidP="007A591A">
            <w:pPr>
              <w:keepNext/>
              <w:ind w:left="-57"/>
              <w:rPr>
                <w:rFonts w:ascii="Arial Narrow" w:hAnsi="Arial Narrow" w:cs="Arial"/>
                <w:b/>
                <w:i/>
                <w:iCs/>
                <w:sz w:val="20"/>
                <w:szCs w:val="20"/>
              </w:rPr>
            </w:pPr>
            <w:r w:rsidRPr="00204385">
              <w:rPr>
                <w:rFonts w:ascii="Arial Narrow" w:hAnsi="Arial Narrow"/>
                <w:i/>
                <w:iCs/>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r w:rsidR="00E140A2" w:rsidRPr="00204385" w14:paraId="7BDAADAC" w14:textId="77777777">
        <w:trPr>
          <w:trHeight w:val="50"/>
        </w:trPr>
        <w:tc>
          <w:tcPr>
            <w:tcW w:w="1271" w:type="dxa"/>
            <w:tcBorders>
              <w:top w:val="single" w:sz="4" w:space="0" w:color="auto"/>
              <w:left w:val="single" w:sz="4" w:space="0" w:color="auto"/>
              <w:bottom w:val="single" w:sz="4" w:space="0" w:color="auto"/>
              <w:right w:val="single" w:sz="4" w:space="0" w:color="auto"/>
            </w:tcBorders>
          </w:tcPr>
          <w:p w14:paraId="3D1996E2" w14:textId="1EE9A488" w:rsidR="00E140A2" w:rsidRPr="00204385" w:rsidRDefault="00E140A2" w:rsidP="007A591A">
            <w:pPr>
              <w:keepNext/>
              <w:rPr>
                <w:rFonts w:ascii="Arial Narrow" w:hAnsi="Arial Narrow"/>
                <w:i/>
                <w:iCs/>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9BE3A84" w14:textId="77777777" w:rsidR="00E140A2" w:rsidRPr="00204385" w:rsidRDefault="00E140A2" w:rsidP="007A591A">
            <w:pPr>
              <w:rPr>
                <w:rFonts w:ascii="Arial Narrow" w:hAnsi="Arial Narrow"/>
                <w:b/>
                <w:bCs/>
                <w:i/>
                <w:iCs/>
                <w:color w:val="333333"/>
                <w:kern w:val="2"/>
                <w:sz w:val="20"/>
                <w:szCs w:val="20"/>
              </w:rPr>
            </w:pPr>
            <w:r w:rsidRPr="00204385">
              <w:rPr>
                <w:rFonts w:ascii="Arial Narrow" w:hAnsi="Arial Narrow"/>
                <w:b/>
                <w:bCs/>
                <w:i/>
                <w:iCs/>
                <w:color w:val="333333"/>
                <w:kern w:val="2"/>
                <w:sz w:val="20"/>
                <w:szCs w:val="20"/>
              </w:rPr>
              <w:t>Administrative Advice:</w:t>
            </w:r>
          </w:p>
          <w:p w14:paraId="31D78856" w14:textId="29DB709C" w:rsidR="00E140A2" w:rsidRPr="00204385" w:rsidRDefault="00E140A2" w:rsidP="007A591A">
            <w:pPr>
              <w:jc w:val="left"/>
              <w:rPr>
                <w:rFonts w:ascii="Arial Narrow" w:hAnsi="Arial Narrow"/>
                <w:i/>
                <w:iCs/>
                <w:color w:val="333333"/>
                <w:kern w:val="2"/>
                <w:sz w:val="20"/>
                <w:szCs w:val="20"/>
              </w:rPr>
            </w:pPr>
            <w:r w:rsidRPr="00204385">
              <w:rPr>
                <w:rFonts w:ascii="Arial Narrow" w:hAnsi="Arial Narrow"/>
                <w:i/>
                <w:iCs/>
                <w:color w:val="333333"/>
                <w:kern w:val="2"/>
                <w:sz w:val="20"/>
                <w:szCs w:val="20"/>
              </w:rPr>
              <w:t xml:space="preserve">The ALS Functional Rating Scale </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 xml:space="preserve"> Revised (ALSFRS</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R) can be accessed online at:</w:t>
            </w:r>
          </w:p>
          <w:p w14:paraId="34960F6E" w14:textId="2F412B60" w:rsidR="00E140A2" w:rsidRPr="00204385" w:rsidRDefault="00E140A2" w:rsidP="007A591A">
            <w:pPr>
              <w:jc w:val="left"/>
              <w:rPr>
                <w:rFonts w:ascii="Arial Narrow" w:hAnsi="Arial Narrow"/>
                <w:b/>
                <w:bCs/>
                <w:i/>
                <w:iCs/>
                <w:color w:val="333333"/>
                <w:kern w:val="2"/>
                <w:sz w:val="20"/>
                <w:szCs w:val="20"/>
              </w:rPr>
            </w:pPr>
            <w:r w:rsidRPr="00204385">
              <w:rPr>
                <w:rFonts w:ascii="Arial Narrow" w:hAnsi="Arial Narrow"/>
                <w:i/>
                <w:iCs/>
                <w:color w:val="333333"/>
                <w:kern w:val="2"/>
                <w:sz w:val="20"/>
                <w:szCs w:val="20"/>
              </w:rPr>
              <w:t>www.mdcalc.com/calc/10166/revised</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amyotrophic</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lateral</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sclerosis</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functional</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rating</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scale</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alsfrs</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r or https://neurotoolkit.com/alsfrs</w:t>
            </w:r>
            <w:r w:rsidR="007A591A">
              <w:rPr>
                <w:rFonts w:ascii="Arial Narrow" w:hAnsi="Arial Narrow"/>
                <w:i/>
                <w:iCs/>
                <w:color w:val="333333"/>
                <w:kern w:val="2"/>
                <w:sz w:val="20"/>
                <w:szCs w:val="20"/>
              </w:rPr>
              <w:noBreakHyphen/>
            </w:r>
            <w:r w:rsidRPr="00204385">
              <w:rPr>
                <w:rFonts w:ascii="Arial Narrow" w:hAnsi="Arial Narrow"/>
                <w:i/>
                <w:iCs/>
                <w:color w:val="333333"/>
                <w:kern w:val="2"/>
                <w:sz w:val="20"/>
                <w:szCs w:val="20"/>
              </w:rPr>
              <w:t>r/</w:t>
            </w:r>
          </w:p>
        </w:tc>
      </w:tr>
      <w:tr w:rsidR="00E140A2" w:rsidRPr="00204385" w14:paraId="7D3CD268" w14:textId="77777777">
        <w:trPr>
          <w:trHeight w:val="50"/>
        </w:trPr>
        <w:tc>
          <w:tcPr>
            <w:tcW w:w="9067" w:type="dxa"/>
            <w:gridSpan w:val="7"/>
          </w:tcPr>
          <w:p w14:paraId="0F45A0F7" w14:textId="77777777" w:rsidR="00E140A2" w:rsidRPr="00204385" w:rsidRDefault="00E140A2" w:rsidP="007A591A">
            <w:pPr>
              <w:keepNext/>
              <w:ind w:left="-57"/>
              <w:rPr>
                <w:rFonts w:ascii="Arial Narrow" w:hAnsi="Arial Narrow" w:cs="Arial"/>
                <w:b/>
                <w:i/>
                <w:iCs/>
                <w:sz w:val="20"/>
                <w:szCs w:val="20"/>
              </w:rPr>
            </w:pPr>
            <w:r w:rsidRPr="00204385">
              <w:rPr>
                <w:rFonts w:ascii="Arial Narrow" w:hAnsi="Arial Narrow"/>
                <w:b/>
                <w:i/>
                <w:iCs/>
                <w:kern w:val="2"/>
                <w:sz w:val="20"/>
                <w:szCs w:val="20"/>
              </w:rPr>
              <w:t>Restriction Summary [new</w:t>
            </w:r>
            <w:r>
              <w:rPr>
                <w:rFonts w:ascii="Arial Narrow" w:hAnsi="Arial Narrow"/>
                <w:b/>
                <w:i/>
                <w:iCs/>
                <w:kern w:val="2"/>
                <w:sz w:val="20"/>
                <w:szCs w:val="20"/>
              </w:rPr>
              <w:t>5</w:t>
            </w:r>
            <w:r w:rsidRPr="00204385">
              <w:rPr>
                <w:rFonts w:ascii="Arial Narrow" w:hAnsi="Arial Narrow"/>
                <w:b/>
                <w:i/>
                <w:iCs/>
                <w:kern w:val="2"/>
                <w:sz w:val="20"/>
                <w:szCs w:val="20"/>
              </w:rPr>
              <w:t>] / Treatment of Concept: [new</w:t>
            </w:r>
            <w:r>
              <w:rPr>
                <w:rFonts w:ascii="Arial Narrow" w:hAnsi="Arial Narrow"/>
                <w:b/>
                <w:i/>
                <w:iCs/>
                <w:kern w:val="2"/>
                <w:sz w:val="20"/>
                <w:szCs w:val="20"/>
              </w:rPr>
              <w:t>5</w:t>
            </w:r>
            <w:r w:rsidRPr="00204385">
              <w:rPr>
                <w:rFonts w:ascii="Arial Narrow" w:hAnsi="Arial Narrow"/>
                <w:b/>
                <w:i/>
                <w:iCs/>
                <w:kern w:val="2"/>
                <w:sz w:val="20"/>
                <w:szCs w:val="20"/>
              </w:rPr>
              <w:t>A]</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96"/>
      </w:tblGrid>
      <w:tr w:rsidR="00E140A2" w:rsidRPr="00204385" w14:paraId="5A1F8A66" w14:textId="77777777">
        <w:trPr>
          <w:trHeight w:val="35"/>
        </w:trPr>
        <w:tc>
          <w:tcPr>
            <w:tcW w:w="1271" w:type="dxa"/>
            <w:vAlign w:val="center"/>
          </w:tcPr>
          <w:p w14:paraId="2160E634" w14:textId="22A9EBDE" w:rsidR="00E140A2" w:rsidRPr="00204385" w:rsidRDefault="00E140A2" w:rsidP="007A591A">
            <w:pPr>
              <w:jc w:val="center"/>
              <w:rPr>
                <w:rFonts w:ascii="Arial Narrow" w:hAnsi="Arial Narrow"/>
                <w:i/>
                <w:iCs/>
                <w:sz w:val="20"/>
                <w:szCs w:val="20"/>
              </w:rPr>
            </w:pPr>
          </w:p>
        </w:tc>
        <w:tc>
          <w:tcPr>
            <w:tcW w:w="7796" w:type="dxa"/>
            <w:vAlign w:val="center"/>
          </w:tcPr>
          <w:p w14:paraId="1D6C2DA3" w14:textId="5FBC81CF" w:rsidR="00E140A2" w:rsidRPr="00204385" w:rsidRDefault="00E140A2" w:rsidP="007A591A">
            <w:pPr>
              <w:rPr>
                <w:rFonts w:ascii="Arial Narrow" w:hAnsi="Arial Narrow"/>
                <w:b/>
                <w:i/>
                <w:iCs/>
                <w:sz w:val="20"/>
                <w:szCs w:val="20"/>
              </w:rPr>
            </w:pPr>
            <w:r w:rsidRPr="00204385">
              <w:rPr>
                <w:rFonts w:ascii="Arial Narrow" w:hAnsi="Arial Narrow"/>
                <w:b/>
                <w:i/>
                <w:iCs/>
                <w:sz w:val="20"/>
                <w:szCs w:val="20"/>
              </w:rPr>
              <w:t>Indication:</w:t>
            </w:r>
            <w:r w:rsidRPr="00204385">
              <w:rPr>
                <w:rFonts w:ascii="Arial Narrow" w:hAnsi="Arial Narrow"/>
                <w:i/>
                <w:iCs/>
                <w:sz w:val="20"/>
                <w:szCs w:val="20"/>
              </w:rPr>
              <w:t xml:space="preserve"> Amyotrophic lateral sclerosis</w:t>
            </w:r>
            <w:r w:rsidR="007A591A">
              <w:rPr>
                <w:rFonts w:ascii="Arial Narrow" w:hAnsi="Arial Narrow"/>
                <w:i/>
                <w:iCs/>
                <w:sz w:val="20"/>
                <w:szCs w:val="20"/>
              </w:rPr>
              <w:t xml:space="preserve"> </w:t>
            </w:r>
          </w:p>
        </w:tc>
      </w:tr>
      <w:tr w:rsidR="00E140A2" w:rsidRPr="00204385" w14:paraId="2839C147" w14:textId="77777777">
        <w:trPr>
          <w:trHeight w:val="35"/>
        </w:trPr>
        <w:tc>
          <w:tcPr>
            <w:tcW w:w="1271" w:type="dxa"/>
            <w:vAlign w:val="center"/>
            <w:hideMark/>
          </w:tcPr>
          <w:p w14:paraId="070D5023" w14:textId="77777777" w:rsidR="00E140A2" w:rsidRPr="00204385" w:rsidRDefault="00E140A2" w:rsidP="007A591A">
            <w:pPr>
              <w:jc w:val="center"/>
              <w:rPr>
                <w:rFonts w:ascii="Arial Narrow" w:hAnsi="Arial Narrow"/>
                <w:i/>
                <w:iCs/>
                <w:sz w:val="20"/>
                <w:szCs w:val="20"/>
              </w:rPr>
            </w:pPr>
          </w:p>
        </w:tc>
        <w:tc>
          <w:tcPr>
            <w:tcW w:w="7796" w:type="dxa"/>
            <w:vAlign w:val="center"/>
            <w:hideMark/>
          </w:tcPr>
          <w:p w14:paraId="24C80377" w14:textId="77777777" w:rsidR="00E140A2" w:rsidRPr="00204385" w:rsidRDefault="00E140A2" w:rsidP="007A591A">
            <w:pPr>
              <w:rPr>
                <w:rFonts w:ascii="Arial Narrow" w:hAnsi="Arial Narrow"/>
                <w:i/>
                <w:iCs/>
                <w:sz w:val="20"/>
                <w:szCs w:val="20"/>
              </w:rPr>
            </w:pPr>
            <w:r w:rsidRPr="00204385">
              <w:rPr>
                <w:rFonts w:ascii="Arial Narrow" w:hAnsi="Arial Narrow"/>
                <w:b/>
                <w:i/>
                <w:iCs/>
                <w:sz w:val="20"/>
                <w:szCs w:val="20"/>
              </w:rPr>
              <w:t>Treatment Phase:</w:t>
            </w:r>
            <w:r w:rsidRPr="00204385">
              <w:rPr>
                <w:rFonts w:ascii="Arial Narrow" w:hAnsi="Arial Narrow"/>
                <w:i/>
                <w:iCs/>
                <w:sz w:val="20"/>
                <w:szCs w:val="20"/>
              </w:rPr>
              <w:t xml:space="preserve"> </w:t>
            </w:r>
            <w:r>
              <w:rPr>
                <w:rFonts w:ascii="Arial Narrow" w:hAnsi="Arial Narrow"/>
                <w:i/>
                <w:iCs/>
                <w:sz w:val="20"/>
                <w:szCs w:val="20"/>
              </w:rPr>
              <w:t xml:space="preserve">Extended first continuing treatment (additional 3 doses) </w:t>
            </w:r>
          </w:p>
        </w:tc>
      </w:tr>
      <w:tr w:rsidR="00E140A2" w:rsidRPr="00204385" w14:paraId="07CE1CFA" w14:textId="77777777">
        <w:tc>
          <w:tcPr>
            <w:tcW w:w="1271" w:type="dxa"/>
            <w:vAlign w:val="center"/>
          </w:tcPr>
          <w:p w14:paraId="4AB87A7D" w14:textId="6FB8F532" w:rsidR="00E140A2" w:rsidRPr="00204385" w:rsidRDefault="00E140A2" w:rsidP="007A591A">
            <w:pPr>
              <w:jc w:val="center"/>
              <w:rPr>
                <w:rFonts w:ascii="Arial Narrow" w:hAnsi="Arial Narrow"/>
                <w:i/>
                <w:iCs/>
                <w:sz w:val="20"/>
                <w:szCs w:val="20"/>
              </w:rPr>
            </w:pPr>
          </w:p>
        </w:tc>
        <w:tc>
          <w:tcPr>
            <w:tcW w:w="7796" w:type="dxa"/>
            <w:vAlign w:val="center"/>
          </w:tcPr>
          <w:p w14:paraId="223FE202" w14:textId="77777777" w:rsidR="00E140A2" w:rsidRPr="00204385" w:rsidRDefault="00E140A2" w:rsidP="007A591A">
            <w:pPr>
              <w:rPr>
                <w:rFonts w:ascii="Arial Narrow" w:hAnsi="Arial Narrow"/>
                <w:b/>
                <w:i/>
                <w:iCs/>
                <w:sz w:val="20"/>
                <w:szCs w:val="20"/>
              </w:rPr>
            </w:pPr>
            <w:r w:rsidRPr="00204385">
              <w:rPr>
                <w:rFonts w:ascii="Arial Narrow" w:hAnsi="Arial Narrow"/>
                <w:b/>
                <w:i/>
                <w:iCs/>
                <w:sz w:val="20"/>
                <w:szCs w:val="20"/>
              </w:rPr>
              <w:t>Clinical criteria</w:t>
            </w:r>
          </w:p>
        </w:tc>
      </w:tr>
      <w:tr w:rsidR="00E140A2" w:rsidRPr="00204385" w14:paraId="048FF61F" w14:textId="77777777">
        <w:trPr>
          <w:trHeight w:val="35"/>
        </w:trPr>
        <w:tc>
          <w:tcPr>
            <w:tcW w:w="1271" w:type="dxa"/>
            <w:vAlign w:val="center"/>
          </w:tcPr>
          <w:p w14:paraId="093A69C8" w14:textId="05E7F922" w:rsidR="00E140A2" w:rsidRPr="00204385" w:rsidRDefault="00E140A2" w:rsidP="007A591A">
            <w:pPr>
              <w:jc w:val="center"/>
              <w:rPr>
                <w:rFonts w:ascii="Arial Narrow" w:hAnsi="Arial Narrow"/>
                <w:i/>
                <w:iCs/>
                <w:sz w:val="20"/>
                <w:szCs w:val="20"/>
              </w:rPr>
            </w:pPr>
          </w:p>
        </w:tc>
        <w:tc>
          <w:tcPr>
            <w:tcW w:w="7796" w:type="dxa"/>
            <w:vAlign w:val="center"/>
            <w:hideMark/>
          </w:tcPr>
          <w:p w14:paraId="20F8D1A9" w14:textId="77777777" w:rsidR="00E140A2" w:rsidRPr="00204385" w:rsidRDefault="00E140A2" w:rsidP="007A591A">
            <w:pPr>
              <w:rPr>
                <w:rFonts w:ascii="Arial Narrow" w:hAnsi="Arial Narrow"/>
                <w:b/>
                <w:i/>
                <w:iCs/>
                <w:sz w:val="20"/>
                <w:szCs w:val="20"/>
              </w:rPr>
            </w:pPr>
            <w:r w:rsidRPr="00204385">
              <w:rPr>
                <w:rFonts w:ascii="Arial Narrow" w:hAnsi="Arial Narrow"/>
                <w:i/>
                <w:iCs/>
                <w:sz w:val="20"/>
                <w:szCs w:val="20"/>
              </w:rPr>
              <w:t xml:space="preserve">Patient must </w:t>
            </w:r>
            <w:r>
              <w:rPr>
                <w:rFonts w:ascii="Arial Narrow" w:hAnsi="Arial Narrow"/>
                <w:i/>
                <w:iCs/>
                <w:sz w:val="20"/>
                <w:szCs w:val="20"/>
              </w:rPr>
              <w:t>have not demonstrated an adequate response to treatment under the first continuing restrictions</w:t>
            </w:r>
          </w:p>
        </w:tc>
      </w:tr>
      <w:tr w:rsidR="00E140A2" w:rsidRPr="00204385" w14:paraId="3B419D0A" w14:textId="77777777">
        <w:trPr>
          <w:trHeight w:val="35"/>
        </w:trPr>
        <w:tc>
          <w:tcPr>
            <w:tcW w:w="1271" w:type="dxa"/>
            <w:vAlign w:val="center"/>
          </w:tcPr>
          <w:p w14:paraId="21E1BFCE" w14:textId="77777777"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6C8812AE" w14:textId="77777777" w:rsidR="00E140A2" w:rsidRPr="005528C9" w:rsidRDefault="00E140A2" w:rsidP="007A591A">
            <w:pPr>
              <w:rPr>
                <w:rFonts w:ascii="Arial Narrow" w:hAnsi="Arial Narrow"/>
                <w:b/>
                <w:i/>
                <w:iCs/>
                <w:sz w:val="20"/>
                <w:szCs w:val="20"/>
              </w:rPr>
            </w:pPr>
            <w:r w:rsidRPr="005528C9">
              <w:rPr>
                <w:rFonts w:ascii="Arial Narrow" w:hAnsi="Arial Narrow"/>
                <w:b/>
                <w:i/>
                <w:iCs/>
                <w:sz w:val="20"/>
                <w:szCs w:val="20"/>
              </w:rPr>
              <w:t>AND</w:t>
            </w:r>
          </w:p>
        </w:tc>
      </w:tr>
      <w:tr w:rsidR="00E140A2" w:rsidRPr="00204385" w14:paraId="43DD6170" w14:textId="77777777">
        <w:trPr>
          <w:trHeight w:val="35"/>
        </w:trPr>
        <w:tc>
          <w:tcPr>
            <w:tcW w:w="1271" w:type="dxa"/>
          </w:tcPr>
          <w:p w14:paraId="5F325DF9" w14:textId="01409E10"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2A4C1564" w14:textId="77777777" w:rsidR="00E140A2" w:rsidRPr="005528C9" w:rsidRDefault="00E140A2" w:rsidP="007A591A">
            <w:pPr>
              <w:rPr>
                <w:rFonts w:ascii="Arial Narrow" w:hAnsi="Arial Narrow"/>
                <w:b/>
                <w:i/>
                <w:iCs/>
                <w:sz w:val="20"/>
                <w:szCs w:val="20"/>
              </w:rPr>
            </w:pPr>
            <w:r w:rsidRPr="005528C9">
              <w:rPr>
                <w:rFonts w:ascii="Arial Narrow" w:hAnsi="Arial Narrow"/>
                <w:b/>
                <w:i/>
                <w:iCs/>
                <w:sz w:val="20"/>
                <w:szCs w:val="20"/>
              </w:rPr>
              <w:t>Clinical criteria:</w:t>
            </w:r>
          </w:p>
        </w:tc>
      </w:tr>
      <w:tr w:rsidR="00E140A2" w:rsidRPr="00204385" w14:paraId="2E984CA4" w14:textId="77777777">
        <w:trPr>
          <w:trHeight w:val="35"/>
        </w:trPr>
        <w:tc>
          <w:tcPr>
            <w:tcW w:w="1271" w:type="dxa"/>
          </w:tcPr>
          <w:p w14:paraId="1EEFE3CD" w14:textId="56D74647"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7402E857" w14:textId="77777777" w:rsidR="00E140A2" w:rsidRPr="005528C9" w:rsidRDefault="00E140A2" w:rsidP="007A591A">
            <w:pPr>
              <w:rPr>
                <w:rFonts w:ascii="Arial Narrow" w:hAnsi="Arial Narrow"/>
                <w:b/>
                <w:i/>
                <w:iCs/>
                <w:sz w:val="20"/>
                <w:szCs w:val="20"/>
              </w:rPr>
            </w:pPr>
            <w:r w:rsidRPr="005528C9">
              <w:rPr>
                <w:rFonts w:ascii="Arial Narrow" w:hAnsi="Arial Narrow"/>
                <w:i/>
                <w:iCs/>
                <w:sz w:val="20"/>
                <w:szCs w:val="20"/>
              </w:rPr>
              <w:t>Patient must not have experienced</w:t>
            </w:r>
            <w:r w:rsidRPr="005528C9">
              <w:rPr>
                <w:i/>
                <w:iCs/>
                <w:sz w:val="20"/>
                <w:szCs w:val="20"/>
              </w:rPr>
              <w:t xml:space="preserve"> </w:t>
            </w:r>
            <w:r w:rsidRPr="005528C9">
              <w:rPr>
                <w:rFonts w:ascii="Arial Narrow" w:hAnsi="Arial Narrow"/>
                <w:i/>
                <w:iCs/>
                <w:sz w:val="20"/>
                <w:szCs w:val="20"/>
              </w:rPr>
              <w:t>respiratory failure,</w:t>
            </w:r>
          </w:p>
        </w:tc>
      </w:tr>
      <w:tr w:rsidR="00E140A2" w:rsidRPr="00204385" w14:paraId="59A8C26F" w14:textId="77777777">
        <w:trPr>
          <w:trHeight w:val="35"/>
        </w:trPr>
        <w:tc>
          <w:tcPr>
            <w:tcW w:w="1271" w:type="dxa"/>
            <w:vAlign w:val="center"/>
          </w:tcPr>
          <w:p w14:paraId="23C0ECF2" w14:textId="77777777"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3B4ED0B0" w14:textId="77777777" w:rsidR="00E140A2" w:rsidRPr="005528C9" w:rsidRDefault="00E140A2" w:rsidP="007A591A">
            <w:pPr>
              <w:rPr>
                <w:rFonts w:ascii="Arial Narrow" w:hAnsi="Arial Narrow"/>
                <w:b/>
                <w:i/>
                <w:iCs/>
                <w:sz w:val="20"/>
                <w:szCs w:val="20"/>
              </w:rPr>
            </w:pPr>
            <w:r w:rsidRPr="005528C9">
              <w:rPr>
                <w:rFonts w:ascii="Arial Narrow" w:hAnsi="Arial Narrow"/>
                <w:b/>
                <w:i/>
                <w:iCs/>
                <w:sz w:val="20"/>
                <w:szCs w:val="20"/>
              </w:rPr>
              <w:t>AND</w:t>
            </w:r>
          </w:p>
        </w:tc>
      </w:tr>
      <w:tr w:rsidR="00E140A2" w:rsidRPr="00204385" w14:paraId="53EAF09D" w14:textId="77777777">
        <w:trPr>
          <w:trHeight w:val="35"/>
        </w:trPr>
        <w:tc>
          <w:tcPr>
            <w:tcW w:w="1271" w:type="dxa"/>
          </w:tcPr>
          <w:p w14:paraId="3A37F5A4" w14:textId="2CB8CEEC"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0FD75BD7" w14:textId="77777777" w:rsidR="00E140A2" w:rsidRPr="005528C9" w:rsidRDefault="00E140A2" w:rsidP="007A591A">
            <w:pPr>
              <w:rPr>
                <w:rFonts w:ascii="Arial Narrow" w:hAnsi="Arial Narrow"/>
                <w:b/>
                <w:i/>
                <w:iCs/>
                <w:sz w:val="20"/>
                <w:szCs w:val="20"/>
              </w:rPr>
            </w:pPr>
            <w:r w:rsidRPr="005528C9">
              <w:rPr>
                <w:rFonts w:ascii="Arial Narrow" w:hAnsi="Arial Narrow"/>
                <w:b/>
                <w:i/>
                <w:iCs/>
                <w:sz w:val="20"/>
                <w:szCs w:val="20"/>
              </w:rPr>
              <w:t>Clinical criteria:</w:t>
            </w:r>
          </w:p>
        </w:tc>
      </w:tr>
      <w:tr w:rsidR="00E140A2" w:rsidRPr="00204385" w14:paraId="5BB1DD8A" w14:textId="77777777">
        <w:trPr>
          <w:trHeight w:val="35"/>
        </w:trPr>
        <w:tc>
          <w:tcPr>
            <w:tcW w:w="1271" w:type="dxa"/>
          </w:tcPr>
          <w:p w14:paraId="771DA900" w14:textId="3B810674"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47E94967" w14:textId="77777777" w:rsidR="00E140A2" w:rsidRPr="005528C9" w:rsidRDefault="00E140A2" w:rsidP="007A591A">
            <w:pPr>
              <w:rPr>
                <w:rFonts w:ascii="Arial Narrow" w:hAnsi="Arial Narrow"/>
                <w:b/>
                <w:i/>
                <w:iCs/>
                <w:sz w:val="20"/>
                <w:szCs w:val="20"/>
              </w:rPr>
            </w:pPr>
            <w:r w:rsidRPr="005528C9">
              <w:rPr>
                <w:rFonts w:ascii="Arial Narrow" w:hAnsi="Arial Narrow"/>
                <w:i/>
                <w:iCs/>
                <w:sz w:val="20"/>
                <w:szCs w:val="20"/>
              </w:rPr>
              <w:t>Patient must not be receiving palliative care,</w:t>
            </w:r>
          </w:p>
        </w:tc>
      </w:tr>
      <w:tr w:rsidR="00E140A2" w:rsidRPr="00204385" w14:paraId="42FFBC41" w14:textId="77777777">
        <w:trPr>
          <w:trHeight w:val="35"/>
        </w:trPr>
        <w:tc>
          <w:tcPr>
            <w:tcW w:w="1271" w:type="dxa"/>
            <w:vAlign w:val="center"/>
          </w:tcPr>
          <w:p w14:paraId="518CF144" w14:textId="77777777"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27109A64" w14:textId="77777777" w:rsidR="00E140A2" w:rsidRPr="005528C9" w:rsidRDefault="00E140A2" w:rsidP="007A591A">
            <w:pPr>
              <w:rPr>
                <w:rFonts w:ascii="Arial Narrow" w:hAnsi="Arial Narrow"/>
                <w:b/>
                <w:i/>
                <w:iCs/>
                <w:sz w:val="20"/>
                <w:szCs w:val="20"/>
              </w:rPr>
            </w:pPr>
            <w:r w:rsidRPr="005528C9">
              <w:rPr>
                <w:rFonts w:ascii="Arial Narrow" w:hAnsi="Arial Narrow"/>
                <w:b/>
                <w:i/>
                <w:iCs/>
                <w:sz w:val="20"/>
                <w:szCs w:val="20"/>
              </w:rPr>
              <w:t xml:space="preserve">AND </w:t>
            </w:r>
          </w:p>
        </w:tc>
      </w:tr>
      <w:tr w:rsidR="00E140A2" w:rsidRPr="00204385" w14:paraId="6C98EC33" w14:textId="77777777">
        <w:trPr>
          <w:trHeight w:val="35"/>
        </w:trPr>
        <w:tc>
          <w:tcPr>
            <w:tcW w:w="1271" w:type="dxa"/>
          </w:tcPr>
          <w:p w14:paraId="67E5DFDB" w14:textId="610D30A7"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78C9B104" w14:textId="77777777" w:rsidR="00E140A2" w:rsidRPr="005528C9" w:rsidRDefault="00E140A2" w:rsidP="007A591A">
            <w:pPr>
              <w:rPr>
                <w:rFonts w:ascii="Arial Narrow" w:hAnsi="Arial Narrow"/>
                <w:b/>
                <w:i/>
                <w:iCs/>
                <w:sz w:val="20"/>
                <w:szCs w:val="20"/>
              </w:rPr>
            </w:pPr>
            <w:r w:rsidRPr="005528C9">
              <w:rPr>
                <w:rFonts w:ascii="Arial Narrow" w:hAnsi="Arial Narrow"/>
                <w:b/>
                <w:i/>
                <w:iCs/>
                <w:sz w:val="20"/>
                <w:szCs w:val="20"/>
              </w:rPr>
              <w:t>Clinical criteria:</w:t>
            </w:r>
          </w:p>
        </w:tc>
      </w:tr>
      <w:tr w:rsidR="00E140A2" w:rsidRPr="00204385" w14:paraId="482D75A6" w14:textId="77777777">
        <w:trPr>
          <w:trHeight w:val="35"/>
        </w:trPr>
        <w:tc>
          <w:tcPr>
            <w:tcW w:w="1271" w:type="dxa"/>
          </w:tcPr>
          <w:p w14:paraId="41AA4335" w14:textId="66453BA3" w:rsidR="00E140A2" w:rsidRPr="005528C9" w:rsidRDefault="00E140A2" w:rsidP="007A591A">
            <w:pPr>
              <w:jc w:val="center"/>
              <w:rPr>
                <w:rFonts w:ascii="Arial Narrow" w:hAnsi="Arial Narrow"/>
                <w:i/>
                <w:iCs/>
                <w:color w:val="333333"/>
                <w:kern w:val="2"/>
                <w:sz w:val="20"/>
                <w:szCs w:val="20"/>
              </w:rPr>
            </w:pPr>
          </w:p>
        </w:tc>
        <w:tc>
          <w:tcPr>
            <w:tcW w:w="7796" w:type="dxa"/>
            <w:vAlign w:val="center"/>
          </w:tcPr>
          <w:p w14:paraId="3BE12AA3" w14:textId="77777777" w:rsidR="00E140A2" w:rsidRPr="005528C9" w:rsidRDefault="00E140A2" w:rsidP="007A591A">
            <w:pPr>
              <w:rPr>
                <w:rFonts w:ascii="Arial Narrow" w:hAnsi="Arial Narrow"/>
                <w:b/>
                <w:i/>
                <w:iCs/>
                <w:sz w:val="20"/>
                <w:szCs w:val="20"/>
              </w:rPr>
            </w:pPr>
            <w:r w:rsidRPr="005528C9">
              <w:rPr>
                <w:rFonts w:ascii="Arial Narrow" w:hAnsi="Arial Narrow"/>
                <w:i/>
                <w:iCs/>
                <w:sz w:val="20"/>
                <w:szCs w:val="20"/>
              </w:rPr>
              <w:t>The treatment must be given concomitantly with best supportive care (including riluzole where appropriate) for this condition,</w:t>
            </w:r>
          </w:p>
        </w:tc>
      </w:tr>
      <w:tr w:rsidR="00E140A2" w:rsidRPr="00204385" w14:paraId="1A78B45C" w14:textId="77777777">
        <w:trPr>
          <w:trHeight w:val="35"/>
        </w:trPr>
        <w:tc>
          <w:tcPr>
            <w:tcW w:w="1271" w:type="dxa"/>
          </w:tcPr>
          <w:p w14:paraId="13073142" w14:textId="32327A99" w:rsidR="00E140A2" w:rsidRPr="00204385" w:rsidRDefault="00E140A2" w:rsidP="007A591A">
            <w:pPr>
              <w:jc w:val="center"/>
              <w:rPr>
                <w:rFonts w:ascii="Arial Narrow" w:hAnsi="Arial Narrow"/>
                <w:i/>
                <w:iCs/>
                <w:sz w:val="20"/>
                <w:szCs w:val="20"/>
              </w:rPr>
            </w:pPr>
          </w:p>
        </w:tc>
        <w:tc>
          <w:tcPr>
            <w:tcW w:w="7796" w:type="dxa"/>
            <w:vAlign w:val="center"/>
          </w:tcPr>
          <w:p w14:paraId="15F95D30" w14:textId="77777777" w:rsidR="00E140A2" w:rsidRPr="00204385" w:rsidRDefault="00E140A2" w:rsidP="007A591A">
            <w:pPr>
              <w:rPr>
                <w:rFonts w:ascii="Arial Narrow" w:hAnsi="Arial Narrow"/>
                <w:b/>
                <w:i/>
                <w:iCs/>
                <w:sz w:val="20"/>
                <w:szCs w:val="20"/>
              </w:rPr>
            </w:pPr>
            <w:r w:rsidRPr="00204385">
              <w:rPr>
                <w:rFonts w:ascii="Arial Narrow" w:hAnsi="Arial Narrow"/>
                <w:b/>
                <w:i/>
                <w:iCs/>
                <w:sz w:val="20"/>
                <w:szCs w:val="20"/>
              </w:rPr>
              <w:t>Treatment criteria:</w:t>
            </w:r>
          </w:p>
        </w:tc>
      </w:tr>
      <w:tr w:rsidR="00E140A2" w:rsidRPr="00204385" w14:paraId="0DE8629D" w14:textId="77777777">
        <w:trPr>
          <w:trHeight w:val="35"/>
        </w:trPr>
        <w:tc>
          <w:tcPr>
            <w:tcW w:w="1271" w:type="dxa"/>
          </w:tcPr>
          <w:p w14:paraId="23ABF08F" w14:textId="1FCD620F" w:rsidR="00E140A2" w:rsidRPr="00204385" w:rsidRDefault="00E140A2" w:rsidP="007A591A">
            <w:pPr>
              <w:jc w:val="center"/>
              <w:rPr>
                <w:rFonts w:ascii="Arial Narrow" w:hAnsi="Arial Narrow"/>
                <w:i/>
                <w:iCs/>
                <w:sz w:val="20"/>
                <w:szCs w:val="20"/>
              </w:rPr>
            </w:pPr>
          </w:p>
        </w:tc>
        <w:tc>
          <w:tcPr>
            <w:tcW w:w="7796" w:type="dxa"/>
            <w:vAlign w:val="center"/>
            <w:hideMark/>
          </w:tcPr>
          <w:p w14:paraId="16386E33" w14:textId="77777777" w:rsidR="00E140A2" w:rsidRPr="00204385" w:rsidRDefault="00E140A2" w:rsidP="007A591A">
            <w:pPr>
              <w:rPr>
                <w:rFonts w:ascii="Arial Narrow" w:hAnsi="Arial Narrow"/>
                <w:b/>
                <w:i/>
                <w:iCs/>
                <w:sz w:val="20"/>
                <w:szCs w:val="20"/>
              </w:rPr>
            </w:pPr>
            <w:r w:rsidRPr="00204385">
              <w:rPr>
                <w:rFonts w:ascii="Arial Narrow" w:hAnsi="Arial Narrow"/>
                <w:i/>
                <w:iCs/>
                <w:sz w:val="20"/>
                <w:szCs w:val="20"/>
              </w:rPr>
              <w:t>Must be treated by a specialist with expertise in the diagnosis and management of amyotrophic lateral sclerosis,</w:t>
            </w:r>
            <w:r w:rsidRPr="00204385">
              <w:rPr>
                <w:rFonts w:ascii="Arial Narrow" w:hAnsi="Arial Narrow"/>
                <w:b/>
                <w:i/>
                <w:iCs/>
                <w:sz w:val="20"/>
                <w:szCs w:val="20"/>
              </w:rPr>
              <w:t xml:space="preserve"> OR</w:t>
            </w:r>
          </w:p>
        </w:tc>
      </w:tr>
      <w:tr w:rsidR="00E140A2" w:rsidRPr="00204385" w14:paraId="7A74B161" w14:textId="77777777">
        <w:tc>
          <w:tcPr>
            <w:tcW w:w="1271" w:type="dxa"/>
          </w:tcPr>
          <w:p w14:paraId="271BCA79" w14:textId="53EABA91" w:rsidR="00E140A2" w:rsidRPr="00204385" w:rsidRDefault="00E140A2" w:rsidP="007A591A">
            <w:pPr>
              <w:jc w:val="center"/>
              <w:rPr>
                <w:rFonts w:ascii="Arial Narrow" w:hAnsi="Arial Narrow"/>
                <w:i/>
                <w:iCs/>
                <w:sz w:val="20"/>
                <w:szCs w:val="20"/>
              </w:rPr>
            </w:pPr>
          </w:p>
        </w:tc>
        <w:tc>
          <w:tcPr>
            <w:tcW w:w="7796" w:type="dxa"/>
            <w:vAlign w:val="center"/>
          </w:tcPr>
          <w:p w14:paraId="70334897" w14:textId="77777777" w:rsidR="00E140A2" w:rsidRPr="00204385" w:rsidRDefault="00E140A2" w:rsidP="007A591A">
            <w:pPr>
              <w:rPr>
                <w:rFonts w:ascii="Arial Narrow" w:hAnsi="Arial Narrow"/>
                <w:i/>
                <w:iCs/>
                <w:sz w:val="20"/>
                <w:szCs w:val="20"/>
              </w:rPr>
            </w:pPr>
            <w:r w:rsidRPr="00204385">
              <w:rPr>
                <w:rFonts w:ascii="Arial Narrow" w:hAnsi="Arial Narrow"/>
                <w:i/>
                <w:iCs/>
                <w:sz w:val="20"/>
                <w:szCs w:val="20"/>
              </w:rPr>
              <w:t>Must be treated by a medical practitioner in consultation with a specialist with expertise in the management of patients with amyotrophic lateral sclerosis.</w:t>
            </w:r>
          </w:p>
        </w:tc>
      </w:tr>
      <w:tr w:rsidR="00E140A2" w:rsidRPr="00204385" w14:paraId="2205AD08" w14:textId="77777777">
        <w:tc>
          <w:tcPr>
            <w:tcW w:w="1271" w:type="dxa"/>
            <w:vAlign w:val="center"/>
          </w:tcPr>
          <w:p w14:paraId="69C5BF10" w14:textId="0F5291B8" w:rsidR="00E140A2" w:rsidRPr="00204385" w:rsidRDefault="00E140A2" w:rsidP="007A591A">
            <w:pPr>
              <w:jc w:val="center"/>
              <w:rPr>
                <w:rFonts w:ascii="Arial Narrow" w:hAnsi="Arial Narrow"/>
                <w:i/>
                <w:iCs/>
                <w:sz w:val="20"/>
                <w:szCs w:val="20"/>
              </w:rPr>
            </w:pPr>
          </w:p>
        </w:tc>
        <w:tc>
          <w:tcPr>
            <w:tcW w:w="7796" w:type="dxa"/>
            <w:vAlign w:val="center"/>
          </w:tcPr>
          <w:p w14:paraId="623FA725" w14:textId="77777777" w:rsidR="00E140A2" w:rsidRPr="00204385" w:rsidRDefault="00E140A2" w:rsidP="007A591A">
            <w:pPr>
              <w:rPr>
                <w:rFonts w:ascii="Arial Narrow" w:hAnsi="Arial Narrow"/>
                <w:b/>
                <w:i/>
                <w:iCs/>
                <w:sz w:val="20"/>
                <w:szCs w:val="20"/>
              </w:rPr>
            </w:pPr>
            <w:r w:rsidRPr="00204385">
              <w:rPr>
                <w:rFonts w:ascii="Arial Narrow" w:hAnsi="Arial Narrow"/>
                <w:b/>
                <w:i/>
                <w:iCs/>
                <w:sz w:val="20"/>
                <w:szCs w:val="20"/>
              </w:rPr>
              <w:t xml:space="preserve">Prescribing Instructions: </w:t>
            </w:r>
          </w:p>
          <w:p w14:paraId="3EFC2A95" w14:textId="77777777" w:rsidR="00E140A2" w:rsidRPr="000069E2" w:rsidRDefault="00E140A2" w:rsidP="007A591A">
            <w:pPr>
              <w:rPr>
                <w:rFonts w:ascii="Arial Narrow" w:hAnsi="Arial Narrow"/>
                <w:bCs/>
                <w:i/>
                <w:sz w:val="20"/>
                <w:szCs w:val="20"/>
              </w:rPr>
            </w:pPr>
            <w:r w:rsidRPr="000069E2">
              <w:rPr>
                <w:rFonts w:ascii="Arial Narrow" w:hAnsi="Arial Narrow"/>
                <w:bCs/>
                <w:i/>
                <w:sz w:val="20"/>
                <w:szCs w:val="20"/>
              </w:rPr>
              <w:t xml:space="preserve">Reassessment of response must be conducted after the additional three months of therapy to determine the patient’s eligibility for </w:t>
            </w:r>
            <w:r>
              <w:rPr>
                <w:rFonts w:ascii="Arial Narrow" w:hAnsi="Arial Narrow"/>
                <w:bCs/>
                <w:i/>
                <w:sz w:val="20"/>
                <w:szCs w:val="20"/>
              </w:rPr>
              <w:t>further</w:t>
            </w:r>
            <w:r w:rsidRPr="000069E2">
              <w:rPr>
                <w:rFonts w:ascii="Arial Narrow" w:hAnsi="Arial Narrow"/>
                <w:bCs/>
                <w:i/>
                <w:sz w:val="20"/>
                <w:szCs w:val="20"/>
              </w:rPr>
              <w:t xml:space="preserve"> treatment.</w:t>
            </w:r>
          </w:p>
          <w:p w14:paraId="6AFA5E6F" w14:textId="77777777" w:rsidR="00E140A2" w:rsidRPr="00204385" w:rsidRDefault="00E140A2" w:rsidP="007A591A">
            <w:pPr>
              <w:rPr>
                <w:rFonts w:ascii="Arial Narrow" w:hAnsi="Arial Narrow"/>
                <w:bCs/>
                <w:i/>
                <w:iCs/>
                <w:sz w:val="20"/>
                <w:szCs w:val="20"/>
              </w:rPr>
            </w:pPr>
            <w:r w:rsidRPr="000069E2">
              <w:rPr>
                <w:rFonts w:ascii="Arial Narrow" w:hAnsi="Arial Narrow"/>
                <w:bCs/>
                <w:i/>
                <w:sz w:val="20"/>
                <w:szCs w:val="20"/>
              </w:rPr>
              <w:t>If this reassessment is not undertaken, the patient will not be eligible for ongoing treatment.</w:t>
            </w:r>
          </w:p>
        </w:tc>
      </w:tr>
      <w:tr w:rsidR="00E140A2" w:rsidRPr="00204385" w14:paraId="36869591" w14:textId="77777777">
        <w:tc>
          <w:tcPr>
            <w:tcW w:w="1271" w:type="dxa"/>
            <w:vAlign w:val="center"/>
          </w:tcPr>
          <w:p w14:paraId="4ECBC42D" w14:textId="39D68F63" w:rsidR="00E140A2" w:rsidRPr="00204385" w:rsidRDefault="00E140A2" w:rsidP="007A591A">
            <w:pPr>
              <w:jc w:val="center"/>
              <w:rPr>
                <w:rFonts w:ascii="Arial Narrow" w:hAnsi="Arial Narrow"/>
                <w:i/>
                <w:iCs/>
                <w:sz w:val="20"/>
                <w:szCs w:val="20"/>
              </w:rPr>
            </w:pPr>
          </w:p>
        </w:tc>
        <w:tc>
          <w:tcPr>
            <w:tcW w:w="7796" w:type="dxa"/>
            <w:vAlign w:val="center"/>
          </w:tcPr>
          <w:p w14:paraId="7A31DBFE" w14:textId="77777777" w:rsidR="00E140A2" w:rsidRPr="00E54323" w:rsidRDefault="00E140A2" w:rsidP="007A591A">
            <w:pPr>
              <w:rPr>
                <w:rFonts w:ascii="Arial Narrow" w:hAnsi="Arial Narrow"/>
                <w:b/>
                <w:i/>
                <w:iCs/>
                <w:sz w:val="20"/>
                <w:szCs w:val="20"/>
              </w:rPr>
            </w:pPr>
            <w:r w:rsidRPr="00204385">
              <w:rPr>
                <w:rFonts w:ascii="Arial Narrow" w:hAnsi="Arial Narrow"/>
                <w:b/>
                <w:i/>
                <w:iCs/>
                <w:sz w:val="20"/>
                <w:szCs w:val="20"/>
              </w:rPr>
              <w:t xml:space="preserve">Prescribing Instructions: </w:t>
            </w:r>
          </w:p>
          <w:p w14:paraId="65D1A3D2" w14:textId="77777777" w:rsidR="00E140A2" w:rsidRPr="00204385" w:rsidRDefault="00E140A2" w:rsidP="007A591A">
            <w:pPr>
              <w:rPr>
                <w:rFonts w:ascii="Arial Narrow" w:hAnsi="Arial Narrow"/>
                <w:b/>
                <w:i/>
                <w:iCs/>
                <w:sz w:val="20"/>
                <w:szCs w:val="20"/>
              </w:rPr>
            </w:pPr>
            <w:r w:rsidRPr="000069E2">
              <w:rPr>
                <w:rFonts w:ascii="Arial Narrow" w:hAnsi="Arial Narrow"/>
                <w:bCs/>
                <w:i/>
                <w:sz w:val="20"/>
                <w:szCs w:val="20"/>
              </w:rPr>
              <w:t xml:space="preserve">All </w:t>
            </w:r>
            <w:r>
              <w:rPr>
                <w:rFonts w:ascii="Arial Narrow" w:hAnsi="Arial Narrow"/>
                <w:bCs/>
                <w:i/>
                <w:sz w:val="20"/>
                <w:szCs w:val="20"/>
              </w:rPr>
              <w:t xml:space="preserve">the </w:t>
            </w:r>
            <w:r w:rsidRPr="000069E2">
              <w:rPr>
                <w:rFonts w:ascii="Arial Narrow" w:hAnsi="Arial Narrow"/>
                <w:bCs/>
                <w:i/>
                <w:sz w:val="20"/>
                <w:szCs w:val="20"/>
              </w:rPr>
              <w:t>assessments of response must be documented in the patient’s medical records.</w:t>
            </w:r>
          </w:p>
        </w:tc>
      </w:tr>
      <w:tr w:rsidR="00E140A2" w:rsidRPr="00204385" w14:paraId="5E42310A" w14:textId="77777777">
        <w:tc>
          <w:tcPr>
            <w:tcW w:w="1271" w:type="dxa"/>
            <w:vAlign w:val="center"/>
          </w:tcPr>
          <w:p w14:paraId="6424B331" w14:textId="01D8C280" w:rsidR="00E140A2" w:rsidRPr="00204385" w:rsidRDefault="00E140A2" w:rsidP="007A591A">
            <w:pPr>
              <w:jc w:val="center"/>
              <w:rPr>
                <w:rFonts w:ascii="Arial Narrow" w:hAnsi="Arial Narrow"/>
                <w:i/>
                <w:iCs/>
                <w:sz w:val="20"/>
                <w:szCs w:val="20"/>
              </w:rPr>
            </w:pPr>
          </w:p>
        </w:tc>
        <w:tc>
          <w:tcPr>
            <w:tcW w:w="7796" w:type="dxa"/>
            <w:vAlign w:val="center"/>
          </w:tcPr>
          <w:p w14:paraId="6EFB3EA2" w14:textId="77777777" w:rsidR="00E140A2" w:rsidRPr="00204385" w:rsidRDefault="00E140A2" w:rsidP="007A591A">
            <w:pPr>
              <w:rPr>
                <w:rFonts w:ascii="Arial Narrow" w:hAnsi="Arial Narrow"/>
                <w:b/>
                <w:i/>
                <w:iCs/>
                <w:sz w:val="20"/>
                <w:szCs w:val="20"/>
              </w:rPr>
            </w:pPr>
            <w:r w:rsidRPr="00204385">
              <w:rPr>
                <w:rFonts w:ascii="Arial Narrow" w:hAnsi="Arial Narrow"/>
                <w:b/>
                <w:i/>
                <w:iCs/>
                <w:sz w:val="20"/>
                <w:szCs w:val="20"/>
              </w:rPr>
              <w:t xml:space="preserve">Prescribing Instructions: </w:t>
            </w:r>
          </w:p>
          <w:p w14:paraId="379EB2E8" w14:textId="77777777" w:rsidR="00E140A2" w:rsidRPr="00204385" w:rsidRDefault="00E140A2" w:rsidP="007A591A">
            <w:pPr>
              <w:rPr>
                <w:rFonts w:ascii="Arial Narrow" w:hAnsi="Arial Narrow"/>
                <w:i/>
                <w:iCs/>
                <w:sz w:val="20"/>
                <w:szCs w:val="20"/>
              </w:rPr>
            </w:pPr>
            <w:r w:rsidRPr="00204385">
              <w:rPr>
                <w:rFonts w:ascii="Arial Narrow" w:hAnsi="Arial Narrow"/>
                <w:i/>
                <w:iCs/>
                <w:sz w:val="20"/>
                <w:szCs w:val="20"/>
              </w:rPr>
              <w:t>Patient may qualify for th</w:t>
            </w:r>
            <w:r>
              <w:rPr>
                <w:rFonts w:ascii="Arial Narrow" w:hAnsi="Arial Narrow"/>
                <w:i/>
                <w:iCs/>
                <w:sz w:val="20"/>
                <w:szCs w:val="20"/>
              </w:rPr>
              <w:t>is</w:t>
            </w:r>
            <w:r w:rsidRPr="00204385">
              <w:rPr>
                <w:rFonts w:ascii="Arial Narrow" w:hAnsi="Arial Narrow"/>
                <w:i/>
                <w:iCs/>
                <w:sz w:val="20"/>
                <w:szCs w:val="20"/>
              </w:rPr>
              <w:t xml:space="preserve"> </w:t>
            </w:r>
            <w:r>
              <w:rPr>
                <w:rFonts w:ascii="Arial Narrow" w:hAnsi="Arial Narrow"/>
                <w:i/>
                <w:iCs/>
                <w:sz w:val="20"/>
                <w:szCs w:val="20"/>
              </w:rPr>
              <w:t>treatment phase</w:t>
            </w:r>
            <w:r w:rsidRPr="00204385">
              <w:rPr>
                <w:rFonts w:ascii="Arial Narrow" w:hAnsi="Arial Narrow"/>
                <w:i/>
                <w:iCs/>
                <w:sz w:val="20"/>
                <w:szCs w:val="20"/>
              </w:rPr>
              <w:t xml:space="preserve"> once only. </w:t>
            </w:r>
          </w:p>
        </w:tc>
      </w:tr>
      <w:tr w:rsidR="00E140A2" w:rsidRPr="00204385" w14:paraId="41528B5B" w14:textId="77777777">
        <w:tc>
          <w:tcPr>
            <w:tcW w:w="1271" w:type="dxa"/>
            <w:vAlign w:val="center"/>
          </w:tcPr>
          <w:p w14:paraId="2C6046C4" w14:textId="7EBB5302" w:rsidR="00E140A2" w:rsidRPr="00204385" w:rsidRDefault="00E140A2" w:rsidP="007A591A">
            <w:pPr>
              <w:jc w:val="center"/>
              <w:rPr>
                <w:rFonts w:ascii="Arial Narrow" w:hAnsi="Arial Narrow"/>
                <w:i/>
                <w:iCs/>
                <w:sz w:val="20"/>
                <w:szCs w:val="20"/>
              </w:rPr>
            </w:pPr>
          </w:p>
        </w:tc>
        <w:tc>
          <w:tcPr>
            <w:tcW w:w="7796" w:type="dxa"/>
            <w:vAlign w:val="center"/>
          </w:tcPr>
          <w:p w14:paraId="0487A9E5" w14:textId="77777777" w:rsidR="00E140A2" w:rsidRPr="00204385" w:rsidRDefault="00E140A2" w:rsidP="007A591A">
            <w:pPr>
              <w:rPr>
                <w:rFonts w:ascii="Arial Narrow" w:hAnsi="Arial Narrow"/>
                <w:b/>
                <w:i/>
                <w:iCs/>
                <w:sz w:val="20"/>
                <w:szCs w:val="20"/>
              </w:rPr>
            </w:pPr>
            <w:r w:rsidRPr="00204385">
              <w:rPr>
                <w:rFonts w:ascii="Arial Narrow" w:hAnsi="Arial Narrow"/>
                <w:b/>
                <w:i/>
                <w:iCs/>
                <w:sz w:val="20"/>
                <w:szCs w:val="20"/>
              </w:rPr>
              <w:t xml:space="preserve">Prescribing Instructions: </w:t>
            </w:r>
          </w:p>
          <w:p w14:paraId="638D5DC0" w14:textId="461C03FD" w:rsidR="00E140A2" w:rsidRPr="00204385" w:rsidRDefault="00E140A2" w:rsidP="007A591A">
            <w:pPr>
              <w:rPr>
                <w:rFonts w:ascii="Arial Narrow" w:hAnsi="Arial Narrow"/>
                <w:b/>
                <w:i/>
                <w:iCs/>
                <w:sz w:val="20"/>
                <w:szCs w:val="20"/>
              </w:rPr>
            </w:pPr>
            <w:r w:rsidRPr="00204385">
              <w:rPr>
                <w:rFonts w:ascii="Arial Narrow" w:hAnsi="Arial Narrow"/>
                <w:i/>
                <w:iCs/>
                <w:sz w:val="20"/>
                <w:szCs w:val="20"/>
              </w:rPr>
              <w:t>Adequate response to treatment is defined as any improvement or stabilisation (no more than 20% decline) from baseline score of ALSFRS</w:t>
            </w:r>
            <w:r w:rsidR="007A591A">
              <w:rPr>
                <w:rFonts w:ascii="Arial Narrow" w:hAnsi="Arial Narrow"/>
                <w:i/>
                <w:iCs/>
                <w:sz w:val="20"/>
                <w:szCs w:val="20"/>
              </w:rPr>
              <w:noBreakHyphen/>
            </w:r>
            <w:r w:rsidRPr="00204385">
              <w:rPr>
                <w:rFonts w:ascii="Arial Narrow" w:hAnsi="Arial Narrow"/>
                <w:i/>
                <w:iCs/>
                <w:sz w:val="20"/>
                <w:szCs w:val="20"/>
              </w:rPr>
              <w:t>R.</w:t>
            </w:r>
          </w:p>
        </w:tc>
      </w:tr>
    </w:tbl>
    <w:p w14:paraId="04F36BB4" w14:textId="77777777" w:rsidR="00E140A2" w:rsidRDefault="00E140A2" w:rsidP="007A591A">
      <w:pPr>
        <w:pStyle w:val="3-BodyText"/>
        <w:numPr>
          <w:ilvl w:val="0"/>
          <w:numId w:val="0"/>
        </w:numPr>
        <w:rPr>
          <w:rFonts w:ascii="Arial Narrow" w:eastAsia="Times New Roman" w:hAnsi="Arial Narrow" w:cs="Times New Roman"/>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listing"/>
      </w:tblPr>
      <w:tblGrid>
        <w:gridCol w:w="1271"/>
        <w:gridCol w:w="2835"/>
        <w:gridCol w:w="1377"/>
        <w:gridCol w:w="829"/>
        <w:gridCol w:w="823"/>
        <w:gridCol w:w="822"/>
        <w:gridCol w:w="1110"/>
      </w:tblGrid>
      <w:tr w:rsidR="00921097" w:rsidRPr="00F21EFC" w14:paraId="3639E554" w14:textId="77777777" w:rsidTr="0031161F">
        <w:trPr>
          <w:trHeight w:val="50"/>
        </w:trPr>
        <w:tc>
          <w:tcPr>
            <w:tcW w:w="4106" w:type="dxa"/>
            <w:gridSpan w:val="2"/>
          </w:tcPr>
          <w:p w14:paraId="33AF3843" w14:textId="77777777" w:rsidR="00921097" w:rsidRPr="00F21EFC" w:rsidRDefault="00921097" w:rsidP="007A591A">
            <w:pPr>
              <w:keepNext/>
              <w:ind w:left="-57"/>
              <w:rPr>
                <w:rFonts w:ascii="Arial Narrow" w:hAnsi="Arial Narrow" w:cs="Arial"/>
                <w:b/>
                <w:sz w:val="20"/>
                <w:szCs w:val="20"/>
              </w:rPr>
            </w:pPr>
            <w:r w:rsidRPr="00F21EFC">
              <w:rPr>
                <w:rFonts w:ascii="Arial Narrow" w:hAnsi="Arial Narrow" w:cs="Arial"/>
                <w:b/>
                <w:sz w:val="20"/>
                <w:szCs w:val="20"/>
              </w:rPr>
              <w:t>MEDICINAL PRODUCT</w:t>
            </w:r>
          </w:p>
          <w:p w14:paraId="640E2A7E" w14:textId="77777777" w:rsidR="00921097" w:rsidRPr="00F21EFC" w:rsidRDefault="00921097" w:rsidP="007A591A">
            <w:pPr>
              <w:keepNext/>
              <w:ind w:left="-57"/>
              <w:rPr>
                <w:rFonts w:ascii="Arial Narrow" w:hAnsi="Arial Narrow" w:cs="Arial"/>
                <w:b/>
                <w:sz w:val="20"/>
                <w:szCs w:val="20"/>
              </w:rPr>
            </w:pPr>
            <w:r w:rsidRPr="00F21EFC">
              <w:rPr>
                <w:rFonts w:ascii="Arial Narrow" w:hAnsi="Arial Narrow" w:cs="Arial"/>
                <w:b/>
                <w:sz w:val="20"/>
                <w:szCs w:val="20"/>
              </w:rPr>
              <w:t>medicinal product pack</w:t>
            </w:r>
          </w:p>
        </w:tc>
        <w:tc>
          <w:tcPr>
            <w:tcW w:w="1377" w:type="dxa"/>
          </w:tcPr>
          <w:p w14:paraId="0E8120E8"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b/>
                <w:sz w:val="20"/>
                <w:szCs w:val="20"/>
              </w:rPr>
              <w:t>PBS item code</w:t>
            </w:r>
          </w:p>
        </w:tc>
        <w:tc>
          <w:tcPr>
            <w:tcW w:w="829" w:type="dxa"/>
          </w:tcPr>
          <w:p w14:paraId="0AD824CC"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b/>
                <w:sz w:val="20"/>
                <w:szCs w:val="20"/>
              </w:rPr>
              <w:t>Max. qty packs</w:t>
            </w:r>
          </w:p>
        </w:tc>
        <w:tc>
          <w:tcPr>
            <w:tcW w:w="823" w:type="dxa"/>
          </w:tcPr>
          <w:p w14:paraId="210868A6"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b/>
                <w:sz w:val="20"/>
                <w:szCs w:val="20"/>
              </w:rPr>
              <w:t>Max. qty units</w:t>
            </w:r>
          </w:p>
        </w:tc>
        <w:tc>
          <w:tcPr>
            <w:tcW w:w="822" w:type="dxa"/>
          </w:tcPr>
          <w:p w14:paraId="5AA3672B"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b/>
                <w:sz w:val="20"/>
                <w:szCs w:val="20"/>
              </w:rPr>
              <w:t>№.of</w:t>
            </w:r>
          </w:p>
          <w:p w14:paraId="49B9C5AC"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b/>
                <w:sz w:val="20"/>
                <w:szCs w:val="20"/>
              </w:rPr>
              <w:t>Rpts</w:t>
            </w:r>
          </w:p>
        </w:tc>
        <w:tc>
          <w:tcPr>
            <w:tcW w:w="1110" w:type="dxa"/>
          </w:tcPr>
          <w:p w14:paraId="76E12448"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b/>
                <w:sz w:val="20"/>
                <w:szCs w:val="20"/>
              </w:rPr>
              <w:t>Available brands</w:t>
            </w:r>
          </w:p>
        </w:tc>
      </w:tr>
      <w:tr w:rsidR="00921097" w:rsidRPr="00F21EFC" w14:paraId="64A686F0" w14:textId="77777777" w:rsidTr="0031161F">
        <w:trPr>
          <w:trHeight w:val="50"/>
        </w:trPr>
        <w:tc>
          <w:tcPr>
            <w:tcW w:w="9067" w:type="dxa"/>
            <w:gridSpan w:val="7"/>
          </w:tcPr>
          <w:p w14:paraId="661F9510" w14:textId="77777777" w:rsidR="00921097" w:rsidRPr="00F21EFC" w:rsidRDefault="00921097" w:rsidP="007A591A">
            <w:pPr>
              <w:keepNext/>
              <w:ind w:left="-57"/>
              <w:rPr>
                <w:rFonts w:ascii="Arial Narrow" w:hAnsi="Arial Narrow" w:cs="Arial"/>
                <w:sz w:val="20"/>
                <w:szCs w:val="20"/>
              </w:rPr>
            </w:pPr>
            <w:r w:rsidRPr="00F21EFC">
              <w:rPr>
                <w:rFonts w:ascii="Arial Narrow" w:hAnsi="Arial Narrow" w:cs="Arial"/>
                <w:sz w:val="20"/>
                <w:szCs w:val="20"/>
              </w:rPr>
              <w:t>TOFERSEN</w:t>
            </w:r>
          </w:p>
        </w:tc>
      </w:tr>
      <w:tr w:rsidR="00921097" w:rsidRPr="00F21EFC" w14:paraId="03E8D528" w14:textId="77777777" w:rsidTr="0031161F">
        <w:trPr>
          <w:trHeight w:val="50"/>
        </w:trPr>
        <w:tc>
          <w:tcPr>
            <w:tcW w:w="4106" w:type="dxa"/>
            <w:gridSpan w:val="2"/>
          </w:tcPr>
          <w:p w14:paraId="63939641" w14:textId="77777777" w:rsidR="00921097" w:rsidRPr="00F21EFC" w:rsidRDefault="00921097" w:rsidP="007A591A">
            <w:pPr>
              <w:keepNext/>
              <w:ind w:left="-57"/>
              <w:rPr>
                <w:rFonts w:ascii="Arial Narrow" w:hAnsi="Arial Narrow" w:cs="Arial"/>
                <w:b/>
                <w:sz w:val="20"/>
                <w:szCs w:val="20"/>
              </w:rPr>
            </w:pPr>
            <w:r w:rsidRPr="00F21EFC">
              <w:rPr>
                <w:rFonts w:ascii="Arial Narrow" w:hAnsi="Arial Narrow" w:cs="Arial"/>
                <w:sz w:val="20"/>
                <w:szCs w:val="20"/>
              </w:rPr>
              <w:t xml:space="preserve">tofersen 100 mg/ 15 mL injection, 15 mL vial </w:t>
            </w:r>
          </w:p>
        </w:tc>
        <w:tc>
          <w:tcPr>
            <w:tcW w:w="1377" w:type="dxa"/>
          </w:tcPr>
          <w:p w14:paraId="2FF81920" w14:textId="77777777" w:rsidR="00921097" w:rsidRPr="00F21EFC" w:rsidRDefault="00921097" w:rsidP="007A591A">
            <w:pPr>
              <w:keepNext/>
              <w:jc w:val="center"/>
              <w:rPr>
                <w:rFonts w:ascii="Arial Narrow" w:hAnsi="Arial Narrow" w:cs="Arial"/>
                <w:sz w:val="20"/>
                <w:szCs w:val="20"/>
              </w:rPr>
            </w:pPr>
            <w:r w:rsidRPr="00F21EFC">
              <w:rPr>
                <w:rFonts w:ascii="Arial Narrow" w:hAnsi="Arial Narrow" w:cs="Arial"/>
                <w:sz w:val="20"/>
                <w:szCs w:val="20"/>
              </w:rPr>
              <w:t>NEW (Private)</w:t>
            </w:r>
          </w:p>
          <w:p w14:paraId="5BE8AE79" w14:textId="77777777" w:rsidR="00921097" w:rsidRPr="00F21EFC" w:rsidRDefault="00921097" w:rsidP="007A591A">
            <w:pPr>
              <w:keepNext/>
              <w:jc w:val="center"/>
              <w:rPr>
                <w:rFonts w:ascii="Arial Narrow" w:hAnsi="Arial Narrow" w:cs="Arial"/>
                <w:sz w:val="20"/>
                <w:szCs w:val="20"/>
              </w:rPr>
            </w:pPr>
            <w:r w:rsidRPr="00F21EFC">
              <w:rPr>
                <w:rFonts w:ascii="Arial Narrow" w:hAnsi="Arial Narrow" w:cs="Arial"/>
                <w:sz w:val="20"/>
                <w:szCs w:val="20"/>
              </w:rPr>
              <w:t>NEW (Public)</w:t>
            </w:r>
          </w:p>
          <w:p w14:paraId="087A4D99"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sz w:val="20"/>
                <w:szCs w:val="20"/>
                <w:vertAlign w:val="subscript"/>
              </w:rPr>
              <w:t>MP</w:t>
            </w:r>
          </w:p>
        </w:tc>
        <w:tc>
          <w:tcPr>
            <w:tcW w:w="829" w:type="dxa"/>
          </w:tcPr>
          <w:p w14:paraId="56FFA0CD"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sz w:val="20"/>
                <w:szCs w:val="20"/>
              </w:rPr>
              <w:t>1</w:t>
            </w:r>
          </w:p>
        </w:tc>
        <w:tc>
          <w:tcPr>
            <w:tcW w:w="823" w:type="dxa"/>
          </w:tcPr>
          <w:p w14:paraId="27C8B77C"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sz w:val="20"/>
                <w:szCs w:val="20"/>
              </w:rPr>
              <w:t>1</w:t>
            </w:r>
          </w:p>
        </w:tc>
        <w:tc>
          <w:tcPr>
            <w:tcW w:w="822" w:type="dxa"/>
          </w:tcPr>
          <w:p w14:paraId="5A33CFCF" w14:textId="1DAEB92A" w:rsidR="00921097" w:rsidRPr="00EA584F" w:rsidRDefault="00921097" w:rsidP="007A591A">
            <w:pPr>
              <w:keepNext/>
              <w:ind w:left="-57"/>
              <w:jc w:val="center"/>
              <w:rPr>
                <w:rFonts w:ascii="Arial Narrow" w:hAnsi="Arial Narrow" w:cs="Arial"/>
                <w:bCs/>
                <w:sz w:val="20"/>
                <w:szCs w:val="20"/>
              </w:rPr>
            </w:pPr>
            <w:r>
              <w:rPr>
                <w:rFonts w:ascii="Arial Narrow" w:hAnsi="Arial Narrow" w:cs="Arial"/>
                <w:bCs/>
                <w:sz w:val="20"/>
                <w:szCs w:val="20"/>
              </w:rPr>
              <w:t>5</w:t>
            </w:r>
          </w:p>
        </w:tc>
        <w:tc>
          <w:tcPr>
            <w:tcW w:w="1110" w:type="dxa"/>
          </w:tcPr>
          <w:p w14:paraId="10B82825" w14:textId="77777777" w:rsidR="00921097" w:rsidRPr="00F21EFC" w:rsidRDefault="00921097" w:rsidP="007A591A">
            <w:pPr>
              <w:keepNext/>
              <w:ind w:left="-57"/>
              <w:jc w:val="center"/>
              <w:rPr>
                <w:rFonts w:ascii="Arial Narrow" w:hAnsi="Arial Narrow" w:cs="Arial"/>
                <w:b/>
                <w:sz w:val="20"/>
                <w:szCs w:val="20"/>
              </w:rPr>
            </w:pPr>
            <w:r w:rsidRPr="00F21EFC">
              <w:rPr>
                <w:rFonts w:ascii="Arial Narrow" w:hAnsi="Arial Narrow" w:cs="Arial"/>
                <w:sz w:val="20"/>
                <w:szCs w:val="20"/>
              </w:rPr>
              <w:t>Qalsody</w:t>
            </w:r>
          </w:p>
        </w:tc>
      </w:tr>
      <w:tr w:rsidR="00921097" w:rsidRPr="00F21EFC" w14:paraId="1B0BD19D" w14:textId="77777777" w:rsidTr="0031161F">
        <w:trPr>
          <w:trHeight w:val="50"/>
        </w:trPr>
        <w:tc>
          <w:tcPr>
            <w:tcW w:w="9067" w:type="dxa"/>
            <w:gridSpan w:val="7"/>
          </w:tcPr>
          <w:p w14:paraId="16461E79" w14:textId="77777777" w:rsidR="00921097" w:rsidRPr="00F21EFC" w:rsidRDefault="00921097" w:rsidP="007A591A">
            <w:pPr>
              <w:keepNext/>
              <w:ind w:left="-57"/>
              <w:rPr>
                <w:rFonts w:ascii="Arial Narrow" w:hAnsi="Arial Narrow" w:cs="Arial"/>
                <w:b/>
                <w:sz w:val="20"/>
                <w:szCs w:val="20"/>
              </w:rPr>
            </w:pPr>
          </w:p>
        </w:tc>
      </w:tr>
      <w:tr w:rsidR="00921097" w:rsidRPr="00F21EFC" w14:paraId="24AB028B" w14:textId="77777777" w:rsidTr="0031161F">
        <w:trPr>
          <w:trHeight w:val="50"/>
        </w:trPr>
        <w:tc>
          <w:tcPr>
            <w:tcW w:w="1271" w:type="dxa"/>
            <w:vMerge w:val="restart"/>
            <w:vAlign w:val="center"/>
          </w:tcPr>
          <w:p w14:paraId="2F753CB8" w14:textId="77777777" w:rsidR="00921097" w:rsidRDefault="00921097" w:rsidP="007A591A">
            <w:pPr>
              <w:keepNext/>
              <w:keepLines/>
              <w:jc w:val="center"/>
              <w:rPr>
                <w:rFonts w:ascii="Arial Narrow" w:hAnsi="Arial Narrow"/>
                <w:kern w:val="2"/>
                <w:sz w:val="20"/>
                <w:szCs w:val="20"/>
              </w:rPr>
            </w:pPr>
            <w:r>
              <w:rPr>
                <w:rFonts w:ascii="Arial Narrow" w:hAnsi="Arial Narrow"/>
                <w:b/>
                <w:kern w:val="2"/>
                <w:sz w:val="20"/>
                <w:szCs w:val="20"/>
              </w:rPr>
              <w:t>Concept ID</w:t>
            </w:r>
          </w:p>
          <w:p w14:paraId="3FA719AA" w14:textId="3D639AEE" w:rsidR="00921097" w:rsidRPr="00F21EFC" w:rsidRDefault="00921097" w:rsidP="007A591A">
            <w:pPr>
              <w:keepNext/>
              <w:ind w:left="-57"/>
              <w:rPr>
                <w:rFonts w:ascii="Arial Narrow" w:hAnsi="Arial Narrow" w:cs="Arial"/>
                <w:b/>
                <w:sz w:val="20"/>
                <w:szCs w:val="20"/>
              </w:rPr>
            </w:pPr>
            <w:r>
              <w:rPr>
                <w:rFonts w:ascii="Arial Narrow" w:hAnsi="Arial Narrow"/>
                <w:b/>
                <w:sz w:val="20"/>
                <w:szCs w:val="20"/>
                <w:lang w:val="en-GB"/>
              </w:rPr>
              <w:t>(For Dept.</w:t>
            </w:r>
            <w:r w:rsidR="00BA3E54">
              <w:rPr>
                <w:rFonts w:ascii="Arial Narrow" w:hAnsi="Arial Narrow"/>
                <w:b/>
                <w:sz w:val="20"/>
                <w:szCs w:val="20"/>
                <w:lang w:val="en-GB"/>
              </w:rPr>
              <w:t xml:space="preserve"> </w:t>
            </w:r>
            <w:r>
              <w:rPr>
                <w:rFonts w:ascii="Arial Narrow" w:hAnsi="Arial Narrow"/>
                <w:b/>
                <w:sz w:val="20"/>
                <w:szCs w:val="20"/>
                <w:lang w:val="en-GB"/>
              </w:rPr>
              <w:t>use}</w:t>
            </w:r>
          </w:p>
        </w:tc>
        <w:tc>
          <w:tcPr>
            <w:tcW w:w="7796" w:type="dxa"/>
            <w:gridSpan w:val="6"/>
            <w:vAlign w:val="center"/>
          </w:tcPr>
          <w:p w14:paraId="089058CA" w14:textId="77777777" w:rsidR="00921097" w:rsidRPr="00F21EFC" w:rsidRDefault="00921097" w:rsidP="007A591A">
            <w:pPr>
              <w:keepNext/>
              <w:ind w:left="-57"/>
              <w:rPr>
                <w:rFonts w:ascii="Arial Narrow" w:hAnsi="Arial Narrow" w:cs="Arial"/>
                <w:b/>
                <w:sz w:val="20"/>
                <w:szCs w:val="20"/>
              </w:rPr>
            </w:pPr>
            <w:r w:rsidRPr="2D614269">
              <w:rPr>
                <w:rFonts w:ascii="Arial Narrow" w:hAnsi="Arial Narrow"/>
                <w:b/>
                <w:sz w:val="20"/>
                <w:szCs w:val="20"/>
              </w:rPr>
              <w:t>Category / Program:</w:t>
            </w:r>
            <w:r w:rsidRPr="2D614269">
              <w:rPr>
                <w:rFonts w:ascii="Arial Narrow" w:hAnsi="Arial Narrow"/>
                <w:sz w:val="20"/>
                <w:szCs w:val="20"/>
              </w:rPr>
              <w:t xml:space="preserve"> </w:t>
            </w:r>
            <w:r w:rsidRPr="2D614269">
              <w:rPr>
                <w:rFonts w:ascii="Arial Narrow" w:hAnsi="Arial Narrow"/>
                <w:sz w:val="20"/>
                <w:szCs w:val="20"/>
              </w:rPr>
              <w:fldChar w:fldCharType="begin"/>
            </w:r>
            <w:r w:rsidRPr="2D614269">
              <w:rPr>
                <w:rFonts w:ascii="Arial Narrow" w:hAnsi="Arial Narrow"/>
                <w:sz w:val="20"/>
                <w:szCs w:val="20"/>
              </w:rPr>
              <w:instrText xml:space="preserve"> FORMCHECKBOX </w:instrText>
            </w:r>
            <w:r w:rsidRPr="2D614269">
              <w:rPr>
                <w:rFonts w:ascii="Arial Narrow" w:hAnsi="Arial Narrow"/>
                <w:sz w:val="20"/>
                <w:szCs w:val="20"/>
              </w:rPr>
              <w:fldChar w:fldCharType="separate"/>
            </w:r>
            <w:r w:rsidRPr="2D614269">
              <w:rPr>
                <w:rFonts w:ascii="Arial Narrow" w:hAnsi="Arial Narrow"/>
                <w:sz w:val="20"/>
                <w:szCs w:val="20"/>
              </w:rPr>
              <w:fldChar w:fldCharType="end"/>
            </w:r>
            <w:r w:rsidRPr="2D614269">
              <w:rPr>
                <w:rFonts w:ascii="Arial Narrow" w:hAnsi="Arial Narrow"/>
                <w:sz w:val="20"/>
                <w:szCs w:val="20"/>
              </w:rPr>
              <w:t xml:space="preserve"> </w:t>
            </w:r>
            <w:r w:rsidRPr="2D614269">
              <w:rPr>
                <w:rFonts w:ascii="Arial Narrow" w:eastAsia="Calibri" w:hAnsi="Arial Narrow"/>
                <w:sz w:val="20"/>
                <w:szCs w:val="20"/>
              </w:rPr>
              <w:t>Section 100 – Highly Specialised Drugs Program – Public (Code HB) / Private (Code HS)</w:t>
            </w:r>
          </w:p>
        </w:tc>
      </w:tr>
      <w:tr w:rsidR="00921097" w:rsidRPr="00F21EFC" w14:paraId="795DBFBF" w14:textId="77777777" w:rsidTr="0031161F">
        <w:trPr>
          <w:trHeight w:val="50"/>
        </w:trPr>
        <w:tc>
          <w:tcPr>
            <w:tcW w:w="1271" w:type="dxa"/>
            <w:vMerge/>
            <w:vAlign w:val="center"/>
          </w:tcPr>
          <w:p w14:paraId="4F8D5B12" w14:textId="77777777" w:rsidR="00921097" w:rsidRPr="00F21EFC" w:rsidRDefault="00921097" w:rsidP="007A591A">
            <w:pPr>
              <w:keepNext/>
              <w:ind w:left="-57"/>
              <w:rPr>
                <w:rFonts w:ascii="Arial Narrow" w:hAnsi="Arial Narrow" w:cs="Arial"/>
                <w:b/>
                <w:sz w:val="20"/>
                <w:szCs w:val="20"/>
              </w:rPr>
            </w:pPr>
          </w:p>
        </w:tc>
        <w:tc>
          <w:tcPr>
            <w:tcW w:w="7796" w:type="dxa"/>
            <w:gridSpan w:val="6"/>
            <w:vAlign w:val="center"/>
          </w:tcPr>
          <w:p w14:paraId="7CEBB3CD" w14:textId="77777777" w:rsidR="00921097" w:rsidRPr="00F21EFC" w:rsidRDefault="00921097" w:rsidP="007A591A">
            <w:pPr>
              <w:keepNext/>
              <w:ind w:left="-57"/>
              <w:rPr>
                <w:rFonts w:ascii="Arial Narrow" w:hAnsi="Arial Narrow" w:cs="Arial"/>
                <w:b/>
                <w:sz w:val="20"/>
                <w:szCs w:val="20"/>
              </w:rPr>
            </w:pPr>
            <w:r w:rsidRPr="00F21EFC">
              <w:rPr>
                <w:rFonts w:ascii="Arial Narrow" w:hAnsi="Arial Narrow"/>
                <w:b/>
                <w:kern w:val="2"/>
                <w:sz w:val="20"/>
                <w:szCs w:val="20"/>
              </w:rPr>
              <w:t xml:space="preserve">Prescriber type: </w:t>
            </w:r>
            <w:r w:rsidRPr="00F21EFC">
              <w:rPr>
                <w:rFonts w:ascii="Arial Narrow" w:hAnsi="Arial Narrow"/>
                <w:kern w:val="2"/>
                <w:sz w:val="20"/>
                <w:szCs w:val="20"/>
              </w:rPr>
              <w:fldChar w:fldCharType="begin">
                <w:ffData>
                  <w:name w:val=""/>
                  <w:enabled/>
                  <w:calcOnExit w:val="0"/>
                  <w:checkBox>
                    <w:sizeAuto/>
                    <w:default w:val="1"/>
                  </w:checkBox>
                </w:ffData>
              </w:fldChar>
            </w:r>
            <w:r w:rsidRPr="00F21EFC">
              <w:rPr>
                <w:rFonts w:ascii="Arial Narrow" w:hAnsi="Arial Narrow"/>
                <w:kern w:val="2"/>
                <w:sz w:val="20"/>
                <w:szCs w:val="20"/>
              </w:rPr>
              <w:instrText xml:space="preserve"> FORMCHECKBOX </w:instrText>
            </w:r>
            <w:r w:rsidRPr="00F21EFC">
              <w:rPr>
                <w:rFonts w:ascii="Arial Narrow" w:hAnsi="Arial Narrow"/>
                <w:kern w:val="2"/>
                <w:sz w:val="20"/>
                <w:szCs w:val="20"/>
              </w:rPr>
            </w:r>
            <w:r w:rsidRPr="00F21EFC">
              <w:rPr>
                <w:rFonts w:ascii="Arial Narrow" w:hAnsi="Arial Narrow"/>
                <w:kern w:val="2"/>
                <w:sz w:val="20"/>
                <w:szCs w:val="20"/>
              </w:rPr>
              <w:fldChar w:fldCharType="separate"/>
            </w:r>
            <w:r w:rsidRPr="00F21EFC">
              <w:rPr>
                <w:rFonts w:ascii="Arial Narrow" w:hAnsi="Arial Narrow"/>
                <w:kern w:val="2"/>
                <w:sz w:val="20"/>
                <w:szCs w:val="20"/>
              </w:rPr>
              <w:fldChar w:fldCharType="end"/>
            </w:r>
            <w:r w:rsidRPr="00F21EFC">
              <w:rPr>
                <w:rFonts w:ascii="Arial Narrow" w:hAnsi="Arial Narrow"/>
                <w:kern w:val="2"/>
                <w:sz w:val="20"/>
                <w:szCs w:val="20"/>
              </w:rPr>
              <w:t xml:space="preserve"> Medical Practitioners </w:t>
            </w:r>
          </w:p>
        </w:tc>
      </w:tr>
      <w:tr w:rsidR="00921097" w:rsidRPr="00F21EFC" w14:paraId="0DA7520E" w14:textId="77777777" w:rsidTr="0031161F">
        <w:trPr>
          <w:trHeight w:val="50"/>
        </w:trPr>
        <w:tc>
          <w:tcPr>
            <w:tcW w:w="1271" w:type="dxa"/>
            <w:vMerge/>
            <w:vAlign w:val="center"/>
          </w:tcPr>
          <w:p w14:paraId="1C920165" w14:textId="77777777" w:rsidR="00921097" w:rsidRPr="00F21EFC" w:rsidRDefault="00921097" w:rsidP="007A591A">
            <w:pPr>
              <w:keepNext/>
              <w:ind w:left="-57"/>
              <w:rPr>
                <w:rFonts w:ascii="Arial Narrow" w:hAnsi="Arial Narrow" w:cs="Arial"/>
                <w:b/>
                <w:sz w:val="20"/>
                <w:szCs w:val="20"/>
              </w:rPr>
            </w:pPr>
          </w:p>
        </w:tc>
        <w:tc>
          <w:tcPr>
            <w:tcW w:w="7796" w:type="dxa"/>
            <w:gridSpan w:val="6"/>
            <w:vAlign w:val="center"/>
          </w:tcPr>
          <w:p w14:paraId="284C2EAC" w14:textId="77777777" w:rsidR="00921097" w:rsidRPr="00F21EFC" w:rsidRDefault="00921097" w:rsidP="007A591A">
            <w:pPr>
              <w:keepNext/>
              <w:ind w:left="-57"/>
              <w:rPr>
                <w:rFonts w:ascii="Arial Narrow" w:hAnsi="Arial Narrow" w:cs="Arial"/>
                <w:b/>
                <w:sz w:val="20"/>
                <w:szCs w:val="20"/>
              </w:rPr>
            </w:pPr>
            <w:r w:rsidRPr="00F21EFC">
              <w:rPr>
                <w:rFonts w:ascii="Arial Narrow" w:hAnsi="Arial Narrow"/>
                <w:b/>
                <w:kern w:val="2"/>
                <w:sz w:val="20"/>
                <w:szCs w:val="20"/>
              </w:rPr>
              <w:t xml:space="preserve">Benefit type: </w:t>
            </w:r>
            <w:r w:rsidRPr="00F21EFC">
              <w:rPr>
                <w:rFonts w:ascii="Arial Narrow" w:hAnsi="Arial Narrow"/>
                <w:kern w:val="2"/>
                <w:sz w:val="20"/>
                <w:szCs w:val="20"/>
              </w:rPr>
              <w:fldChar w:fldCharType="begin">
                <w:ffData>
                  <w:name w:val=""/>
                  <w:enabled/>
                  <w:calcOnExit w:val="0"/>
                  <w:checkBox>
                    <w:sizeAuto/>
                    <w:default w:val="1"/>
                  </w:checkBox>
                </w:ffData>
              </w:fldChar>
            </w:r>
            <w:r w:rsidRPr="00F21EFC">
              <w:rPr>
                <w:rFonts w:ascii="Arial Narrow" w:hAnsi="Arial Narrow"/>
                <w:kern w:val="2"/>
                <w:sz w:val="20"/>
                <w:szCs w:val="20"/>
              </w:rPr>
              <w:instrText xml:space="preserve"> FORMCHECKBOX </w:instrText>
            </w:r>
            <w:r w:rsidRPr="00F21EFC">
              <w:rPr>
                <w:rFonts w:ascii="Arial Narrow" w:hAnsi="Arial Narrow"/>
                <w:kern w:val="2"/>
                <w:sz w:val="20"/>
                <w:szCs w:val="20"/>
              </w:rPr>
            </w:r>
            <w:r w:rsidRPr="00F21EFC">
              <w:rPr>
                <w:rFonts w:ascii="Arial Narrow" w:hAnsi="Arial Narrow"/>
                <w:kern w:val="2"/>
                <w:sz w:val="20"/>
                <w:szCs w:val="20"/>
              </w:rPr>
              <w:fldChar w:fldCharType="separate"/>
            </w:r>
            <w:r w:rsidRPr="00F21EFC">
              <w:rPr>
                <w:rFonts w:ascii="Arial Narrow" w:hAnsi="Arial Narrow"/>
                <w:kern w:val="2"/>
                <w:sz w:val="20"/>
                <w:szCs w:val="20"/>
              </w:rPr>
              <w:fldChar w:fldCharType="end"/>
            </w:r>
            <w:r w:rsidRPr="00F21EFC">
              <w:rPr>
                <w:rFonts w:ascii="Arial Narrow" w:hAnsi="Arial Narrow"/>
                <w:kern w:val="2"/>
                <w:sz w:val="20"/>
                <w:szCs w:val="20"/>
              </w:rPr>
              <w:t xml:space="preserve"> </w:t>
            </w:r>
            <w:r w:rsidRPr="00F21EFC">
              <w:rPr>
                <w:rFonts w:ascii="Arial Narrow" w:eastAsia="Calibri" w:hAnsi="Arial Narrow"/>
                <w:kern w:val="2"/>
                <w:sz w:val="20"/>
                <w:szCs w:val="20"/>
              </w:rPr>
              <w:t xml:space="preserve">Authority Required (Telephone/ Online PBS Authorities System) </w:t>
            </w:r>
          </w:p>
        </w:tc>
      </w:tr>
      <w:tr w:rsidR="00921097" w:rsidRPr="00F21EFC" w14:paraId="12320747" w14:textId="77777777" w:rsidTr="0031161F">
        <w:trPr>
          <w:trHeight w:val="50"/>
        </w:trPr>
        <w:tc>
          <w:tcPr>
            <w:tcW w:w="9067" w:type="dxa"/>
            <w:gridSpan w:val="7"/>
          </w:tcPr>
          <w:p w14:paraId="6703A732" w14:textId="1267DC88" w:rsidR="00921097" w:rsidRPr="00F21EFC" w:rsidRDefault="00921097" w:rsidP="007A591A">
            <w:pPr>
              <w:keepNext/>
              <w:rPr>
                <w:rFonts w:ascii="Arial Narrow" w:hAnsi="Arial Narrow" w:cs="Arial"/>
                <w:b/>
                <w:sz w:val="20"/>
                <w:szCs w:val="20"/>
              </w:rPr>
            </w:pPr>
            <w:r>
              <w:rPr>
                <w:rFonts w:ascii="Arial Narrow" w:hAnsi="Arial Narrow" w:cs="Arial"/>
                <w:b/>
                <w:kern w:val="2"/>
                <w:sz w:val="20"/>
                <w:szCs w:val="20"/>
                <w:lang w:eastAsia="en-US"/>
                <w14:ligatures w14:val="standardContextual"/>
              </w:rPr>
              <w:t>Prescribing rule level:</w:t>
            </w:r>
            <w:r w:rsidR="007A591A">
              <w:rPr>
                <w:rFonts w:ascii="Arial Narrow" w:hAnsi="Arial Narrow" w:cs="Arial"/>
                <w:b/>
                <w:kern w:val="2"/>
                <w:sz w:val="20"/>
                <w:szCs w:val="20"/>
                <w:lang w:eastAsia="en-US"/>
                <w14:ligatures w14:val="standardContextual"/>
              </w:rPr>
              <w:t xml:space="preserve"> </w:t>
            </w:r>
          </w:p>
        </w:tc>
      </w:tr>
      <w:tr w:rsidR="00921097" w:rsidRPr="00F21EFC" w14:paraId="0CCE1D8D" w14:textId="77777777" w:rsidTr="0031161F">
        <w:trPr>
          <w:trHeight w:val="50"/>
        </w:trPr>
        <w:tc>
          <w:tcPr>
            <w:tcW w:w="1271" w:type="dxa"/>
            <w:tcBorders>
              <w:top w:val="single" w:sz="4" w:space="0" w:color="auto"/>
              <w:left w:val="single" w:sz="4" w:space="0" w:color="auto"/>
              <w:bottom w:val="single" w:sz="4" w:space="0" w:color="auto"/>
              <w:right w:val="single" w:sz="4" w:space="0" w:color="auto"/>
            </w:tcBorders>
          </w:tcPr>
          <w:p w14:paraId="244DE7AA" w14:textId="2CF9D391" w:rsidR="00921097" w:rsidRPr="00F21EFC" w:rsidRDefault="00921097" w:rsidP="007A591A">
            <w:pPr>
              <w:keepNext/>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5BBD396D" w14:textId="77777777" w:rsidR="00921097" w:rsidRPr="006D7FED" w:rsidRDefault="0092109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Administrative Advice:</w:t>
            </w:r>
          </w:p>
          <w:p w14:paraId="0550EE2E" w14:textId="77777777" w:rsidR="00921097" w:rsidRPr="00F21EFC" w:rsidRDefault="00921097" w:rsidP="007A591A">
            <w:pPr>
              <w:keepNext/>
              <w:rPr>
                <w:rFonts w:ascii="Arial Narrow" w:hAnsi="Arial Narrow" w:cs="Arial"/>
                <w:b/>
                <w:sz w:val="20"/>
                <w:szCs w:val="20"/>
              </w:rPr>
            </w:pPr>
            <w:r w:rsidRPr="006D7FED">
              <w:rPr>
                <w:rFonts w:ascii="Arial Narrow" w:hAnsi="Arial Narrow" w:cs="Arial"/>
                <w:bCs/>
                <w:i/>
                <w:iCs/>
                <w:kern w:val="2"/>
                <w:sz w:val="20"/>
                <w:szCs w:val="20"/>
                <w:lang w:eastAsia="en-US"/>
                <w14:ligatures w14:val="standardContextual"/>
              </w:rPr>
              <w:t>No increase in the maximum quantity or number of units may be authorised.</w:t>
            </w:r>
          </w:p>
        </w:tc>
      </w:tr>
      <w:tr w:rsidR="00921097" w:rsidRPr="00F21EFC" w14:paraId="290FAA88" w14:textId="77777777" w:rsidTr="0031161F">
        <w:trPr>
          <w:trHeight w:val="50"/>
        </w:trPr>
        <w:tc>
          <w:tcPr>
            <w:tcW w:w="1271" w:type="dxa"/>
            <w:tcBorders>
              <w:top w:val="single" w:sz="4" w:space="0" w:color="auto"/>
              <w:left w:val="single" w:sz="4" w:space="0" w:color="auto"/>
              <w:bottom w:val="single" w:sz="4" w:space="0" w:color="auto"/>
              <w:right w:val="single" w:sz="4" w:space="0" w:color="auto"/>
            </w:tcBorders>
          </w:tcPr>
          <w:p w14:paraId="5A505E99" w14:textId="6A2D6D1E" w:rsidR="00921097" w:rsidRPr="00F21EFC" w:rsidRDefault="00921097" w:rsidP="007A591A">
            <w:pPr>
              <w:keepNext/>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5849EC25" w14:textId="77777777" w:rsidR="00921097" w:rsidRPr="006D7FED" w:rsidRDefault="0092109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Administrative Advice:</w:t>
            </w:r>
          </w:p>
          <w:p w14:paraId="26F53C1B" w14:textId="77777777" w:rsidR="00921097" w:rsidRPr="00F21EFC" w:rsidRDefault="00921097" w:rsidP="007A591A">
            <w:pPr>
              <w:keepNext/>
              <w:rPr>
                <w:rFonts w:ascii="Arial Narrow" w:hAnsi="Arial Narrow" w:cs="Arial"/>
                <w:b/>
                <w:sz w:val="20"/>
                <w:szCs w:val="20"/>
              </w:rPr>
            </w:pPr>
            <w:r w:rsidRPr="006D7FED">
              <w:rPr>
                <w:rFonts w:ascii="Arial Narrow" w:hAnsi="Arial Narrow"/>
                <w:i/>
                <w:iCs/>
                <w:color w:val="333333"/>
                <w:kern w:val="2"/>
                <w:sz w:val="20"/>
                <w:szCs w:val="20"/>
              </w:rPr>
              <w:t xml:space="preserve">No increase in the maximum number of repeats may be authorised. </w:t>
            </w:r>
          </w:p>
        </w:tc>
      </w:tr>
      <w:tr w:rsidR="00921097" w:rsidRPr="00F21EFC" w14:paraId="18AE352B" w14:textId="77777777" w:rsidTr="0031161F">
        <w:trPr>
          <w:trHeight w:val="50"/>
        </w:trPr>
        <w:tc>
          <w:tcPr>
            <w:tcW w:w="1271" w:type="dxa"/>
            <w:tcBorders>
              <w:top w:val="single" w:sz="4" w:space="0" w:color="auto"/>
              <w:left w:val="single" w:sz="4" w:space="0" w:color="auto"/>
              <w:bottom w:val="single" w:sz="4" w:space="0" w:color="auto"/>
              <w:right w:val="single" w:sz="4" w:space="0" w:color="auto"/>
            </w:tcBorders>
          </w:tcPr>
          <w:p w14:paraId="590DEB43" w14:textId="48B4B811" w:rsidR="00921097" w:rsidRPr="00F21EFC" w:rsidRDefault="00921097" w:rsidP="007A591A">
            <w:pPr>
              <w:keepNext/>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06074A9A" w14:textId="77777777" w:rsidR="00921097" w:rsidRPr="004C005A" w:rsidRDefault="00921097" w:rsidP="007A591A">
            <w:pPr>
              <w:keepLines/>
              <w:rPr>
                <w:rFonts w:ascii="Arial Narrow" w:hAnsi="Arial Narrow"/>
                <w:b/>
                <w:bCs/>
                <w:i/>
                <w:iCs/>
                <w:color w:val="333333"/>
                <w:kern w:val="2"/>
                <w:sz w:val="20"/>
                <w:szCs w:val="20"/>
              </w:rPr>
            </w:pPr>
            <w:r w:rsidRPr="004C005A">
              <w:rPr>
                <w:rFonts w:ascii="Arial Narrow" w:hAnsi="Arial Narrow"/>
                <w:b/>
                <w:bCs/>
                <w:i/>
                <w:iCs/>
                <w:color w:val="333333"/>
                <w:kern w:val="2"/>
                <w:sz w:val="20"/>
                <w:szCs w:val="20"/>
              </w:rPr>
              <w:t>Administrative Advice:</w:t>
            </w:r>
          </w:p>
          <w:p w14:paraId="60C5A094" w14:textId="77777777" w:rsidR="00921097" w:rsidRPr="00F21EFC" w:rsidRDefault="00921097" w:rsidP="007A591A">
            <w:pPr>
              <w:keepNext/>
              <w:rPr>
                <w:rFonts w:ascii="Arial Narrow" w:hAnsi="Arial Narrow" w:cs="Arial"/>
                <w:b/>
                <w:sz w:val="20"/>
                <w:szCs w:val="20"/>
              </w:rPr>
            </w:pPr>
            <w:r w:rsidRPr="004C005A">
              <w:rPr>
                <w:rFonts w:ascii="Arial Narrow" w:hAnsi="Arial Narrow"/>
                <w:i/>
                <w:iCs/>
                <w:color w:val="333333"/>
                <w:kern w:val="2"/>
                <w:sz w:val="20"/>
                <w:szCs w:val="20"/>
              </w:rPr>
              <w:t>Special Pricing Arrangements apply.</w:t>
            </w:r>
            <w:r w:rsidRPr="004C005A">
              <w:rPr>
                <w:rFonts w:ascii="Arial Narrow" w:hAnsi="Arial Narrow"/>
                <w:b/>
                <w:i/>
                <w:iCs/>
                <w:color w:val="333333"/>
                <w:kern w:val="2"/>
                <w:sz w:val="20"/>
                <w:szCs w:val="20"/>
              </w:rPr>
              <w:t xml:space="preserve"> </w:t>
            </w:r>
          </w:p>
        </w:tc>
      </w:tr>
      <w:tr w:rsidR="00921097" w:rsidRPr="00F21EFC" w14:paraId="511006C5" w14:textId="77777777" w:rsidTr="0031161F">
        <w:trPr>
          <w:trHeight w:val="50"/>
        </w:trPr>
        <w:tc>
          <w:tcPr>
            <w:tcW w:w="1271" w:type="dxa"/>
            <w:tcBorders>
              <w:top w:val="single" w:sz="4" w:space="0" w:color="auto"/>
              <w:left w:val="single" w:sz="4" w:space="0" w:color="auto"/>
              <w:bottom w:val="single" w:sz="4" w:space="0" w:color="auto"/>
              <w:right w:val="single" w:sz="4" w:space="0" w:color="auto"/>
            </w:tcBorders>
          </w:tcPr>
          <w:p w14:paraId="6E3A7F92" w14:textId="42A7B236" w:rsidR="00921097" w:rsidRPr="00F21EFC" w:rsidRDefault="00921097" w:rsidP="007A591A">
            <w:pPr>
              <w:keepNext/>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553CF2C8" w14:textId="77777777" w:rsidR="00921097" w:rsidRPr="006D7FED" w:rsidRDefault="00921097" w:rsidP="007A591A">
            <w:pPr>
              <w:rPr>
                <w:rFonts w:ascii="Arial Narrow" w:hAnsi="Arial Narrow"/>
                <w:b/>
                <w:bCs/>
                <w:i/>
                <w:iCs/>
                <w:color w:val="333333"/>
                <w:kern w:val="2"/>
                <w:sz w:val="20"/>
                <w:szCs w:val="20"/>
              </w:rPr>
            </w:pPr>
            <w:r w:rsidRPr="006D7FED">
              <w:rPr>
                <w:rFonts w:ascii="Arial Narrow" w:hAnsi="Arial Narrow"/>
                <w:b/>
                <w:bCs/>
                <w:i/>
                <w:iCs/>
                <w:color w:val="333333"/>
                <w:kern w:val="2"/>
                <w:sz w:val="20"/>
                <w:szCs w:val="20"/>
              </w:rPr>
              <w:t xml:space="preserve">Administrative Advice: </w:t>
            </w:r>
          </w:p>
          <w:p w14:paraId="1E3ACE7B" w14:textId="77777777" w:rsidR="00921097" w:rsidRPr="00F21EFC" w:rsidRDefault="00921097" w:rsidP="007A591A">
            <w:pPr>
              <w:keepNext/>
              <w:ind w:left="-57"/>
              <w:rPr>
                <w:rFonts w:ascii="Arial Narrow" w:hAnsi="Arial Narrow" w:cs="Arial"/>
                <w:b/>
                <w:sz w:val="20"/>
                <w:szCs w:val="20"/>
              </w:rPr>
            </w:pPr>
            <w:r w:rsidRPr="006D7FED">
              <w:rPr>
                <w:rFonts w:ascii="Arial Narrow" w:hAnsi="Arial Narrow"/>
                <w:i/>
                <w:iCs/>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r w:rsidR="007A2FAD" w:rsidRPr="00F21EFC" w14:paraId="3D949BCA" w14:textId="77777777" w:rsidTr="0031161F">
        <w:trPr>
          <w:trHeight w:val="50"/>
        </w:trPr>
        <w:tc>
          <w:tcPr>
            <w:tcW w:w="1271" w:type="dxa"/>
            <w:tcBorders>
              <w:top w:val="single" w:sz="4" w:space="0" w:color="auto"/>
              <w:left w:val="single" w:sz="4" w:space="0" w:color="auto"/>
              <w:bottom w:val="single" w:sz="4" w:space="0" w:color="auto"/>
              <w:right w:val="single" w:sz="4" w:space="0" w:color="auto"/>
            </w:tcBorders>
          </w:tcPr>
          <w:p w14:paraId="4710DB7B" w14:textId="704F059E" w:rsidR="007A2FAD" w:rsidRPr="006D7FED" w:rsidRDefault="007A2FAD" w:rsidP="007A591A">
            <w:pPr>
              <w:keepNext/>
              <w:jc w:val="left"/>
              <w:rPr>
                <w:rFonts w:ascii="Arial Narrow" w:hAnsi="Arial Narrow"/>
                <w:i/>
                <w:iCs/>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F4AF434" w14:textId="77777777" w:rsidR="007A2FAD" w:rsidRPr="00021BB9" w:rsidRDefault="007A2FAD" w:rsidP="007A591A">
            <w:pPr>
              <w:jc w:val="left"/>
              <w:rPr>
                <w:rFonts w:ascii="Arial Narrow" w:hAnsi="Arial Narrow"/>
                <w:b/>
                <w:bCs/>
                <w:i/>
                <w:iCs/>
                <w:color w:val="333333"/>
                <w:kern w:val="2"/>
                <w:sz w:val="20"/>
                <w:szCs w:val="20"/>
              </w:rPr>
            </w:pPr>
            <w:r>
              <w:rPr>
                <w:rFonts w:ascii="Arial Narrow" w:hAnsi="Arial Narrow"/>
                <w:b/>
                <w:bCs/>
                <w:i/>
                <w:iCs/>
                <w:color w:val="333333"/>
                <w:kern w:val="2"/>
                <w:sz w:val="20"/>
                <w:szCs w:val="20"/>
              </w:rPr>
              <w:t>Administrative Advice:</w:t>
            </w:r>
          </w:p>
          <w:p w14:paraId="198721EB" w14:textId="36129193" w:rsidR="007A2FAD" w:rsidRPr="00513319" w:rsidRDefault="007A2FAD" w:rsidP="007A591A">
            <w:pPr>
              <w:jc w:val="left"/>
              <w:rPr>
                <w:rFonts w:ascii="Arial Narrow" w:hAnsi="Arial Narrow"/>
                <w:i/>
                <w:iCs/>
                <w:color w:val="333333"/>
                <w:kern w:val="2"/>
                <w:sz w:val="20"/>
                <w:szCs w:val="20"/>
              </w:rPr>
            </w:pPr>
            <w:r w:rsidRPr="00513319">
              <w:rPr>
                <w:rFonts w:ascii="Arial Narrow" w:hAnsi="Arial Narrow"/>
                <w:i/>
                <w:iCs/>
                <w:color w:val="333333"/>
                <w:kern w:val="2"/>
                <w:sz w:val="20"/>
                <w:szCs w:val="20"/>
              </w:rPr>
              <w:t xml:space="preserve">The ALS Functional Rating Scale </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 xml:space="preserve"> Revised (ALSFRS</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R) can be accessed online at:</w:t>
            </w:r>
          </w:p>
          <w:p w14:paraId="6CC0DABE" w14:textId="6AAA95E9" w:rsidR="007A2FAD" w:rsidRPr="006D7FED" w:rsidRDefault="007A2FAD" w:rsidP="007A591A">
            <w:pPr>
              <w:jc w:val="left"/>
              <w:rPr>
                <w:rFonts w:ascii="Arial Narrow" w:hAnsi="Arial Narrow"/>
                <w:b/>
                <w:bCs/>
                <w:i/>
                <w:iCs/>
                <w:color w:val="333333"/>
                <w:kern w:val="2"/>
                <w:sz w:val="20"/>
                <w:szCs w:val="20"/>
              </w:rPr>
            </w:pPr>
            <w:r w:rsidRPr="00513319">
              <w:rPr>
                <w:rFonts w:ascii="Arial Narrow" w:hAnsi="Arial Narrow"/>
                <w:i/>
                <w:iCs/>
                <w:color w:val="333333"/>
                <w:kern w:val="2"/>
                <w:sz w:val="20"/>
                <w:szCs w:val="20"/>
              </w:rPr>
              <w:t>www.mdcalc.com/calc/10166/revised</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amyotrophic</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lateral</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sclerosis</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functional</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rating</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scale</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alsfrs</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r or https://neurotoolkit.com/alsfrs</w:t>
            </w:r>
            <w:r w:rsidR="007A591A">
              <w:rPr>
                <w:rFonts w:ascii="Arial Narrow" w:hAnsi="Arial Narrow"/>
                <w:i/>
                <w:iCs/>
                <w:color w:val="333333"/>
                <w:kern w:val="2"/>
                <w:sz w:val="20"/>
                <w:szCs w:val="20"/>
              </w:rPr>
              <w:noBreakHyphen/>
            </w:r>
            <w:r w:rsidRPr="00513319">
              <w:rPr>
                <w:rFonts w:ascii="Arial Narrow" w:hAnsi="Arial Narrow"/>
                <w:i/>
                <w:iCs/>
                <w:color w:val="333333"/>
                <w:kern w:val="2"/>
                <w:sz w:val="20"/>
                <w:szCs w:val="20"/>
              </w:rPr>
              <w:t>r/</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96"/>
      </w:tblGrid>
      <w:tr w:rsidR="00921097" w:rsidRPr="007C24A8" w14:paraId="410E0F52" w14:textId="77777777" w:rsidTr="0031161F">
        <w:tc>
          <w:tcPr>
            <w:tcW w:w="9067" w:type="dxa"/>
            <w:gridSpan w:val="2"/>
            <w:vAlign w:val="center"/>
          </w:tcPr>
          <w:p w14:paraId="4D9AA739" w14:textId="75E8FA7C" w:rsidR="00921097" w:rsidRPr="00921097" w:rsidRDefault="00921097" w:rsidP="007A591A">
            <w:pPr>
              <w:rPr>
                <w:rFonts w:ascii="Arial Narrow" w:hAnsi="Arial Narrow"/>
                <w:b/>
                <w:sz w:val="20"/>
                <w:szCs w:val="20"/>
              </w:rPr>
            </w:pPr>
            <w:r>
              <w:rPr>
                <w:rFonts w:ascii="Arial Narrow" w:hAnsi="Arial Narrow"/>
                <w:b/>
                <w:kern w:val="2"/>
                <w:sz w:val="20"/>
                <w:szCs w:val="20"/>
              </w:rPr>
              <w:t xml:space="preserve">Restriction </w:t>
            </w:r>
            <w:r w:rsidRPr="00CB1007">
              <w:rPr>
                <w:rFonts w:ascii="Arial Narrow" w:hAnsi="Arial Narrow"/>
                <w:b/>
                <w:kern w:val="2"/>
                <w:sz w:val="20"/>
                <w:szCs w:val="20"/>
              </w:rPr>
              <w:t>Summary [new</w:t>
            </w:r>
            <w:r>
              <w:rPr>
                <w:rFonts w:ascii="Arial Narrow" w:hAnsi="Arial Narrow"/>
                <w:b/>
                <w:kern w:val="2"/>
                <w:sz w:val="20"/>
                <w:szCs w:val="20"/>
              </w:rPr>
              <w:t>3</w:t>
            </w:r>
            <w:r w:rsidRPr="00CB1007">
              <w:rPr>
                <w:rFonts w:ascii="Arial Narrow" w:hAnsi="Arial Narrow"/>
                <w:b/>
                <w:kern w:val="2"/>
                <w:sz w:val="20"/>
                <w:szCs w:val="20"/>
              </w:rPr>
              <w:t>] / Treatment of Concept: [new</w:t>
            </w:r>
            <w:r>
              <w:rPr>
                <w:rFonts w:ascii="Arial Narrow" w:hAnsi="Arial Narrow"/>
                <w:b/>
                <w:kern w:val="2"/>
                <w:sz w:val="20"/>
                <w:szCs w:val="20"/>
              </w:rPr>
              <w:t>3</w:t>
            </w:r>
            <w:r w:rsidRPr="00CB1007">
              <w:rPr>
                <w:rFonts w:ascii="Arial Narrow" w:hAnsi="Arial Narrow"/>
                <w:b/>
                <w:kern w:val="2"/>
                <w:sz w:val="20"/>
                <w:szCs w:val="20"/>
              </w:rPr>
              <w:t>A]</w:t>
            </w:r>
          </w:p>
        </w:tc>
      </w:tr>
      <w:tr w:rsidR="00921097" w:rsidRPr="007C24A8" w14:paraId="5826894D" w14:textId="77777777" w:rsidTr="00A43EFA">
        <w:tc>
          <w:tcPr>
            <w:tcW w:w="1271" w:type="dxa"/>
            <w:vAlign w:val="center"/>
          </w:tcPr>
          <w:p w14:paraId="56B0B44B" w14:textId="773B5CC0" w:rsidR="00921097" w:rsidRPr="00921097" w:rsidRDefault="00921097" w:rsidP="007A591A">
            <w:pPr>
              <w:jc w:val="center"/>
              <w:rPr>
                <w:rFonts w:ascii="Arial Narrow" w:hAnsi="Arial Narrow"/>
                <w:sz w:val="20"/>
                <w:szCs w:val="20"/>
              </w:rPr>
            </w:pPr>
          </w:p>
        </w:tc>
        <w:tc>
          <w:tcPr>
            <w:tcW w:w="7796" w:type="dxa"/>
            <w:vAlign w:val="center"/>
          </w:tcPr>
          <w:p w14:paraId="54017D08" w14:textId="261C9904" w:rsidR="00921097" w:rsidRPr="00921097" w:rsidRDefault="00921097" w:rsidP="007A591A">
            <w:pPr>
              <w:rPr>
                <w:rFonts w:ascii="Arial Narrow" w:hAnsi="Arial Narrow"/>
                <w:b/>
                <w:sz w:val="20"/>
                <w:szCs w:val="20"/>
              </w:rPr>
            </w:pPr>
            <w:r w:rsidRPr="00DA782F">
              <w:rPr>
                <w:rFonts w:ascii="Arial Narrow" w:hAnsi="Arial Narrow"/>
                <w:b/>
                <w:sz w:val="20"/>
                <w:szCs w:val="20"/>
              </w:rPr>
              <w:t>Indication:</w:t>
            </w:r>
            <w:r w:rsidRPr="00DA782F">
              <w:rPr>
                <w:rFonts w:ascii="Arial Narrow" w:hAnsi="Arial Narrow"/>
                <w:sz w:val="20"/>
                <w:szCs w:val="20"/>
              </w:rPr>
              <w:t xml:space="preserve"> Amyotrophic lateral sclerosis</w:t>
            </w:r>
            <w:r w:rsidR="007A591A">
              <w:rPr>
                <w:rFonts w:ascii="Arial Narrow" w:hAnsi="Arial Narrow"/>
                <w:sz w:val="20"/>
                <w:szCs w:val="20"/>
              </w:rPr>
              <w:t xml:space="preserve"> </w:t>
            </w:r>
          </w:p>
        </w:tc>
      </w:tr>
      <w:tr w:rsidR="00465DE0" w:rsidRPr="007C24A8" w14:paraId="5E373A7C" w14:textId="77777777" w:rsidTr="00EF250F">
        <w:tc>
          <w:tcPr>
            <w:tcW w:w="1271" w:type="dxa"/>
            <w:vAlign w:val="center"/>
            <w:hideMark/>
          </w:tcPr>
          <w:p w14:paraId="011562A9" w14:textId="77777777" w:rsidR="00465DE0" w:rsidRPr="00EF250F" w:rsidRDefault="00465DE0" w:rsidP="007A591A">
            <w:pPr>
              <w:jc w:val="center"/>
              <w:rPr>
                <w:rFonts w:ascii="Arial Narrow" w:hAnsi="Arial Narrow"/>
                <w:sz w:val="20"/>
                <w:szCs w:val="20"/>
              </w:rPr>
            </w:pPr>
          </w:p>
        </w:tc>
        <w:tc>
          <w:tcPr>
            <w:tcW w:w="7796" w:type="dxa"/>
            <w:vAlign w:val="center"/>
            <w:hideMark/>
          </w:tcPr>
          <w:p w14:paraId="2C76A225" w14:textId="16EFAFBF" w:rsidR="00465DE0" w:rsidRPr="00EF250F" w:rsidRDefault="00465DE0" w:rsidP="007A591A">
            <w:pPr>
              <w:rPr>
                <w:rFonts w:ascii="Arial Narrow" w:hAnsi="Arial Narrow"/>
                <w:sz w:val="20"/>
                <w:szCs w:val="20"/>
              </w:rPr>
            </w:pPr>
            <w:r w:rsidRPr="00EF250F">
              <w:rPr>
                <w:rFonts w:ascii="Arial Narrow" w:hAnsi="Arial Narrow"/>
                <w:b/>
                <w:sz w:val="20"/>
                <w:szCs w:val="20"/>
              </w:rPr>
              <w:t>Treatment Phase:</w:t>
            </w:r>
            <w:r w:rsidRPr="00EF250F">
              <w:rPr>
                <w:rFonts w:ascii="Arial Narrow" w:hAnsi="Arial Narrow"/>
                <w:sz w:val="20"/>
                <w:szCs w:val="20"/>
              </w:rPr>
              <w:t xml:space="preserve"> </w:t>
            </w:r>
            <w:r w:rsidR="0040280F" w:rsidRPr="00EF250F">
              <w:rPr>
                <w:rFonts w:ascii="Arial Narrow" w:hAnsi="Arial Narrow"/>
                <w:i/>
                <w:sz w:val="20"/>
                <w:szCs w:val="20"/>
              </w:rPr>
              <w:t>Subsequent</w:t>
            </w:r>
            <w:r w:rsidR="00861CBC" w:rsidRPr="00EF250F">
              <w:rPr>
                <w:rFonts w:ascii="Arial Narrow" w:hAnsi="Arial Narrow"/>
                <w:i/>
                <w:sz w:val="20"/>
                <w:szCs w:val="20"/>
              </w:rPr>
              <w:t xml:space="preserve"> </w:t>
            </w:r>
            <w:r w:rsidR="00AC0400" w:rsidRPr="00EF250F">
              <w:rPr>
                <w:rFonts w:ascii="Arial Narrow" w:hAnsi="Arial Narrow"/>
                <w:i/>
                <w:sz w:val="20"/>
                <w:szCs w:val="20"/>
              </w:rPr>
              <w:t>conti</w:t>
            </w:r>
            <w:r w:rsidR="00E3264F" w:rsidRPr="00EF250F">
              <w:rPr>
                <w:rFonts w:ascii="Arial Narrow" w:hAnsi="Arial Narrow"/>
                <w:i/>
                <w:sz w:val="20"/>
                <w:szCs w:val="20"/>
              </w:rPr>
              <w:t>nuing</w:t>
            </w:r>
            <w:r w:rsidR="00DF6FAF">
              <w:rPr>
                <w:rFonts w:ascii="Arial Narrow" w:hAnsi="Arial Narrow"/>
                <w:sz w:val="20"/>
                <w:szCs w:val="20"/>
              </w:rPr>
              <w:t xml:space="preserve"> </w:t>
            </w:r>
            <w:r w:rsidRPr="00EF250F">
              <w:rPr>
                <w:rFonts w:ascii="Arial Narrow" w:hAnsi="Arial Narrow"/>
                <w:sz w:val="20"/>
                <w:szCs w:val="20"/>
              </w:rPr>
              <w:t xml:space="preserve">Treatment </w:t>
            </w:r>
            <w:r w:rsidRPr="00EF250F">
              <w:rPr>
                <w:rFonts w:ascii="Arial Narrow" w:hAnsi="Arial Narrow"/>
                <w:strike/>
                <w:sz w:val="20"/>
                <w:szCs w:val="20"/>
              </w:rPr>
              <w:t>response phase</w:t>
            </w:r>
          </w:p>
        </w:tc>
      </w:tr>
      <w:tr w:rsidR="00465DE0" w:rsidRPr="007C24A8" w14:paraId="2B2CB950" w14:textId="77777777" w:rsidTr="00EF250F">
        <w:tc>
          <w:tcPr>
            <w:tcW w:w="1271" w:type="dxa"/>
            <w:vAlign w:val="center"/>
          </w:tcPr>
          <w:p w14:paraId="07CB929C" w14:textId="3B622DC2" w:rsidR="00465DE0" w:rsidRPr="00EF250F" w:rsidRDefault="00465DE0" w:rsidP="007A591A">
            <w:pPr>
              <w:jc w:val="center"/>
              <w:rPr>
                <w:rFonts w:ascii="Arial Narrow" w:hAnsi="Arial Narrow"/>
                <w:sz w:val="20"/>
                <w:szCs w:val="20"/>
              </w:rPr>
            </w:pPr>
          </w:p>
        </w:tc>
        <w:tc>
          <w:tcPr>
            <w:tcW w:w="7796" w:type="dxa"/>
            <w:vAlign w:val="center"/>
          </w:tcPr>
          <w:p w14:paraId="27C42784" w14:textId="6973E9C4" w:rsidR="00465DE0" w:rsidRPr="00EF250F" w:rsidRDefault="00710F32" w:rsidP="007A591A">
            <w:pPr>
              <w:rPr>
                <w:rFonts w:ascii="Arial Narrow" w:hAnsi="Arial Narrow"/>
                <w:b/>
                <w:sz w:val="20"/>
                <w:szCs w:val="20"/>
              </w:rPr>
            </w:pPr>
            <w:r w:rsidRPr="00EF250F">
              <w:rPr>
                <w:rFonts w:ascii="Arial Narrow" w:hAnsi="Arial Narrow"/>
                <w:b/>
                <w:sz w:val="20"/>
                <w:szCs w:val="20"/>
              </w:rPr>
              <w:t>Clinical criteria</w:t>
            </w:r>
          </w:p>
        </w:tc>
      </w:tr>
      <w:tr w:rsidR="00465DE0" w:rsidRPr="007C24A8" w14:paraId="046BD04B" w14:textId="77777777" w:rsidTr="00EF250F">
        <w:trPr>
          <w:trHeight w:val="35"/>
        </w:trPr>
        <w:tc>
          <w:tcPr>
            <w:tcW w:w="1271" w:type="dxa"/>
            <w:vAlign w:val="center"/>
          </w:tcPr>
          <w:p w14:paraId="6DCDFB0A" w14:textId="23974810" w:rsidR="00465DE0" w:rsidRPr="00EF250F" w:rsidRDefault="00465DE0" w:rsidP="007A591A">
            <w:pPr>
              <w:jc w:val="center"/>
              <w:rPr>
                <w:rFonts w:ascii="Arial Narrow" w:hAnsi="Arial Narrow"/>
                <w:sz w:val="20"/>
                <w:szCs w:val="20"/>
              </w:rPr>
            </w:pPr>
          </w:p>
        </w:tc>
        <w:tc>
          <w:tcPr>
            <w:tcW w:w="7796" w:type="dxa"/>
            <w:vAlign w:val="center"/>
            <w:hideMark/>
          </w:tcPr>
          <w:p w14:paraId="33A2B7A4" w14:textId="72DF99E6" w:rsidR="00465DE0" w:rsidRPr="00EF250F" w:rsidRDefault="00465DE0" w:rsidP="007A591A">
            <w:pPr>
              <w:contextualSpacing/>
              <w:rPr>
                <w:rFonts w:ascii="Arial Narrow" w:hAnsi="Arial Narrow"/>
                <w:sz w:val="20"/>
                <w:szCs w:val="20"/>
              </w:rPr>
            </w:pPr>
            <w:r w:rsidRPr="00EF250F">
              <w:rPr>
                <w:rFonts w:ascii="Arial Narrow" w:hAnsi="Arial Narrow"/>
                <w:sz w:val="20"/>
                <w:szCs w:val="20"/>
              </w:rPr>
              <w:t>Patient must have previously received PBS</w:t>
            </w:r>
            <w:r w:rsidR="007A591A">
              <w:rPr>
                <w:rFonts w:ascii="Arial Narrow" w:hAnsi="Arial Narrow"/>
                <w:sz w:val="20"/>
                <w:szCs w:val="20"/>
              </w:rPr>
              <w:noBreakHyphen/>
            </w:r>
            <w:r w:rsidRPr="00EF250F">
              <w:rPr>
                <w:rFonts w:ascii="Arial Narrow" w:hAnsi="Arial Narrow"/>
                <w:sz w:val="20"/>
                <w:szCs w:val="20"/>
              </w:rPr>
              <w:t xml:space="preserve">subsidised treatment </w:t>
            </w:r>
            <w:r w:rsidR="00CA555F" w:rsidRPr="00EF250F">
              <w:rPr>
                <w:rFonts w:ascii="Arial Narrow" w:hAnsi="Arial Narrow"/>
                <w:i/>
                <w:iCs/>
                <w:sz w:val="20"/>
                <w:szCs w:val="20"/>
              </w:rPr>
              <w:t>with this drug for this condition</w:t>
            </w:r>
            <w:r w:rsidR="00CA555F">
              <w:rPr>
                <w:rFonts w:ascii="Arial Narrow" w:hAnsi="Arial Narrow"/>
                <w:sz w:val="20"/>
                <w:szCs w:val="20"/>
              </w:rPr>
              <w:t xml:space="preserve"> </w:t>
            </w:r>
            <w:r w:rsidR="00CA555F" w:rsidRPr="00172E1B">
              <w:rPr>
                <w:rFonts w:ascii="Arial Narrow" w:hAnsi="Arial Narrow"/>
                <w:i/>
                <w:iCs/>
                <w:sz w:val="20"/>
                <w:szCs w:val="20"/>
              </w:rPr>
              <w:t xml:space="preserve">under </w:t>
            </w:r>
            <w:r w:rsidR="00CA555F">
              <w:rPr>
                <w:rFonts w:ascii="Arial Narrow" w:hAnsi="Arial Narrow"/>
                <w:i/>
                <w:iCs/>
                <w:sz w:val="20"/>
                <w:szCs w:val="20"/>
              </w:rPr>
              <w:t>the first continuing treatment</w:t>
            </w:r>
            <w:r w:rsidR="00727E55">
              <w:rPr>
                <w:rFonts w:ascii="Arial Narrow" w:hAnsi="Arial Narrow"/>
                <w:i/>
                <w:iCs/>
                <w:sz w:val="20"/>
                <w:szCs w:val="20"/>
              </w:rPr>
              <w:t xml:space="preserve">, </w:t>
            </w:r>
            <w:r w:rsidR="006C06D7">
              <w:rPr>
                <w:rFonts w:ascii="Arial Narrow" w:hAnsi="Arial Narrow"/>
                <w:i/>
                <w:iCs/>
                <w:sz w:val="20"/>
                <w:szCs w:val="20"/>
              </w:rPr>
              <w:t xml:space="preserve">the </w:t>
            </w:r>
            <w:r w:rsidR="00925923">
              <w:rPr>
                <w:rFonts w:ascii="Arial Narrow" w:hAnsi="Arial Narrow"/>
                <w:i/>
                <w:iCs/>
                <w:sz w:val="20"/>
                <w:szCs w:val="20"/>
              </w:rPr>
              <w:t xml:space="preserve">extended first continuing treatment </w:t>
            </w:r>
            <w:r w:rsidR="00CA555F">
              <w:rPr>
                <w:rFonts w:ascii="Arial Narrow" w:hAnsi="Arial Narrow"/>
                <w:i/>
                <w:iCs/>
                <w:sz w:val="20"/>
                <w:szCs w:val="20"/>
              </w:rPr>
              <w:t xml:space="preserve">or the grandfather </w:t>
            </w:r>
            <w:r w:rsidR="00320231">
              <w:rPr>
                <w:rFonts w:ascii="Arial Narrow" w:hAnsi="Arial Narrow"/>
                <w:i/>
                <w:iCs/>
                <w:sz w:val="20"/>
                <w:szCs w:val="20"/>
              </w:rPr>
              <w:t>treatment restriction</w:t>
            </w:r>
            <w:r w:rsidR="00CA555F">
              <w:rPr>
                <w:rFonts w:ascii="Arial Narrow" w:hAnsi="Arial Narrow"/>
                <w:i/>
                <w:iCs/>
                <w:sz w:val="20"/>
                <w:szCs w:val="20"/>
              </w:rPr>
              <w:t xml:space="preserve">. </w:t>
            </w:r>
            <w:r w:rsidRPr="00EF250F">
              <w:rPr>
                <w:rFonts w:ascii="Arial Narrow" w:hAnsi="Arial Narrow"/>
                <w:strike/>
                <w:sz w:val="20"/>
                <w:szCs w:val="20"/>
              </w:rPr>
              <w:t>or treatment from the sponsor’s early access program with this drug for this condition,</w:t>
            </w:r>
            <w:r w:rsidRPr="00EF250F">
              <w:rPr>
                <w:rFonts w:ascii="Arial Narrow" w:hAnsi="Arial Narrow"/>
                <w:sz w:val="20"/>
                <w:szCs w:val="20"/>
              </w:rPr>
              <w:t xml:space="preserve"> </w:t>
            </w:r>
          </w:p>
        </w:tc>
      </w:tr>
      <w:tr w:rsidR="00465DE0" w:rsidRPr="007C24A8" w14:paraId="28107C67" w14:textId="77777777" w:rsidTr="00EF250F">
        <w:tc>
          <w:tcPr>
            <w:tcW w:w="1271" w:type="dxa"/>
            <w:vAlign w:val="center"/>
          </w:tcPr>
          <w:p w14:paraId="37228C30" w14:textId="77777777" w:rsidR="00465DE0" w:rsidRPr="00EF250F" w:rsidRDefault="00465DE0" w:rsidP="007A591A">
            <w:pPr>
              <w:jc w:val="center"/>
              <w:rPr>
                <w:rFonts w:ascii="Arial Narrow" w:hAnsi="Arial Narrow"/>
                <w:sz w:val="20"/>
                <w:szCs w:val="20"/>
              </w:rPr>
            </w:pPr>
          </w:p>
        </w:tc>
        <w:tc>
          <w:tcPr>
            <w:tcW w:w="7796" w:type="dxa"/>
            <w:vAlign w:val="center"/>
            <w:hideMark/>
          </w:tcPr>
          <w:p w14:paraId="4368D718" w14:textId="3A4F3E55" w:rsidR="00465DE0" w:rsidRPr="00EF250F" w:rsidRDefault="00710F32" w:rsidP="007A591A">
            <w:pPr>
              <w:rPr>
                <w:rFonts w:ascii="Arial Narrow" w:hAnsi="Arial Narrow"/>
                <w:b/>
                <w:sz w:val="20"/>
                <w:szCs w:val="20"/>
              </w:rPr>
            </w:pPr>
            <w:r w:rsidRPr="00EF250F">
              <w:rPr>
                <w:rFonts w:ascii="Arial Narrow" w:hAnsi="Arial Narrow"/>
                <w:b/>
                <w:sz w:val="20"/>
                <w:szCs w:val="20"/>
              </w:rPr>
              <w:t>AND</w:t>
            </w:r>
          </w:p>
        </w:tc>
      </w:tr>
      <w:tr w:rsidR="00710F32" w:rsidRPr="007C24A8" w14:paraId="5652B393" w14:textId="77777777" w:rsidTr="00EF250F">
        <w:tc>
          <w:tcPr>
            <w:tcW w:w="1271" w:type="dxa"/>
            <w:vAlign w:val="center"/>
          </w:tcPr>
          <w:p w14:paraId="036C96BD" w14:textId="1E0C4273" w:rsidR="00710F32" w:rsidRPr="00EF250F" w:rsidRDefault="00710F32" w:rsidP="007A591A">
            <w:pPr>
              <w:jc w:val="center"/>
              <w:rPr>
                <w:rFonts w:ascii="Arial Narrow" w:hAnsi="Arial Narrow"/>
                <w:sz w:val="20"/>
                <w:szCs w:val="20"/>
              </w:rPr>
            </w:pPr>
          </w:p>
        </w:tc>
        <w:tc>
          <w:tcPr>
            <w:tcW w:w="7796" w:type="dxa"/>
            <w:vAlign w:val="center"/>
          </w:tcPr>
          <w:p w14:paraId="77DF8DE0" w14:textId="0C6F7C47" w:rsidR="00710F32" w:rsidRPr="00EF250F" w:rsidRDefault="00710F32" w:rsidP="007A591A">
            <w:pPr>
              <w:rPr>
                <w:rFonts w:ascii="Arial Narrow" w:hAnsi="Arial Narrow"/>
                <w:b/>
                <w:sz w:val="20"/>
                <w:szCs w:val="20"/>
              </w:rPr>
            </w:pPr>
            <w:r w:rsidRPr="00EF250F">
              <w:rPr>
                <w:rFonts w:ascii="Arial Narrow" w:hAnsi="Arial Narrow"/>
                <w:b/>
                <w:sz w:val="20"/>
                <w:szCs w:val="20"/>
              </w:rPr>
              <w:t>Clinical criteria:</w:t>
            </w:r>
          </w:p>
        </w:tc>
      </w:tr>
      <w:tr w:rsidR="00710F32" w:rsidRPr="007C24A8" w14:paraId="0902BA94" w14:textId="77777777" w:rsidTr="00EF250F">
        <w:tc>
          <w:tcPr>
            <w:tcW w:w="1271" w:type="dxa"/>
            <w:vAlign w:val="center"/>
          </w:tcPr>
          <w:p w14:paraId="1E77EE61" w14:textId="131CC145" w:rsidR="00710F32" w:rsidRPr="00EF250F" w:rsidRDefault="00710F32" w:rsidP="007A591A">
            <w:pPr>
              <w:jc w:val="center"/>
              <w:rPr>
                <w:rFonts w:ascii="Arial Narrow" w:hAnsi="Arial Narrow"/>
                <w:sz w:val="20"/>
                <w:szCs w:val="20"/>
              </w:rPr>
            </w:pPr>
          </w:p>
        </w:tc>
        <w:tc>
          <w:tcPr>
            <w:tcW w:w="7796" w:type="dxa"/>
            <w:vAlign w:val="center"/>
          </w:tcPr>
          <w:p w14:paraId="0EF4F6EA" w14:textId="71855804" w:rsidR="00710F32" w:rsidRDefault="00710F32" w:rsidP="007A591A">
            <w:pPr>
              <w:rPr>
                <w:rFonts w:ascii="Arial Narrow" w:hAnsi="Arial Narrow"/>
                <w:strike/>
                <w:sz w:val="20"/>
                <w:szCs w:val="20"/>
              </w:rPr>
            </w:pPr>
            <w:r w:rsidRPr="00EF250F">
              <w:rPr>
                <w:rFonts w:ascii="Arial Narrow" w:hAnsi="Arial Narrow"/>
                <w:strike/>
                <w:sz w:val="20"/>
                <w:szCs w:val="20"/>
              </w:rPr>
              <w:t>Patients who previously received PBS</w:t>
            </w:r>
            <w:r w:rsidR="007A591A">
              <w:rPr>
                <w:rFonts w:ascii="Arial Narrow" w:hAnsi="Arial Narrow"/>
                <w:strike/>
                <w:sz w:val="20"/>
                <w:szCs w:val="20"/>
              </w:rPr>
              <w:noBreakHyphen/>
            </w:r>
            <w:r w:rsidRPr="00EF250F">
              <w:rPr>
                <w:rFonts w:ascii="Arial Narrow" w:hAnsi="Arial Narrow"/>
                <w:strike/>
                <w:sz w:val="20"/>
                <w:szCs w:val="20"/>
              </w:rPr>
              <w:t>subsidised treatment must demonstrate treatment response once at 12 months as described below,</w:t>
            </w:r>
          </w:p>
          <w:p w14:paraId="7A00BA94" w14:textId="2F17D01F" w:rsidR="00003F42" w:rsidRPr="00EF250F" w:rsidRDefault="00AF5965" w:rsidP="007A591A">
            <w:pPr>
              <w:rPr>
                <w:rFonts w:ascii="Arial Narrow" w:hAnsi="Arial Narrow"/>
                <w:i/>
                <w:iCs/>
                <w:sz w:val="20"/>
                <w:szCs w:val="20"/>
              </w:rPr>
            </w:pPr>
            <w:r w:rsidRPr="004B0240">
              <w:rPr>
                <w:rFonts w:ascii="Arial Narrow" w:hAnsi="Arial Narrow"/>
                <w:i/>
                <w:iCs/>
                <w:sz w:val="20"/>
                <w:szCs w:val="20"/>
              </w:rPr>
              <w:t xml:space="preserve">Patient must have demonstrated </w:t>
            </w:r>
            <w:r w:rsidR="00C364F2" w:rsidRPr="004B0240">
              <w:rPr>
                <w:rFonts w:ascii="Arial Narrow" w:hAnsi="Arial Narrow"/>
                <w:i/>
                <w:iCs/>
                <w:sz w:val="20"/>
                <w:szCs w:val="20"/>
              </w:rPr>
              <w:t xml:space="preserve">adequate response to treatment </w:t>
            </w:r>
            <w:r w:rsidR="00A442A5" w:rsidRPr="004B0240">
              <w:rPr>
                <w:rFonts w:ascii="Arial Narrow" w:hAnsi="Arial Narrow"/>
                <w:i/>
                <w:iCs/>
                <w:sz w:val="20"/>
                <w:szCs w:val="20"/>
              </w:rPr>
              <w:t xml:space="preserve">if </w:t>
            </w:r>
            <w:r w:rsidR="004B0240" w:rsidRPr="004B0240">
              <w:rPr>
                <w:rFonts w:ascii="Arial Narrow" w:hAnsi="Arial Narrow"/>
                <w:i/>
                <w:iCs/>
                <w:sz w:val="20"/>
                <w:szCs w:val="20"/>
              </w:rPr>
              <w:t>they</w:t>
            </w:r>
            <w:r w:rsidR="00A442A5" w:rsidRPr="004B0240">
              <w:rPr>
                <w:rFonts w:ascii="Arial Narrow" w:hAnsi="Arial Narrow"/>
                <w:i/>
                <w:iCs/>
                <w:sz w:val="20"/>
                <w:szCs w:val="20"/>
              </w:rPr>
              <w:t xml:space="preserve"> </w:t>
            </w:r>
            <w:r w:rsidR="00320231">
              <w:rPr>
                <w:rFonts w:ascii="Arial Narrow" w:hAnsi="Arial Narrow"/>
                <w:i/>
                <w:iCs/>
                <w:sz w:val="20"/>
                <w:szCs w:val="20"/>
              </w:rPr>
              <w:t xml:space="preserve">have </w:t>
            </w:r>
            <w:r w:rsidR="00A442A5" w:rsidRPr="004B0240">
              <w:rPr>
                <w:rFonts w:ascii="Arial Narrow" w:hAnsi="Arial Narrow"/>
                <w:i/>
                <w:iCs/>
                <w:sz w:val="20"/>
                <w:szCs w:val="20"/>
              </w:rPr>
              <w:t xml:space="preserve">received </w:t>
            </w:r>
            <w:r w:rsidR="00C364F2" w:rsidRPr="004B0240">
              <w:rPr>
                <w:rFonts w:ascii="Arial Narrow" w:hAnsi="Arial Narrow"/>
                <w:i/>
                <w:iCs/>
                <w:sz w:val="20"/>
                <w:szCs w:val="20"/>
              </w:rPr>
              <w:t>PBS</w:t>
            </w:r>
            <w:r w:rsidR="007A591A">
              <w:rPr>
                <w:rFonts w:ascii="Arial Narrow" w:hAnsi="Arial Narrow"/>
                <w:i/>
                <w:iCs/>
                <w:sz w:val="20"/>
                <w:szCs w:val="20"/>
              </w:rPr>
              <w:noBreakHyphen/>
            </w:r>
            <w:r w:rsidR="00C364F2" w:rsidRPr="004B0240">
              <w:rPr>
                <w:rFonts w:ascii="Arial Narrow" w:hAnsi="Arial Narrow"/>
                <w:i/>
                <w:iCs/>
                <w:sz w:val="20"/>
                <w:szCs w:val="20"/>
              </w:rPr>
              <w:t xml:space="preserve">subsidised </w:t>
            </w:r>
            <w:r w:rsidR="00A442A5" w:rsidRPr="004B0240">
              <w:rPr>
                <w:rFonts w:ascii="Arial Narrow" w:hAnsi="Arial Narrow"/>
                <w:i/>
                <w:iCs/>
                <w:sz w:val="20"/>
                <w:szCs w:val="20"/>
              </w:rPr>
              <w:t xml:space="preserve">treatment under </w:t>
            </w:r>
            <w:r w:rsidR="00C364F2" w:rsidRPr="004B0240">
              <w:rPr>
                <w:rFonts w:ascii="Arial Narrow" w:hAnsi="Arial Narrow"/>
                <w:i/>
                <w:iCs/>
                <w:sz w:val="20"/>
                <w:szCs w:val="20"/>
              </w:rPr>
              <w:t>the first continuing treatment</w:t>
            </w:r>
            <w:r w:rsidRPr="004B0240">
              <w:rPr>
                <w:rFonts w:ascii="Arial Narrow" w:hAnsi="Arial Narrow"/>
                <w:i/>
                <w:iCs/>
                <w:sz w:val="20"/>
                <w:szCs w:val="20"/>
              </w:rPr>
              <w:t> </w:t>
            </w:r>
            <w:r w:rsidR="00EC48A2">
              <w:rPr>
                <w:rFonts w:ascii="Arial Narrow" w:hAnsi="Arial Narrow"/>
                <w:i/>
                <w:iCs/>
                <w:sz w:val="20"/>
                <w:szCs w:val="20"/>
              </w:rPr>
              <w:t>or the extended first continuing treatment</w:t>
            </w:r>
            <w:r w:rsidR="006C06D7">
              <w:rPr>
                <w:rFonts w:ascii="Arial Narrow" w:hAnsi="Arial Narrow"/>
                <w:i/>
                <w:iCs/>
                <w:sz w:val="20"/>
                <w:szCs w:val="20"/>
              </w:rPr>
              <w:t xml:space="preserve"> restriction</w:t>
            </w:r>
            <w:r w:rsidR="00A442A5" w:rsidRPr="004B0240">
              <w:rPr>
                <w:rFonts w:ascii="Arial Narrow" w:hAnsi="Arial Narrow"/>
                <w:i/>
                <w:iCs/>
                <w:sz w:val="20"/>
                <w:szCs w:val="20"/>
              </w:rPr>
              <w:t>.</w:t>
            </w:r>
          </w:p>
        </w:tc>
      </w:tr>
      <w:tr w:rsidR="00710F32" w:rsidRPr="007C24A8" w14:paraId="2A1ED637" w14:textId="77777777" w:rsidTr="00EF250F">
        <w:tc>
          <w:tcPr>
            <w:tcW w:w="1271" w:type="dxa"/>
            <w:vAlign w:val="center"/>
          </w:tcPr>
          <w:p w14:paraId="74D672E7" w14:textId="77777777" w:rsidR="00710F32" w:rsidRPr="00EF250F" w:rsidRDefault="00710F32" w:rsidP="007A591A">
            <w:pPr>
              <w:jc w:val="center"/>
              <w:rPr>
                <w:rFonts w:ascii="Arial Narrow" w:hAnsi="Arial Narrow"/>
                <w:sz w:val="20"/>
                <w:szCs w:val="20"/>
              </w:rPr>
            </w:pPr>
          </w:p>
        </w:tc>
        <w:tc>
          <w:tcPr>
            <w:tcW w:w="7796" w:type="dxa"/>
            <w:vAlign w:val="center"/>
          </w:tcPr>
          <w:p w14:paraId="62030D37" w14:textId="2510F12B" w:rsidR="00710F32" w:rsidRPr="00EF250F" w:rsidRDefault="00710F32" w:rsidP="007A591A">
            <w:pPr>
              <w:rPr>
                <w:rFonts w:ascii="Arial Narrow" w:hAnsi="Arial Narrow"/>
                <w:b/>
                <w:sz w:val="20"/>
                <w:szCs w:val="20"/>
              </w:rPr>
            </w:pPr>
            <w:r w:rsidRPr="00EF250F">
              <w:rPr>
                <w:rFonts w:ascii="Arial Narrow" w:hAnsi="Arial Narrow"/>
                <w:b/>
                <w:sz w:val="20"/>
                <w:szCs w:val="20"/>
              </w:rPr>
              <w:t>AND</w:t>
            </w:r>
          </w:p>
        </w:tc>
      </w:tr>
      <w:tr w:rsidR="00136962" w:rsidRPr="007C24A8" w14:paraId="799DF2EC" w14:textId="77777777" w:rsidTr="00EF250F">
        <w:tc>
          <w:tcPr>
            <w:tcW w:w="1271" w:type="dxa"/>
          </w:tcPr>
          <w:p w14:paraId="45EBA03F" w14:textId="512F2FDC" w:rsidR="00136962" w:rsidRPr="00EF250F" w:rsidRDefault="00136962" w:rsidP="007A591A">
            <w:pPr>
              <w:jc w:val="center"/>
              <w:rPr>
                <w:rFonts w:ascii="Arial Narrow" w:hAnsi="Arial Narrow"/>
                <w:sz w:val="20"/>
                <w:szCs w:val="20"/>
              </w:rPr>
            </w:pPr>
          </w:p>
        </w:tc>
        <w:tc>
          <w:tcPr>
            <w:tcW w:w="7796" w:type="dxa"/>
            <w:vAlign w:val="center"/>
          </w:tcPr>
          <w:p w14:paraId="7B6F585D" w14:textId="5C3A7210" w:rsidR="00136962" w:rsidRPr="00EF250F" w:rsidRDefault="00136962" w:rsidP="007A591A">
            <w:pPr>
              <w:rPr>
                <w:rFonts w:ascii="Arial Narrow" w:hAnsi="Arial Narrow"/>
                <w:b/>
                <w:sz w:val="20"/>
                <w:szCs w:val="20"/>
              </w:rPr>
            </w:pPr>
            <w:r w:rsidRPr="00EF250F">
              <w:rPr>
                <w:rFonts w:ascii="Arial Narrow" w:hAnsi="Arial Narrow"/>
                <w:b/>
                <w:sz w:val="20"/>
                <w:szCs w:val="20"/>
              </w:rPr>
              <w:t>Clinical criteria:</w:t>
            </w:r>
          </w:p>
        </w:tc>
      </w:tr>
      <w:tr w:rsidR="00136962" w:rsidRPr="007C24A8" w14:paraId="106499B9" w14:textId="77777777" w:rsidTr="00EF250F">
        <w:tc>
          <w:tcPr>
            <w:tcW w:w="1271" w:type="dxa"/>
          </w:tcPr>
          <w:p w14:paraId="3D23E65E" w14:textId="7B24B7A0" w:rsidR="00136962" w:rsidRPr="00EF250F" w:rsidRDefault="00136962" w:rsidP="007A591A">
            <w:pPr>
              <w:jc w:val="center"/>
              <w:rPr>
                <w:rFonts w:ascii="Arial Narrow" w:hAnsi="Arial Narrow"/>
                <w:sz w:val="20"/>
                <w:szCs w:val="20"/>
              </w:rPr>
            </w:pPr>
          </w:p>
        </w:tc>
        <w:tc>
          <w:tcPr>
            <w:tcW w:w="7796" w:type="dxa"/>
            <w:vAlign w:val="center"/>
          </w:tcPr>
          <w:p w14:paraId="25498449" w14:textId="38CDFBDD" w:rsidR="00136962" w:rsidRPr="00EF250F" w:rsidRDefault="00136962" w:rsidP="007A591A">
            <w:pPr>
              <w:rPr>
                <w:rFonts w:ascii="Arial Narrow" w:hAnsi="Arial Narrow"/>
                <w:sz w:val="20"/>
                <w:szCs w:val="20"/>
              </w:rPr>
            </w:pPr>
            <w:r w:rsidRPr="00EF250F">
              <w:rPr>
                <w:rFonts w:ascii="Arial Narrow" w:hAnsi="Arial Narrow"/>
                <w:sz w:val="20"/>
                <w:szCs w:val="20"/>
              </w:rPr>
              <w:t>Patient must not have experienced</w:t>
            </w:r>
            <w:r w:rsidRPr="00EF250F">
              <w:rPr>
                <w:sz w:val="20"/>
                <w:szCs w:val="20"/>
              </w:rPr>
              <w:t xml:space="preserve"> </w:t>
            </w:r>
            <w:r w:rsidRPr="00EF250F">
              <w:rPr>
                <w:rFonts w:ascii="Arial Narrow" w:hAnsi="Arial Narrow"/>
                <w:sz w:val="20"/>
                <w:szCs w:val="20"/>
              </w:rPr>
              <w:t>respiratory failure,</w:t>
            </w:r>
          </w:p>
        </w:tc>
      </w:tr>
      <w:tr w:rsidR="00710F32" w:rsidRPr="007C24A8" w14:paraId="670BBF80" w14:textId="77777777" w:rsidTr="00EF250F">
        <w:tc>
          <w:tcPr>
            <w:tcW w:w="1271" w:type="dxa"/>
            <w:vAlign w:val="center"/>
          </w:tcPr>
          <w:p w14:paraId="20563F2D" w14:textId="77777777" w:rsidR="00710F32" w:rsidRPr="00EF250F" w:rsidRDefault="00710F32" w:rsidP="007A591A">
            <w:pPr>
              <w:jc w:val="center"/>
              <w:rPr>
                <w:rFonts w:ascii="Arial Narrow" w:hAnsi="Arial Narrow"/>
                <w:sz w:val="20"/>
                <w:szCs w:val="20"/>
              </w:rPr>
            </w:pPr>
          </w:p>
        </w:tc>
        <w:tc>
          <w:tcPr>
            <w:tcW w:w="7796" w:type="dxa"/>
            <w:vAlign w:val="center"/>
          </w:tcPr>
          <w:p w14:paraId="27C260E3" w14:textId="797EE05E" w:rsidR="00710F32" w:rsidRPr="00EF250F" w:rsidRDefault="00710F32" w:rsidP="007A591A">
            <w:pPr>
              <w:rPr>
                <w:rFonts w:ascii="Arial Narrow" w:hAnsi="Arial Narrow"/>
                <w:b/>
                <w:sz w:val="20"/>
                <w:szCs w:val="20"/>
              </w:rPr>
            </w:pPr>
            <w:r w:rsidRPr="00EF250F">
              <w:rPr>
                <w:rFonts w:ascii="Arial Narrow" w:hAnsi="Arial Narrow"/>
                <w:b/>
                <w:sz w:val="20"/>
                <w:szCs w:val="20"/>
              </w:rPr>
              <w:t>AND</w:t>
            </w:r>
          </w:p>
        </w:tc>
      </w:tr>
      <w:tr w:rsidR="00136962" w:rsidRPr="007C24A8" w14:paraId="5748788F" w14:textId="77777777" w:rsidTr="00EF250F">
        <w:tc>
          <w:tcPr>
            <w:tcW w:w="1271" w:type="dxa"/>
          </w:tcPr>
          <w:p w14:paraId="52547815" w14:textId="5F4802D9" w:rsidR="00136962" w:rsidRPr="00EF250F" w:rsidRDefault="00136962" w:rsidP="007A591A">
            <w:pPr>
              <w:jc w:val="center"/>
              <w:rPr>
                <w:rFonts w:ascii="Arial Narrow" w:hAnsi="Arial Narrow"/>
                <w:sz w:val="20"/>
                <w:szCs w:val="20"/>
              </w:rPr>
            </w:pPr>
          </w:p>
        </w:tc>
        <w:tc>
          <w:tcPr>
            <w:tcW w:w="7796" w:type="dxa"/>
            <w:vAlign w:val="center"/>
          </w:tcPr>
          <w:p w14:paraId="0D8F8E08" w14:textId="7A9E4CAC" w:rsidR="00136962" w:rsidRPr="00EF250F" w:rsidRDefault="00136962" w:rsidP="007A591A">
            <w:pPr>
              <w:rPr>
                <w:rFonts w:ascii="Arial Narrow" w:hAnsi="Arial Narrow"/>
                <w:b/>
                <w:sz w:val="20"/>
                <w:szCs w:val="20"/>
              </w:rPr>
            </w:pPr>
            <w:r w:rsidRPr="00EF250F">
              <w:rPr>
                <w:rFonts w:ascii="Arial Narrow" w:hAnsi="Arial Narrow"/>
                <w:b/>
                <w:sz w:val="20"/>
                <w:szCs w:val="20"/>
              </w:rPr>
              <w:t>Clinical criteria:</w:t>
            </w:r>
          </w:p>
        </w:tc>
      </w:tr>
      <w:tr w:rsidR="00136962" w:rsidRPr="007C24A8" w14:paraId="06B27072" w14:textId="77777777" w:rsidTr="00EF250F">
        <w:tc>
          <w:tcPr>
            <w:tcW w:w="1271" w:type="dxa"/>
          </w:tcPr>
          <w:p w14:paraId="08AA9002" w14:textId="07A3B93A" w:rsidR="00136962" w:rsidRPr="00EF250F" w:rsidRDefault="00136962" w:rsidP="007A591A">
            <w:pPr>
              <w:jc w:val="center"/>
              <w:rPr>
                <w:rFonts w:ascii="Arial Narrow" w:hAnsi="Arial Narrow"/>
                <w:sz w:val="20"/>
                <w:szCs w:val="20"/>
              </w:rPr>
            </w:pPr>
          </w:p>
        </w:tc>
        <w:tc>
          <w:tcPr>
            <w:tcW w:w="7796" w:type="dxa"/>
            <w:vAlign w:val="center"/>
          </w:tcPr>
          <w:p w14:paraId="12634DF5" w14:textId="6C02F4A7" w:rsidR="00136962" w:rsidRPr="00EF250F" w:rsidRDefault="00136962" w:rsidP="007A591A">
            <w:pPr>
              <w:rPr>
                <w:rFonts w:ascii="Arial Narrow" w:hAnsi="Arial Narrow"/>
                <w:sz w:val="20"/>
                <w:szCs w:val="20"/>
              </w:rPr>
            </w:pPr>
            <w:r w:rsidRPr="00EF250F">
              <w:rPr>
                <w:rFonts w:ascii="Arial Narrow" w:hAnsi="Arial Narrow"/>
                <w:sz w:val="20"/>
                <w:szCs w:val="20"/>
              </w:rPr>
              <w:t>Patient must not be receiving palliative care,</w:t>
            </w:r>
          </w:p>
        </w:tc>
      </w:tr>
      <w:tr w:rsidR="00710F32" w:rsidRPr="007C24A8" w14:paraId="6AF0CD46" w14:textId="77777777" w:rsidTr="00EF250F">
        <w:tc>
          <w:tcPr>
            <w:tcW w:w="1271" w:type="dxa"/>
            <w:vAlign w:val="center"/>
          </w:tcPr>
          <w:p w14:paraId="5375EFE6" w14:textId="77777777" w:rsidR="00710F32" w:rsidRPr="00EF250F" w:rsidRDefault="00710F32" w:rsidP="007A591A">
            <w:pPr>
              <w:jc w:val="center"/>
              <w:rPr>
                <w:rFonts w:ascii="Arial Narrow" w:hAnsi="Arial Narrow"/>
                <w:sz w:val="20"/>
                <w:szCs w:val="20"/>
              </w:rPr>
            </w:pPr>
          </w:p>
        </w:tc>
        <w:tc>
          <w:tcPr>
            <w:tcW w:w="7796" w:type="dxa"/>
            <w:vAlign w:val="center"/>
          </w:tcPr>
          <w:p w14:paraId="6E81218B" w14:textId="6DADC797" w:rsidR="00710F32" w:rsidRPr="00EF250F" w:rsidRDefault="00710F32" w:rsidP="007A591A">
            <w:pPr>
              <w:rPr>
                <w:rFonts w:ascii="Arial Narrow" w:hAnsi="Arial Narrow"/>
                <w:b/>
                <w:sz w:val="20"/>
                <w:szCs w:val="20"/>
              </w:rPr>
            </w:pPr>
            <w:r w:rsidRPr="00EF250F">
              <w:rPr>
                <w:rFonts w:ascii="Arial Narrow" w:hAnsi="Arial Narrow"/>
                <w:b/>
                <w:sz w:val="20"/>
                <w:szCs w:val="20"/>
              </w:rPr>
              <w:t>AND</w:t>
            </w:r>
          </w:p>
        </w:tc>
      </w:tr>
      <w:tr w:rsidR="006C2A45" w:rsidRPr="007C24A8" w14:paraId="5E15D583" w14:textId="77777777" w:rsidTr="00EF250F">
        <w:tc>
          <w:tcPr>
            <w:tcW w:w="1271" w:type="dxa"/>
          </w:tcPr>
          <w:p w14:paraId="3008849E" w14:textId="37E17A2C" w:rsidR="006C2A45" w:rsidRPr="00EF250F" w:rsidRDefault="006C2A45" w:rsidP="007A591A">
            <w:pPr>
              <w:jc w:val="center"/>
              <w:rPr>
                <w:rFonts w:ascii="Arial Narrow" w:hAnsi="Arial Narrow"/>
                <w:sz w:val="20"/>
                <w:szCs w:val="20"/>
              </w:rPr>
            </w:pPr>
          </w:p>
        </w:tc>
        <w:tc>
          <w:tcPr>
            <w:tcW w:w="7796" w:type="dxa"/>
            <w:vAlign w:val="center"/>
          </w:tcPr>
          <w:p w14:paraId="51D47192" w14:textId="4A47B492" w:rsidR="006C2A45" w:rsidRPr="00EF250F" w:rsidRDefault="006C2A45" w:rsidP="007A591A">
            <w:pPr>
              <w:rPr>
                <w:rFonts w:ascii="Arial Narrow" w:hAnsi="Arial Narrow"/>
                <w:b/>
                <w:sz w:val="20"/>
                <w:szCs w:val="20"/>
              </w:rPr>
            </w:pPr>
            <w:r w:rsidRPr="00EF250F">
              <w:rPr>
                <w:rFonts w:ascii="Arial Narrow" w:hAnsi="Arial Narrow"/>
                <w:b/>
                <w:sz w:val="20"/>
                <w:szCs w:val="20"/>
              </w:rPr>
              <w:t>Clinical criteria:</w:t>
            </w:r>
          </w:p>
        </w:tc>
      </w:tr>
      <w:tr w:rsidR="006C2A45" w:rsidRPr="007C24A8" w14:paraId="58661C61" w14:textId="77777777" w:rsidTr="00EF250F">
        <w:tc>
          <w:tcPr>
            <w:tcW w:w="1271" w:type="dxa"/>
          </w:tcPr>
          <w:p w14:paraId="0722718E" w14:textId="446CF317" w:rsidR="006C2A45" w:rsidRPr="00EF250F" w:rsidRDefault="006C2A45" w:rsidP="007A591A">
            <w:pPr>
              <w:jc w:val="center"/>
              <w:rPr>
                <w:rFonts w:ascii="Arial Narrow" w:hAnsi="Arial Narrow"/>
                <w:sz w:val="20"/>
                <w:szCs w:val="20"/>
              </w:rPr>
            </w:pPr>
          </w:p>
        </w:tc>
        <w:tc>
          <w:tcPr>
            <w:tcW w:w="7796" w:type="dxa"/>
            <w:vAlign w:val="center"/>
          </w:tcPr>
          <w:p w14:paraId="4F6B09DC" w14:textId="5102C900" w:rsidR="006C2A45" w:rsidRPr="00EF250F" w:rsidRDefault="006C2A45" w:rsidP="007A591A">
            <w:pPr>
              <w:rPr>
                <w:rFonts w:ascii="Arial Narrow" w:hAnsi="Arial Narrow"/>
                <w:sz w:val="20"/>
                <w:szCs w:val="20"/>
              </w:rPr>
            </w:pPr>
            <w:r w:rsidRPr="00EF250F">
              <w:rPr>
                <w:rFonts w:ascii="Arial Narrow" w:hAnsi="Arial Narrow"/>
                <w:sz w:val="20"/>
                <w:szCs w:val="20"/>
              </w:rPr>
              <w:t>The treatment must be given concomitantly with best supportive care (including riluzole where appropriate) for this condition,</w:t>
            </w:r>
          </w:p>
        </w:tc>
      </w:tr>
      <w:tr w:rsidR="00710F32" w:rsidRPr="007C24A8" w14:paraId="45B4394F" w14:textId="77777777" w:rsidTr="00EF250F">
        <w:tc>
          <w:tcPr>
            <w:tcW w:w="1271" w:type="dxa"/>
            <w:vAlign w:val="center"/>
          </w:tcPr>
          <w:p w14:paraId="02CAD052" w14:textId="77777777" w:rsidR="00710F32" w:rsidRPr="00EF250F" w:rsidRDefault="00710F32" w:rsidP="007A591A">
            <w:pPr>
              <w:jc w:val="center"/>
              <w:rPr>
                <w:rFonts w:ascii="Arial Narrow" w:hAnsi="Arial Narrow"/>
                <w:sz w:val="20"/>
                <w:szCs w:val="20"/>
              </w:rPr>
            </w:pPr>
          </w:p>
        </w:tc>
        <w:tc>
          <w:tcPr>
            <w:tcW w:w="7796" w:type="dxa"/>
            <w:vAlign w:val="center"/>
          </w:tcPr>
          <w:p w14:paraId="39A68E77" w14:textId="0DF7493E" w:rsidR="00710F32" w:rsidRPr="00EF250F" w:rsidRDefault="00710F32" w:rsidP="007A591A">
            <w:pPr>
              <w:rPr>
                <w:rFonts w:ascii="Arial Narrow" w:hAnsi="Arial Narrow"/>
                <w:b/>
                <w:sz w:val="20"/>
                <w:szCs w:val="20"/>
              </w:rPr>
            </w:pPr>
            <w:r w:rsidRPr="00EF250F">
              <w:rPr>
                <w:rFonts w:ascii="Arial Narrow" w:hAnsi="Arial Narrow"/>
                <w:b/>
                <w:sz w:val="20"/>
                <w:szCs w:val="20"/>
              </w:rPr>
              <w:t>AND</w:t>
            </w:r>
          </w:p>
        </w:tc>
      </w:tr>
      <w:tr w:rsidR="006C2A45" w:rsidRPr="007C24A8" w14:paraId="3BB3F774" w14:textId="77777777" w:rsidTr="00EF250F">
        <w:tc>
          <w:tcPr>
            <w:tcW w:w="1271" w:type="dxa"/>
          </w:tcPr>
          <w:p w14:paraId="25F04364" w14:textId="167AAB02" w:rsidR="006C2A45" w:rsidRPr="00EF250F" w:rsidRDefault="006C2A45" w:rsidP="007A591A">
            <w:pPr>
              <w:jc w:val="center"/>
              <w:rPr>
                <w:rFonts w:ascii="Arial Narrow" w:hAnsi="Arial Narrow"/>
                <w:sz w:val="20"/>
                <w:szCs w:val="20"/>
              </w:rPr>
            </w:pPr>
          </w:p>
        </w:tc>
        <w:tc>
          <w:tcPr>
            <w:tcW w:w="7796" w:type="dxa"/>
            <w:vAlign w:val="center"/>
          </w:tcPr>
          <w:p w14:paraId="0D561D70" w14:textId="71816363" w:rsidR="006C2A45" w:rsidRPr="00EF250F" w:rsidRDefault="006C2A45" w:rsidP="007A591A">
            <w:pPr>
              <w:rPr>
                <w:rFonts w:ascii="Arial Narrow" w:hAnsi="Arial Narrow"/>
                <w:b/>
                <w:sz w:val="20"/>
                <w:szCs w:val="20"/>
              </w:rPr>
            </w:pPr>
            <w:r w:rsidRPr="00EF250F">
              <w:rPr>
                <w:rFonts w:ascii="Arial Narrow" w:hAnsi="Arial Narrow"/>
                <w:b/>
                <w:sz w:val="20"/>
                <w:szCs w:val="20"/>
              </w:rPr>
              <w:t>Clinical criteria:</w:t>
            </w:r>
          </w:p>
        </w:tc>
      </w:tr>
      <w:tr w:rsidR="006C2A45" w:rsidRPr="007C24A8" w14:paraId="2782E0BD" w14:textId="77777777" w:rsidTr="00EF250F">
        <w:tc>
          <w:tcPr>
            <w:tcW w:w="1271" w:type="dxa"/>
          </w:tcPr>
          <w:p w14:paraId="3F6E2F1B" w14:textId="263F5A93" w:rsidR="006C2A45" w:rsidRPr="00EF250F" w:rsidRDefault="006C2A45" w:rsidP="007A591A">
            <w:pPr>
              <w:jc w:val="center"/>
              <w:rPr>
                <w:rFonts w:ascii="Arial Narrow" w:hAnsi="Arial Narrow"/>
                <w:sz w:val="20"/>
                <w:szCs w:val="20"/>
              </w:rPr>
            </w:pPr>
          </w:p>
        </w:tc>
        <w:tc>
          <w:tcPr>
            <w:tcW w:w="7796" w:type="dxa"/>
            <w:vAlign w:val="center"/>
          </w:tcPr>
          <w:p w14:paraId="0111EB77" w14:textId="4DF2F18B" w:rsidR="006C2A45" w:rsidRPr="00EF250F" w:rsidRDefault="006C2A45" w:rsidP="007A591A">
            <w:pPr>
              <w:rPr>
                <w:rFonts w:ascii="Arial Narrow" w:hAnsi="Arial Narrow"/>
                <w:sz w:val="20"/>
                <w:szCs w:val="20"/>
              </w:rPr>
            </w:pPr>
            <w:r w:rsidRPr="00EF250F">
              <w:rPr>
                <w:rFonts w:ascii="Arial Narrow" w:hAnsi="Arial Narrow"/>
                <w:sz w:val="20"/>
                <w:szCs w:val="20"/>
              </w:rPr>
              <w:t>Patient must not be receiving concomitant treatment with edaravone for this condition.</w:t>
            </w:r>
          </w:p>
        </w:tc>
      </w:tr>
      <w:tr w:rsidR="00710F32" w:rsidRPr="007C24A8" w14:paraId="1C6E2C08" w14:textId="77777777" w:rsidTr="00EF250F">
        <w:tc>
          <w:tcPr>
            <w:tcW w:w="1271" w:type="dxa"/>
            <w:vAlign w:val="center"/>
          </w:tcPr>
          <w:p w14:paraId="12ACFB49" w14:textId="77777777" w:rsidR="00710F32" w:rsidRPr="00EF250F" w:rsidRDefault="00710F32" w:rsidP="007A591A">
            <w:pPr>
              <w:jc w:val="center"/>
              <w:rPr>
                <w:rFonts w:ascii="Arial Narrow" w:hAnsi="Arial Narrow"/>
                <w:sz w:val="20"/>
                <w:szCs w:val="20"/>
              </w:rPr>
            </w:pPr>
          </w:p>
        </w:tc>
        <w:tc>
          <w:tcPr>
            <w:tcW w:w="7796" w:type="dxa"/>
            <w:vAlign w:val="center"/>
          </w:tcPr>
          <w:p w14:paraId="1130E92D" w14:textId="74D37C42" w:rsidR="00710F32" w:rsidRPr="00EF250F" w:rsidRDefault="00710F32" w:rsidP="007A591A">
            <w:pPr>
              <w:rPr>
                <w:rFonts w:ascii="Arial Narrow" w:hAnsi="Arial Narrow"/>
                <w:b/>
                <w:sz w:val="20"/>
                <w:szCs w:val="20"/>
              </w:rPr>
            </w:pPr>
            <w:r w:rsidRPr="00EF250F">
              <w:rPr>
                <w:rFonts w:ascii="Arial Narrow" w:hAnsi="Arial Narrow"/>
                <w:b/>
                <w:sz w:val="20"/>
                <w:szCs w:val="20"/>
              </w:rPr>
              <w:t>AND</w:t>
            </w:r>
          </w:p>
        </w:tc>
      </w:tr>
      <w:tr w:rsidR="006C2A45" w:rsidRPr="007C24A8" w14:paraId="64A9C0C0" w14:textId="77777777" w:rsidTr="00EF250F">
        <w:tc>
          <w:tcPr>
            <w:tcW w:w="1271" w:type="dxa"/>
          </w:tcPr>
          <w:p w14:paraId="277335C8" w14:textId="0475F918" w:rsidR="006C2A45" w:rsidRPr="00EF250F" w:rsidRDefault="006C2A45" w:rsidP="007A591A">
            <w:pPr>
              <w:jc w:val="center"/>
              <w:rPr>
                <w:rFonts w:ascii="Arial Narrow" w:hAnsi="Arial Narrow"/>
                <w:sz w:val="20"/>
                <w:szCs w:val="20"/>
              </w:rPr>
            </w:pPr>
          </w:p>
        </w:tc>
        <w:tc>
          <w:tcPr>
            <w:tcW w:w="7796" w:type="dxa"/>
            <w:vAlign w:val="center"/>
          </w:tcPr>
          <w:p w14:paraId="09E300FE" w14:textId="33FDF645" w:rsidR="006C2A45" w:rsidRPr="00EF250F" w:rsidRDefault="006C2A45" w:rsidP="007A591A">
            <w:pPr>
              <w:rPr>
                <w:rFonts w:ascii="Arial Narrow" w:hAnsi="Arial Narrow"/>
                <w:b/>
                <w:sz w:val="20"/>
                <w:szCs w:val="20"/>
              </w:rPr>
            </w:pPr>
            <w:r w:rsidRPr="00EF250F">
              <w:rPr>
                <w:rFonts w:ascii="Arial Narrow" w:hAnsi="Arial Narrow"/>
                <w:b/>
                <w:sz w:val="20"/>
                <w:szCs w:val="20"/>
              </w:rPr>
              <w:t>Treatment criteria:</w:t>
            </w:r>
          </w:p>
        </w:tc>
      </w:tr>
      <w:tr w:rsidR="006C2A45" w:rsidRPr="007C24A8" w14:paraId="5F5C2CF7" w14:textId="77777777" w:rsidTr="00EF250F">
        <w:trPr>
          <w:trHeight w:val="35"/>
        </w:trPr>
        <w:tc>
          <w:tcPr>
            <w:tcW w:w="1271" w:type="dxa"/>
          </w:tcPr>
          <w:p w14:paraId="1B81363D" w14:textId="7C5594DC" w:rsidR="006C2A45" w:rsidRPr="00EF250F" w:rsidRDefault="006C2A45" w:rsidP="007A591A">
            <w:pPr>
              <w:jc w:val="center"/>
              <w:rPr>
                <w:rFonts w:ascii="Arial Narrow" w:hAnsi="Arial Narrow"/>
                <w:sz w:val="20"/>
                <w:szCs w:val="20"/>
              </w:rPr>
            </w:pPr>
          </w:p>
        </w:tc>
        <w:tc>
          <w:tcPr>
            <w:tcW w:w="7796" w:type="dxa"/>
            <w:vAlign w:val="center"/>
            <w:hideMark/>
          </w:tcPr>
          <w:p w14:paraId="724BC1F1" w14:textId="6EB48AD3" w:rsidR="006C2A45" w:rsidRPr="00EF250F" w:rsidRDefault="006C2A45" w:rsidP="007A591A">
            <w:pPr>
              <w:contextualSpacing/>
              <w:rPr>
                <w:rFonts w:ascii="Arial Narrow" w:hAnsi="Arial Narrow"/>
                <w:sz w:val="20"/>
                <w:szCs w:val="20"/>
              </w:rPr>
            </w:pPr>
            <w:r w:rsidRPr="00EF250F">
              <w:rPr>
                <w:rFonts w:ascii="Arial Narrow" w:hAnsi="Arial Narrow"/>
                <w:sz w:val="20"/>
                <w:szCs w:val="20"/>
              </w:rPr>
              <w:t xml:space="preserve">Must be treated by a specialist with expertise in the diagnosis and management of amyotrophic lateral sclerosis, </w:t>
            </w:r>
            <w:r w:rsidRPr="00D7339D">
              <w:rPr>
                <w:rFonts w:ascii="Arial Narrow" w:hAnsi="Arial Narrow"/>
                <w:b/>
                <w:sz w:val="20"/>
                <w:szCs w:val="20"/>
              </w:rPr>
              <w:t>OR</w:t>
            </w:r>
          </w:p>
        </w:tc>
      </w:tr>
      <w:tr w:rsidR="00465DE0" w:rsidRPr="007C24A8" w14:paraId="4960EE1A" w14:textId="77777777" w:rsidTr="00EF250F">
        <w:tc>
          <w:tcPr>
            <w:tcW w:w="1271" w:type="dxa"/>
            <w:vAlign w:val="center"/>
          </w:tcPr>
          <w:p w14:paraId="6E35E7A7" w14:textId="3FF2D5E4" w:rsidR="00465DE0" w:rsidRPr="00EF250F" w:rsidRDefault="00465DE0" w:rsidP="007A591A">
            <w:pPr>
              <w:jc w:val="center"/>
              <w:rPr>
                <w:rFonts w:ascii="Arial Narrow" w:hAnsi="Arial Narrow"/>
                <w:sz w:val="20"/>
                <w:szCs w:val="20"/>
              </w:rPr>
            </w:pPr>
          </w:p>
        </w:tc>
        <w:tc>
          <w:tcPr>
            <w:tcW w:w="7796" w:type="dxa"/>
            <w:vAlign w:val="center"/>
          </w:tcPr>
          <w:p w14:paraId="2504EF66" w14:textId="1C700110" w:rsidR="00465DE0" w:rsidRPr="00EF250F" w:rsidRDefault="00710F32" w:rsidP="007A591A">
            <w:pPr>
              <w:rPr>
                <w:rFonts w:ascii="Arial Narrow" w:hAnsi="Arial Narrow"/>
                <w:sz w:val="20"/>
                <w:szCs w:val="20"/>
              </w:rPr>
            </w:pPr>
            <w:r w:rsidRPr="00376CEF">
              <w:rPr>
                <w:rFonts w:ascii="Arial Narrow" w:hAnsi="Arial Narrow"/>
                <w:sz w:val="20"/>
                <w:szCs w:val="20"/>
              </w:rPr>
              <w:t>Must be treated by a medical practitioner in consultation with a specialist with expertise in the management of patients with amyotrophic lateral sclerosis.</w:t>
            </w:r>
          </w:p>
        </w:tc>
      </w:tr>
      <w:tr w:rsidR="00465DE0" w:rsidRPr="007C24A8" w14:paraId="59A00B8C" w14:textId="77777777" w:rsidTr="00EF250F">
        <w:tc>
          <w:tcPr>
            <w:tcW w:w="1271" w:type="dxa"/>
            <w:vAlign w:val="center"/>
          </w:tcPr>
          <w:p w14:paraId="269B3151" w14:textId="77777777" w:rsidR="00465DE0" w:rsidRPr="00EF250F" w:rsidRDefault="00465DE0" w:rsidP="007A591A">
            <w:pPr>
              <w:jc w:val="center"/>
              <w:rPr>
                <w:rFonts w:ascii="Arial Narrow" w:hAnsi="Arial Narrow"/>
                <w:strike/>
                <w:sz w:val="20"/>
                <w:szCs w:val="20"/>
              </w:rPr>
            </w:pPr>
          </w:p>
        </w:tc>
        <w:tc>
          <w:tcPr>
            <w:tcW w:w="7796" w:type="dxa"/>
            <w:vAlign w:val="center"/>
          </w:tcPr>
          <w:p w14:paraId="2ABFAA0C" w14:textId="77777777" w:rsidR="00465DE0" w:rsidRPr="00EF250F" w:rsidRDefault="00465DE0" w:rsidP="007A591A">
            <w:pPr>
              <w:rPr>
                <w:rFonts w:ascii="Arial Narrow" w:hAnsi="Arial Narrow"/>
                <w:strike/>
                <w:sz w:val="20"/>
                <w:szCs w:val="20"/>
              </w:rPr>
            </w:pPr>
            <w:r w:rsidRPr="00EF250F">
              <w:rPr>
                <w:rFonts w:ascii="Arial Narrow" w:hAnsi="Arial Narrow"/>
                <w:b/>
                <w:strike/>
                <w:sz w:val="20"/>
                <w:szCs w:val="20"/>
              </w:rPr>
              <w:t>Prescribing Instructions:</w:t>
            </w:r>
            <w:r w:rsidRPr="00EF250F">
              <w:rPr>
                <w:rFonts w:ascii="Arial Narrow" w:hAnsi="Arial Narrow"/>
                <w:strike/>
                <w:sz w:val="20"/>
                <w:szCs w:val="20"/>
              </w:rPr>
              <w:t xml:space="preserve"> </w:t>
            </w:r>
          </w:p>
          <w:p w14:paraId="15EB5BFD" w14:textId="5B933C5C" w:rsidR="00465DE0" w:rsidRPr="00EF250F" w:rsidRDefault="00465DE0" w:rsidP="007A591A">
            <w:pPr>
              <w:rPr>
                <w:rFonts w:ascii="Arial Narrow" w:hAnsi="Arial Narrow"/>
                <w:strike/>
                <w:sz w:val="20"/>
                <w:szCs w:val="20"/>
              </w:rPr>
            </w:pPr>
            <w:r w:rsidRPr="00EF250F">
              <w:rPr>
                <w:rFonts w:ascii="Arial Narrow" w:hAnsi="Arial Narrow"/>
                <w:strike/>
                <w:sz w:val="20"/>
                <w:szCs w:val="20"/>
              </w:rPr>
              <w:t>For patients who previously received PBS</w:t>
            </w:r>
            <w:r w:rsidR="007A591A">
              <w:rPr>
                <w:rFonts w:ascii="Arial Narrow" w:hAnsi="Arial Narrow"/>
                <w:strike/>
                <w:sz w:val="20"/>
                <w:szCs w:val="20"/>
              </w:rPr>
              <w:noBreakHyphen/>
            </w:r>
            <w:r w:rsidRPr="00EF250F">
              <w:rPr>
                <w:rFonts w:ascii="Arial Narrow" w:hAnsi="Arial Narrow"/>
                <w:strike/>
                <w:sz w:val="20"/>
                <w:szCs w:val="20"/>
              </w:rPr>
              <w:t>subsidised treatment under the first continuation phase, the Amyotrophic Lateral Sclerosis Functional Rating Scale – Revised (ALSFRS</w:t>
            </w:r>
            <w:r w:rsidR="007A591A">
              <w:rPr>
                <w:rFonts w:ascii="Arial Narrow" w:hAnsi="Arial Narrow"/>
                <w:strike/>
                <w:sz w:val="20"/>
                <w:szCs w:val="20"/>
              </w:rPr>
              <w:noBreakHyphen/>
            </w:r>
            <w:r w:rsidRPr="00EF250F">
              <w:rPr>
                <w:rFonts w:ascii="Arial Narrow" w:hAnsi="Arial Narrow"/>
                <w:strike/>
                <w:sz w:val="20"/>
                <w:szCs w:val="20"/>
              </w:rPr>
              <w:t>R) score at 12 months must be documented in the patient’s medical record. This requirement does not apply to patients transitioning from the sponsor’s early access program.</w:t>
            </w:r>
          </w:p>
          <w:p w14:paraId="0134B349" w14:textId="77777777" w:rsidR="00465DE0" w:rsidRPr="00EF250F" w:rsidRDefault="00465DE0" w:rsidP="007A591A">
            <w:pPr>
              <w:rPr>
                <w:rFonts w:ascii="Arial Narrow" w:hAnsi="Arial Narrow"/>
                <w:strike/>
                <w:sz w:val="20"/>
                <w:szCs w:val="20"/>
              </w:rPr>
            </w:pPr>
          </w:p>
          <w:p w14:paraId="5DCE97BD" w14:textId="23D81215" w:rsidR="00465DE0" w:rsidRPr="00EF250F" w:rsidRDefault="00465DE0" w:rsidP="007A591A">
            <w:pPr>
              <w:rPr>
                <w:rFonts w:ascii="Arial Narrow" w:hAnsi="Arial Narrow"/>
                <w:strike/>
                <w:sz w:val="20"/>
                <w:szCs w:val="20"/>
              </w:rPr>
            </w:pPr>
            <w:r w:rsidRPr="00EF250F">
              <w:rPr>
                <w:rFonts w:ascii="Arial Narrow" w:hAnsi="Arial Narrow"/>
                <w:strike/>
                <w:sz w:val="20"/>
                <w:szCs w:val="20"/>
              </w:rPr>
              <w:t>Treatment response is defined as any improvement or stabilisation (no more than 20% decline) from baseline ALSFRS</w:t>
            </w:r>
            <w:r w:rsidR="007A591A">
              <w:rPr>
                <w:rFonts w:ascii="Arial Narrow" w:hAnsi="Arial Narrow"/>
                <w:strike/>
                <w:sz w:val="20"/>
                <w:szCs w:val="20"/>
              </w:rPr>
              <w:noBreakHyphen/>
            </w:r>
            <w:r w:rsidRPr="00EF250F">
              <w:rPr>
                <w:rFonts w:ascii="Arial Narrow" w:hAnsi="Arial Narrow"/>
                <w:strike/>
                <w:sz w:val="20"/>
                <w:szCs w:val="20"/>
              </w:rPr>
              <w:t>R at 12 months.</w:t>
            </w:r>
            <w:r w:rsidRPr="00EF250F">
              <w:rPr>
                <w:rFonts w:ascii="Segoe UI" w:hAnsi="Segoe UI" w:cs="Segoe UI"/>
                <w:strike/>
                <w:sz w:val="20"/>
                <w:szCs w:val="20"/>
              </w:rPr>
              <w:t xml:space="preserve"> </w:t>
            </w:r>
            <w:r w:rsidRPr="00EF250F">
              <w:rPr>
                <w:rFonts w:ascii="Arial Narrow" w:hAnsi="Arial Narrow"/>
                <w:strike/>
                <w:sz w:val="20"/>
                <w:szCs w:val="20"/>
              </w:rPr>
              <w:t>If a patient does not meet the continuation criteria at 12 months, a confirmation period of up to three months allows re</w:t>
            </w:r>
            <w:r w:rsidR="007A591A">
              <w:rPr>
                <w:rFonts w:ascii="Arial Narrow" w:hAnsi="Arial Narrow"/>
                <w:strike/>
                <w:sz w:val="20"/>
                <w:szCs w:val="20"/>
              </w:rPr>
              <w:noBreakHyphen/>
            </w:r>
            <w:r w:rsidRPr="00EF250F">
              <w:rPr>
                <w:rFonts w:ascii="Arial Narrow" w:hAnsi="Arial Narrow"/>
                <w:strike/>
                <w:sz w:val="20"/>
                <w:szCs w:val="20"/>
              </w:rPr>
              <w:t>measurement before discontinuation to verify non</w:t>
            </w:r>
            <w:r w:rsidR="007A591A">
              <w:rPr>
                <w:rFonts w:ascii="Arial Narrow" w:hAnsi="Arial Narrow"/>
                <w:strike/>
                <w:sz w:val="20"/>
                <w:szCs w:val="20"/>
              </w:rPr>
              <w:noBreakHyphen/>
            </w:r>
            <w:r w:rsidRPr="00EF250F">
              <w:rPr>
                <w:rFonts w:ascii="Arial Narrow" w:hAnsi="Arial Narrow"/>
                <w:strike/>
                <w:sz w:val="20"/>
                <w:szCs w:val="20"/>
              </w:rPr>
              <w:t>response.</w:t>
            </w:r>
          </w:p>
        </w:tc>
      </w:tr>
      <w:tr w:rsidR="00161B9D" w:rsidRPr="007C24A8" w14:paraId="3F78E3BC" w14:textId="77777777" w:rsidTr="00A43EFA">
        <w:tc>
          <w:tcPr>
            <w:tcW w:w="1271" w:type="dxa"/>
            <w:vAlign w:val="center"/>
          </w:tcPr>
          <w:p w14:paraId="4B7B5012" w14:textId="22DC30F2" w:rsidR="00161B9D" w:rsidRPr="008425AE" w:rsidRDefault="00161B9D" w:rsidP="007A591A">
            <w:pPr>
              <w:jc w:val="center"/>
              <w:rPr>
                <w:rFonts w:ascii="Arial Narrow" w:hAnsi="Arial Narrow"/>
                <w:sz w:val="20"/>
                <w:szCs w:val="20"/>
              </w:rPr>
            </w:pPr>
          </w:p>
        </w:tc>
        <w:tc>
          <w:tcPr>
            <w:tcW w:w="7796" w:type="dxa"/>
            <w:vAlign w:val="center"/>
          </w:tcPr>
          <w:p w14:paraId="1704CF59" w14:textId="77777777" w:rsidR="00161B9D" w:rsidRPr="006E0984" w:rsidRDefault="00161B9D" w:rsidP="007A591A">
            <w:pPr>
              <w:rPr>
                <w:rFonts w:ascii="Arial Narrow" w:hAnsi="Arial Narrow"/>
                <w:b/>
                <w:i/>
                <w:sz w:val="20"/>
                <w:szCs w:val="20"/>
              </w:rPr>
            </w:pPr>
            <w:r w:rsidRPr="006E0984">
              <w:rPr>
                <w:rFonts w:ascii="Arial Narrow" w:hAnsi="Arial Narrow"/>
                <w:b/>
                <w:i/>
                <w:sz w:val="20"/>
                <w:szCs w:val="20"/>
              </w:rPr>
              <w:t xml:space="preserve">Prescribing Instructions: </w:t>
            </w:r>
          </w:p>
          <w:p w14:paraId="54BBB0C2" w14:textId="65E6E737" w:rsidR="00161B9D" w:rsidRPr="00161B9D" w:rsidRDefault="00654DBB" w:rsidP="007A591A">
            <w:pPr>
              <w:rPr>
                <w:rFonts w:ascii="Arial Narrow" w:hAnsi="Arial Narrow"/>
                <w:b/>
                <w:sz w:val="20"/>
                <w:szCs w:val="20"/>
              </w:rPr>
            </w:pPr>
            <w:r>
              <w:rPr>
                <w:rFonts w:ascii="Arial Narrow" w:hAnsi="Arial Narrow"/>
                <w:i/>
                <w:iCs/>
                <w:sz w:val="20"/>
                <w:szCs w:val="20"/>
              </w:rPr>
              <w:t>Adequate</w:t>
            </w:r>
            <w:r w:rsidR="00161B9D" w:rsidRPr="00D7339D">
              <w:rPr>
                <w:rFonts w:ascii="Arial Narrow" w:hAnsi="Arial Narrow"/>
                <w:i/>
                <w:iCs/>
                <w:sz w:val="20"/>
                <w:szCs w:val="20"/>
              </w:rPr>
              <w:t xml:space="preserve"> response </w:t>
            </w:r>
            <w:r>
              <w:rPr>
                <w:rFonts w:ascii="Arial Narrow" w:hAnsi="Arial Narrow"/>
                <w:i/>
                <w:iCs/>
                <w:sz w:val="20"/>
                <w:szCs w:val="20"/>
              </w:rPr>
              <w:t>to t</w:t>
            </w:r>
            <w:r w:rsidR="00161B9D" w:rsidRPr="00D7339D">
              <w:rPr>
                <w:rFonts w:ascii="Arial Narrow" w:hAnsi="Arial Narrow"/>
                <w:i/>
                <w:iCs/>
                <w:sz w:val="20"/>
                <w:szCs w:val="20"/>
              </w:rPr>
              <w:t xml:space="preserve">reatment is defined as any improvement or stabilisation (no more than 20% decline) from </w:t>
            </w:r>
            <w:r>
              <w:rPr>
                <w:rFonts w:ascii="Arial Narrow" w:hAnsi="Arial Narrow"/>
                <w:i/>
                <w:iCs/>
                <w:sz w:val="20"/>
                <w:szCs w:val="20"/>
              </w:rPr>
              <w:t xml:space="preserve">the </w:t>
            </w:r>
            <w:r w:rsidR="00161B9D" w:rsidRPr="00D7339D">
              <w:rPr>
                <w:rFonts w:ascii="Arial Narrow" w:hAnsi="Arial Narrow"/>
                <w:i/>
                <w:iCs/>
                <w:sz w:val="20"/>
                <w:szCs w:val="20"/>
              </w:rPr>
              <w:t>baseline score of ALSFRS</w:t>
            </w:r>
            <w:r w:rsidR="007A591A">
              <w:rPr>
                <w:rFonts w:ascii="Arial Narrow" w:hAnsi="Arial Narrow"/>
                <w:i/>
                <w:iCs/>
                <w:sz w:val="20"/>
                <w:szCs w:val="20"/>
              </w:rPr>
              <w:noBreakHyphen/>
            </w:r>
            <w:r w:rsidR="00161B9D" w:rsidRPr="00D7339D">
              <w:rPr>
                <w:rFonts w:ascii="Arial Narrow" w:hAnsi="Arial Narrow"/>
                <w:i/>
                <w:iCs/>
                <w:sz w:val="20"/>
                <w:szCs w:val="20"/>
              </w:rPr>
              <w:t>R</w:t>
            </w:r>
            <w:r>
              <w:rPr>
                <w:rFonts w:ascii="Arial Narrow" w:hAnsi="Arial Narrow"/>
                <w:sz w:val="20"/>
                <w:szCs w:val="20"/>
              </w:rPr>
              <w:t>.</w:t>
            </w:r>
            <w:r w:rsidR="007D7C92" w:rsidRPr="00D7339D">
              <w:rPr>
                <w:rFonts w:ascii="Arial Narrow" w:hAnsi="Arial Narrow"/>
                <w:sz w:val="20"/>
                <w:szCs w:val="20"/>
              </w:rPr>
              <w:t xml:space="preserve"> </w:t>
            </w:r>
          </w:p>
        </w:tc>
      </w:tr>
      <w:tr w:rsidR="00465DE0" w:rsidRPr="007C24A8" w14:paraId="64619322" w14:textId="77777777" w:rsidTr="00EF250F">
        <w:tc>
          <w:tcPr>
            <w:tcW w:w="1271" w:type="dxa"/>
            <w:vAlign w:val="center"/>
          </w:tcPr>
          <w:p w14:paraId="3D884B26" w14:textId="77777777" w:rsidR="00465DE0" w:rsidRPr="00EF250F" w:rsidRDefault="00465DE0" w:rsidP="007A591A">
            <w:pPr>
              <w:jc w:val="center"/>
              <w:rPr>
                <w:rFonts w:ascii="Arial Narrow" w:hAnsi="Arial Narrow"/>
                <w:strike/>
                <w:sz w:val="20"/>
                <w:szCs w:val="20"/>
              </w:rPr>
            </w:pPr>
          </w:p>
        </w:tc>
        <w:tc>
          <w:tcPr>
            <w:tcW w:w="7796" w:type="dxa"/>
            <w:vAlign w:val="center"/>
            <w:hideMark/>
          </w:tcPr>
          <w:p w14:paraId="30B7BAE9" w14:textId="77777777" w:rsidR="00465DE0" w:rsidRPr="00EF250F" w:rsidRDefault="00465DE0" w:rsidP="007A591A">
            <w:pPr>
              <w:rPr>
                <w:rFonts w:ascii="Arial Narrow" w:hAnsi="Arial Narrow"/>
                <w:strike/>
                <w:sz w:val="20"/>
                <w:szCs w:val="20"/>
              </w:rPr>
            </w:pPr>
            <w:r w:rsidRPr="00EF250F">
              <w:rPr>
                <w:rFonts w:ascii="Arial Narrow" w:hAnsi="Arial Narrow"/>
                <w:b/>
                <w:strike/>
                <w:sz w:val="20"/>
                <w:szCs w:val="20"/>
              </w:rPr>
              <w:t xml:space="preserve">Administrative Advice: </w:t>
            </w:r>
          </w:p>
          <w:p w14:paraId="138A48C6" w14:textId="77777777" w:rsidR="00465DE0" w:rsidRPr="00EF250F" w:rsidRDefault="00465DE0" w:rsidP="007A591A">
            <w:pPr>
              <w:rPr>
                <w:rFonts w:ascii="Arial Narrow" w:hAnsi="Arial Narrow"/>
                <w:b/>
                <w:strike/>
                <w:sz w:val="20"/>
                <w:szCs w:val="20"/>
                <w:u w:val="single"/>
              </w:rPr>
            </w:pPr>
            <w:r w:rsidRPr="00EF250F">
              <w:rPr>
                <w:rFonts w:ascii="Arial Narrow" w:hAnsi="Arial Narrow"/>
                <w:b/>
                <w:strike/>
                <w:sz w:val="20"/>
                <w:szCs w:val="20"/>
                <w:u w:val="single"/>
              </w:rPr>
              <w:t>Note</w:t>
            </w:r>
          </w:p>
          <w:p w14:paraId="3B169C63" w14:textId="77777777" w:rsidR="00465DE0" w:rsidRPr="00EF250F" w:rsidRDefault="00465DE0" w:rsidP="007A591A">
            <w:pPr>
              <w:rPr>
                <w:rFonts w:ascii="Arial Narrow" w:hAnsi="Arial Narrow"/>
                <w:strike/>
                <w:sz w:val="20"/>
                <w:szCs w:val="20"/>
              </w:rPr>
            </w:pPr>
            <w:r w:rsidRPr="00EF250F">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p w14:paraId="081876EB" w14:textId="77777777" w:rsidR="00465DE0" w:rsidRPr="00EF250F" w:rsidRDefault="00465DE0" w:rsidP="007A591A">
            <w:pPr>
              <w:rPr>
                <w:rFonts w:ascii="Arial Narrow" w:hAnsi="Arial Narrow"/>
                <w:b/>
                <w:strike/>
                <w:sz w:val="20"/>
                <w:szCs w:val="20"/>
                <w:u w:val="single"/>
              </w:rPr>
            </w:pPr>
            <w:r w:rsidRPr="00EF250F">
              <w:rPr>
                <w:rFonts w:ascii="Arial Narrow" w:hAnsi="Arial Narrow"/>
                <w:b/>
                <w:strike/>
                <w:sz w:val="20"/>
                <w:szCs w:val="20"/>
                <w:u w:val="single"/>
              </w:rPr>
              <w:t>Note</w:t>
            </w:r>
          </w:p>
          <w:p w14:paraId="2D96D97B" w14:textId="77777777" w:rsidR="00465DE0" w:rsidRPr="00EF250F" w:rsidRDefault="00465DE0" w:rsidP="007A591A">
            <w:pPr>
              <w:rPr>
                <w:rFonts w:ascii="Arial Narrow" w:hAnsi="Arial Narrow"/>
                <w:strike/>
                <w:sz w:val="20"/>
                <w:szCs w:val="20"/>
              </w:rPr>
            </w:pPr>
            <w:r w:rsidRPr="00EF250F">
              <w:rPr>
                <w:rFonts w:ascii="Arial Narrow" w:hAnsi="Arial Narrow"/>
                <w:strike/>
                <w:sz w:val="20"/>
                <w:szCs w:val="20"/>
              </w:rPr>
              <w:t>No increase in the maximum quantity or number of units may be authorised.</w:t>
            </w:r>
          </w:p>
          <w:p w14:paraId="2B7747FB" w14:textId="77777777" w:rsidR="00465DE0" w:rsidRPr="00EF250F" w:rsidRDefault="00465DE0" w:rsidP="007A591A">
            <w:pPr>
              <w:rPr>
                <w:rFonts w:ascii="Arial Narrow" w:hAnsi="Arial Narrow"/>
                <w:b/>
                <w:strike/>
                <w:sz w:val="20"/>
                <w:szCs w:val="20"/>
                <w:u w:val="single"/>
              </w:rPr>
            </w:pPr>
            <w:r w:rsidRPr="00EF250F">
              <w:rPr>
                <w:rFonts w:ascii="Arial Narrow" w:hAnsi="Arial Narrow"/>
                <w:b/>
                <w:strike/>
                <w:sz w:val="20"/>
                <w:szCs w:val="20"/>
                <w:u w:val="single"/>
              </w:rPr>
              <w:t>Note</w:t>
            </w:r>
          </w:p>
          <w:p w14:paraId="1A113CDB" w14:textId="77777777" w:rsidR="00465DE0" w:rsidRPr="00EF250F" w:rsidRDefault="00465DE0" w:rsidP="007A591A">
            <w:pPr>
              <w:rPr>
                <w:rFonts w:ascii="Arial Narrow" w:hAnsi="Arial Narrow"/>
                <w:strike/>
                <w:sz w:val="20"/>
                <w:szCs w:val="20"/>
              </w:rPr>
            </w:pPr>
            <w:r w:rsidRPr="00EF250F">
              <w:rPr>
                <w:rFonts w:ascii="Arial Narrow" w:hAnsi="Arial Narrow"/>
                <w:strike/>
                <w:sz w:val="20"/>
                <w:szCs w:val="20"/>
              </w:rPr>
              <w:t>No increase in the maximum number of repeats may be authorised.</w:t>
            </w:r>
          </w:p>
          <w:p w14:paraId="329F4721" w14:textId="77777777" w:rsidR="00465DE0" w:rsidRPr="00EF250F" w:rsidRDefault="00465DE0" w:rsidP="007A591A">
            <w:pPr>
              <w:rPr>
                <w:rFonts w:ascii="Arial Narrow" w:hAnsi="Arial Narrow"/>
                <w:b/>
                <w:strike/>
                <w:sz w:val="20"/>
                <w:szCs w:val="20"/>
                <w:u w:val="single"/>
              </w:rPr>
            </w:pPr>
            <w:r w:rsidRPr="00EF250F">
              <w:rPr>
                <w:rFonts w:ascii="Arial Narrow" w:hAnsi="Arial Narrow"/>
                <w:b/>
                <w:strike/>
                <w:sz w:val="20"/>
                <w:szCs w:val="20"/>
                <w:u w:val="single"/>
              </w:rPr>
              <w:t>Note</w:t>
            </w:r>
          </w:p>
          <w:p w14:paraId="237897BA" w14:textId="77777777" w:rsidR="00465DE0" w:rsidRPr="00EF250F" w:rsidRDefault="00465DE0" w:rsidP="007A591A">
            <w:pPr>
              <w:rPr>
                <w:rFonts w:ascii="Arial Narrow" w:hAnsi="Arial Narrow"/>
                <w:strike/>
                <w:sz w:val="20"/>
                <w:szCs w:val="20"/>
              </w:rPr>
            </w:pPr>
            <w:r w:rsidRPr="00EF250F">
              <w:rPr>
                <w:rFonts w:ascii="Arial Narrow" w:hAnsi="Arial Narrow"/>
                <w:strike/>
                <w:sz w:val="20"/>
                <w:szCs w:val="20"/>
              </w:rPr>
              <w:t>Special Pricing Arrangements apply.</w:t>
            </w:r>
          </w:p>
        </w:tc>
      </w:tr>
    </w:tbl>
    <w:p w14:paraId="549E9736" w14:textId="3CB2DB46" w:rsidR="00465DE0" w:rsidRPr="00B66376" w:rsidRDefault="00465DE0" w:rsidP="007A591A">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listing"/>
      </w:tblPr>
      <w:tblGrid>
        <w:gridCol w:w="1271"/>
        <w:gridCol w:w="2835"/>
        <w:gridCol w:w="1276"/>
        <w:gridCol w:w="850"/>
        <w:gridCol w:w="851"/>
        <w:gridCol w:w="850"/>
        <w:gridCol w:w="1134"/>
      </w:tblGrid>
      <w:tr w:rsidR="0013769E" w:rsidRPr="00F21EFC" w14:paraId="775CF5DD" w14:textId="77777777">
        <w:trPr>
          <w:trHeight w:val="50"/>
        </w:trPr>
        <w:tc>
          <w:tcPr>
            <w:tcW w:w="4106" w:type="dxa"/>
            <w:gridSpan w:val="2"/>
          </w:tcPr>
          <w:p w14:paraId="1549E5C1" w14:textId="77777777" w:rsidR="0013769E" w:rsidRPr="00560FFC" w:rsidRDefault="0013769E" w:rsidP="007A591A">
            <w:pPr>
              <w:keepNext/>
              <w:ind w:left="-57"/>
              <w:rPr>
                <w:rFonts w:ascii="Arial Narrow" w:hAnsi="Arial Narrow" w:cs="Arial"/>
                <w:b/>
                <w:i/>
                <w:iCs/>
                <w:sz w:val="20"/>
                <w:szCs w:val="20"/>
              </w:rPr>
            </w:pPr>
            <w:r w:rsidRPr="00560FFC">
              <w:rPr>
                <w:rFonts w:ascii="Arial Narrow" w:hAnsi="Arial Narrow" w:cs="Arial"/>
                <w:b/>
                <w:i/>
                <w:iCs/>
                <w:sz w:val="20"/>
                <w:szCs w:val="20"/>
              </w:rPr>
              <w:t>MEDICINAL PRODUCT</w:t>
            </w:r>
          </w:p>
          <w:p w14:paraId="4EFFC8B9" w14:textId="77777777" w:rsidR="0013769E" w:rsidRPr="00560FFC" w:rsidRDefault="0013769E" w:rsidP="007A591A">
            <w:pPr>
              <w:keepNext/>
              <w:ind w:left="-57"/>
              <w:rPr>
                <w:rFonts w:ascii="Arial Narrow" w:hAnsi="Arial Narrow" w:cs="Arial"/>
                <w:b/>
                <w:i/>
                <w:iCs/>
                <w:sz w:val="20"/>
                <w:szCs w:val="20"/>
              </w:rPr>
            </w:pPr>
            <w:r w:rsidRPr="00560FFC">
              <w:rPr>
                <w:rFonts w:ascii="Arial Narrow" w:hAnsi="Arial Narrow" w:cs="Arial"/>
                <w:b/>
                <w:i/>
                <w:iCs/>
                <w:sz w:val="20"/>
                <w:szCs w:val="20"/>
              </w:rPr>
              <w:t>medicinal product pack</w:t>
            </w:r>
          </w:p>
        </w:tc>
        <w:tc>
          <w:tcPr>
            <w:tcW w:w="1276" w:type="dxa"/>
          </w:tcPr>
          <w:p w14:paraId="45C4301B"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b/>
                <w:i/>
                <w:iCs/>
                <w:sz w:val="20"/>
                <w:szCs w:val="20"/>
              </w:rPr>
              <w:t>PBS item code</w:t>
            </w:r>
          </w:p>
        </w:tc>
        <w:tc>
          <w:tcPr>
            <w:tcW w:w="850" w:type="dxa"/>
          </w:tcPr>
          <w:p w14:paraId="12765FEA"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b/>
                <w:i/>
                <w:iCs/>
                <w:sz w:val="20"/>
                <w:szCs w:val="20"/>
              </w:rPr>
              <w:t>Max. qty packs</w:t>
            </w:r>
          </w:p>
        </w:tc>
        <w:tc>
          <w:tcPr>
            <w:tcW w:w="851" w:type="dxa"/>
          </w:tcPr>
          <w:p w14:paraId="624A6142"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b/>
                <w:i/>
                <w:iCs/>
                <w:sz w:val="20"/>
                <w:szCs w:val="20"/>
              </w:rPr>
              <w:t>Max. qty units</w:t>
            </w:r>
          </w:p>
        </w:tc>
        <w:tc>
          <w:tcPr>
            <w:tcW w:w="850" w:type="dxa"/>
          </w:tcPr>
          <w:p w14:paraId="5A82053B"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b/>
                <w:i/>
                <w:iCs/>
                <w:sz w:val="20"/>
                <w:szCs w:val="20"/>
              </w:rPr>
              <w:t>№.of</w:t>
            </w:r>
          </w:p>
          <w:p w14:paraId="490F839F"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b/>
                <w:i/>
                <w:iCs/>
                <w:sz w:val="20"/>
                <w:szCs w:val="20"/>
              </w:rPr>
              <w:t>Rpts</w:t>
            </w:r>
          </w:p>
        </w:tc>
        <w:tc>
          <w:tcPr>
            <w:tcW w:w="1134" w:type="dxa"/>
          </w:tcPr>
          <w:p w14:paraId="733946C5"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b/>
                <w:i/>
                <w:iCs/>
                <w:sz w:val="20"/>
                <w:szCs w:val="20"/>
              </w:rPr>
              <w:t>Available brands</w:t>
            </w:r>
          </w:p>
        </w:tc>
      </w:tr>
      <w:tr w:rsidR="0013769E" w:rsidRPr="00F21EFC" w14:paraId="7679D86E" w14:textId="77777777">
        <w:trPr>
          <w:trHeight w:val="50"/>
        </w:trPr>
        <w:tc>
          <w:tcPr>
            <w:tcW w:w="9067" w:type="dxa"/>
            <w:gridSpan w:val="7"/>
          </w:tcPr>
          <w:p w14:paraId="44511AB1" w14:textId="77777777" w:rsidR="0013769E" w:rsidRPr="00560FFC" w:rsidRDefault="0013769E" w:rsidP="007A591A">
            <w:pPr>
              <w:keepNext/>
              <w:ind w:left="-57"/>
              <w:rPr>
                <w:rFonts w:ascii="Arial Narrow" w:hAnsi="Arial Narrow" w:cs="Arial"/>
                <w:i/>
                <w:iCs/>
                <w:sz w:val="20"/>
                <w:szCs w:val="20"/>
              </w:rPr>
            </w:pPr>
            <w:r w:rsidRPr="00560FFC">
              <w:rPr>
                <w:rFonts w:ascii="Arial Narrow" w:hAnsi="Arial Narrow" w:cs="Arial"/>
                <w:i/>
                <w:iCs/>
                <w:sz w:val="20"/>
                <w:szCs w:val="20"/>
              </w:rPr>
              <w:t>TOFERSEN</w:t>
            </w:r>
          </w:p>
        </w:tc>
      </w:tr>
      <w:tr w:rsidR="0013769E" w:rsidRPr="00F21EFC" w14:paraId="6DF647D8" w14:textId="77777777">
        <w:trPr>
          <w:trHeight w:val="50"/>
        </w:trPr>
        <w:tc>
          <w:tcPr>
            <w:tcW w:w="4106" w:type="dxa"/>
            <w:gridSpan w:val="2"/>
          </w:tcPr>
          <w:p w14:paraId="3B70F5E3" w14:textId="77777777" w:rsidR="0013769E" w:rsidRPr="00560FFC" w:rsidRDefault="0013769E" w:rsidP="007A591A">
            <w:pPr>
              <w:keepNext/>
              <w:ind w:left="-57"/>
              <w:rPr>
                <w:rFonts w:ascii="Arial Narrow" w:hAnsi="Arial Narrow" w:cs="Arial"/>
                <w:b/>
                <w:i/>
                <w:iCs/>
                <w:sz w:val="20"/>
                <w:szCs w:val="20"/>
              </w:rPr>
            </w:pPr>
            <w:r w:rsidRPr="00560FFC">
              <w:rPr>
                <w:rFonts w:ascii="Arial Narrow" w:hAnsi="Arial Narrow" w:cs="Arial"/>
                <w:i/>
                <w:iCs/>
                <w:sz w:val="20"/>
                <w:szCs w:val="20"/>
              </w:rPr>
              <w:t xml:space="preserve">tofersen 100 mg/ 15 mL injection, 15 mL vial </w:t>
            </w:r>
          </w:p>
        </w:tc>
        <w:tc>
          <w:tcPr>
            <w:tcW w:w="1276" w:type="dxa"/>
          </w:tcPr>
          <w:p w14:paraId="7795DE1A" w14:textId="77777777" w:rsidR="0013769E" w:rsidRPr="00560FFC" w:rsidRDefault="0013769E" w:rsidP="007A591A">
            <w:pPr>
              <w:keepNext/>
              <w:jc w:val="center"/>
              <w:rPr>
                <w:rFonts w:ascii="Arial Narrow" w:hAnsi="Arial Narrow" w:cs="Arial"/>
                <w:i/>
                <w:iCs/>
                <w:sz w:val="20"/>
                <w:szCs w:val="20"/>
              </w:rPr>
            </w:pPr>
            <w:r w:rsidRPr="00560FFC">
              <w:rPr>
                <w:rFonts w:ascii="Arial Narrow" w:hAnsi="Arial Narrow" w:cs="Arial"/>
                <w:i/>
                <w:iCs/>
                <w:sz w:val="20"/>
                <w:szCs w:val="20"/>
              </w:rPr>
              <w:t>NEW (Private)</w:t>
            </w:r>
          </w:p>
          <w:p w14:paraId="4B768714" w14:textId="77777777" w:rsidR="0013769E" w:rsidRPr="00560FFC" w:rsidRDefault="0013769E" w:rsidP="007A591A">
            <w:pPr>
              <w:keepNext/>
              <w:jc w:val="center"/>
              <w:rPr>
                <w:rFonts w:ascii="Arial Narrow" w:hAnsi="Arial Narrow" w:cs="Arial"/>
                <w:i/>
                <w:iCs/>
                <w:sz w:val="20"/>
                <w:szCs w:val="20"/>
              </w:rPr>
            </w:pPr>
            <w:r w:rsidRPr="00560FFC">
              <w:rPr>
                <w:rFonts w:ascii="Arial Narrow" w:hAnsi="Arial Narrow" w:cs="Arial"/>
                <w:i/>
                <w:iCs/>
                <w:sz w:val="20"/>
                <w:szCs w:val="20"/>
              </w:rPr>
              <w:t>NEW (Public)</w:t>
            </w:r>
          </w:p>
          <w:p w14:paraId="1D28D905"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i/>
                <w:iCs/>
                <w:sz w:val="20"/>
                <w:szCs w:val="20"/>
                <w:vertAlign w:val="subscript"/>
              </w:rPr>
              <w:t>MP</w:t>
            </w:r>
          </w:p>
        </w:tc>
        <w:tc>
          <w:tcPr>
            <w:tcW w:w="850" w:type="dxa"/>
          </w:tcPr>
          <w:p w14:paraId="431A449F"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i/>
                <w:iCs/>
                <w:sz w:val="20"/>
                <w:szCs w:val="20"/>
              </w:rPr>
              <w:t>1</w:t>
            </w:r>
          </w:p>
        </w:tc>
        <w:tc>
          <w:tcPr>
            <w:tcW w:w="851" w:type="dxa"/>
          </w:tcPr>
          <w:p w14:paraId="61C75D41"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i/>
                <w:iCs/>
                <w:sz w:val="20"/>
                <w:szCs w:val="20"/>
              </w:rPr>
              <w:t>1</w:t>
            </w:r>
          </w:p>
        </w:tc>
        <w:tc>
          <w:tcPr>
            <w:tcW w:w="850" w:type="dxa"/>
          </w:tcPr>
          <w:p w14:paraId="38516A1E" w14:textId="20F9CA23" w:rsidR="0013769E" w:rsidRPr="00DB0CAB" w:rsidRDefault="00DB0CAB" w:rsidP="007A591A">
            <w:pPr>
              <w:keepNext/>
              <w:ind w:left="-57"/>
              <w:jc w:val="center"/>
              <w:rPr>
                <w:rFonts w:ascii="Arial Narrow" w:hAnsi="Arial Narrow" w:cs="Arial"/>
                <w:i/>
                <w:sz w:val="20"/>
                <w:szCs w:val="20"/>
              </w:rPr>
            </w:pPr>
            <w:r w:rsidRPr="00DB0CAB">
              <w:rPr>
                <w:rFonts w:ascii="Arial Narrow" w:hAnsi="Arial Narrow" w:cs="Arial"/>
                <w:bCs/>
                <w:i/>
                <w:iCs/>
                <w:sz w:val="20"/>
                <w:szCs w:val="20"/>
              </w:rPr>
              <w:t>5</w:t>
            </w:r>
          </w:p>
        </w:tc>
        <w:tc>
          <w:tcPr>
            <w:tcW w:w="1134" w:type="dxa"/>
          </w:tcPr>
          <w:p w14:paraId="2660E322" w14:textId="77777777" w:rsidR="0013769E" w:rsidRPr="00560FFC" w:rsidRDefault="0013769E" w:rsidP="007A591A">
            <w:pPr>
              <w:keepNext/>
              <w:ind w:left="-57"/>
              <w:jc w:val="center"/>
              <w:rPr>
                <w:rFonts w:ascii="Arial Narrow" w:hAnsi="Arial Narrow" w:cs="Arial"/>
                <w:b/>
                <w:i/>
                <w:iCs/>
                <w:sz w:val="20"/>
                <w:szCs w:val="20"/>
              </w:rPr>
            </w:pPr>
            <w:r w:rsidRPr="00560FFC">
              <w:rPr>
                <w:rFonts w:ascii="Arial Narrow" w:hAnsi="Arial Narrow" w:cs="Arial"/>
                <w:i/>
                <w:iCs/>
                <w:sz w:val="20"/>
                <w:szCs w:val="20"/>
              </w:rPr>
              <w:t>Qalsody</w:t>
            </w:r>
          </w:p>
        </w:tc>
      </w:tr>
      <w:tr w:rsidR="0013769E" w:rsidRPr="00F21EFC" w14:paraId="581F4013" w14:textId="77777777">
        <w:trPr>
          <w:trHeight w:val="50"/>
        </w:trPr>
        <w:tc>
          <w:tcPr>
            <w:tcW w:w="9067" w:type="dxa"/>
            <w:gridSpan w:val="7"/>
          </w:tcPr>
          <w:p w14:paraId="1C2F2806" w14:textId="77777777" w:rsidR="0013769E" w:rsidRPr="00560FFC" w:rsidRDefault="0013769E" w:rsidP="007A591A">
            <w:pPr>
              <w:keepNext/>
              <w:ind w:left="-57"/>
              <w:rPr>
                <w:rFonts w:ascii="Arial Narrow" w:hAnsi="Arial Narrow" w:cs="Arial"/>
                <w:b/>
                <w:i/>
                <w:iCs/>
                <w:sz w:val="20"/>
                <w:szCs w:val="20"/>
              </w:rPr>
            </w:pPr>
          </w:p>
        </w:tc>
      </w:tr>
      <w:tr w:rsidR="0013769E" w:rsidRPr="00F21EFC" w14:paraId="645EF0AA" w14:textId="77777777">
        <w:trPr>
          <w:trHeight w:val="300"/>
        </w:trPr>
        <w:tc>
          <w:tcPr>
            <w:tcW w:w="1271" w:type="dxa"/>
            <w:vMerge w:val="restart"/>
            <w:vAlign w:val="center"/>
          </w:tcPr>
          <w:p w14:paraId="41EA0732" w14:textId="77777777" w:rsidR="0013769E" w:rsidRPr="00560FFC" w:rsidRDefault="0013769E" w:rsidP="007A591A">
            <w:pPr>
              <w:keepNext/>
              <w:keepLines/>
              <w:jc w:val="center"/>
              <w:rPr>
                <w:rFonts w:ascii="Arial Narrow" w:hAnsi="Arial Narrow"/>
                <w:i/>
                <w:iCs/>
                <w:kern w:val="2"/>
                <w:sz w:val="20"/>
                <w:szCs w:val="20"/>
              </w:rPr>
            </w:pPr>
            <w:r w:rsidRPr="00560FFC">
              <w:rPr>
                <w:rFonts w:ascii="Arial Narrow" w:hAnsi="Arial Narrow"/>
                <w:b/>
                <w:i/>
                <w:iCs/>
                <w:kern w:val="2"/>
                <w:sz w:val="20"/>
                <w:szCs w:val="20"/>
              </w:rPr>
              <w:t>Concept ID</w:t>
            </w:r>
          </w:p>
          <w:p w14:paraId="4A22F164" w14:textId="313B6F1C" w:rsidR="0013769E" w:rsidRPr="00560FFC" w:rsidRDefault="0013769E" w:rsidP="007A591A">
            <w:pPr>
              <w:jc w:val="center"/>
              <w:rPr>
                <w:rFonts w:ascii="Arial Narrow" w:hAnsi="Arial Narrow"/>
                <w:b/>
                <w:i/>
                <w:iCs/>
                <w:sz w:val="20"/>
                <w:szCs w:val="20"/>
                <w:lang w:val="en-GB"/>
              </w:rPr>
            </w:pPr>
            <w:r w:rsidRPr="00560FFC">
              <w:rPr>
                <w:rFonts w:ascii="Arial Narrow" w:hAnsi="Arial Narrow"/>
                <w:b/>
                <w:i/>
                <w:iCs/>
                <w:sz w:val="20"/>
                <w:szCs w:val="20"/>
                <w:lang w:val="en-GB"/>
              </w:rPr>
              <w:t>(For Dept.</w:t>
            </w:r>
            <w:r w:rsidR="00BA3E54">
              <w:rPr>
                <w:rFonts w:ascii="Arial Narrow" w:hAnsi="Arial Narrow"/>
                <w:b/>
                <w:i/>
                <w:iCs/>
                <w:sz w:val="20"/>
                <w:szCs w:val="20"/>
                <w:lang w:val="en-GB"/>
              </w:rPr>
              <w:t xml:space="preserve"> </w:t>
            </w:r>
            <w:r w:rsidRPr="00560FFC">
              <w:rPr>
                <w:rFonts w:ascii="Arial Narrow" w:hAnsi="Arial Narrow"/>
                <w:b/>
                <w:i/>
                <w:iCs/>
                <w:sz w:val="20"/>
                <w:szCs w:val="20"/>
                <w:lang w:val="en-GB"/>
              </w:rPr>
              <w:t>use}</w:t>
            </w:r>
          </w:p>
        </w:tc>
        <w:tc>
          <w:tcPr>
            <w:tcW w:w="7796" w:type="dxa"/>
            <w:gridSpan w:val="6"/>
            <w:vAlign w:val="center"/>
          </w:tcPr>
          <w:p w14:paraId="39935635" w14:textId="77777777" w:rsidR="0013769E" w:rsidRPr="00560FFC" w:rsidRDefault="0013769E" w:rsidP="007A591A">
            <w:pPr>
              <w:rPr>
                <w:rFonts w:ascii="Arial Narrow" w:hAnsi="Arial Narrow"/>
                <w:b/>
                <w:i/>
                <w:iCs/>
                <w:sz w:val="20"/>
                <w:szCs w:val="20"/>
                <w:lang w:val="en-GB"/>
              </w:rPr>
            </w:pPr>
            <w:r w:rsidRPr="00560FFC">
              <w:rPr>
                <w:rFonts w:ascii="Arial Narrow" w:hAnsi="Arial Narrow"/>
                <w:b/>
                <w:i/>
                <w:iCs/>
                <w:sz w:val="20"/>
                <w:szCs w:val="20"/>
              </w:rPr>
              <w:t>Category / Program:</w:t>
            </w:r>
            <w:r w:rsidRPr="00560FFC">
              <w:rPr>
                <w:rFonts w:ascii="Arial Narrow" w:hAnsi="Arial Narrow"/>
                <w:i/>
                <w:iCs/>
                <w:sz w:val="20"/>
                <w:szCs w:val="20"/>
              </w:rPr>
              <w:t xml:space="preserve"> </w:t>
            </w:r>
            <w:r w:rsidRPr="00560FFC">
              <w:rPr>
                <w:rFonts w:ascii="Arial Narrow" w:hAnsi="Arial Narrow"/>
                <w:i/>
                <w:iCs/>
                <w:sz w:val="20"/>
                <w:szCs w:val="20"/>
              </w:rPr>
              <w:fldChar w:fldCharType="begin"/>
            </w:r>
            <w:r w:rsidRPr="00560FFC">
              <w:rPr>
                <w:rFonts w:ascii="Arial Narrow" w:hAnsi="Arial Narrow"/>
                <w:i/>
                <w:iCs/>
                <w:sz w:val="20"/>
                <w:szCs w:val="20"/>
              </w:rPr>
              <w:instrText xml:space="preserve"> FORMCHECKBOX </w:instrText>
            </w:r>
            <w:r w:rsidRPr="00560FFC">
              <w:rPr>
                <w:rFonts w:ascii="Arial Narrow" w:hAnsi="Arial Narrow"/>
                <w:i/>
                <w:iCs/>
                <w:sz w:val="20"/>
                <w:szCs w:val="20"/>
              </w:rPr>
              <w:fldChar w:fldCharType="separate"/>
            </w:r>
            <w:r w:rsidRPr="00560FFC">
              <w:rPr>
                <w:rFonts w:ascii="Arial Narrow" w:hAnsi="Arial Narrow"/>
                <w:i/>
                <w:iCs/>
                <w:sz w:val="20"/>
                <w:szCs w:val="20"/>
              </w:rPr>
              <w:fldChar w:fldCharType="end"/>
            </w:r>
            <w:r w:rsidRPr="00560FFC">
              <w:rPr>
                <w:rFonts w:ascii="Arial Narrow" w:hAnsi="Arial Narrow"/>
                <w:i/>
                <w:iCs/>
                <w:sz w:val="20"/>
                <w:szCs w:val="20"/>
              </w:rPr>
              <w:t xml:space="preserve"> </w:t>
            </w:r>
            <w:r w:rsidRPr="00560FFC">
              <w:rPr>
                <w:rFonts w:ascii="Arial Narrow" w:eastAsia="Calibri" w:hAnsi="Arial Narrow"/>
                <w:i/>
                <w:iCs/>
                <w:sz w:val="20"/>
                <w:szCs w:val="20"/>
              </w:rPr>
              <w:t>Section 100 – Highly Specialised Drugs Program – Public (Code HB) / Private (Code HS)</w:t>
            </w:r>
          </w:p>
        </w:tc>
      </w:tr>
      <w:tr w:rsidR="0013769E" w:rsidRPr="00F21EFC" w14:paraId="76BD06F7" w14:textId="77777777">
        <w:trPr>
          <w:trHeight w:val="300"/>
        </w:trPr>
        <w:tc>
          <w:tcPr>
            <w:tcW w:w="1271" w:type="dxa"/>
            <w:vMerge/>
            <w:vAlign w:val="center"/>
          </w:tcPr>
          <w:p w14:paraId="2943998D" w14:textId="77777777" w:rsidR="0013769E" w:rsidRPr="00560FFC" w:rsidRDefault="0013769E" w:rsidP="007A591A">
            <w:pPr>
              <w:rPr>
                <w:rFonts w:ascii="Arial Narrow" w:hAnsi="Arial Narrow"/>
                <w:b/>
                <w:i/>
                <w:iCs/>
                <w:sz w:val="20"/>
                <w:szCs w:val="20"/>
                <w:lang w:val="en-GB"/>
              </w:rPr>
            </w:pPr>
          </w:p>
        </w:tc>
        <w:tc>
          <w:tcPr>
            <w:tcW w:w="7796" w:type="dxa"/>
            <w:gridSpan w:val="6"/>
            <w:vAlign w:val="center"/>
          </w:tcPr>
          <w:p w14:paraId="2166905D" w14:textId="77777777" w:rsidR="0013769E" w:rsidRPr="00560FFC" w:rsidRDefault="0013769E" w:rsidP="007A591A">
            <w:pPr>
              <w:rPr>
                <w:rFonts w:ascii="Arial Narrow" w:hAnsi="Arial Narrow"/>
                <w:b/>
                <w:i/>
                <w:iCs/>
                <w:sz w:val="20"/>
                <w:szCs w:val="20"/>
                <w:lang w:val="en-GB"/>
              </w:rPr>
            </w:pPr>
            <w:r w:rsidRPr="00560FFC">
              <w:rPr>
                <w:rFonts w:ascii="Arial Narrow" w:hAnsi="Arial Narrow"/>
                <w:b/>
                <w:i/>
                <w:iCs/>
                <w:kern w:val="2"/>
                <w:sz w:val="20"/>
                <w:szCs w:val="20"/>
              </w:rPr>
              <w:t xml:space="preserve">Prescriber type: </w:t>
            </w:r>
            <w:r w:rsidRPr="00560FFC">
              <w:rPr>
                <w:rFonts w:ascii="Arial Narrow" w:hAnsi="Arial Narrow"/>
                <w:i/>
                <w:iCs/>
                <w:kern w:val="2"/>
                <w:sz w:val="20"/>
                <w:szCs w:val="20"/>
              </w:rPr>
              <w:fldChar w:fldCharType="begin">
                <w:ffData>
                  <w:name w:val=""/>
                  <w:enabled/>
                  <w:calcOnExit w:val="0"/>
                  <w:checkBox>
                    <w:sizeAuto/>
                    <w:default w:val="1"/>
                  </w:checkBox>
                </w:ffData>
              </w:fldChar>
            </w:r>
            <w:r w:rsidRPr="00560FFC">
              <w:rPr>
                <w:rFonts w:ascii="Arial Narrow" w:hAnsi="Arial Narrow"/>
                <w:i/>
                <w:iCs/>
                <w:kern w:val="2"/>
                <w:sz w:val="20"/>
                <w:szCs w:val="20"/>
              </w:rPr>
              <w:instrText xml:space="preserve"> FORMCHECKBOX </w:instrText>
            </w:r>
            <w:r w:rsidRPr="00560FFC">
              <w:rPr>
                <w:rFonts w:ascii="Arial Narrow" w:hAnsi="Arial Narrow"/>
                <w:i/>
                <w:iCs/>
                <w:kern w:val="2"/>
                <w:sz w:val="20"/>
                <w:szCs w:val="20"/>
              </w:rPr>
            </w:r>
            <w:r w:rsidRPr="00560FFC">
              <w:rPr>
                <w:rFonts w:ascii="Arial Narrow" w:hAnsi="Arial Narrow"/>
                <w:i/>
                <w:iCs/>
                <w:kern w:val="2"/>
                <w:sz w:val="20"/>
                <w:szCs w:val="20"/>
              </w:rPr>
              <w:fldChar w:fldCharType="separate"/>
            </w:r>
            <w:r w:rsidRPr="00560FFC">
              <w:rPr>
                <w:rFonts w:ascii="Arial Narrow" w:hAnsi="Arial Narrow"/>
                <w:i/>
                <w:iCs/>
                <w:kern w:val="2"/>
                <w:sz w:val="20"/>
                <w:szCs w:val="20"/>
              </w:rPr>
              <w:fldChar w:fldCharType="end"/>
            </w:r>
            <w:r w:rsidRPr="00560FFC">
              <w:rPr>
                <w:rFonts w:ascii="Arial Narrow" w:hAnsi="Arial Narrow"/>
                <w:i/>
                <w:iCs/>
                <w:kern w:val="2"/>
                <w:sz w:val="20"/>
                <w:szCs w:val="20"/>
              </w:rPr>
              <w:t xml:space="preserve"> Medical Practitioners </w:t>
            </w:r>
          </w:p>
        </w:tc>
      </w:tr>
      <w:tr w:rsidR="0013769E" w:rsidRPr="00F21EFC" w14:paraId="4D8C991B" w14:textId="77777777">
        <w:trPr>
          <w:trHeight w:val="300"/>
        </w:trPr>
        <w:tc>
          <w:tcPr>
            <w:tcW w:w="1271" w:type="dxa"/>
            <w:vMerge/>
            <w:vAlign w:val="center"/>
          </w:tcPr>
          <w:p w14:paraId="4CC12100" w14:textId="77777777" w:rsidR="0013769E" w:rsidRPr="00560FFC" w:rsidRDefault="0013769E" w:rsidP="007A591A">
            <w:pPr>
              <w:rPr>
                <w:rFonts w:ascii="Arial Narrow" w:hAnsi="Arial Narrow"/>
                <w:b/>
                <w:i/>
                <w:iCs/>
                <w:sz w:val="20"/>
                <w:szCs w:val="20"/>
                <w:lang w:val="en-GB"/>
              </w:rPr>
            </w:pPr>
          </w:p>
        </w:tc>
        <w:tc>
          <w:tcPr>
            <w:tcW w:w="7796" w:type="dxa"/>
            <w:gridSpan w:val="6"/>
            <w:vAlign w:val="center"/>
          </w:tcPr>
          <w:p w14:paraId="281BCCCD" w14:textId="77777777" w:rsidR="0013769E" w:rsidRPr="00560FFC" w:rsidRDefault="0013769E" w:rsidP="007A591A">
            <w:pPr>
              <w:rPr>
                <w:rFonts w:ascii="Arial Narrow" w:hAnsi="Arial Narrow"/>
                <w:b/>
                <w:i/>
                <w:iCs/>
                <w:sz w:val="20"/>
                <w:szCs w:val="20"/>
                <w:lang w:val="en-GB"/>
              </w:rPr>
            </w:pPr>
            <w:r w:rsidRPr="00560FFC">
              <w:rPr>
                <w:rFonts w:ascii="Arial Narrow" w:hAnsi="Arial Narrow"/>
                <w:b/>
                <w:i/>
                <w:iCs/>
                <w:kern w:val="2"/>
                <w:sz w:val="20"/>
                <w:szCs w:val="20"/>
              </w:rPr>
              <w:t xml:space="preserve">Benefit type: </w:t>
            </w:r>
            <w:r w:rsidRPr="00560FFC">
              <w:rPr>
                <w:rFonts w:ascii="Arial Narrow" w:hAnsi="Arial Narrow"/>
                <w:i/>
                <w:iCs/>
                <w:kern w:val="2"/>
                <w:sz w:val="20"/>
                <w:szCs w:val="20"/>
              </w:rPr>
              <w:fldChar w:fldCharType="begin">
                <w:ffData>
                  <w:name w:val=""/>
                  <w:enabled/>
                  <w:calcOnExit w:val="0"/>
                  <w:checkBox>
                    <w:sizeAuto/>
                    <w:default w:val="1"/>
                  </w:checkBox>
                </w:ffData>
              </w:fldChar>
            </w:r>
            <w:r w:rsidRPr="00560FFC">
              <w:rPr>
                <w:rFonts w:ascii="Arial Narrow" w:hAnsi="Arial Narrow"/>
                <w:i/>
                <w:iCs/>
                <w:kern w:val="2"/>
                <w:sz w:val="20"/>
                <w:szCs w:val="20"/>
              </w:rPr>
              <w:instrText xml:space="preserve"> FORMCHECKBOX </w:instrText>
            </w:r>
            <w:r w:rsidRPr="00560FFC">
              <w:rPr>
                <w:rFonts w:ascii="Arial Narrow" w:hAnsi="Arial Narrow"/>
                <w:i/>
                <w:iCs/>
                <w:kern w:val="2"/>
                <w:sz w:val="20"/>
                <w:szCs w:val="20"/>
              </w:rPr>
            </w:r>
            <w:r w:rsidRPr="00560FFC">
              <w:rPr>
                <w:rFonts w:ascii="Arial Narrow" w:hAnsi="Arial Narrow"/>
                <w:i/>
                <w:iCs/>
                <w:kern w:val="2"/>
                <w:sz w:val="20"/>
                <w:szCs w:val="20"/>
              </w:rPr>
              <w:fldChar w:fldCharType="separate"/>
            </w:r>
            <w:r w:rsidRPr="00560FFC">
              <w:rPr>
                <w:rFonts w:ascii="Arial Narrow" w:hAnsi="Arial Narrow"/>
                <w:i/>
                <w:iCs/>
                <w:kern w:val="2"/>
                <w:sz w:val="20"/>
                <w:szCs w:val="20"/>
              </w:rPr>
              <w:fldChar w:fldCharType="end"/>
            </w:r>
            <w:r w:rsidRPr="00560FFC">
              <w:rPr>
                <w:rFonts w:ascii="Arial Narrow" w:hAnsi="Arial Narrow"/>
                <w:i/>
                <w:iCs/>
                <w:kern w:val="2"/>
                <w:sz w:val="20"/>
                <w:szCs w:val="20"/>
              </w:rPr>
              <w:t xml:space="preserve"> </w:t>
            </w:r>
            <w:r w:rsidRPr="00560FFC">
              <w:rPr>
                <w:rFonts w:ascii="Arial Narrow" w:eastAsia="Calibri" w:hAnsi="Arial Narrow"/>
                <w:i/>
                <w:iCs/>
                <w:kern w:val="2"/>
                <w:sz w:val="20"/>
                <w:szCs w:val="20"/>
              </w:rPr>
              <w:t xml:space="preserve">Authority Required (Telephone/ Online PBS Authorities System) </w:t>
            </w:r>
          </w:p>
        </w:tc>
      </w:tr>
      <w:tr w:rsidR="0013769E" w:rsidRPr="00F21EFC" w14:paraId="4BD36AA1" w14:textId="77777777">
        <w:trPr>
          <w:trHeight w:val="300"/>
        </w:trPr>
        <w:tc>
          <w:tcPr>
            <w:tcW w:w="9067" w:type="dxa"/>
            <w:gridSpan w:val="7"/>
          </w:tcPr>
          <w:p w14:paraId="25DA8956" w14:textId="192EF3B4" w:rsidR="0013769E" w:rsidRPr="00560FFC" w:rsidRDefault="0013769E" w:rsidP="007A591A">
            <w:pPr>
              <w:rPr>
                <w:rFonts w:ascii="Arial Narrow" w:hAnsi="Arial Narrow"/>
                <w:b/>
                <w:i/>
                <w:iCs/>
                <w:sz w:val="20"/>
                <w:szCs w:val="20"/>
                <w:lang w:val="en-GB"/>
              </w:rPr>
            </w:pPr>
            <w:r w:rsidRPr="00560FFC">
              <w:rPr>
                <w:rFonts w:ascii="Arial Narrow" w:hAnsi="Arial Narrow" w:cs="Arial"/>
                <w:b/>
                <w:i/>
                <w:iCs/>
                <w:kern w:val="2"/>
                <w:sz w:val="20"/>
                <w:szCs w:val="20"/>
                <w:lang w:eastAsia="en-US"/>
                <w14:ligatures w14:val="standardContextual"/>
              </w:rPr>
              <w:t>Prescribing rule level:</w:t>
            </w:r>
            <w:r w:rsidR="007A591A">
              <w:rPr>
                <w:rFonts w:ascii="Arial Narrow" w:hAnsi="Arial Narrow" w:cs="Arial"/>
                <w:b/>
                <w:i/>
                <w:iCs/>
                <w:kern w:val="2"/>
                <w:sz w:val="20"/>
                <w:szCs w:val="20"/>
                <w:lang w:eastAsia="en-US"/>
                <w14:ligatures w14:val="standardContextual"/>
              </w:rPr>
              <w:t xml:space="preserve"> </w:t>
            </w:r>
          </w:p>
        </w:tc>
      </w:tr>
      <w:tr w:rsidR="0013769E" w:rsidRPr="006D7FED" w14:paraId="4BD0A259" w14:textId="77777777">
        <w:trPr>
          <w:trHeight w:val="300"/>
        </w:trPr>
        <w:tc>
          <w:tcPr>
            <w:tcW w:w="1271" w:type="dxa"/>
          </w:tcPr>
          <w:p w14:paraId="08AE79C9" w14:textId="744E88F4" w:rsidR="0013769E" w:rsidRPr="00560FFC" w:rsidRDefault="0013769E" w:rsidP="007A591A">
            <w:pPr>
              <w:rPr>
                <w:rFonts w:ascii="Arial Narrow" w:hAnsi="Arial Narrow"/>
                <w:b/>
                <w:i/>
                <w:iCs/>
                <w:sz w:val="20"/>
                <w:szCs w:val="20"/>
                <w:lang w:val="en-GB"/>
              </w:rPr>
            </w:pPr>
          </w:p>
        </w:tc>
        <w:tc>
          <w:tcPr>
            <w:tcW w:w="7796" w:type="dxa"/>
            <w:gridSpan w:val="6"/>
            <w:vAlign w:val="center"/>
          </w:tcPr>
          <w:p w14:paraId="2882B896" w14:textId="77777777" w:rsidR="0013769E" w:rsidRPr="00560FFC" w:rsidRDefault="0013769E" w:rsidP="007A591A">
            <w:pPr>
              <w:rPr>
                <w:rFonts w:ascii="Arial Narrow" w:hAnsi="Arial Narrow"/>
                <w:b/>
                <w:bCs/>
                <w:i/>
                <w:iCs/>
                <w:color w:val="333333"/>
                <w:kern w:val="2"/>
                <w:sz w:val="20"/>
                <w:szCs w:val="20"/>
              </w:rPr>
            </w:pPr>
            <w:r w:rsidRPr="00560FFC">
              <w:rPr>
                <w:rFonts w:ascii="Arial Narrow" w:hAnsi="Arial Narrow"/>
                <w:b/>
                <w:bCs/>
                <w:i/>
                <w:iCs/>
                <w:color w:val="333333"/>
                <w:kern w:val="2"/>
                <w:sz w:val="20"/>
                <w:szCs w:val="20"/>
              </w:rPr>
              <w:t>Administrative Advice:</w:t>
            </w:r>
          </w:p>
          <w:p w14:paraId="39F01E8C" w14:textId="77777777" w:rsidR="0013769E" w:rsidRPr="00560FFC" w:rsidRDefault="0013769E" w:rsidP="007A591A">
            <w:pPr>
              <w:rPr>
                <w:rFonts w:ascii="Arial Narrow" w:hAnsi="Arial Narrow"/>
                <w:b/>
                <w:i/>
                <w:iCs/>
                <w:sz w:val="20"/>
                <w:szCs w:val="20"/>
                <w:lang w:val="en-GB"/>
              </w:rPr>
            </w:pPr>
            <w:r w:rsidRPr="00560FFC">
              <w:rPr>
                <w:rFonts w:ascii="Arial Narrow" w:hAnsi="Arial Narrow" w:cs="Arial"/>
                <w:bCs/>
                <w:i/>
                <w:iCs/>
                <w:kern w:val="2"/>
                <w:sz w:val="20"/>
                <w:szCs w:val="20"/>
                <w:lang w:eastAsia="en-US"/>
                <w14:ligatures w14:val="standardContextual"/>
              </w:rPr>
              <w:t>No increase in the maximum quantity or number of units may be authorised.</w:t>
            </w:r>
          </w:p>
        </w:tc>
      </w:tr>
      <w:tr w:rsidR="0013769E" w:rsidRPr="006D7FED" w14:paraId="0E8954EA" w14:textId="77777777">
        <w:trPr>
          <w:trHeight w:val="300"/>
        </w:trPr>
        <w:tc>
          <w:tcPr>
            <w:tcW w:w="1271" w:type="dxa"/>
          </w:tcPr>
          <w:p w14:paraId="1DF100BC" w14:textId="1E949B86" w:rsidR="0013769E" w:rsidRPr="00560FFC" w:rsidRDefault="0013769E" w:rsidP="007A591A">
            <w:pPr>
              <w:rPr>
                <w:rFonts w:ascii="Arial Narrow" w:hAnsi="Arial Narrow"/>
                <w:b/>
                <w:i/>
                <w:iCs/>
                <w:sz w:val="20"/>
                <w:szCs w:val="20"/>
                <w:lang w:val="en-GB"/>
              </w:rPr>
            </w:pPr>
          </w:p>
        </w:tc>
        <w:tc>
          <w:tcPr>
            <w:tcW w:w="7796" w:type="dxa"/>
            <w:gridSpan w:val="6"/>
            <w:vAlign w:val="center"/>
          </w:tcPr>
          <w:p w14:paraId="41B5DBF4" w14:textId="77777777" w:rsidR="0013769E" w:rsidRPr="00560FFC" w:rsidRDefault="0013769E" w:rsidP="007A591A">
            <w:pPr>
              <w:rPr>
                <w:rFonts w:ascii="Arial Narrow" w:hAnsi="Arial Narrow"/>
                <w:b/>
                <w:bCs/>
                <w:i/>
                <w:iCs/>
                <w:color w:val="333333"/>
                <w:kern w:val="2"/>
                <w:sz w:val="20"/>
                <w:szCs w:val="20"/>
              </w:rPr>
            </w:pPr>
            <w:r w:rsidRPr="00560FFC">
              <w:rPr>
                <w:rFonts w:ascii="Arial Narrow" w:hAnsi="Arial Narrow"/>
                <w:b/>
                <w:bCs/>
                <w:i/>
                <w:iCs/>
                <w:color w:val="333333"/>
                <w:kern w:val="2"/>
                <w:sz w:val="20"/>
                <w:szCs w:val="20"/>
              </w:rPr>
              <w:t>Administrative Advice:</w:t>
            </w:r>
          </w:p>
          <w:p w14:paraId="78C3E732" w14:textId="77777777" w:rsidR="0013769E" w:rsidRPr="00560FFC" w:rsidRDefault="0013769E" w:rsidP="007A591A">
            <w:pPr>
              <w:rPr>
                <w:rFonts w:ascii="Arial Narrow" w:hAnsi="Arial Narrow"/>
                <w:b/>
                <w:i/>
                <w:iCs/>
                <w:sz w:val="20"/>
                <w:szCs w:val="20"/>
                <w:lang w:val="en-GB"/>
              </w:rPr>
            </w:pPr>
            <w:r w:rsidRPr="00560FFC">
              <w:rPr>
                <w:rFonts w:ascii="Arial Narrow" w:hAnsi="Arial Narrow"/>
                <w:i/>
                <w:iCs/>
                <w:color w:val="333333"/>
                <w:kern w:val="2"/>
                <w:sz w:val="20"/>
                <w:szCs w:val="20"/>
              </w:rPr>
              <w:t xml:space="preserve">No increase in the maximum number of repeats may be authorised. </w:t>
            </w:r>
          </w:p>
        </w:tc>
      </w:tr>
      <w:tr w:rsidR="0013769E" w:rsidRPr="004C005A" w14:paraId="67BB1B1C" w14:textId="77777777">
        <w:trPr>
          <w:trHeight w:val="300"/>
        </w:trPr>
        <w:tc>
          <w:tcPr>
            <w:tcW w:w="1271" w:type="dxa"/>
          </w:tcPr>
          <w:p w14:paraId="458B5047" w14:textId="7F9C090E" w:rsidR="0013769E" w:rsidRPr="00560FFC" w:rsidRDefault="0013769E" w:rsidP="007A591A">
            <w:pPr>
              <w:rPr>
                <w:rFonts w:ascii="Arial Narrow" w:hAnsi="Arial Narrow"/>
                <w:i/>
                <w:iCs/>
                <w:color w:val="333333"/>
                <w:kern w:val="2"/>
                <w:sz w:val="20"/>
                <w:szCs w:val="20"/>
              </w:rPr>
            </w:pPr>
          </w:p>
        </w:tc>
        <w:tc>
          <w:tcPr>
            <w:tcW w:w="7796" w:type="dxa"/>
            <w:gridSpan w:val="6"/>
            <w:vAlign w:val="center"/>
          </w:tcPr>
          <w:p w14:paraId="0C938146" w14:textId="77777777" w:rsidR="0013769E" w:rsidRPr="00560FFC" w:rsidRDefault="0013769E" w:rsidP="007A591A">
            <w:pPr>
              <w:keepLines/>
              <w:rPr>
                <w:rFonts w:ascii="Arial Narrow" w:hAnsi="Arial Narrow"/>
                <w:b/>
                <w:bCs/>
                <w:i/>
                <w:iCs/>
                <w:color w:val="333333"/>
                <w:kern w:val="2"/>
                <w:sz w:val="20"/>
                <w:szCs w:val="20"/>
              </w:rPr>
            </w:pPr>
            <w:r w:rsidRPr="00560FFC">
              <w:rPr>
                <w:rFonts w:ascii="Arial Narrow" w:hAnsi="Arial Narrow"/>
                <w:b/>
                <w:bCs/>
                <w:i/>
                <w:iCs/>
                <w:color w:val="333333"/>
                <w:kern w:val="2"/>
                <w:sz w:val="20"/>
                <w:szCs w:val="20"/>
              </w:rPr>
              <w:t>Administrative Advice:</w:t>
            </w:r>
          </w:p>
          <w:p w14:paraId="11D306DE" w14:textId="77777777" w:rsidR="0013769E" w:rsidRPr="00560FFC" w:rsidRDefault="0013769E" w:rsidP="007A591A">
            <w:pPr>
              <w:rPr>
                <w:rFonts w:ascii="Arial Narrow" w:hAnsi="Arial Narrow"/>
                <w:b/>
                <w:bCs/>
                <w:i/>
                <w:iCs/>
                <w:color w:val="333333"/>
                <w:kern w:val="2"/>
                <w:sz w:val="20"/>
                <w:szCs w:val="20"/>
              </w:rPr>
            </w:pPr>
            <w:r w:rsidRPr="00560FFC">
              <w:rPr>
                <w:rFonts w:ascii="Arial Narrow" w:hAnsi="Arial Narrow"/>
                <w:i/>
                <w:iCs/>
                <w:color w:val="333333"/>
                <w:kern w:val="2"/>
                <w:sz w:val="20"/>
                <w:szCs w:val="20"/>
              </w:rPr>
              <w:t>Special Pricing Arrangements apply.</w:t>
            </w:r>
            <w:r w:rsidRPr="00560FFC">
              <w:rPr>
                <w:rFonts w:ascii="Arial Narrow" w:hAnsi="Arial Narrow"/>
                <w:b/>
                <w:i/>
                <w:iCs/>
                <w:color w:val="333333"/>
                <w:kern w:val="2"/>
                <w:sz w:val="20"/>
                <w:szCs w:val="20"/>
              </w:rPr>
              <w:t xml:space="preserve"> </w:t>
            </w:r>
          </w:p>
        </w:tc>
      </w:tr>
      <w:tr w:rsidR="0013769E" w:rsidRPr="006D7FED" w14:paraId="2219A395" w14:textId="77777777">
        <w:trPr>
          <w:trHeight w:val="300"/>
        </w:trPr>
        <w:tc>
          <w:tcPr>
            <w:tcW w:w="1271" w:type="dxa"/>
          </w:tcPr>
          <w:p w14:paraId="100BDE50" w14:textId="043CB918" w:rsidR="0013769E" w:rsidRPr="00560FFC" w:rsidRDefault="0013769E" w:rsidP="007A591A">
            <w:pPr>
              <w:rPr>
                <w:rFonts w:ascii="Arial Narrow" w:hAnsi="Arial Narrow"/>
                <w:b/>
                <w:i/>
                <w:iCs/>
                <w:sz w:val="20"/>
                <w:szCs w:val="20"/>
                <w:lang w:val="en-GB"/>
              </w:rPr>
            </w:pPr>
          </w:p>
        </w:tc>
        <w:tc>
          <w:tcPr>
            <w:tcW w:w="7796" w:type="dxa"/>
            <w:gridSpan w:val="6"/>
            <w:vAlign w:val="center"/>
          </w:tcPr>
          <w:p w14:paraId="325C4E13" w14:textId="77777777" w:rsidR="0013769E" w:rsidRPr="00560FFC" w:rsidRDefault="0013769E" w:rsidP="007A591A">
            <w:pPr>
              <w:rPr>
                <w:rFonts w:ascii="Arial Narrow" w:hAnsi="Arial Narrow"/>
                <w:b/>
                <w:bCs/>
                <w:i/>
                <w:iCs/>
                <w:color w:val="333333"/>
                <w:kern w:val="2"/>
                <w:sz w:val="20"/>
                <w:szCs w:val="20"/>
              </w:rPr>
            </w:pPr>
            <w:r w:rsidRPr="00560FFC">
              <w:rPr>
                <w:rFonts w:ascii="Arial Narrow" w:hAnsi="Arial Narrow"/>
                <w:b/>
                <w:bCs/>
                <w:i/>
                <w:iCs/>
                <w:color w:val="333333"/>
                <w:kern w:val="2"/>
                <w:sz w:val="20"/>
                <w:szCs w:val="20"/>
              </w:rPr>
              <w:t xml:space="preserve">Administrative Advice: </w:t>
            </w:r>
          </w:p>
          <w:p w14:paraId="1A2BEC6C" w14:textId="77777777" w:rsidR="0013769E" w:rsidRPr="00560FFC" w:rsidRDefault="0013769E" w:rsidP="007A591A">
            <w:pPr>
              <w:rPr>
                <w:rFonts w:ascii="Arial Narrow" w:hAnsi="Arial Narrow"/>
                <w:b/>
                <w:i/>
                <w:iCs/>
                <w:sz w:val="20"/>
                <w:szCs w:val="20"/>
                <w:lang w:val="en-GB"/>
              </w:rPr>
            </w:pPr>
            <w:r w:rsidRPr="00560FFC">
              <w:rPr>
                <w:rFonts w:ascii="Arial Narrow" w:hAnsi="Arial Narrow"/>
                <w:i/>
                <w:iCs/>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r w:rsidR="0013769E" w:rsidRPr="00DA782F" w14:paraId="214B948B" w14:textId="77777777">
        <w:trPr>
          <w:trHeight w:val="300"/>
        </w:trPr>
        <w:tc>
          <w:tcPr>
            <w:tcW w:w="9067" w:type="dxa"/>
            <w:gridSpan w:val="7"/>
            <w:vAlign w:val="center"/>
          </w:tcPr>
          <w:p w14:paraId="7C609BF2" w14:textId="77777777" w:rsidR="0013769E" w:rsidRPr="00560FFC" w:rsidRDefault="0013769E" w:rsidP="007A591A">
            <w:pPr>
              <w:rPr>
                <w:rFonts w:ascii="Arial Narrow" w:hAnsi="Arial Narrow"/>
                <w:b/>
                <w:i/>
                <w:iCs/>
                <w:sz w:val="20"/>
                <w:szCs w:val="20"/>
                <w:lang w:val="en-GB"/>
              </w:rPr>
            </w:pPr>
            <w:r w:rsidRPr="00560FFC">
              <w:rPr>
                <w:rFonts w:ascii="Arial Narrow" w:hAnsi="Arial Narrow"/>
                <w:b/>
                <w:i/>
                <w:iCs/>
                <w:kern w:val="2"/>
                <w:sz w:val="20"/>
                <w:szCs w:val="20"/>
              </w:rPr>
              <w:t>Restriction Summary [new</w:t>
            </w:r>
            <w:r>
              <w:rPr>
                <w:rFonts w:ascii="Arial Narrow" w:hAnsi="Arial Narrow"/>
                <w:b/>
                <w:i/>
                <w:iCs/>
                <w:kern w:val="2"/>
                <w:sz w:val="20"/>
                <w:szCs w:val="20"/>
              </w:rPr>
              <w:t>4</w:t>
            </w:r>
            <w:r w:rsidRPr="00560FFC">
              <w:rPr>
                <w:rFonts w:ascii="Arial Narrow" w:hAnsi="Arial Narrow"/>
                <w:b/>
                <w:i/>
                <w:iCs/>
                <w:kern w:val="2"/>
                <w:sz w:val="20"/>
                <w:szCs w:val="20"/>
              </w:rPr>
              <w:t>] / Treatment of Concept: [new</w:t>
            </w:r>
            <w:r>
              <w:rPr>
                <w:rFonts w:ascii="Arial Narrow" w:hAnsi="Arial Narrow"/>
                <w:b/>
                <w:i/>
                <w:iCs/>
                <w:kern w:val="2"/>
                <w:sz w:val="20"/>
                <w:szCs w:val="20"/>
              </w:rPr>
              <w:t>4</w:t>
            </w:r>
            <w:r w:rsidRPr="00560FFC">
              <w:rPr>
                <w:rFonts w:ascii="Arial Narrow" w:hAnsi="Arial Narrow"/>
                <w:b/>
                <w:i/>
                <w:iCs/>
                <w:kern w:val="2"/>
                <w:sz w:val="20"/>
                <w:szCs w:val="20"/>
              </w:rPr>
              <w:t>A]</w:t>
            </w:r>
          </w:p>
        </w:tc>
      </w:tr>
      <w:tr w:rsidR="0013769E" w:rsidRPr="00DA782F" w14:paraId="4C8752F8" w14:textId="77777777">
        <w:trPr>
          <w:trHeight w:val="300"/>
        </w:trPr>
        <w:tc>
          <w:tcPr>
            <w:tcW w:w="1271" w:type="dxa"/>
            <w:vAlign w:val="center"/>
            <w:hideMark/>
          </w:tcPr>
          <w:p w14:paraId="6B8E5543" w14:textId="532C117D" w:rsidR="0013769E" w:rsidRPr="00560FFC" w:rsidRDefault="0013769E" w:rsidP="007A591A">
            <w:pPr>
              <w:jc w:val="center"/>
              <w:rPr>
                <w:rFonts w:ascii="Arial Narrow" w:hAnsi="Arial Narrow"/>
                <w:i/>
                <w:iCs/>
                <w:sz w:val="20"/>
                <w:szCs w:val="20"/>
              </w:rPr>
            </w:pPr>
          </w:p>
        </w:tc>
        <w:tc>
          <w:tcPr>
            <w:tcW w:w="7796" w:type="dxa"/>
            <w:gridSpan w:val="6"/>
            <w:vAlign w:val="center"/>
            <w:hideMark/>
          </w:tcPr>
          <w:p w14:paraId="4E69D118" w14:textId="1B20BDC4" w:rsidR="0013769E" w:rsidRPr="00560FFC" w:rsidRDefault="0013769E" w:rsidP="007A591A">
            <w:pPr>
              <w:rPr>
                <w:rFonts w:ascii="Arial Narrow" w:hAnsi="Arial Narrow"/>
                <w:i/>
                <w:iCs/>
                <w:sz w:val="20"/>
                <w:szCs w:val="20"/>
              </w:rPr>
            </w:pPr>
            <w:r w:rsidRPr="00560FFC">
              <w:rPr>
                <w:rFonts w:ascii="Arial Narrow" w:hAnsi="Arial Narrow"/>
                <w:b/>
                <w:i/>
                <w:iCs/>
                <w:sz w:val="20"/>
                <w:szCs w:val="20"/>
              </w:rPr>
              <w:t>Indication:</w:t>
            </w:r>
            <w:r w:rsidRPr="00560FFC">
              <w:rPr>
                <w:rFonts w:ascii="Arial Narrow" w:hAnsi="Arial Narrow"/>
                <w:i/>
                <w:iCs/>
                <w:sz w:val="20"/>
                <w:szCs w:val="20"/>
              </w:rPr>
              <w:t xml:space="preserve"> Amyotrophic lateral sclerosis</w:t>
            </w:r>
            <w:r w:rsidR="007A591A">
              <w:rPr>
                <w:rFonts w:ascii="Arial Narrow" w:hAnsi="Arial Narrow"/>
                <w:i/>
                <w:iCs/>
                <w:sz w:val="20"/>
                <w:szCs w:val="20"/>
              </w:rPr>
              <w:t xml:space="preserve"> </w:t>
            </w:r>
          </w:p>
        </w:tc>
      </w:tr>
      <w:tr w:rsidR="0013769E" w:rsidRPr="00DA782F" w14:paraId="64422F67" w14:textId="77777777">
        <w:trPr>
          <w:trHeight w:val="300"/>
        </w:trPr>
        <w:tc>
          <w:tcPr>
            <w:tcW w:w="1271" w:type="dxa"/>
            <w:vAlign w:val="center"/>
            <w:hideMark/>
          </w:tcPr>
          <w:p w14:paraId="7E86D858" w14:textId="77777777" w:rsidR="0013769E" w:rsidRPr="00560FFC" w:rsidRDefault="0013769E" w:rsidP="007A591A">
            <w:pPr>
              <w:jc w:val="center"/>
              <w:rPr>
                <w:rFonts w:ascii="Arial Narrow" w:hAnsi="Arial Narrow"/>
                <w:i/>
                <w:iCs/>
                <w:sz w:val="20"/>
                <w:szCs w:val="20"/>
              </w:rPr>
            </w:pPr>
          </w:p>
        </w:tc>
        <w:tc>
          <w:tcPr>
            <w:tcW w:w="7796" w:type="dxa"/>
            <w:gridSpan w:val="6"/>
            <w:vAlign w:val="center"/>
            <w:hideMark/>
          </w:tcPr>
          <w:p w14:paraId="1626A986" w14:textId="5E5B0241" w:rsidR="0013769E" w:rsidRPr="00560FFC" w:rsidRDefault="0013769E" w:rsidP="007A591A">
            <w:pPr>
              <w:rPr>
                <w:rFonts w:ascii="Arial Narrow" w:hAnsi="Arial Narrow"/>
                <w:i/>
                <w:iCs/>
                <w:sz w:val="20"/>
                <w:szCs w:val="20"/>
              </w:rPr>
            </w:pPr>
            <w:r w:rsidRPr="00560FFC">
              <w:rPr>
                <w:rFonts w:ascii="Arial Narrow" w:hAnsi="Arial Narrow"/>
                <w:b/>
                <w:i/>
                <w:iCs/>
                <w:sz w:val="20"/>
                <w:szCs w:val="20"/>
              </w:rPr>
              <w:t>Treatment Phase:</w:t>
            </w:r>
            <w:r w:rsidRPr="00560FFC">
              <w:rPr>
                <w:rFonts w:ascii="Arial Narrow" w:hAnsi="Arial Narrow"/>
                <w:i/>
                <w:iCs/>
                <w:sz w:val="20"/>
                <w:szCs w:val="20"/>
              </w:rPr>
              <w:t xml:space="preserve"> Transitioning from non</w:t>
            </w:r>
            <w:r w:rsidR="007A591A">
              <w:rPr>
                <w:rFonts w:ascii="Arial Narrow" w:hAnsi="Arial Narrow"/>
                <w:i/>
                <w:iCs/>
                <w:sz w:val="20"/>
                <w:szCs w:val="20"/>
              </w:rPr>
              <w:noBreakHyphen/>
            </w:r>
            <w:r w:rsidRPr="00560FFC">
              <w:rPr>
                <w:rFonts w:ascii="Arial Narrow" w:hAnsi="Arial Narrow"/>
                <w:i/>
                <w:iCs/>
                <w:sz w:val="20"/>
                <w:szCs w:val="20"/>
              </w:rPr>
              <w:t>PBS to PBS</w:t>
            </w:r>
            <w:r w:rsidR="007A591A">
              <w:rPr>
                <w:rFonts w:ascii="Arial Narrow" w:hAnsi="Arial Narrow"/>
                <w:i/>
                <w:iCs/>
                <w:sz w:val="20"/>
                <w:szCs w:val="20"/>
              </w:rPr>
              <w:noBreakHyphen/>
            </w:r>
            <w:r w:rsidRPr="00560FFC">
              <w:rPr>
                <w:rFonts w:ascii="Arial Narrow" w:hAnsi="Arial Narrow"/>
                <w:i/>
                <w:iCs/>
                <w:sz w:val="20"/>
                <w:szCs w:val="20"/>
              </w:rPr>
              <w:t>subsidised treatment – ‘Grandfather’ arrangements</w:t>
            </w:r>
          </w:p>
        </w:tc>
      </w:tr>
      <w:tr w:rsidR="0013769E" w:rsidRPr="00DA782F" w14:paraId="79A8C376" w14:textId="77777777">
        <w:trPr>
          <w:trHeight w:val="300"/>
        </w:trPr>
        <w:tc>
          <w:tcPr>
            <w:tcW w:w="1271" w:type="dxa"/>
          </w:tcPr>
          <w:p w14:paraId="5A216552" w14:textId="013E6481" w:rsidR="0013769E" w:rsidRPr="00560FFC" w:rsidRDefault="0013769E" w:rsidP="007A591A">
            <w:pPr>
              <w:jc w:val="center"/>
              <w:rPr>
                <w:rFonts w:ascii="Arial Narrow" w:hAnsi="Arial Narrow"/>
                <w:i/>
                <w:iCs/>
                <w:sz w:val="20"/>
                <w:szCs w:val="20"/>
              </w:rPr>
            </w:pPr>
          </w:p>
        </w:tc>
        <w:tc>
          <w:tcPr>
            <w:tcW w:w="7796" w:type="dxa"/>
            <w:gridSpan w:val="6"/>
            <w:vAlign w:val="center"/>
          </w:tcPr>
          <w:p w14:paraId="4E38F200" w14:textId="77777777" w:rsidR="0013769E" w:rsidRPr="00560FFC" w:rsidRDefault="0013769E" w:rsidP="007A591A">
            <w:pPr>
              <w:rPr>
                <w:rFonts w:ascii="Arial Narrow" w:hAnsi="Arial Narrow"/>
                <w:b/>
                <w:i/>
                <w:iCs/>
                <w:sz w:val="20"/>
                <w:szCs w:val="20"/>
              </w:rPr>
            </w:pPr>
            <w:r w:rsidRPr="00560FFC">
              <w:rPr>
                <w:rFonts w:ascii="Arial Narrow" w:hAnsi="Arial Narrow"/>
                <w:b/>
                <w:bCs/>
                <w:i/>
                <w:iCs/>
                <w:color w:val="333333"/>
                <w:sz w:val="20"/>
                <w:szCs w:val="20"/>
              </w:rPr>
              <w:t xml:space="preserve">Clinical criteria: </w:t>
            </w:r>
          </w:p>
        </w:tc>
      </w:tr>
      <w:tr w:rsidR="0013769E" w:rsidRPr="00DA782F" w14:paraId="7D3355A7" w14:textId="77777777">
        <w:trPr>
          <w:trHeight w:val="300"/>
        </w:trPr>
        <w:tc>
          <w:tcPr>
            <w:tcW w:w="1271" w:type="dxa"/>
          </w:tcPr>
          <w:p w14:paraId="5A5F816C" w14:textId="6C7C5854" w:rsidR="0013769E" w:rsidRPr="00560FFC" w:rsidRDefault="0013769E" w:rsidP="007A591A">
            <w:pPr>
              <w:jc w:val="center"/>
              <w:rPr>
                <w:rFonts w:ascii="Arial Narrow" w:hAnsi="Arial Narrow"/>
                <w:i/>
                <w:iCs/>
                <w:sz w:val="20"/>
                <w:szCs w:val="20"/>
              </w:rPr>
            </w:pPr>
          </w:p>
        </w:tc>
        <w:tc>
          <w:tcPr>
            <w:tcW w:w="7796" w:type="dxa"/>
            <w:gridSpan w:val="6"/>
          </w:tcPr>
          <w:p w14:paraId="1CF4FA4E" w14:textId="7C634F40" w:rsidR="0013769E" w:rsidRPr="00560FFC" w:rsidRDefault="0013769E" w:rsidP="007A591A">
            <w:pPr>
              <w:rPr>
                <w:rFonts w:ascii="Arial Narrow" w:hAnsi="Arial Narrow"/>
                <w:b/>
                <w:i/>
                <w:iCs/>
                <w:sz w:val="20"/>
                <w:szCs w:val="20"/>
              </w:rPr>
            </w:pPr>
            <w:r w:rsidRPr="00560FFC">
              <w:rPr>
                <w:rFonts w:ascii="Arial Narrow" w:hAnsi="Arial Narrow" w:cs="Segoe UI"/>
                <w:i/>
                <w:iCs/>
                <w:sz w:val="20"/>
                <w:szCs w:val="20"/>
              </w:rPr>
              <w:t>Patient must have been receiving non</w:t>
            </w:r>
            <w:r w:rsidR="007A591A">
              <w:rPr>
                <w:rFonts w:ascii="Arial Narrow" w:hAnsi="Arial Narrow" w:cs="Segoe UI"/>
                <w:i/>
                <w:iCs/>
                <w:sz w:val="20"/>
                <w:szCs w:val="20"/>
              </w:rPr>
              <w:noBreakHyphen/>
            </w:r>
            <w:r w:rsidRPr="00560FFC">
              <w:rPr>
                <w:rFonts w:ascii="Arial Narrow" w:hAnsi="Arial Narrow" w:cs="Segoe UI"/>
                <w:i/>
                <w:iCs/>
                <w:sz w:val="20"/>
                <w:szCs w:val="20"/>
              </w:rPr>
              <w:t>PBS</w:t>
            </w:r>
            <w:r w:rsidR="007A591A">
              <w:rPr>
                <w:rFonts w:ascii="Arial Narrow" w:hAnsi="Arial Narrow" w:cs="Segoe UI"/>
                <w:i/>
                <w:iCs/>
                <w:sz w:val="20"/>
                <w:szCs w:val="20"/>
              </w:rPr>
              <w:noBreakHyphen/>
            </w:r>
            <w:r w:rsidRPr="00560FFC">
              <w:rPr>
                <w:rFonts w:ascii="Arial Narrow" w:hAnsi="Arial Narrow" w:cs="Segoe UI"/>
                <w:i/>
                <w:iCs/>
                <w:sz w:val="20"/>
                <w:szCs w:val="20"/>
              </w:rPr>
              <w:t>subsidised treatment with this drug for this condition prior to [date of listing]</w:t>
            </w:r>
          </w:p>
        </w:tc>
      </w:tr>
      <w:tr w:rsidR="0013769E" w:rsidRPr="00DA782F" w14:paraId="5E5BCEB5" w14:textId="77777777">
        <w:trPr>
          <w:trHeight w:val="300"/>
        </w:trPr>
        <w:tc>
          <w:tcPr>
            <w:tcW w:w="1271" w:type="dxa"/>
            <w:vAlign w:val="center"/>
          </w:tcPr>
          <w:p w14:paraId="3569E746" w14:textId="77777777" w:rsidR="0013769E" w:rsidRPr="00560FFC" w:rsidRDefault="0013769E" w:rsidP="007A591A">
            <w:pPr>
              <w:jc w:val="center"/>
              <w:rPr>
                <w:rFonts w:ascii="Arial Narrow" w:hAnsi="Arial Narrow"/>
                <w:i/>
                <w:iCs/>
                <w:sz w:val="20"/>
                <w:szCs w:val="20"/>
              </w:rPr>
            </w:pPr>
          </w:p>
        </w:tc>
        <w:tc>
          <w:tcPr>
            <w:tcW w:w="7796" w:type="dxa"/>
            <w:gridSpan w:val="6"/>
            <w:vAlign w:val="center"/>
          </w:tcPr>
          <w:p w14:paraId="3ADA28CB"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AND</w:t>
            </w:r>
          </w:p>
        </w:tc>
      </w:tr>
      <w:tr w:rsidR="0013769E" w:rsidRPr="00DA782F" w14:paraId="12B02294" w14:textId="77777777">
        <w:trPr>
          <w:trHeight w:val="300"/>
        </w:trPr>
        <w:tc>
          <w:tcPr>
            <w:tcW w:w="1271" w:type="dxa"/>
          </w:tcPr>
          <w:p w14:paraId="0315E33A" w14:textId="7DB04F18" w:rsidR="0013769E" w:rsidRPr="00560FFC" w:rsidRDefault="0013769E" w:rsidP="007A591A">
            <w:pPr>
              <w:jc w:val="center"/>
              <w:rPr>
                <w:rFonts w:ascii="Arial Narrow" w:hAnsi="Arial Narrow"/>
                <w:i/>
                <w:iCs/>
                <w:sz w:val="20"/>
                <w:szCs w:val="20"/>
              </w:rPr>
            </w:pPr>
          </w:p>
        </w:tc>
        <w:tc>
          <w:tcPr>
            <w:tcW w:w="7796" w:type="dxa"/>
            <w:gridSpan w:val="6"/>
            <w:vAlign w:val="center"/>
          </w:tcPr>
          <w:p w14:paraId="79BAEA01"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Clinical criteria:</w:t>
            </w:r>
          </w:p>
        </w:tc>
      </w:tr>
      <w:tr w:rsidR="0013769E" w:rsidRPr="00DA782F" w14:paraId="456A3AA5" w14:textId="77777777">
        <w:trPr>
          <w:trHeight w:val="69"/>
        </w:trPr>
        <w:tc>
          <w:tcPr>
            <w:tcW w:w="1271" w:type="dxa"/>
          </w:tcPr>
          <w:p w14:paraId="0A2B35B3" w14:textId="4A1FEC15" w:rsidR="0013769E" w:rsidRPr="00560FFC" w:rsidRDefault="0013769E" w:rsidP="007A591A">
            <w:pPr>
              <w:jc w:val="center"/>
              <w:rPr>
                <w:rFonts w:ascii="Arial Narrow" w:hAnsi="Arial Narrow"/>
                <w:i/>
                <w:iCs/>
                <w:sz w:val="20"/>
                <w:szCs w:val="20"/>
              </w:rPr>
            </w:pPr>
          </w:p>
        </w:tc>
        <w:tc>
          <w:tcPr>
            <w:tcW w:w="7796" w:type="dxa"/>
            <w:gridSpan w:val="6"/>
            <w:vAlign w:val="center"/>
            <w:hideMark/>
          </w:tcPr>
          <w:p w14:paraId="36B7D4C4" w14:textId="1D8295C5" w:rsidR="0013769E" w:rsidRPr="00560FFC" w:rsidRDefault="0013769E" w:rsidP="007A591A">
            <w:pPr>
              <w:rPr>
                <w:rFonts w:ascii="Arial Narrow" w:hAnsi="Arial Narrow"/>
                <w:b/>
                <w:i/>
                <w:iCs/>
                <w:sz w:val="20"/>
                <w:szCs w:val="20"/>
              </w:rPr>
            </w:pPr>
            <w:r w:rsidRPr="00560FFC">
              <w:rPr>
                <w:rFonts w:ascii="Arial Narrow" w:hAnsi="Arial Narrow"/>
                <w:i/>
                <w:iCs/>
                <w:sz w:val="20"/>
                <w:szCs w:val="20"/>
              </w:rPr>
              <w:t>Patient must have had a clinical symptom(s) of amyotrophic lateral sclerosis prior to commencing treatment with this drug,</w:t>
            </w:r>
          </w:p>
        </w:tc>
      </w:tr>
      <w:tr w:rsidR="0013769E" w:rsidRPr="00DA782F" w14:paraId="1B77FE54" w14:textId="77777777">
        <w:trPr>
          <w:trHeight w:val="35"/>
        </w:trPr>
        <w:tc>
          <w:tcPr>
            <w:tcW w:w="1271" w:type="dxa"/>
            <w:vAlign w:val="center"/>
          </w:tcPr>
          <w:p w14:paraId="1758A4CF" w14:textId="77777777" w:rsidR="0013769E" w:rsidRPr="00560FFC" w:rsidRDefault="0013769E" w:rsidP="007A591A">
            <w:pPr>
              <w:jc w:val="center"/>
              <w:rPr>
                <w:rFonts w:ascii="Arial Narrow" w:hAnsi="Arial Narrow"/>
                <w:i/>
                <w:iCs/>
                <w:sz w:val="20"/>
                <w:szCs w:val="20"/>
              </w:rPr>
            </w:pPr>
          </w:p>
        </w:tc>
        <w:tc>
          <w:tcPr>
            <w:tcW w:w="7796" w:type="dxa"/>
            <w:gridSpan w:val="6"/>
            <w:vAlign w:val="center"/>
          </w:tcPr>
          <w:p w14:paraId="3EB75D02"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AND</w:t>
            </w:r>
          </w:p>
        </w:tc>
      </w:tr>
      <w:tr w:rsidR="0013769E" w:rsidRPr="00DA782F" w14:paraId="5CEAE960" w14:textId="77777777">
        <w:trPr>
          <w:trHeight w:val="35"/>
        </w:trPr>
        <w:tc>
          <w:tcPr>
            <w:tcW w:w="1271" w:type="dxa"/>
          </w:tcPr>
          <w:p w14:paraId="6564A5DE" w14:textId="49C2468A" w:rsidR="0013769E" w:rsidRPr="00560FFC" w:rsidRDefault="0013769E" w:rsidP="007A591A">
            <w:pPr>
              <w:jc w:val="center"/>
              <w:rPr>
                <w:rFonts w:ascii="Arial Narrow" w:hAnsi="Arial Narrow"/>
                <w:i/>
                <w:iCs/>
                <w:sz w:val="20"/>
                <w:szCs w:val="20"/>
              </w:rPr>
            </w:pPr>
          </w:p>
        </w:tc>
        <w:tc>
          <w:tcPr>
            <w:tcW w:w="7796" w:type="dxa"/>
            <w:gridSpan w:val="6"/>
            <w:vAlign w:val="center"/>
          </w:tcPr>
          <w:p w14:paraId="613C2F2E"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Clinical criteria:</w:t>
            </w:r>
          </w:p>
        </w:tc>
      </w:tr>
      <w:tr w:rsidR="0013769E" w:rsidRPr="00DA782F" w14:paraId="067C1BD6" w14:textId="77777777">
        <w:trPr>
          <w:trHeight w:val="35"/>
        </w:trPr>
        <w:tc>
          <w:tcPr>
            <w:tcW w:w="1271" w:type="dxa"/>
          </w:tcPr>
          <w:p w14:paraId="3B07F6C5" w14:textId="05D0E379" w:rsidR="0013769E" w:rsidRPr="00560FFC" w:rsidRDefault="0013769E" w:rsidP="007A591A">
            <w:pPr>
              <w:jc w:val="center"/>
              <w:rPr>
                <w:rFonts w:ascii="Arial Narrow" w:hAnsi="Arial Narrow"/>
                <w:i/>
                <w:iCs/>
                <w:sz w:val="20"/>
                <w:szCs w:val="20"/>
              </w:rPr>
            </w:pPr>
          </w:p>
        </w:tc>
        <w:tc>
          <w:tcPr>
            <w:tcW w:w="7796" w:type="dxa"/>
            <w:gridSpan w:val="6"/>
            <w:vAlign w:val="center"/>
          </w:tcPr>
          <w:p w14:paraId="3B92B6D0" w14:textId="77777777" w:rsidR="0013769E" w:rsidRPr="00560FFC" w:rsidRDefault="0013769E" w:rsidP="007A591A">
            <w:pPr>
              <w:rPr>
                <w:rFonts w:ascii="Arial Narrow" w:hAnsi="Arial Narrow"/>
                <w:b/>
                <w:i/>
                <w:iCs/>
                <w:sz w:val="20"/>
                <w:szCs w:val="20"/>
              </w:rPr>
            </w:pPr>
            <w:r w:rsidRPr="00560FFC">
              <w:rPr>
                <w:rFonts w:ascii="Arial Narrow" w:hAnsi="Arial Narrow"/>
                <w:i/>
                <w:iCs/>
                <w:sz w:val="20"/>
                <w:szCs w:val="20"/>
              </w:rPr>
              <w:t>The condition must have been diagnosed by a neurologist,</w:t>
            </w:r>
          </w:p>
        </w:tc>
      </w:tr>
      <w:tr w:rsidR="0013769E" w:rsidRPr="00DA782F" w14:paraId="270BC022" w14:textId="77777777">
        <w:trPr>
          <w:trHeight w:val="35"/>
        </w:trPr>
        <w:tc>
          <w:tcPr>
            <w:tcW w:w="1271" w:type="dxa"/>
            <w:vAlign w:val="center"/>
          </w:tcPr>
          <w:p w14:paraId="6244A526" w14:textId="77777777" w:rsidR="0013769E" w:rsidRPr="00560FFC" w:rsidRDefault="0013769E" w:rsidP="007A591A">
            <w:pPr>
              <w:jc w:val="center"/>
              <w:rPr>
                <w:rFonts w:ascii="Arial Narrow" w:hAnsi="Arial Narrow"/>
                <w:i/>
                <w:iCs/>
                <w:sz w:val="20"/>
                <w:szCs w:val="20"/>
              </w:rPr>
            </w:pPr>
          </w:p>
        </w:tc>
        <w:tc>
          <w:tcPr>
            <w:tcW w:w="7796" w:type="dxa"/>
            <w:gridSpan w:val="6"/>
            <w:vAlign w:val="center"/>
          </w:tcPr>
          <w:p w14:paraId="7E809CC9"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AND</w:t>
            </w:r>
          </w:p>
        </w:tc>
      </w:tr>
      <w:tr w:rsidR="0013769E" w:rsidRPr="00DA782F" w14:paraId="024FC799" w14:textId="77777777">
        <w:trPr>
          <w:trHeight w:val="35"/>
        </w:trPr>
        <w:tc>
          <w:tcPr>
            <w:tcW w:w="1271" w:type="dxa"/>
          </w:tcPr>
          <w:p w14:paraId="08D6AE99" w14:textId="3CBA9BAF" w:rsidR="0013769E" w:rsidRPr="00560FFC" w:rsidRDefault="0013769E" w:rsidP="007A591A">
            <w:pPr>
              <w:jc w:val="center"/>
              <w:rPr>
                <w:rFonts w:ascii="Arial Narrow" w:hAnsi="Arial Narrow"/>
                <w:i/>
                <w:iCs/>
                <w:sz w:val="20"/>
                <w:szCs w:val="20"/>
              </w:rPr>
            </w:pPr>
          </w:p>
        </w:tc>
        <w:tc>
          <w:tcPr>
            <w:tcW w:w="7796" w:type="dxa"/>
            <w:gridSpan w:val="6"/>
            <w:vAlign w:val="center"/>
          </w:tcPr>
          <w:p w14:paraId="2EF4D9AE"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Clinical criteria:</w:t>
            </w:r>
          </w:p>
        </w:tc>
      </w:tr>
      <w:tr w:rsidR="0013769E" w:rsidRPr="00DA782F" w14:paraId="321C73DD" w14:textId="77777777">
        <w:trPr>
          <w:trHeight w:val="35"/>
        </w:trPr>
        <w:tc>
          <w:tcPr>
            <w:tcW w:w="1271" w:type="dxa"/>
          </w:tcPr>
          <w:p w14:paraId="49A8F4D3" w14:textId="4C2E2CAB" w:rsidR="0013769E" w:rsidRPr="00560FFC" w:rsidRDefault="0013769E" w:rsidP="007A591A">
            <w:pPr>
              <w:jc w:val="center"/>
              <w:rPr>
                <w:rFonts w:ascii="Arial Narrow" w:hAnsi="Arial Narrow"/>
                <w:i/>
                <w:iCs/>
                <w:sz w:val="20"/>
                <w:szCs w:val="20"/>
              </w:rPr>
            </w:pPr>
          </w:p>
        </w:tc>
        <w:tc>
          <w:tcPr>
            <w:tcW w:w="7796" w:type="dxa"/>
            <w:gridSpan w:val="6"/>
            <w:vAlign w:val="center"/>
          </w:tcPr>
          <w:p w14:paraId="71C51DFD" w14:textId="77777777" w:rsidR="0013769E" w:rsidRPr="00560FFC" w:rsidRDefault="0013769E" w:rsidP="007A591A">
            <w:pPr>
              <w:rPr>
                <w:rFonts w:ascii="Arial Narrow" w:hAnsi="Arial Narrow"/>
                <w:b/>
                <w:i/>
                <w:iCs/>
                <w:sz w:val="20"/>
                <w:szCs w:val="20"/>
              </w:rPr>
            </w:pPr>
            <w:r w:rsidRPr="00560FFC">
              <w:rPr>
                <w:rFonts w:ascii="Arial Narrow" w:hAnsi="Arial Narrow"/>
                <w:i/>
                <w:iCs/>
                <w:sz w:val="20"/>
                <w:szCs w:val="20"/>
              </w:rPr>
              <w:t>The condition must have a confirmed pathogenic (class 5) or likely pathogenic (class 4) superoxide dismutase 1 (SOD1) gene variant,</w:t>
            </w:r>
          </w:p>
        </w:tc>
      </w:tr>
      <w:tr w:rsidR="0013769E" w:rsidRPr="00DA782F" w14:paraId="56D2AF15" w14:textId="77777777">
        <w:trPr>
          <w:trHeight w:val="35"/>
        </w:trPr>
        <w:tc>
          <w:tcPr>
            <w:tcW w:w="1271" w:type="dxa"/>
            <w:vAlign w:val="center"/>
          </w:tcPr>
          <w:p w14:paraId="0895AFFE" w14:textId="77777777" w:rsidR="0013769E" w:rsidRPr="00560FFC" w:rsidRDefault="0013769E" w:rsidP="007A591A">
            <w:pPr>
              <w:jc w:val="center"/>
              <w:rPr>
                <w:rFonts w:ascii="Arial Narrow" w:hAnsi="Arial Narrow"/>
                <w:i/>
                <w:iCs/>
                <w:sz w:val="20"/>
                <w:szCs w:val="20"/>
              </w:rPr>
            </w:pPr>
          </w:p>
        </w:tc>
        <w:tc>
          <w:tcPr>
            <w:tcW w:w="7796" w:type="dxa"/>
            <w:gridSpan w:val="6"/>
            <w:vAlign w:val="center"/>
          </w:tcPr>
          <w:p w14:paraId="718D5A6B"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AND</w:t>
            </w:r>
          </w:p>
        </w:tc>
      </w:tr>
      <w:tr w:rsidR="0013769E" w:rsidRPr="00DA782F" w14:paraId="1DAF0492" w14:textId="77777777">
        <w:trPr>
          <w:trHeight w:val="35"/>
        </w:trPr>
        <w:tc>
          <w:tcPr>
            <w:tcW w:w="1271" w:type="dxa"/>
            <w:vAlign w:val="center"/>
          </w:tcPr>
          <w:p w14:paraId="6B93AE57" w14:textId="4C30FA88" w:rsidR="0013769E" w:rsidRPr="00560FFC" w:rsidRDefault="0013769E" w:rsidP="007A591A">
            <w:pPr>
              <w:jc w:val="center"/>
              <w:rPr>
                <w:rFonts w:ascii="Arial Narrow" w:hAnsi="Arial Narrow"/>
                <w:i/>
                <w:iCs/>
                <w:sz w:val="20"/>
                <w:szCs w:val="20"/>
              </w:rPr>
            </w:pPr>
          </w:p>
        </w:tc>
        <w:tc>
          <w:tcPr>
            <w:tcW w:w="7796" w:type="dxa"/>
            <w:gridSpan w:val="6"/>
            <w:vAlign w:val="center"/>
          </w:tcPr>
          <w:p w14:paraId="1B942729"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Clinical criteria:</w:t>
            </w:r>
          </w:p>
        </w:tc>
      </w:tr>
      <w:tr w:rsidR="0013769E" w:rsidRPr="00DA782F" w14:paraId="154C87B4" w14:textId="77777777">
        <w:trPr>
          <w:trHeight w:val="35"/>
        </w:trPr>
        <w:tc>
          <w:tcPr>
            <w:tcW w:w="1271" w:type="dxa"/>
            <w:vAlign w:val="center"/>
          </w:tcPr>
          <w:p w14:paraId="5E4F231D" w14:textId="4427A37E" w:rsidR="0013769E" w:rsidRPr="00560FFC" w:rsidRDefault="0013769E" w:rsidP="007A591A">
            <w:pPr>
              <w:jc w:val="center"/>
              <w:rPr>
                <w:rFonts w:ascii="Arial Narrow" w:hAnsi="Arial Narrow"/>
                <w:i/>
                <w:iCs/>
                <w:sz w:val="20"/>
                <w:szCs w:val="20"/>
              </w:rPr>
            </w:pPr>
          </w:p>
        </w:tc>
        <w:tc>
          <w:tcPr>
            <w:tcW w:w="7796" w:type="dxa"/>
            <w:gridSpan w:val="6"/>
            <w:vAlign w:val="center"/>
          </w:tcPr>
          <w:p w14:paraId="1D02F3B7" w14:textId="77777777" w:rsidR="0013769E" w:rsidRPr="00560FFC" w:rsidRDefault="0013769E" w:rsidP="007A591A">
            <w:pPr>
              <w:rPr>
                <w:rFonts w:ascii="Arial Narrow" w:hAnsi="Arial Narrow"/>
                <w:i/>
                <w:iCs/>
                <w:sz w:val="20"/>
                <w:szCs w:val="20"/>
              </w:rPr>
            </w:pPr>
            <w:r w:rsidRPr="00560FFC">
              <w:rPr>
                <w:rFonts w:ascii="Arial Narrow" w:hAnsi="Arial Narrow"/>
                <w:i/>
                <w:iCs/>
                <w:sz w:val="20"/>
                <w:szCs w:val="20"/>
              </w:rPr>
              <w:t>Patient must not have undergone a tracheostomy</w:t>
            </w:r>
            <w:r w:rsidRPr="00560FFC">
              <w:rPr>
                <w:rFonts w:ascii="Arial Narrow" w:hAnsi="Arial Narrow"/>
                <w:b/>
                <w:i/>
                <w:iCs/>
                <w:sz w:val="20"/>
                <w:szCs w:val="20"/>
              </w:rPr>
              <w:t>,</w:t>
            </w:r>
          </w:p>
        </w:tc>
      </w:tr>
      <w:tr w:rsidR="0013769E" w:rsidRPr="00DA782F" w14:paraId="6A4E8EFE" w14:textId="77777777">
        <w:trPr>
          <w:trHeight w:val="35"/>
        </w:trPr>
        <w:tc>
          <w:tcPr>
            <w:tcW w:w="1271" w:type="dxa"/>
            <w:vAlign w:val="center"/>
          </w:tcPr>
          <w:p w14:paraId="33FEBE29" w14:textId="77777777" w:rsidR="0013769E" w:rsidRPr="00560FFC" w:rsidRDefault="0013769E" w:rsidP="007A591A">
            <w:pPr>
              <w:jc w:val="center"/>
              <w:rPr>
                <w:rFonts w:ascii="Arial Narrow" w:hAnsi="Arial Narrow"/>
                <w:i/>
                <w:iCs/>
                <w:sz w:val="20"/>
                <w:szCs w:val="20"/>
              </w:rPr>
            </w:pPr>
          </w:p>
        </w:tc>
        <w:tc>
          <w:tcPr>
            <w:tcW w:w="7796" w:type="dxa"/>
            <w:gridSpan w:val="6"/>
            <w:vAlign w:val="center"/>
          </w:tcPr>
          <w:p w14:paraId="4ED20675"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AND</w:t>
            </w:r>
          </w:p>
        </w:tc>
      </w:tr>
      <w:tr w:rsidR="0013769E" w:rsidRPr="00DA782F" w14:paraId="27A529AC" w14:textId="77777777">
        <w:trPr>
          <w:trHeight w:val="35"/>
        </w:trPr>
        <w:tc>
          <w:tcPr>
            <w:tcW w:w="1271" w:type="dxa"/>
            <w:vAlign w:val="center"/>
          </w:tcPr>
          <w:p w14:paraId="62D093F7" w14:textId="5EC60F0E" w:rsidR="0013769E" w:rsidRPr="00560FFC" w:rsidRDefault="0013769E" w:rsidP="007A591A">
            <w:pPr>
              <w:jc w:val="center"/>
              <w:rPr>
                <w:rFonts w:ascii="Arial Narrow" w:hAnsi="Arial Narrow"/>
                <w:i/>
                <w:iCs/>
                <w:sz w:val="20"/>
                <w:szCs w:val="20"/>
              </w:rPr>
            </w:pPr>
          </w:p>
        </w:tc>
        <w:tc>
          <w:tcPr>
            <w:tcW w:w="7796" w:type="dxa"/>
            <w:gridSpan w:val="6"/>
            <w:vAlign w:val="center"/>
          </w:tcPr>
          <w:p w14:paraId="76C967EF"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Clinical criteria:</w:t>
            </w:r>
          </w:p>
        </w:tc>
      </w:tr>
      <w:tr w:rsidR="0013769E" w:rsidRPr="00DA782F" w14:paraId="3595F1D7" w14:textId="77777777">
        <w:trPr>
          <w:trHeight w:val="35"/>
        </w:trPr>
        <w:tc>
          <w:tcPr>
            <w:tcW w:w="1271" w:type="dxa"/>
            <w:vAlign w:val="center"/>
          </w:tcPr>
          <w:p w14:paraId="063C6A0E" w14:textId="16BCCF62" w:rsidR="0013769E" w:rsidRPr="00560FFC" w:rsidRDefault="0013769E" w:rsidP="007A591A">
            <w:pPr>
              <w:jc w:val="center"/>
              <w:rPr>
                <w:rFonts w:ascii="Arial Narrow" w:hAnsi="Arial Narrow"/>
                <w:i/>
                <w:iCs/>
                <w:sz w:val="20"/>
                <w:szCs w:val="20"/>
              </w:rPr>
            </w:pPr>
          </w:p>
        </w:tc>
        <w:tc>
          <w:tcPr>
            <w:tcW w:w="7796" w:type="dxa"/>
            <w:gridSpan w:val="6"/>
            <w:vAlign w:val="center"/>
          </w:tcPr>
          <w:p w14:paraId="56BD41E6" w14:textId="77777777" w:rsidR="0013769E" w:rsidRPr="00560FFC" w:rsidRDefault="0013769E" w:rsidP="007A591A">
            <w:pPr>
              <w:rPr>
                <w:rFonts w:ascii="Arial Narrow" w:hAnsi="Arial Narrow"/>
                <w:i/>
                <w:iCs/>
                <w:sz w:val="20"/>
                <w:szCs w:val="20"/>
              </w:rPr>
            </w:pPr>
            <w:r w:rsidRPr="00560FFC">
              <w:rPr>
                <w:rFonts w:ascii="Arial Narrow" w:hAnsi="Arial Narrow"/>
                <w:i/>
                <w:iCs/>
                <w:sz w:val="20"/>
                <w:szCs w:val="20"/>
              </w:rPr>
              <w:t>Patient must not have experienced respiratory failure,</w:t>
            </w:r>
          </w:p>
        </w:tc>
      </w:tr>
      <w:tr w:rsidR="0013769E" w:rsidRPr="00DA782F" w14:paraId="554F34E6" w14:textId="77777777">
        <w:trPr>
          <w:trHeight w:val="35"/>
        </w:trPr>
        <w:tc>
          <w:tcPr>
            <w:tcW w:w="1271" w:type="dxa"/>
            <w:vAlign w:val="center"/>
          </w:tcPr>
          <w:p w14:paraId="546BA46A" w14:textId="77777777" w:rsidR="0013769E" w:rsidRPr="00560FFC" w:rsidRDefault="0013769E" w:rsidP="007A591A">
            <w:pPr>
              <w:jc w:val="center"/>
              <w:rPr>
                <w:rFonts w:ascii="Arial Narrow" w:hAnsi="Arial Narrow"/>
                <w:i/>
                <w:iCs/>
                <w:sz w:val="20"/>
                <w:szCs w:val="20"/>
              </w:rPr>
            </w:pPr>
          </w:p>
        </w:tc>
        <w:tc>
          <w:tcPr>
            <w:tcW w:w="7796" w:type="dxa"/>
            <w:gridSpan w:val="6"/>
            <w:vAlign w:val="center"/>
          </w:tcPr>
          <w:p w14:paraId="408F5225"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AND</w:t>
            </w:r>
          </w:p>
        </w:tc>
      </w:tr>
      <w:tr w:rsidR="00E11416" w:rsidRPr="00DA782F" w14:paraId="33F6A3BB" w14:textId="77777777" w:rsidTr="00EF250F">
        <w:trPr>
          <w:trHeight w:val="35"/>
        </w:trPr>
        <w:tc>
          <w:tcPr>
            <w:tcW w:w="1271" w:type="dxa"/>
          </w:tcPr>
          <w:p w14:paraId="1709D5FA" w14:textId="62C0E45D" w:rsidR="00E11416" w:rsidRPr="00E11416" w:rsidRDefault="00E11416" w:rsidP="007A591A">
            <w:pPr>
              <w:jc w:val="center"/>
              <w:rPr>
                <w:rFonts w:ascii="Arial Narrow" w:hAnsi="Arial Narrow"/>
                <w:i/>
                <w:iCs/>
                <w:sz w:val="20"/>
                <w:szCs w:val="20"/>
              </w:rPr>
            </w:pPr>
          </w:p>
        </w:tc>
        <w:tc>
          <w:tcPr>
            <w:tcW w:w="7796" w:type="dxa"/>
            <w:gridSpan w:val="6"/>
            <w:vAlign w:val="center"/>
          </w:tcPr>
          <w:p w14:paraId="6F6294E2" w14:textId="5E3AEABF" w:rsidR="00E11416" w:rsidRPr="00E11416" w:rsidRDefault="00E11416" w:rsidP="007A591A">
            <w:pPr>
              <w:rPr>
                <w:rFonts w:ascii="Arial Narrow" w:hAnsi="Arial Narrow"/>
                <w:b/>
                <w:i/>
                <w:iCs/>
                <w:sz w:val="20"/>
                <w:szCs w:val="20"/>
              </w:rPr>
            </w:pPr>
            <w:r w:rsidRPr="00EF250F">
              <w:rPr>
                <w:rFonts w:ascii="Arial Narrow" w:hAnsi="Arial Narrow"/>
                <w:b/>
                <w:i/>
                <w:iCs/>
                <w:sz w:val="20"/>
                <w:szCs w:val="20"/>
              </w:rPr>
              <w:t>Clinical criteria:</w:t>
            </w:r>
          </w:p>
        </w:tc>
      </w:tr>
      <w:tr w:rsidR="00E11416" w:rsidRPr="00DA782F" w14:paraId="5F263612" w14:textId="77777777" w:rsidTr="00EF250F">
        <w:trPr>
          <w:trHeight w:val="35"/>
        </w:trPr>
        <w:tc>
          <w:tcPr>
            <w:tcW w:w="1271" w:type="dxa"/>
          </w:tcPr>
          <w:p w14:paraId="105E4696" w14:textId="09F3C2F0" w:rsidR="00E11416" w:rsidRPr="00E11416" w:rsidRDefault="00E11416" w:rsidP="007A591A">
            <w:pPr>
              <w:jc w:val="center"/>
              <w:rPr>
                <w:rFonts w:ascii="Arial Narrow" w:hAnsi="Arial Narrow"/>
                <w:i/>
                <w:iCs/>
                <w:sz w:val="20"/>
                <w:szCs w:val="20"/>
              </w:rPr>
            </w:pPr>
          </w:p>
        </w:tc>
        <w:tc>
          <w:tcPr>
            <w:tcW w:w="7796" w:type="dxa"/>
            <w:gridSpan w:val="6"/>
            <w:vAlign w:val="center"/>
          </w:tcPr>
          <w:p w14:paraId="0BC6A7F6" w14:textId="33EC1D0D" w:rsidR="00E11416" w:rsidRPr="00E11416" w:rsidRDefault="00E11416" w:rsidP="007A591A">
            <w:pPr>
              <w:rPr>
                <w:rFonts w:ascii="Arial Narrow" w:hAnsi="Arial Narrow"/>
                <w:b/>
                <w:i/>
                <w:iCs/>
                <w:sz w:val="20"/>
                <w:szCs w:val="20"/>
              </w:rPr>
            </w:pPr>
            <w:r w:rsidRPr="00EF250F">
              <w:rPr>
                <w:rFonts w:ascii="Arial Narrow" w:hAnsi="Arial Narrow"/>
                <w:i/>
                <w:iCs/>
                <w:sz w:val="20"/>
                <w:szCs w:val="20"/>
              </w:rPr>
              <w:t>Patient must not be receiving palliative care,</w:t>
            </w:r>
          </w:p>
        </w:tc>
      </w:tr>
      <w:tr w:rsidR="00E11416" w:rsidRPr="00DA782F" w14:paraId="37BE0580" w14:textId="77777777" w:rsidTr="0084489A">
        <w:trPr>
          <w:trHeight w:val="35"/>
        </w:trPr>
        <w:tc>
          <w:tcPr>
            <w:tcW w:w="1271" w:type="dxa"/>
          </w:tcPr>
          <w:p w14:paraId="153199F4" w14:textId="77777777" w:rsidR="00E11416" w:rsidRPr="00E11416" w:rsidRDefault="00E11416" w:rsidP="007A591A">
            <w:pPr>
              <w:jc w:val="center"/>
              <w:rPr>
                <w:rFonts w:ascii="Arial Narrow" w:hAnsi="Arial Narrow"/>
                <w:i/>
                <w:iCs/>
                <w:kern w:val="2"/>
                <w:sz w:val="20"/>
                <w:szCs w:val="20"/>
              </w:rPr>
            </w:pPr>
          </w:p>
        </w:tc>
        <w:tc>
          <w:tcPr>
            <w:tcW w:w="7796" w:type="dxa"/>
            <w:gridSpan w:val="6"/>
            <w:vAlign w:val="center"/>
          </w:tcPr>
          <w:p w14:paraId="2AEBEBB3" w14:textId="5EF1AD20" w:rsidR="00E11416" w:rsidRPr="00E11416" w:rsidRDefault="00E11416" w:rsidP="007A591A">
            <w:pPr>
              <w:rPr>
                <w:rFonts w:ascii="Arial Narrow" w:hAnsi="Arial Narrow"/>
                <w:i/>
                <w:iCs/>
                <w:sz w:val="20"/>
                <w:szCs w:val="20"/>
              </w:rPr>
            </w:pPr>
            <w:r w:rsidRPr="00724B77">
              <w:rPr>
                <w:rFonts w:ascii="Arial Narrow" w:hAnsi="Arial Narrow"/>
                <w:b/>
                <w:i/>
                <w:iCs/>
                <w:sz w:val="20"/>
                <w:szCs w:val="20"/>
              </w:rPr>
              <w:t>AND</w:t>
            </w:r>
          </w:p>
        </w:tc>
      </w:tr>
      <w:tr w:rsidR="0013769E" w:rsidRPr="00DA782F" w14:paraId="2D5CE737" w14:textId="77777777">
        <w:trPr>
          <w:trHeight w:val="35"/>
        </w:trPr>
        <w:tc>
          <w:tcPr>
            <w:tcW w:w="1271" w:type="dxa"/>
          </w:tcPr>
          <w:p w14:paraId="5AAD4521" w14:textId="3477AF3E" w:rsidR="0013769E" w:rsidRPr="00560FFC" w:rsidRDefault="0013769E" w:rsidP="007A591A">
            <w:pPr>
              <w:jc w:val="center"/>
              <w:rPr>
                <w:rFonts w:ascii="Arial Narrow" w:hAnsi="Arial Narrow"/>
                <w:i/>
                <w:iCs/>
                <w:sz w:val="20"/>
                <w:szCs w:val="20"/>
              </w:rPr>
            </w:pPr>
          </w:p>
        </w:tc>
        <w:tc>
          <w:tcPr>
            <w:tcW w:w="7796" w:type="dxa"/>
            <w:gridSpan w:val="6"/>
            <w:vAlign w:val="center"/>
          </w:tcPr>
          <w:p w14:paraId="4441DA34"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Clinical criteria:</w:t>
            </w:r>
          </w:p>
        </w:tc>
      </w:tr>
      <w:tr w:rsidR="0013769E" w:rsidRPr="00DA782F" w14:paraId="567571DC" w14:textId="77777777">
        <w:trPr>
          <w:trHeight w:val="35"/>
        </w:trPr>
        <w:tc>
          <w:tcPr>
            <w:tcW w:w="1271" w:type="dxa"/>
          </w:tcPr>
          <w:p w14:paraId="601EF927" w14:textId="6E8AAC92" w:rsidR="0013769E" w:rsidRPr="00560FFC" w:rsidRDefault="0013769E" w:rsidP="007A591A">
            <w:pPr>
              <w:jc w:val="center"/>
              <w:rPr>
                <w:rFonts w:ascii="Arial Narrow" w:hAnsi="Arial Narrow"/>
                <w:i/>
                <w:iCs/>
                <w:sz w:val="20"/>
                <w:szCs w:val="20"/>
              </w:rPr>
            </w:pPr>
          </w:p>
        </w:tc>
        <w:tc>
          <w:tcPr>
            <w:tcW w:w="7796" w:type="dxa"/>
            <w:gridSpan w:val="6"/>
            <w:vAlign w:val="center"/>
          </w:tcPr>
          <w:p w14:paraId="1F4934A5" w14:textId="77777777" w:rsidR="0013769E" w:rsidRPr="00560FFC" w:rsidRDefault="0013769E" w:rsidP="007A591A">
            <w:pPr>
              <w:rPr>
                <w:rFonts w:ascii="Arial Narrow" w:hAnsi="Arial Narrow"/>
                <w:i/>
                <w:iCs/>
                <w:sz w:val="20"/>
                <w:szCs w:val="20"/>
              </w:rPr>
            </w:pPr>
            <w:r w:rsidRPr="00560FFC">
              <w:rPr>
                <w:rFonts w:ascii="Arial Narrow" w:hAnsi="Arial Narrow"/>
                <w:i/>
                <w:iCs/>
                <w:sz w:val="20"/>
                <w:szCs w:val="20"/>
              </w:rPr>
              <w:t>The treatment must be given concomitantly with best supportive care (including riluzole where appropriate) for this condition,</w:t>
            </w:r>
          </w:p>
        </w:tc>
      </w:tr>
      <w:tr w:rsidR="0013769E" w:rsidRPr="00DA782F" w14:paraId="615812A3" w14:textId="77777777">
        <w:trPr>
          <w:trHeight w:val="35"/>
        </w:trPr>
        <w:tc>
          <w:tcPr>
            <w:tcW w:w="1271" w:type="dxa"/>
            <w:vAlign w:val="center"/>
          </w:tcPr>
          <w:p w14:paraId="729DEF8B" w14:textId="77777777" w:rsidR="0013769E" w:rsidRPr="00560FFC" w:rsidRDefault="0013769E" w:rsidP="007A591A">
            <w:pPr>
              <w:jc w:val="center"/>
              <w:rPr>
                <w:rFonts w:ascii="Arial Narrow" w:hAnsi="Arial Narrow"/>
                <w:i/>
                <w:iCs/>
                <w:sz w:val="20"/>
                <w:szCs w:val="20"/>
              </w:rPr>
            </w:pPr>
          </w:p>
        </w:tc>
        <w:tc>
          <w:tcPr>
            <w:tcW w:w="7796" w:type="dxa"/>
            <w:gridSpan w:val="6"/>
            <w:vAlign w:val="center"/>
          </w:tcPr>
          <w:p w14:paraId="2FFB938B"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AND</w:t>
            </w:r>
          </w:p>
        </w:tc>
      </w:tr>
      <w:tr w:rsidR="0013769E" w:rsidRPr="00DA782F" w14:paraId="34B78EFB" w14:textId="77777777">
        <w:trPr>
          <w:trHeight w:val="35"/>
        </w:trPr>
        <w:tc>
          <w:tcPr>
            <w:tcW w:w="1271" w:type="dxa"/>
          </w:tcPr>
          <w:p w14:paraId="0ACFDA93" w14:textId="74241683" w:rsidR="0013769E" w:rsidRPr="00560FFC" w:rsidRDefault="0013769E" w:rsidP="007A591A">
            <w:pPr>
              <w:jc w:val="center"/>
              <w:rPr>
                <w:rFonts w:ascii="Arial Narrow" w:hAnsi="Arial Narrow"/>
                <w:i/>
                <w:iCs/>
                <w:sz w:val="20"/>
                <w:szCs w:val="20"/>
              </w:rPr>
            </w:pPr>
          </w:p>
        </w:tc>
        <w:tc>
          <w:tcPr>
            <w:tcW w:w="7796" w:type="dxa"/>
            <w:gridSpan w:val="6"/>
            <w:vAlign w:val="center"/>
          </w:tcPr>
          <w:p w14:paraId="6300E755"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Clinical criteria:</w:t>
            </w:r>
          </w:p>
        </w:tc>
      </w:tr>
      <w:tr w:rsidR="0013769E" w:rsidRPr="00DA782F" w14:paraId="0D85F817" w14:textId="77777777">
        <w:trPr>
          <w:trHeight w:val="35"/>
        </w:trPr>
        <w:tc>
          <w:tcPr>
            <w:tcW w:w="1271" w:type="dxa"/>
          </w:tcPr>
          <w:p w14:paraId="00F50AA1" w14:textId="0913A543" w:rsidR="0013769E" w:rsidRPr="00560FFC" w:rsidRDefault="0013769E" w:rsidP="007A591A">
            <w:pPr>
              <w:jc w:val="center"/>
              <w:rPr>
                <w:rFonts w:ascii="Arial Narrow" w:hAnsi="Arial Narrow"/>
                <w:i/>
                <w:iCs/>
                <w:sz w:val="20"/>
                <w:szCs w:val="20"/>
              </w:rPr>
            </w:pPr>
          </w:p>
        </w:tc>
        <w:tc>
          <w:tcPr>
            <w:tcW w:w="7796" w:type="dxa"/>
            <w:gridSpan w:val="6"/>
            <w:vAlign w:val="center"/>
          </w:tcPr>
          <w:p w14:paraId="53A574FD" w14:textId="77777777" w:rsidR="0013769E" w:rsidRPr="00560FFC" w:rsidRDefault="0013769E" w:rsidP="007A591A">
            <w:pPr>
              <w:rPr>
                <w:rFonts w:ascii="Arial Narrow" w:hAnsi="Arial Narrow"/>
                <w:i/>
                <w:iCs/>
                <w:sz w:val="20"/>
                <w:szCs w:val="20"/>
              </w:rPr>
            </w:pPr>
            <w:r w:rsidRPr="00560FFC">
              <w:rPr>
                <w:rFonts w:ascii="Arial Narrow" w:hAnsi="Arial Narrow"/>
                <w:i/>
                <w:iCs/>
                <w:sz w:val="20"/>
                <w:szCs w:val="20"/>
              </w:rPr>
              <w:t>Patient must not be receiving concomitant treatment with edaravone for this condition.</w:t>
            </w:r>
          </w:p>
        </w:tc>
      </w:tr>
      <w:tr w:rsidR="0013769E" w:rsidRPr="00DA782F" w14:paraId="712A57D2" w14:textId="77777777">
        <w:trPr>
          <w:trHeight w:val="35"/>
        </w:trPr>
        <w:tc>
          <w:tcPr>
            <w:tcW w:w="1271" w:type="dxa"/>
          </w:tcPr>
          <w:p w14:paraId="678B31B1" w14:textId="20270793" w:rsidR="0013769E" w:rsidRPr="00560FFC" w:rsidRDefault="0013769E" w:rsidP="007A591A">
            <w:pPr>
              <w:jc w:val="center"/>
              <w:rPr>
                <w:rFonts w:ascii="Arial Narrow" w:hAnsi="Arial Narrow"/>
                <w:i/>
                <w:iCs/>
                <w:sz w:val="20"/>
                <w:szCs w:val="20"/>
              </w:rPr>
            </w:pPr>
          </w:p>
        </w:tc>
        <w:tc>
          <w:tcPr>
            <w:tcW w:w="7796" w:type="dxa"/>
            <w:gridSpan w:val="6"/>
            <w:vAlign w:val="center"/>
          </w:tcPr>
          <w:p w14:paraId="61FE3B00" w14:textId="77777777" w:rsidR="0013769E" w:rsidRPr="00560FFC" w:rsidRDefault="0013769E" w:rsidP="007A591A">
            <w:pPr>
              <w:rPr>
                <w:rFonts w:ascii="Arial Narrow" w:hAnsi="Arial Narrow"/>
                <w:b/>
                <w:i/>
                <w:iCs/>
                <w:sz w:val="20"/>
                <w:szCs w:val="20"/>
              </w:rPr>
            </w:pPr>
            <w:r w:rsidRPr="00560FFC">
              <w:rPr>
                <w:rFonts w:ascii="Arial Narrow" w:hAnsi="Arial Narrow"/>
                <w:b/>
                <w:i/>
                <w:iCs/>
                <w:sz w:val="20"/>
                <w:szCs w:val="20"/>
              </w:rPr>
              <w:t>Treatment criteria:</w:t>
            </w:r>
          </w:p>
        </w:tc>
      </w:tr>
      <w:tr w:rsidR="0013769E" w:rsidRPr="00DA782F" w14:paraId="45C20818" w14:textId="77777777">
        <w:trPr>
          <w:trHeight w:val="35"/>
        </w:trPr>
        <w:tc>
          <w:tcPr>
            <w:tcW w:w="1271" w:type="dxa"/>
          </w:tcPr>
          <w:p w14:paraId="007817EB" w14:textId="16994001" w:rsidR="0013769E" w:rsidRPr="00560FFC" w:rsidRDefault="0013769E" w:rsidP="007A591A">
            <w:pPr>
              <w:jc w:val="center"/>
              <w:rPr>
                <w:rFonts w:ascii="Arial Narrow" w:hAnsi="Arial Narrow"/>
                <w:i/>
                <w:iCs/>
                <w:sz w:val="20"/>
                <w:szCs w:val="20"/>
              </w:rPr>
            </w:pPr>
          </w:p>
        </w:tc>
        <w:tc>
          <w:tcPr>
            <w:tcW w:w="7796" w:type="dxa"/>
            <w:gridSpan w:val="6"/>
            <w:vAlign w:val="center"/>
            <w:hideMark/>
          </w:tcPr>
          <w:p w14:paraId="1A3A32F8" w14:textId="77777777" w:rsidR="0013769E" w:rsidRPr="00560FFC" w:rsidRDefault="0013769E" w:rsidP="007A591A">
            <w:pPr>
              <w:contextualSpacing/>
              <w:rPr>
                <w:rFonts w:ascii="Arial Narrow" w:hAnsi="Arial Narrow"/>
                <w:i/>
                <w:iCs/>
                <w:strike/>
                <w:sz w:val="20"/>
                <w:szCs w:val="20"/>
              </w:rPr>
            </w:pPr>
            <w:r w:rsidRPr="00560FFC">
              <w:rPr>
                <w:rFonts w:ascii="Arial Narrow" w:hAnsi="Arial Narrow"/>
                <w:i/>
                <w:iCs/>
                <w:sz w:val="20"/>
                <w:szCs w:val="20"/>
              </w:rPr>
              <w:t>Must be treated by a specialist with expertise in the diagnosis and management of amyotrophic lateral sclerosis</w:t>
            </w:r>
            <w:r w:rsidRPr="00560FFC" w:rsidDel="00FE59EB">
              <w:rPr>
                <w:rFonts w:ascii="Arial Narrow" w:hAnsi="Arial Narrow"/>
                <w:i/>
                <w:iCs/>
                <w:sz w:val="20"/>
                <w:szCs w:val="20"/>
              </w:rPr>
              <w:t>.</w:t>
            </w:r>
          </w:p>
        </w:tc>
      </w:tr>
      <w:tr w:rsidR="0013769E" w:rsidRPr="00DA782F" w14:paraId="32F93069" w14:textId="77777777">
        <w:trPr>
          <w:trHeight w:val="300"/>
        </w:trPr>
        <w:tc>
          <w:tcPr>
            <w:tcW w:w="1271" w:type="dxa"/>
            <w:vAlign w:val="center"/>
          </w:tcPr>
          <w:p w14:paraId="3FBD684F" w14:textId="66D78C4E" w:rsidR="0013769E" w:rsidRPr="008E4E3A" w:rsidRDefault="0013769E" w:rsidP="007A591A">
            <w:pPr>
              <w:jc w:val="center"/>
              <w:rPr>
                <w:rFonts w:ascii="Arial Narrow" w:hAnsi="Arial Narrow"/>
                <w:i/>
                <w:iCs/>
                <w:sz w:val="20"/>
                <w:szCs w:val="20"/>
              </w:rPr>
            </w:pPr>
          </w:p>
        </w:tc>
        <w:tc>
          <w:tcPr>
            <w:tcW w:w="7796" w:type="dxa"/>
            <w:gridSpan w:val="6"/>
            <w:vAlign w:val="center"/>
            <w:hideMark/>
          </w:tcPr>
          <w:p w14:paraId="605769ED" w14:textId="77777777" w:rsidR="0013769E" w:rsidRPr="008E4E3A" w:rsidRDefault="0013769E" w:rsidP="007A591A">
            <w:pPr>
              <w:rPr>
                <w:rFonts w:ascii="Arial Narrow" w:hAnsi="Arial Narrow"/>
                <w:i/>
                <w:iCs/>
                <w:sz w:val="20"/>
                <w:szCs w:val="20"/>
              </w:rPr>
            </w:pPr>
            <w:r w:rsidRPr="008E4E3A">
              <w:rPr>
                <w:rFonts w:ascii="Arial Narrow" w:hAnsi="Arial Narrow"/>
                <w:b/>
                <w:i/>
                <w:iCs/>
                <w:sz w:val="20"/>
                <w:szCs w:val="20"/>
              </w:rPr>
              <w:t>Prescribing Instructions:</w:t>
            </w:r>
            <w:r w:rsidRPr="008E4E3A">
              <w:rPr>
                <w:rFonts w:ascii="Arial Narrow" w:hAnsi="Arial Narrow"/>
                <w:i/>
                <w:iCs/>
                <w:sz w:val="20"/>
                <w:szCs w:val="20"/>
              </w:rPr>
              <w:t xml:space="preserve"> </w:t>
            </w:r>
          </w:p>
          <w:p w14:paraId="5CAB4EC1" w14:textId="19E7D225" w:rsidR="0013769E" w:rsidRPr="008E4E3A" w:rsidRDefault="0013769E" w:rsidP="007A591A">
            <w:pPr>
              <w:rPr>
                <w:rFonts w:ascii="Arial Narrow" w:hAnsi="Arial Narrow"/>
                <w:i/>
                <w:iCs/>
                <w:sz w:val="20"/>
                <w:szCs w:val="20"/>
              </w:rPr>
            </w:pPr>
            <w:r w:rsidRPr="008E4E3A">
              <w:rPr>
                <w:rFonts w:ascii="Arial Narrow" w:hAnsi="Arial Narrow"/>
                <w:i/>
                <w:iCs/>
                <w:sz w:val="20"/>
                <w:szCs w:val="20"/>
              </w:rPr>
              <w:lastRenderedPageBreak/>
              <w:t xml:space="preserve">The date and details of the patient’s genetic testing confirming the presence of the SOD1 gene mutation </w:t>
            </w:r>
            <w:r w:rsidR="006C54AF" w:rsidRPr="008E4E3A">
              <w:rPr>
                <w:rFonts w:ascii="Arial Narrow" w:hAnsi="Arial Narrow"/>
                <w:i/>
                <w:iCs/>
                <w:sz w:val="20"/>
                <w:szCs w:val="20"/>
              </w:rPr>
              <w:t>must be documented in the patient’s medical records.</w:t>
            </w:r>
            <w:r w:rsidRPr="008E4E3A">
              <w:rPr>
                <w:rFonts w:ascii="Arial Narrow" w:hAnsi="Arial Narrow"/>
                <w:i/>
                <w:iCs/>
                <w:sz w:val="20"/>
                <w:szCs w:val="20"/>
              </w:rPr>
              <w:t xml:space="preserve"> </w:t>
            </w:r>
          </w:p>
        </w:tc>
      </w:tr>
      <w:tr w:rsidR="0013769E" w:rsidRPr="006F31B9" w14:paraId="61F8F8B6" w14:textId="77777777">
        <w:trPr>
          <w:trHeight w:val="300"/>
        </w:trPr>
        <w:tc>
          <w:tcPr>
            <w:tcW w:w="1271" w:type="dxa"/>
          </w:tcPr>
          <w:p w14:paraId="1CC2EE02" w14:textId="700B0467" w:rsidR="0013769E" w:rsidRPr="00560FFC" w:rsidRDefault="0013769E" w:rsidP="007A591A">
            <w:pPr>
              <w:jc w:val="center"/>
              <w:rPr>
                <w:rFonts w:ascii="Arial Narrow" w:hAnsi="Arial Narrow"/>
                <w:i/>
                <w:iCs/>
                <w:sz w:val="20"/>
                <w:szCs w:val="20"/>
              </w:rPr>
            </w:pPr>
          </w:p>
        </w:tc>
        <w:tc>
          <w:tcPr>
            <w:tcW w:w="7796" w:type="dxa"/>
            <w:gridSpan w:val="6"/>
            <w:vAlign w:val="center"/>
          </w:tcPr>
          <w:p w14:paraId="7D318F99" w14:textId="77777777" w:rsidR="0013769E" w:rsidRPr="00560FFC" w:rsidRDefault="0013769E" w:rsidP="007A591A">
            <w:pPr>
              <w:rPr>
                <w:rFonts w:ascii="Arial Narrow" w:eastAsia="Calibri" w:hAnsi="Arial Narrow"/>
                <w:i/>
                <w:iCs/>
                <w:sz w:val="20"/>
                <w:szCs w:val="20"/>
              </w:rPr>
            </w:pPr>
            <w:r w:rsidRPr="00560FFC">
              <w:rPr>
                <w:rFonts w:ascii="Arial Narrow" w:hAnsi="Arial Narrow"/>
                <w:b/>
                <w:bCs/>
                <w:i/>
                <w:iCs/>
                <w:color w:val="333333"/>
                <w:sz w:val="20"/>
                <w:szCs w:val="20"/>
              </w:rPr>
              <w:t>Prescribing Instructions:</w:t>
            </w:r>
          </w:p>
          <w:p w14:paraId="715EEEB8" w14:textId="274CA30C" w:rsidR="0013769E" w:rsidRPr="00560FFC" w:rsidRDefault="0013769E" w:rsidP="007A591A">
            <w:pPr>
              <w:rPr>
                <w:rFonts w:ascii="Arial Narrow" w:hAnsi="Arial Narrow"/>
                <w:b/>
                <w:i/>
                <w:iCs/>
                <w:sz w:val="20"/>
                <w:szCs w:val="20"/>
              </w:rPr>
            </w:pPr>
            <w:r w:rsidRPr="00560FFC">
              <w:rPr>
                <w:rFonts w:ascii="Arial Narrow" w:hAnsi="Arial Narrow"/>
                <w:i/>
                <w:iCs/>
                <w:sz w:val="20"/>
                <w:szCs w:val="20"/>
              </w:rPr>
              <w:t>A patient may qualify for PBS</w:t>
            </w:r>
            <w:r w:rsidR="007A591A">
              <w:rPr>
                <w:rFonts w:ascii="Arial Narrow" w:hAnsi="Arial Narrow"/>
                <w:i/>
                <w:iCs/>
                <w:sz w:val="20"/>
                <w:szCs w:val="20"/>
              </w:rPr>
              <w:noBreakHyphen/>
            </w:r>
            <w:r w:rsidRPr="00560FFC">
              <w:rPr>
                <w:rFonts w:ascii="Arial Narrow" w:hAnsi="Arial Narrow"/>
                <w:i/>
                <w:iCs/>
                <w:sz w:val="20"/>
                <w:szCs w:val="20"/>
              </w:rPr>
              <w:t>subsidised treatment under this restriction once only. For continuing PBS</w:t>
            </w:r>
            <w:r w:rsidR="007A591A">
              <w:rPr>
                <w:rFonts w:ascii="Arial Narrow" w:hAnsi="Arial Narrow"/>
                <w:i/>
                <w:iCs/>
                <w:sz w:val="20"/>
                <w:szCs w:val="20"/>
              </w:rPr>
              <w:noBreakHyphen/>
            </w:r>
            <w:r w:rsidRPr="00560FFC">
              <w:rPr>
                <w:rFonts w:ascii="Arial Narrow" w:hAnsi="Arial Narrow"/>
                <w:i/>
                <w:iCs/>
                <w:sz w:val="20"/>
                <w:szCs w:val="20"/>
              </w:rPr>
              <w:t>subsidised treatment, a grandfathered patient must qualify under the Subsequent continuing treatment criteria.</w:t>
            </w:r>
          </w:p>
        </w:tc>
      </w:tr>
      <w:tr w:rsidR="0013769E" w:rsidRPr="006F31B9" w14:paraId="751D6F41" w14:textId="77777777">
        <w:trPr>
          <w:trHeight w:val="300"/>
        </w:trPr>
        <w:tc>
          <w:tcPr>
            <w:tcW w:w="1271" w:type="dxa"/>
          </w:tcPr>
          <w:p w14:paraId="276A3F4D" w14:textId="3F56045C" w:rsidR="0013769E" w:rsidRPr="00560FFC" w:rsidRDefault="0013769E" w:rsidP="007A591A">
            <w:pPr>
              <w:jc w:val="center"/>
              <w:rPr>
                <w:rFonts w:ascii="Arial Narrow" w:hAnsi="Arial Narrow"/>
                <w:i/>
                <w:iCs/>
                <w:sz w:val="20"/>
                <w:szCs w:val="20"/>
              </w:rPr>
            </w:pPr>
          </w:p>
        </w:tc>
        <w:tc>
          <w:tcPr>
            <w:tcW w:w="7796" w:type="dxa"/>
            <w:gridSpan w:val="6"/>
            <w:vAlign w:val="center"/>
          </w:tcPr>
          <w:p w14:paraId="320B3701" w14:textId="77777777" w:rsidR="0013769E" w:rsidRPr="00560FFC" w:rsidRDefault="0013769E" w:rsidP="007A591A">
            <w:pPr>
              <w:rPr>
                <w:rFonts w:ascii="Arial Narrow" w:eastAsia="Calibri" w:hAnsi="Arial Narrow"/>
                <w:i/>
                <w:iCs/>
                <w:sz w:val="20"/>
                <w:szCs w:val="20"/>
              </w:rPr>
            </w:pPr>
            <w:r w:rsidRPr="00560FFC">
              <w:rPr>
                <w:rFonts w:ascii="Arial Narrow" w:hAnsi="Arial Narrow"/>
                <w:b/>
                <w:bCs/>
                <w:i/>
                <w:iCs/>
                <w:color w:val="333333"/>
                <w:sz w:val="20"/>
                <w:szCs w:val="20"/>
              </w:rPr>
              <w:t>Prescribing Instructions:</w:t>
            </w:r>
          </w:p>
          <w:p w14:paraId="7349E685" w14:textId="77777777" w:rsidR="0013769E" w:rsidRPr="00560FFC" w:rsidRDefault="0013769E" w:rsidP="007A591A">
            <w:pPr>
              <w:rPr>
                <w:rFonts w:ascii="Arial Narrow" w:hAnsi="Arial Narrow"/>
                <w:b/>
                <w:i/>
                <w:iCs/>
                <w:sz w:val="20"/>
                <w:szCs w:val="20"/>
              </w:rPr>
            </w:pPr>
            <w:r w:rsidRPr="00560FFC">
              <w:rPr>
                <w:rFonts w:ascii="Arial Narrow" w:eastAsia="Calibri" w:hAnsi="Arial Narrow"/>
                <w:i/>
                <w:iCs/>
                <w:sz w:val="20"/>
                <w:szCs w:val="20"/>
              </w:rPr>
              <w:t>This grandfather restriction will cease to operate from 12 months after the date specified in the clinical criteria.</w:t>
            </w:r>
          </w:p>
        </w:tc>
      </w:tr>
    </w:tbl>
    <w:p w14:paraId="12C0E31C" w14:textId="77777777" w:rsidR="0013769E" w:rsidRPr="00B66376" w:rsidRDefault="0013769E" w:rsidP="007A591A">
      <w:pPr>
        <w:pStyle w:val="3-BodyText"/>
        <w:numPr>
          <w:ilvl w:val="0"/>
          <w:numId w:val="0"/>
        </w:numPr>
      </w:pPr>
    </w:p>
    <w:p w14:paraId="7B2DB4D8" w14:textId="129A44FB" w:rsidR="00AD3B0D" w:rsidRPr="00202E0A" w:rsidRDefault="00E92D3D" w:rsidP="007A591A">
      <w:pPr>
        <w:pStyle w:val="3-BodyText"/>
      </w:pPr>
      <w:bookmarkStart w:id="2" w:name="_Ref220497342"/>
      <w:r w:rsidRPr="00202E0A">
        <w:t xml:space="preserve">In the November 2025 submission the requested effective </w:t>
      </w:r>
      <w:r w:rsidR="00065D5B" w:rsidRPr="00202E0A">
        <w:t>ex</w:t>
      </w:r>
      <w:r w:rsidR="007A591A">
        <w:noBreakHyphen/>
      </w:r>
      <w:r w:rsidR="00065D5B" w:rsidRPr="00202E0A">
        <w:t>manufacturer price (</w:t>
      </w:r>
      <w:r w:rsidRPr="00202E0A">
        <w:t>EMP</w:t>
      </w:r>
      <w:r w:rsidR="00065D5B" w:rsidRPr="00202E0A">
        <w:t>)</w:t>
      </w:r>
      <w:r w:rsidRPr="00202E0A">
        <w:t xml:space="preserve"> </w:t>
      </w:r>
      <w:r w:rsidR="00065D5B" w:rsidRPr="00202E0A">
        <w:t xml:space="preserve">for tofersen </w:t>
      </w:r>
      <w:r w:rsidRPr="00202E0A">
        <w:t>was $</w:t>
      </w:r>
      <w:r w:rsidR="00C10EC6" w:rsidRPr="00C10EC6">
        <w:rPr>
          <w:sz w:val="2"/>
          <w:highlight w:val="black"/>
        </w:rPr>
        <w:t>redacted content</w:t>
      </w:r>
      <w:r w:rsidRPr="00202E0A">
        <w:t xml:space="preserve"> per vial; whereas the effective EMP in the March 2026 resubmission is $</w:t>
      </w:r>
      <w:r w:rsidR="00C10EC6" w:rsidRPr="00C10EC6">
        <w:rPr>
          <w:sz w:val="2"/>
          <w:highlight w:val="black"/>
        </w:rPr>
        <w:t>redacted content</w:t>
      </w:r>
      <w:r w:rsidR="00D31D44" w:rsidRPr="00202E0A">
        <w:t xml:space="preserve"> per vial</w:t>
      </w:r>
      <w:r w:rsidR="00065D5B" w:rsidRPr="00202E0A">
        <w:t xml:space="preserve"> (</w:t>
      </w:r>
      <w:r w:rsidR="00C10EC6" w:rsidRPr="00C10EC6">
        <w:rPr>
          <w:sz w:val="2"/>
          <w:highlight w:val="black"/>
        </w:rPr>
        <w:t>redacted content</w:t>
      </w:r>
      <w:r w:rsidR="00065D5B" w:rsidRPr="00202E0A">
        <w:t>% reduction)</w:t>
      </w:r>
      <w:r w:rsidR="00D31D44" w:rsidRPr="00202E0A">
        <w:t xml:space="preserve">. The effective EMP is reduced by a further </w:t>
      </w:r>
      <w:r w:rsidR="00C10EC6" w:rsidRPr="00C10EC6">
        <w:rPr>
          <w:sz w:val="2"/>
          <w:highlight w:val="black"/>
        </w:rPr>
        <w:t>redacted content</w:t>
      </w:r>
      <w:r w:rsidR="00D31D44" w:rsidRPr="00202E0A">
        <w:t xml:space="preserve">% in the first continuation phase </w:t>
      </w:r>
      <w:r w:rsidR="00E1319A" w:rsidRPr="00202E0A">
        <w:t xml:space="preserve">(see paragraph </w:t>
      </w:r>
      <w:r w:rsidR="0082240B" w:rsidRPr="00032A8D">
        <w:fldChar w:fldCharType="begin"/>
      </w:r>
      <w:r w:rsidR="0082240B" w:rsidRPr="00202E0A">
        <w:instrText xml:space="preserve"> REF _Ref220496566 \r \h </w:instrText>
      </w:r>
      <w:r w:rsidR="002B6176" w:rsidRPr="00032A8D">
        <w:instrText xml:space="preserve"> \* MERGEFORMAT </w:instrText>
      </w:r>
      <w:r w:rsidR="0082240B" w:rsidRPr="00032A8D">
        <w:fldChar w:fldCharType="separate"/>
      </w:r>
      <w:r w:rsidR="00210420">
        <w:t>3.2</w:t>
      </w:r>
      <w:r w:rsidR="0082240B" w:rsidRPr="00032A8D">
        <w:fldChar w:fldCharType="end"/>
      </w:r>
      <w:r w:rsidR="00E1319A" w:rsidRPr="00202E0A">
        <w:t>) to $</w:t>
      </w:r>
      <w:r w:rsidR="00C10EC6" w:rsidRPr="00C10EC6">
        <w:rPr>
          <w:sz w:val="2"/>
          <w:highlight w:val="black"/>
        </w:rPr>
        <w:t>redacted content</w:t>
      </w:r>
      <w:r w:rsidR="00E1319A" w:rsidRPr="00202E0A">
        <w:t xml:space="preserve"> per vial </w:t>
      </w:r>
      <w:r w:rsidR="005B02B6" w:rsidRPr="00202E0A">
        <w:t>to reflect the proportion of non</w:t>
      </w:r>
      <w:r w:rsidR="007A591A">
        <w:noBreakHyphen/>
      </w:r>
      <w:r w:rsidR="005B02B6" w:rsidRPr="00202E0A">
        <w:t>responders.</w:t>
      </w:r>
      <w:bookmarkEnd w:id="2"/>
    </w:p>
    <w:p w14:paraId="6A6D7802" w14:textId="4B5A37AF" w:rsidR="00232D46" w:rsidRPr="00202E0A" w:rsidRDefault="00A55362" w:rsidP="007A591A">
      <w:pPr>
        <w:pStyle w:val="3-BodyText"/>
      </w:pPr>
      <w:r w:rsidRPr="00202E0A">
        <w:t xml:space="preserve">The resubmission accepted the </w:t>
      </w:r>
      <w:r w:rsidR="0069727A" w:rsidRPr="00202E0A">
        <w:t xml:space="preserve">majority of the </w:t>
      </w:r>
      <w:r w:rsidRPr="00202E0A">
        <w:t>Secretariat</w:t>
      </w:r>
      <w:r w:rsidR="002B073D" w:rsidRPr="00202E0A">
        <w:t>’</w:t>
      </w:r>
      <w:r w:rsidRPr="00202E0A">
        <w:t>s proposed wording changes</w:t>
      </w:r>
      <w:r w:rsidR="0069727A" w:rsidRPr="00202E0A">
        <w:t xml:space="preserve">. The resubmission stated that </w:t>
      </w:r>
      <w:r w:rsidR="00B24B82" w:rsidRPr="00202E0A">
        <w:t>restricting treatment to registered specialist clinics may inadvertently create equity of access issues</w:t>
      </w:r>
      <w:r w:rsidR="00220735" w:rsidRPr="00202E0A">
        <w:t>, particularly for rural and remote patients. Instead</w:t>
      </w:r>
      <w:r w:rsidR="004F39CB" w:rsidRPr="00202E0A">
        <w:t>,</w:t>
      </w:r>
      <w:r w:rsidR="00220735" w:rsidRPr="00202E0A">
        <w:t xml:space="preserve"> the resubmission proposed that treatment must be initiated </w:t>
      </w:r>
      <w:r w:rsidR="004F39CB" w:rsidRPr="00202E0A">
        <w:t xml:space="preserve">by a specialist with expertise in the diagnosis and management of ALS, with continuation treatment by a specialist or in consultation with a specialist. </w:t>
      </w:r>
      <w:r w:rsidR="00273149">
        <w:t xml:space="preserve">The PBAC considered that treatment should be by a specialist only for both initial and continuing treatment. </w:t>
      </w:r>
    </w:p>
    <w:p w14:paraId="14A4E9A9" w14:textId="37D0E069" w:rsidR="005727BF" w:rsidRPr="00202E0A" w:rsidRDefault="00F82FD3" w:rsidP="007A591A">
      <w:pPr>
        <w:pStyle w:val="3-BodyText"/>
      </w:pPr>
      <w:r w:rsidRPr="00202E0A">
        <w:t xml:space="preserve">The submission proposed that patients are treated under the initial listing for 6 months </w:t>
      </w:r>
      <w:r w:rsidR="005628E4" w:rsidRPr="00202E0A">
        <w:t>(</w:t>
      </w:r>
      <w:r w:rsidR="00296754" w:rsidRPr="00202E0A">
        <w:t xml:space="preserve">3 </w:t>
      </w:r>
      <w:r w:rsidR="005628E4" w:rsidRPr="00202E0A">
        <w:t xml:space="preserve">loading doses </w:t>
      </w:r>
      <w:r w:rsidR="00364E6D" w:rsidRPr="00202E0A">
        <w:t xml:space="preserve">on day </w:t>
      </w:r>
      <w:r w:rsidR="00176C75" w:rsidRPr="00202E0A">
        <w:t>0</w:t>
      </w:r>
      <w:r w:rsidR="00B46C58" w:rsidRPr="00202E0A">
        <w:t>,</w:t>
      </w:r>
      <w:r w:rsidR="007A591A">
        <w:t xml:space="preserve"> </w:t>
      </w:r>
      <w:r w:rsidR="00364E6D" w:rsidRPr="00202E0A">
        <w:t>1</w:t>
      </w:r>
      <w:r w:rsidR="00176C75" w:rsidRPr="00202E0A">
        <w:t>4</w:t>
      </w:r>
      <w:r w:rsidR="00364E6D" w:rsidRPr="00202E0A">
        <w:t xml:space="preserve">, </w:t>
      </w:r>
      <w:r w:rsidR="00B46C58" w:rsidRPr="00202E0A">
        <w:t>and 2</w:t>
      </w:r>
      <w:r w:rsidR="00176C75" w:rsidRPr="00202E0A">
        <w:t>8</w:t>
      </w:r>
      <w:r w:rsidR="00364E6D" w:rsidRPr="00202E0A">
        <w:t xml:space="preserve"> followed by </w:t>
      </w:r>
      <w:r w:rsidR="00567C7F" w:rsidRPr="00202E0A">
        <w:t xml:space="preserve">dosing every 4 weeks). The proposed 7 repeats would allow for </w:t>
      </w:r>
      <w:r w:rsidR="001F322C" w:rsidRPr="00202E0A">
        <w:t xml:space="preserve">up to </w:t>
      </w:r>
      <w:r w:rsidR="00280E3C" w:rsidRPr="00202E0A">
        <w:t>2</w:t>
      </w:r>
      <w:r w:rsidR="004E4DAD" w:rsidRPr="00202E0A">
        <w:t>8</w:t>
      </w:r>
      <w:r w:rsidR="009E060B" w:rsidRPr="00202E0A">
        <w:t xml:space="preserve"> weeks of treatment (approximately </w:t>
      </w:r>
      <w:r w:rsidR="00C932BB" w:rsidRPr="00202E0A">
        <w:t>7</w:t>
      </w:r>
      <w:r w:rsidR="00280E3C" w:rsidRPr="00202E0A">
        <w:t xml:space="preserve"> months). </w:t>
      </w:r>
      <w:r w:rsidR="00264CC8" w:rsidRPr="00202E0A">
        <w:t>Patients would then receive an additional 6 months of treatment under the first continuing listing</w:t>
      </w:r>
      <w:r w:rsidR="00AF50E9" w:rsidRPr="00202E0A">
        <w:t xml:space="preserve">, after which they would </w:t>
      </w:r>
      <w:r w:rsidR="00786C22" w:rsidRPr="00202E0A">
        <w:t xml:space="preserve">be assessed for response </w:t>
      </w:r>
      <w:r w:rsidR="0003343A" w:rsidRPr="00202E0A">
        <w:t>to treatment</w:t>
      </w:r>
      <w:r w:rsidR="00E862E3" w:rsidRPr="00202E0A">
        <w:t xml:space="preserve">. The proposed 6 repeats would allow for </w:t>
      </w:r>
      <w:r w:rsidR="00453B48" w:rsidRPr="00202E0A">
        <w:t xml:space="preserve">another </w:t>
      </w:r>
      <w:r w:rsidR="00E862E3" w:rsidRPr="00202E0A">
        <w:t>28 weeks of treatment</w:t>
      </w:r>
      <w:r w:rsidR="00DA6986" w:rsidRPr="00202E0A">
        <w:t xml:space="preserve"> (i.e. </w:t>
      </w:r>
      <w:r w:rsidR="00A36FB2" w:rsidRPr="00202E0A">
        <w:t xml:space="preserve">up to </w:t>
      </w:r>
      <w:r w:rsidR="00DA6986" w:rsidRPr="00202E0A">
        <w:t>5</w:t>
      </w:r>
      <w:r w:rsidR="005B3D52" w:rsidRPr="00202E0A">
        <w:t>6</w:t>
      </w:r>
      <w:r w:rsidR="00DA6986" w:rsidRPr="00202E0A">
        <w:t xml:space="preserve"> weeks in total until </w:t>
      </w:r>
      <w:r w:rsidR="00A36FB2" w:rsidRPr="00202E0A">
        <w:t xml:space="preserve">the </w:t>
      </w:r>
      <w:r w:rsidR="00DA6986" w:rsidRPr="00202E0A">
        <w:t>first assessment of response at 12 months)</w:t>
      </w:r>
      <w:r w:rsidR="00E862E3" w:rsidRPr="00202E0A">
        <w:t>.</w:t>
      </w:r>
      <w:r w:rsidR="00453B48" w:rsidRPr="00202E0A">
        <w:t xml:space="preserve"> </w:t>
      </w:r>
    </w:p>
    <w:p w14:paraId="0A6CC33A" w14:textId="6464D44F" w:rsidR="00570066" w:rsidRPr="004E7828" w:rsidRDefault="0003343A" w:rsidP="007A591A">
      <w:pPr>
        <w:pStyle w:val="3-BodyText"/>
      </w:pPr>
      <w:r w:rsidRPr="00202E0A">
        <w:t xml:space="preserve">If a patient does not meet the </w:t>
      </w:r>
      <w:r w:rsidR="00643596" w:rsidRPr="00202E0A">
        <w:t xml:space="preserve">response criteria, the submission proposed </w:t>
      </w:r>
      <w:r w:rsidR="00D723B0" w:rsidRPr="00202E0A">
        <w:t>they receive an additional 3 months of treatment</w:t>
      </w:r>
      <w:r w:rsidR="00280E3C" w:rsidRPr="00202E0A">
        <w:t xml:space="preserve"> </w:t>
      </w:r>
      <w:r w:rsidR="00F5528F" w:rsidRPr="00202E0A">
        <w:t>under the first continuing listing</w:t>
      </w:r>
      <w:r w:rsidR="00F034EA" w:rsidRPr="00202E0A">
        <w:t xml:space="preserve">, </w:t>
      </w:r>
      <w:r w:rsidR="00A2587B" w:rsidRPr="00202E0A">
        <w:t xml:space="preserve">before reassessment. Where patients meet the response criteria they would continue treatment under the </w:t>
      </w:r>
      <w:r w:rsidR="00C85D54" w:rsidRPr="00202E0A">
        <w:t>t</w:t>
      </w:r>
      <w:r w:rsidR="00C6546D" w:rsidRPr="00202E0A">
        <w:t xml:space="preserve">reatment </w:t>
      </w:r>
      <w:r w:rsidR="00C85D54" w:rsidRPr="00202E0A">
        <w:t>r</w:t>
      </w:r>
      <w:r w:rsidR="00C6546D" w:rsidRPr="00202E0A">
        <w:t xml:space="preserve">esponse </w:t>
      </w:r>
      <w:r w:rsidR="00C85D54" w:rsidRPr="00202E0A">
        <w:t>p</w:t>
      </w:r>
      <w:r w:rsidR="00C6546D" w:rsidRPr="00202E0A">
        <w:t xml:space="preserve">hase listing. </w:t>
      </w:r>
      <w:r w:rsidR="00570066" w:rsidRPr="00202E0A">
        <w:t>The resubmission suggested that a prescriber note (e.g. Patient will be eligible for a maximum of one PBS</w:t>
      </w:r>
      <w:r w:rsidR="007A591A">
        <w:noBreakHyphen/>
      </w:r>
      <w:r w:rsidR="00570066" w:rsidRPr="00202E0A">
        <w:t>subsidised prescription as initial phase, and a maximum number of two PBS</w:t>
      </w:r>
      <w:r w:rsidR="007A591A">
        <w:noBreakHyphen/>
      </w:r>
      <w:r w:rsidR="00570066" w:rsidRPr="00202E0A">
        <w:t>subsidised prescriptions as a first continuation phase) could be included to ensure clinicians progress the patients through in the correct sequence and ensure that the correct item is used in the case that a confirmation period o</w:t>
      </w:r>
      <w:r w:rsidR="000539A9" w:rsidRPr="00202E0A">
        <w:t>f</w:t>
      </w:r>
      <w:r w:rsidR="00570066" w:rsidRPr="00202E0A">
        <w:t xml:space="preserve"> 3 months is required for discontinuation due to non</w:t>
      </w:r>
      <w:r w:rsidR="007A591A">
        <w:noBreakHyphen/>
      </w:r>
      <w:r w:rsidR="00570066" w:rsidRPr="00202E0A">
        <w:t xml:space="preserve">response. </w:t>
      </w:r>
      <w:r w:rsidR="00EC6AA0" w:rsidRPr="00202E0A">
        <w:t xml:space="preserve">This would </w:t>
      </w:r>
      <w:r w:rsidR="00531F6B" w:rsidRPr="00202E0A">
        <w:t xml:space="preserve">also </w:t>
      </w:r>
      <w:r w:rsidR="00EC6AA0" w:rsidRPr="00202E0A">
        <w:t xml:space="preserve">be necessary to ensure that patients </w:t>
      </w:r>
      <w:r w:rsidR="00CA5637" w:rsidRPr="00202E0A">
        <w:t xml:space="preserve">are not able to continue </w:t>
      </w:r>
      <w:r w:rsidR="00531F6B" w:rsidRPr="00202E0A">
        <w:t xml:space="preserve">treatment </w:t>
      </w:r>
      <w:r w:rsidR="00CA5637" w:rsidRPr="00202E0A">
        <w:t xml:space="preserve">indefinitely </w:t>
      </w:r>
      <w:r w:rsidR="00531F6B" w:rsidRPr="00202E0A">
        <w:t xml:space="preserve">under the </w:t>
      </w:r>
      <w:r w:rsidR="00965D37" w:rsidRPr="00202E0A">
        <w:t xml:space="preserve">first continuation phase </w:t>
      </w:r>
      <w:r w:rsidR="00CA5637" w:rsidRPr="00202E0A">
        <w:t>without the need to demonstrate treatment response.</w:t>
      </w:r>
      <w:r w:rsidR="00064492" w:rsidRPr="00202E0A">
        <w:t xml:space="preserve"> As </w:t>
      </w:r>
      <w:r w:rsidR="00463F45" w:rsidRPr="00202E0A">
        <w:t xml:space="preserve">it would be </w:t>
      </w:r>
      <w:r w:rsidR="00FD3F38" w:rsidRPr="00202E0A">
        <w:lastRenderedPageBreak/>
        <w:t xml:space="preserve">administratively difficult to </w:t>
      </w:r>
      <w:r w:rsidR="00BB7DAD" w:rsidRPr="00202E0A">
        <w:t>approve</w:t>
      </w:r>
      <w:r w:rsidR="00FD3F38" w:rsidRPr="00202E0A">
        <w:t xml:space="preserve"> </w:t>
      </w:r>
      <w:r w:rsidR="00810A9B" w:rsidRPr="00202E0A">
        <w:t>an</w:t>
      </w:r>
      <w:r w:rsidR="00FD3F38" w:rsidRPr="00202E0A">
        <w:t xml:space="preserve"> additional 3 </w:t>
      </w:r>
      <w:r w:rsidR="00BB7DAD" w:rsidRPr="00202E0A">
        <w:t>supplies</w:t>
      </w:r>
      <w:r w:rsidR="00FD3F38" w:rsidRPr="00202E0A">
        <w:t xml:space="preserve"> under the same first continuing treatment, t</w:t>
      </w:r>
      <w:r w:rsidR="00064492" w:rsidRPr="00202E0A">
        <w:t xml:space="preserve">he </w:t>
      </w:r>
      <w:r w:rsidR="0093041F" w:rsidRPr="00202E0A">
        <w:t>S</w:t>
      </w:r>
      <w:r w:rsidR="00064492" w:rsidRPr="00202E0A">
        <w:t xml:space="preserve">ecretariat </w:t>
      </w:r>
      <w:r w:rsidR="0093041F" w:rsidRPr="00202E0A">
        <w:t>has proposed</w:t>
      </w:r>
      <w:r w:rsidR="00064492" w:rsidRPr="00202E0A">
        <w:t xml:space="preserve"> a separate listing</w:t>
      </w:r>
      <w:r w:rsidR="00FD3F38" w:rsidRPr="00202E0A">
        <w:t xml:space="preserve"> with 2 repeats</w:t>
      </w:r>
      <w:r w:rsidR="00DD73C7" w:rsidRPr="00202E0A">
        <w:t>,</w:t>
      </w:r>
      <w:r w:rsidR="00FD3F38" w:rsidRPr="00202E0A">
        <w:t xml:space="preserve"> </w:t>
      </w:r>
      <w:r w:rsidR="000441AE" w:rsidRPr="00202E0A">
        <w:t xml:space="preserve">to be accessed only </w:t>
      </w:r>
      <w:r w:rsidR="00DD73C7" w:rsidRPr="00202E0A">
        <w:t>where a</w:t>
      </w:r>
      <w:r w:rsidR="000441AE" w:rsidRPr="00202E0A">
        <w:t xml:space="preserve"> patient </w:t>
      </w:r>
      <w:r w:rsidR="008E5C5A" w:rsidRPr="00202E0A">
        <w:t>d</w:t>
      </w:r>
      <w:r w:rsidR="00DD73C7" w:rsidRPr="00202E0A">
        <w:t>oes</w:t>
      </w:r>
      <w:r w:rsidR="008E5C5A" w:rsidRPr="00202E0A">
        <w:t xml:space="preserve"> not</w:t>
      </w:r>
      <w:r w:rsidR="000441AE" w:rsidRPr="00202E0A">
        <w:t xml:space="preserve"> demonstrate response at</w:t>
      </w:r>
      <w:r w:rsidR="00BB7DAD" w:rsidRPr="00202E0A">
        <w:t xml:space="preserve"> the initial</w:t>
      </w:r>
      <w:r w:rsidR="000441AE" w:rsidRPr="00202E0A">
        <w:t xml:space="preserve"> 12 </w:t>
      </w:r>
      <w:r w:rsidR="000441AE" w:rsidRPr="004E7828">
        <w:t>months</w:t>
      </w:r>
      <w:r w:rsidR="0005289A" w:rsidRPr="004E7828">
        <w:t xml:space="preserve">. </w:t>
      </w:r>
    </w:p>
    <w:p w14:paraId="7114E996" w14:textId="7DCCD573" w:rsidR="00820B87" w:rsidRPr="004E7828" w:rsidRDefault="002D1883" w:rsidP="007A591A">
      <w:pPr>
        <w:pStyle w:val="3-BodyText"/>
      </w:pPr>
      <w:r w:rsidRPr="004E7828">
        <w:t xml:space="preserve">The resubmission </w:t>
      </w:r>
      <w:r w:rsidR="00687BC6" w:rsidRPr="004E7828">
        <w:t>defined a treatment response in the respon</w:t>
      </w:r>
      <w:r w:rsidR="008D1D76" w:rsidRPr="004E7828">
        <w:t>se</w:t>
      </w:r>
      <w:r w:rsidR="00687BC6" w:rsidRPr="004E7828">
        <w:t xml:space="preserve"> phase restriction as any im</w:t>
      </w:r>
      <w:r w:rsidR="006D2726" w:rsidRPr="004E7828">
        <w:t>provement or stabilisation (no more than 20% decline) from baseline ALSFRS</w:t>
      </w:r>
      <w:r w:rsidR="007A591A">
        <w:noBreakHyphen/>
      </w:r>
      <w:r w:rsidR="006D2726" w:rsidRPr="004E7828">
        <w:t xml:space="preserve">R at 12 months. </w:t>
      </w:r>
      <w:r w:rsidR="00285ECC" w:rsidRPr="004E7828">
        <w:t>The resubmission noted that ALSFRS</w:t>
      </w:r>
      <w:r w:rsidR="007A591A">
        <w:noBreakHyphen/>
      </w:r>
      <w:r w:rsidR="00285ECC" w:rsidRPr="004E7828">
        <w:t>R is an ordinal, non</w:t>
      </w:r>
      <w:r w:rsidR="007A591A">
        <w:noBreakHyphen/>
      </w:r>
      <w:r w:rsidR="00285ECC" w:rsidRPr="004E7828">
        <w:t>linear scale</w:t>
      </w:r>
      <w:r w:rsidR="00F46912" w:rsidRPr="004E7828">
        <w:t xml:space="preserve"> (its scores indicate rank order of function b</w:t>
      </w:r>
      <w:r w:rsidR="00B647CA" w:rsidRPr="004E7828">
        <w:t>ut</w:t>
      </w:r>
      <w:r w:rsidR="00F46912" w:rsidRPr="004E7828">
        <w:t xml:space="preserve"> do not represent equal intervals across the range)</w:t>
      </w:r>
      <w:r w:rsidR="0012501B" w:rsidRPr="004E7828">
        <w:t xml:space="preserve">. As such, the resubmission stated that </w:t>
      </w:r>
      <w:r w:rsidR="00CD7CB5" w:rsidRPr="004E7828">
        <w:t>because the impact of a point change varies significantly depending on the baseline score, a percentage change provides a more clinically relevant measure of progression.</w:t>
      </w:r>
      <w:r w:rsidR="00170980" w:rsidRPr="004E7828">
        <w:t xml:space="preserve"> Further, there is currently no universal consensus on how to define a clinically meaningful change in ALSFRS</w:t>
      </w:r>
      <w:r w:rsidR="007A591A">
        <w:noBreakHyphen/>
      </w:r>
      <w:r w:rsidR="00170980" w:rsidRPr="004E7828">
        <w:t>R</w:t>
      </w:r>
      <w:r w:rsidR="004F24DD" w:rsidRPr="004E7828">
        <w:t>. The resubmission noted that during consideration of edaravone for all ALS patients, the ESC proposed the clinically minimally important difference (MCID) reported of 3.24 points by Fournier 2023 (</w:t>
      </w:r>
      <w:proofErr w:type="spellStart"/>
      <w:r w:rsidR="004F24DD" w:rsidRPr="004E7828">
        <w:t>edaravone</w:t>
      </w:r>
      <w:proofErr w:type="spellEnd"/>
      <w:r w:rsidR="004F24DD" w:rsidRPr="004E7828">
        <w:t xml:space="preserve"> </w:t>
      </w:r>
      <w:r w:rsidR="00BA2132">
        <w:t>Public Summary Document [</w:t>
      </w:r>
      <w:r w:rsidR="004F24DD" w:rsidRPr="004E7828">
        <w:t>PSD</w:t>
      </w:r>
      <w:r w:rsidR="00BA2132">
        <w:t>]</w:t>
      </w:r>
      <w:r w:rsidR="004F24DD" w:rsidRPr="004E7828">
        <w:t>, November 2023 PBAC meeting). Importantly, the same publication acknowledges that “the [minimal important difference] for ALSFRS</w:t>
      </w:r>
      <w:r w:rsidR="007A591A">
        <w:noBreakHyphen/>
      </w:r>
      <w:r w:rsidR="004F24DD" w:rsidRPr="004E7828">
        <w:t xml:space="preserve">R in reality is likely not a rigidly fixed value across the range of the scale” </w:t>
      </w:r>
      <w:r w:rsidR="004F24DD" w:rsidRPr="004E7828">
        <w:fldChar w:fldCharType="begin"/>
      </w:r>
      <w:r w:rsidR="004F24DD" w:rsidRPr="004E7828">
        <w:instrText xml:space="preserve"> ADDIN EN.CITE &lt;EndNote&gt;&lt;Cite&gt;&lt;Author&gt;Fournier&lt;/Author&gt;&lt;Year&gt;2023&lt;/Year&gt;&lt;RecNum&gt;1852&lt;/RecNum&gt;&lt;DisplayText&gt;(Fournier et al., 2023)&lt;/DisplayText&gt;&lt;record&gt;&lt;rec-number&gt;1852&lt;/rec-number&gt;&lt;foreign-keys&gt;&lt;key app="EN" db-id="vvxez5t5dxatp9e2zpr52wzuxvpf0p2tftx0" timestamp="1750747127"&gt;1852&lt;/key&gt;&lt;/foreign-keys&gt;&lt;ref-type name="Journal Article"&gt;17&lt;/ref-type&gt;&lt;contributors&gt;&lt;authors&gt;&lt;author&gt;Fournier, Christina N.&lt;/author&gt;&lt;author&gt;James Virginia&lt;/author&gt;&lt;author&gt;and Glass, Jonathan D.&lt;/author&gt;&lt;/authors&gt;&lt;/contributors&gt;&lt;titles&gt;&lt;title&gt;Clinically meaningful change: evaluation of the Rasch-built Overall Amyotrophic Lateral Sclerosis Disability Scale (ROADS) and the ALSFRS-R&lt;/title&gt;&lt;secondary-title&gt;Amyotrophic Lateral Sclerosis and Frontotemporal Degeneration&lt;/secondary-title&gt;&lt;/titles&gt;&lt;periodical&gt;&lt;full-title&gt;Amyotrophic Lateral Sclerosis and Frontotemporal Degeneration&lt;/full-title&gt;&lt;/periodical&gt;&lt;pages&gt;311-316&lt;/pages&gt;&lt;volume&gt;24&lt;/volume&gt;&lt;number&gt;3-4&lt;/number&gt;&lt;dates&gt;&lt;year&gt;2023&lt;/year&gt;&lt;pub-dates&gt;&lt;date&gt;2023/04/03&lt;/date&gt;&lt;/pub-dates&gt;&lt;/dates&gt;&lt;publisher&gt;Taylor &amp;amp; Francis&lt;/publisher&gt;&lt;isbn&gt;2167-8421&lt;/isbn&gt;&lt;urls&gt;&lt;related-urls&gt;&lt;url&gt;https://doi.org/10.1080/21678421.2022.2153607&lt;/url&gt;&lt;/related-urls&gt;&lt;/urls&gt;&lt;electronic-resource-num&gt;10.1080/21678421.2022.2153607&lt;/electronic-resource-num&gt;&lt;/record&gt;&lt;/Cite&gt;&lt;/EndNote&gt;</w:instrText>
      </w:r>
      <w:r w:rsidR="004F24DD" w:rsidRPr="004E7828">
        <w:fldChar w:fldCharType="separate"/>
      </w:r>
      <w:r w:rsidR="004F24DD" w:rsidRPr="004E7828">
        <w:rPr>
          <w:noProof/>
        </w:rPr>
        <w:t>(</w:t>
      </w:r>
      <w:hyperlink w:anchor="_ENREF_14" w:tooltip="Fournier, 2023 #1852" w:history="1">
        <w:r w:rsidR="004F24DD" w:rsidRPr="004E7828">
          <w:rPr>
            <w:noProof/>
          </w:rPr>
          <w:t>Fournier et al., 2023</w:t>
        </w:r>
      </w:hyperlink>
      <w:r w:rsidR="004F24DD" w:rsidRPr="004E7828">
        <w:rPr>
          <w:noProof/>
        </w:rPr>
        <w:t>)</w:t>
      </w:r>
      <w:r w:rsidR="004F24DD" w:rsidRPr="004E7828">
        <w:fldChar w:fldCharType="end"/>
      </w:r>
      <w:r w:rsidR="004F24DD" w:rsidRPr="004E7828">
        <w:t>. The proportional impact of a 3.24</w:t>
      </w:r>
      <w:r w:rsidR="007A591A">
        <w:noBreakHyphen/>
      </w:r>
      <w:r w:rsidR="004F24DD" w:rsidRPr="004E7828">
        <w:t>point change varies across the full ALSFRS</w:t>
      </w:r>
      <w:r w:rsidR="007A591A">
        <w:noBreakHyphen/>
      </w:r>
      <w:r w:rsidR="004F24DD" w:rsidRPr="004E7828">
        <w:t>R scale range. For instance, a 3.24</w:t>
      </w:r>
      <w:r w:rsidR="007A591A">
        <w:noBreakHyphen/>
      </w:r>
      <w:r w:rsidR="004F24DD" w:rsidRPr="004E7828">
        <w:t>point decline from a score of 48 corresponds to a 7% change, while a decline from a score of 20 corresponds to a 16% change. When applied across the range of 4–48, this MCID corresponds to an average proportional decline of 19%. Therefore, the resubmission stated that a 20% cut</w:t>
      </w:r>
      <w:r w:rsidR="007A591A">
        <w:noBreakHyphen/>
      </w:r>
      <w:r w:rsidR="004F24DD" w:rsidRPr="004E7828">
        <w:t>off reflects the average proportional equivalent of the MCID across disease stages, ensuring that the definition of response is anchored in patient</w:t>
      </w:r>
      <w:r w:rsidR="007A591A">
        <w:noBreakHyphen/>
      </w:r>
      <w:r w:rsidR="004F24DD" w:rsidRPr="004E7828">
        <w:t>perceived meaningful change.</w:t>
      </w:r>
      <w:r w:rsidR="00A96BAA" w:rsidRPr="004E7828">
        <w:t xml:space="preserve"> Further, resubmission noted that the average decline in the VALOR studies after 12 months was 21% and that Australian clinicians </w:t>
      </w:r>
      <w:r w:rsidR="00BD761F" w:rsidRPr="004E7828">
        <w:t>involved in the early access program (3) supported the definition of response.</w:t>
      </w:r>
      <w:r w:rsidR="00820B87" w:rsidRPr="004E7828">
        <w:t xml:space="preserve"> The </w:t>
      </w:r>
      <w:r w:rsidR="00C00E61" w:rsidRPr="004E7828">
        <w:t xml:space="preserve">submission proposed that </w:t>
      </w:r>
      <w:r w:rsidR="008F3F3A" w:rsidRPr="004E7828">
        <w:t>c</w:t>
      </w:r>
      <w:r w:rsidR="00C00E61" w:rsidRPr="004E7828">
        <w:t>ontinu</w:t>
      </w:r>
      <w:r w:rsidR="008F3F3A" w:rsidRPr="004E7828">
        <w:t>ing</w:t>
      </w:r>
      <w:r w:rsidR="00C00E61" w:rsidRPr="004E7828">
        <w:t xml:space="preserve"> treatment after 12 months will depend on meeting predefined response criteria, i.e. any improvement or stabilisation (no more than 20% decline) from baseline ALSFRS</w:t>
      </w:r>
      <w:r w:rsidR="007A591A">
        <w:noBreakHyphen/>
      </w:r>
      <w:r w:rsidR="00C00E61" w:rsidRPr="004E7828">
        <w:t xml:space="preserve">R at 12 months. However, it </w:t>
      </w:r>
      <w:r w:rsidR="00FC3EA5" w:rsidRPr="004E7828">
        <w:t>did not</w:t>
      </w:r>
      <w:r w:rsidR="00C00E61" w:rsidRPr="004E7828">
        <w:t xml:space="preserve"> clear</w:t>
      </w:r>
      <w:r w:rsidR="00FC3EA5" w:rsidRPr="004E7828">
        <w:t>ly explain</w:t>
      </w:r>
      <w:r w:rsidR="00C00E61" w:rsidRPr="004E7828">
        <w:t xml:space="preserve"> if </w:t>
      </w:r>
      <w:r w:rsidR="00FC3EA5" w:rsidRPr="004E7828">
        <w:t xml:space="preserve">patients should maintain the response for ongoing </w:t>
      </w:r>
      <w:r w:rsidR="008F3F3A" w:rsidRPr="004E7828">
        <w:t xml:space="preserve">PBS </w:t>
      </w:r>
      <w:r w:rsidR="00FC3EA5" w:rsidRPr="004E7828">
        <w:t>access.</w:t>
      </w:r>
      <w:r w:rsidR="00546B05" w:rsidRPr="004E7828">
        <w:t xml:space="preserve"> The pre</w:t>
      </w:r>
      <w:r w:rsidR="007A591A">
        <w:noBreakHyphen/>
      </w:r>
      <w:r w:rsidR="00546B05" w:rsidRPr="004E7828">
        <w:t xml:space="preserve">PBAC response stated that the 12 month </w:t>
      </w:r>
      <w:r w:rsidR="00D44212" w:rsidRPr="004E7828">
        <w:t xml:space="preserve">assessment of response provides a clinically meaningful interval to evaluate treatment effect </w:t>
      </w:r>
      <w:r w:rsidR="00775E6B" w:rsidRPr="004E7828">
        <w:t>while also allowing sufficient time for stabilisation of disease trajectory to be observe</w:t>
      </w:r>
      <w:r w:rsidR="0058446E" w:rsidRPr="004E7828">
        <w:t>d</w:t>
      </w:r>
      <w:r w:rsidR="00DA0036" w:rsidRPr="004E7828">
        <w:t xml:space="preserve">. </w:t>
      </w:r>
      <w:r w:rsidR="003F35B5" w:rsidRPr="004E7828">
        <w:t xml:space="preserve">The </w:t>
      </w:r>
      <w:r w:rsidR="00AA6A06" w:rsidRPr="004E7828">
        <w:t>pre</w:t>
      </w:r>
      <w:r w:rsidR="007A591A">
        <w:noBreakHyphen/>
      </w:r>
      <w:r w:rsidR="00AA6A06" w:rsidRPr="004E7828">
        <w:t>PBAC response clarified that r</w:t>
      </w:r>
      <w:r w:rsidR="00DA0036" w:rsidRPr="004E7828">
        <w:t xml:space="preserve">emeasuring response is not proposed given the progressive nature </w:t>
      </w:r>
      <w:r w:rsidR="00915725" w:rsidRPr="004E7828">
        <w:t>and high burden of ALS, the nonlinearity of ALSFRS</w:t>
      </w:r>
      <w:r w:rsidR="007A591A">
        <w:noBreakHyphen/>
      </w:r>
      <w:r w:rsidR="00915725" w:rsidRPr="004E7828">
        <w:t>R trajectories and increasing measurement limitations in later disease stages.</w:t>
      </w:r>
      <w:r w:rsidR="00543383" w:rsidRPr="004E7828">
        <w:t xml:space="preserve"> The pre</w:t>
      </w:r>
      <w:r w:rsidR="007A591A">
        <w:noBreakHyphen/>
      </w:r>
      <w:r w:rsidR="00543383" w:rsidRPr="004E7828">
        <w:t>PBAC response stated that it is anticipated that patients not continuing to benefit from treatment will discontinue</w:t>
      </w:r>
      <w:r w:rsidR="005B06CF" w:rsidRPr="004E7828">
        <w:t xml:space="preserve"> given the monthly intrathecal injections.</w:t>
      </w:r>
      <w:r w:rsidR="00C00E61" w:rsidRPr="004E7828">
        <w:t xml:space="preserve"> </w:t>
      </w:r>
      <w:r w:rsidR="00681E1B" w:rsidRPr="004E7828">
        <w:rPr>
          <w:rFonts w:cs="Calibri"/>
          <w:lang w:val="en-US" w:eastAsia="en-GB"/>
        </w:rPr>
        <w:t xml:space="preserve">The Secretariat has added </w:t>
      </w:r>
      <w:r w:rsidR="002110A6" w:rsidRPr="004E7828">
        <w:rPr>
          <w:rFonts w:cs="Calibri"/>
          <w:lang w:val="en-US" w:eastAsia="en-GB"/>
        </w:rPr>
        <w:t xml:space="preserve">online </w:t>
      </w:r>
      <w:r w:rsidR="00DC0514" w:rsidRPr="004E7828">
        <w:rPr>
          <w:rFonts w:cs="Calibri"/>
          <w:lang w:val="en-US" w:eastAsia="en-GB"/>
        </w:rPr>
        <w:t>reference to the ALSFRS</w:t>
      </w:r>
      <w:r w:rsidR="00F27BF4">
        <w:rPr>
          <w:rFonts w:cs="Calibri"/>
          <w:lang w:val="en-US" w:eastAsia="en-GB"/>
        </w:rPr>
        <w:t>-R</w:t>
      </w:r>
      <w:r w:rsidR="00DC0514" w:rsidRPr="004E7828">
        <w:rPr>
          <w:rFonts w:cs="Calibri"/>
          <w:lang w:val="en-US" w:eastAsia="en-GB"/>
        </w:rPr>
        <w:t xml:space="preserve"> </w:t>
      </w:r>
      <w:r w:rsidR="00AE4595" w:rsidRPr="004E7828">
        <w:rPr>
          <w:rFonts w:cs="Calibri"/>
          <w:lang w:val="en-US" w:eastAsia="en-GB"/>
        </w:rPr>
        <w:t>tool (consistent with the edaravone restriction).</w:t>
      </w:r>
    </w:p>
    <w:p w14:paraId="2DD65F1B" w14:textId="74EB5B34" w:rsidR="00D53B8B" w:rsidRPr="00EC69B7" w:rsidRDefault="00D9562F" w:rsidP="007A591A">
      <w:pPr>
        <w:pStyle w:val="3-BodyText"/>
      </w:pPr>
      <w:r w:rsidRPr="004E7828">
        <w:lastRenderedPageBreak/>
        <w:t xml:space="preserve">The resubmission requested </w:t>
      </w:r>
      <w:r w:rsidR="00DF70A2" w:rsidRPr="004E7828">
        <w:t xml:space="preserve">a </w:t>
      </w:r>
      <w:r w:rsidRPr="004E7828">
        <w:t>grandfather restriction that aligns with the initiation phase restriction</w:t>
      </w:r>
      <w:r w:rsidR="00DF70A2" w:rsidRPr="004E7828">
        <w:t>.</w:t>
      </w:r>
      <w:r w:rsidR="00BD6FDB" w:rsidRPr="004E7828">
        <w:t xml:space="preserve"> </w:t>
      </w:r>
      <w:r w:rsidR="00AE46AC" w:rsidRPr="004E7828">
        <w:t>However,</w:t>
      </w:r>
      <w:r w:rsidR="00BD6FDB" w:rsidRPr="004E7828">
        <w:t xml:space="preserve"> the </w:t>
      </w:r>
      <w:r w:rsidR="000E3F58" w:rsidRPr="004E7828">
        <w:t>re</w:t>
      </w:r>
      <w:r w:rsidR="00BD6FDB" w:rsidRPr="004E7828">
        <w:t xml:space="preserve">submission </w:t>
      </w:r>
      <w:r w:rsidR="00345388" w:rsidRPr="004E7828">
        <w:t>also</w:t>
      </w:r>
      <w:r w:rsidR="00BD6FDB" w:rsidRPr="004E7828">
        <w:t xml:space="preserve"> </w:t>
      </w:r>
      <w:r w:rsidR="000B14F7" w:rsidRPr="004E7828">
        <w:t xml:space="preserve">requested that the </w:t>
      </w:r>
      <w:r w:rsidR="007C04CC" w:rsidRPr="004E7828">
        <w:t>grandfather</w:t>
      </w:r>
      <w:r w:rsidR="000B14F7" w:rsidRPr="004E7828">
        <w:t xml:space="preserve"> </w:t>
      </w:r>
      <w:r w:rsidR="00F5466A" w:rsidRPr="004E7828">
        <w:t>patients transitioning directly from the early access program (</w:t>
      </w:r>
      <w:r w:rsidR="007C04CC" w:rsidRPr="004E7828">
        <w:t xml:space="preserve">opened since </w:t>
      </w:r>
      <w:r w:rsidR="00C10EC6" w:rsidRPr="00C10EC6">
        <w:rPr>
          <w:sz w:val="2"/>
          <w:highlight w:val="black"/>
        </w:rPr>
        <w:t>redacted content</w:t>
      </w:r>
      <w:r w:rsidR="007C04CC" w:rsidRPr="004E7828">
        <w:t xml:space="preserve">) </w:t>
      </w:r>
      <w:r w:rsidR="00F5466A" w:rsidRPr="004E7828">
        <w:t>commence</w:t>
      </w:r>
      <w:r w:rsidR="007E7542" w:rsidRPr="004E7828">
        <w:t xml:space="preserve"> PBS subsidised</w:t>
      </w:r>
      <w:r w:rsidR="00F5466A" w:rsidRPr="004E7828">
        <w:t xml:space="preserve"> treatment under the responder phase listing. </w:t>
      </w:r>
      <w:r w:rsidR="007C04CC" w:rsidRPr="004E7828">
        <w:t xml:space="preserve">The </w:t>
      </w:r>
      <w:r w:rsidR="000E3F58" w:rsidRPr="004E7828">
        <w:t>re</w:t>
      </w:r>
      <w:r w:rsidR="007C04CC" w:rsidRPr="004E7828">
        <w:t>submission requested that f</w:t>
      </w:r>
      <w:r w:rsidR="00F5466A" w:rsidRPr="004E7828">
        <w:t>or these grandfathered patients, a measurement of ALSFRS</w:t>
      </w:r>
      <w:r w:rsidR="007A591A">
        <w:noBreakHyphen/>
      </w:r>
      <w:r w:rsidR="00F5466A" w:rsidRPr="004E7828">
        <w:t>R at 12 months is not required</w:t>
      </w:r>
      <w:r w:rsidR="007C04CC" w:rsidRPr="004E7828">
        <w:t xml:space="preserve">. </w:t>
      </w:r>
      <w:r w:rsidR="00970EFD" w:rsidRPr="004E7828">
        <w:t xml:space="preserve">The </w:t>
      </w:r>
      <w:r w:rsidR="0009463D" w:rsidRPr="004E7828">
        <w:t>S</w:t>
      </w:r>
      <w:r w:rsidR="008D678C" w:rsidRPr="004E7828">
        <w:t>ecretariat</w:t>
      </w:r>
      <w:r w:rsidR="00970EFD" w:rsidRPr="004E7828">
        <w:t xml:space="preserve"> </w:t>
      </w:r>
      <w:r w:rsidR="00C6538A" w:rsidRPr="004E7828">
        <w:t xml:space="preserve">has </w:t>
      </w:r>
      <w:r w:rsidR="00970EFD" w:rsidRPr="004E7828">
        <w:t xml:space="preserve">proposed a separate grandfather phase to </w:t>
      </w:r>
      <w:r w:rsidR="008D678C" w:rsidRPr="004E7828">
        <w:t>provide a pathway for these patients.</w:t>
      </w:r>
      <w:r w:rsidR="00C148FD" w:rsidRPr="004E7828">
        <w:t xml:space="preserve"> </w:t>
      </w:r>
      <w:r w:rsidR="00951DCE" w:rsidRPr="004E7828">
        <w:t>The pre</w:t>
      </w:r>
      <w:r w:rsidR="007A591A">
        <w:noBreakHyphen/>
      </w:r>
      <w:r w:rsidR="00951DCE" w:rsidRPr="004E7828">
        <w:t>PBAC response stated that the proposed grandfather restriction was appropriate.</w:t>
      </w:r>
      <w:r w:rsidR="008D678C" w:rsidRPr="00EC69B7">
        <w:t xml:space="preserve"> </w:t>
      </w:r>
    </w:p>
    <w:p w14:paraId="4CB03FC0" w14:textId="42B853AC" w:rsidR="00FE348C" w:rsidRPr="004E7828" w:rsidRDefault="00D53B8B" w:rsidP="007A591A">
      <w:pPr>
        <w:pStyle w:val="3-BodyText"/>
      </w:pPr>
      <w:r w:rsidRPr="004E7828">
        <w:t>P</w:t>
      </w:r>
      <w:r w:rsidR="00290F35" w:rsidRPr="004E7828">
        <w:t>otential flow</w:t>
      </w:r>
      <w:r w:rsidR="007A591A">
        <w:noBreakHyphen/>
      </w:r>
      <w:r w:rsidR="00290F35" w:rsidRPr="004E7828">
        <w:t>on</w:t>
      </w:r>
      <w:r w:rsidR="001F5729" w:rsidRPr="004E7828">
        <w:t xml:space="preserve"> changes</w:t>
      </w:r>
      <w:r w:rsidR="00290F35" w:rsidRPr="004E7828">
        <w:t xml:space="preserve"> to </w:t>
      </w:r>
      <w:r w:rsidR="00F95C23" w:rsidRPr="004E7828">
        <w:t xml:space="preserve">the </w:t>
      </w:r>
      <w:r w:rsidR="00290F35" w:rsidRPr="004E7828">
        <w:t>edaravone</w:t>
      </w:r>
      <w:r w:rsidR="00C85FD8" w:rsidRPr="004E7828">
        <w:t xml:space="preserve"> PBS listing</w:t>
      </w:r>
      <w:r w:rsidR="00290F35" w:rsidRPr="004E7828">
        <w:t xml:space="preserve"> </w:t>
      </w:r>
      <w:r w:rsidR="000738C8" w:rsidRPr="004E7828">
        <w:t>will</w:t>
      </w:r>
      <w:r w:rsidR="00290F35" w:rsidRPr="004E7828">
        <w:t xml:space="preserve"> be required to prevent concomitant use with tofersen if </w:t>
      </w:r>
      <w:r w:rsidR="000738C8" w:rsidRPr="004E7828">
        <w:t xml:space="preserve">recommended for listing. </w:t>
      </w:r>
    </w:p>
    <w:p w14:paraId="130DD975" w14:textId="3C98CAFE" w:rsidR="00FE348C" w:rsidRPr="00FE348C" w:rsidRDefault="00FE348C" w:rsidP="007A591A">
      <w:pPr>
        <w:pStyle w:val="3-BodyText"/>
        <w:numPr>
          <w:ilvl w:val="0"/>
          <w:numId w:val="0"/>
        </w:numPr>
        <w:ind w:left="720"/>
        <w:rPr>
          <w:i/>
          <w:iCs/>
        </w:rPr>
      </w:pPr>
      <w:r w:rsidRPr="004E7828">
        <w:rPr>
          <w:i/>
          <w:iCs/>
        </w:rPr>
        <w:t>For more</w:t>
      </w:r>
      <w:r w:rsidRPr="00FE348C">
        <w:rPr>
          <w:i/>
          <w:iCs/>
        </w:rPr>
        <w:t xml:space="preserve"> detail on PBAC’s view, see section 7 PBAC outcome.</w:t>
      </w:r>
    </w:p>
    <w:p w14:paraId="6CDB803C" w14:textId="77777777" w:rsidR="001121DB" w:rsidRPr="0098262F" w:rsidRDefault="001121DB" w:rsidP="007A591A">
      <w:pPr>
        <w:pStyle w:val="2-SectionHeading"/>
      </w:pPr>
      <w:bookmarkStart w:id="3" w:name="_Toc208993653"/>
      <w:r w:rsidRPr="0098262F">
        <w:t>Consideration of the evidence</w:t>
      </w:r>
      <w:bookmarkEnd w:id="3"/>
    </w:p>
    <w:p w14:paraId="7B9CDD2D" w14:textId="77777777" w:rsidR="00D56142" w:rsidRPr="00D56142" w:rsidRDefault="00D56142" w:rsidP="007A591A">
      <w:pPr>
        <w:pStyle w:val="4-SubsectionHeading"/>
      </w:pPr>
      <w:bookmarkStart w:id="4" w:name="_Hlk76375935"/>
      <w:bookmarkStart w:id="5" w:name="_Toc22897641"/>
      <w:bookmarkStart w:id="6" w:name="_Toc208993655"/>
      <w:r w:rsidRPr="00D56142">
        <w:t>Sponsor hearing</w:t>
      </w:r>
    </w:p>
    <w:p w14:paraId="0EEEB952" w14:textId="352C69FE" w:rsidR="00D56142" w:rsidRPr="00F91542" w:rsidRDefault="00D56142" w:rsidP="007A591A">
      <w:pPr>
        <w:pStyle w:val="3-BodyText"/>
        <w:rPr>
          <w:snapToGrid w:val="0"/>
        </w:rPr>
      </w:pPr>
      <w:r w:rsidRPr="00F91542">
        <w:rPr>
          <w:snapToGrid w:val="0"/>
        </w:rPr>
        <w:t>There was no hearing for this item.</w:t>
      </w:r>
    </w:p>
    <w:p w14:paraId="77484AB0" w14:textId="00FCC386" w:rsidR="00D56142" w:rsidRPr="006E1229" w:rsidRDefault="00D56142" w:rsidP="007A591A">
      <w:pPr>
        <w:pStyle w:val="4-SubsectionHeading"/>
      </w:pPr>
      <w:r w:rsidRPr="006E1229">
        <w:t xml:space="preserve">Consumer </w:t>
      </w:r>
      <w:r>
        <w:t>input</w:t>
      </w:r>
    </w:p>
    <w:p w14:paraId="3B4075C4" w14:textId="252B18AA" w:rsidR="000009EA" w:rsidRPr="004F0347" w:rsidRDefault="00A847E0" w:rsidP="007A591A">
      <w:pPr>
        <w:pStyle w:val="3-BodyText"/>
        <w:rPr>
          <w:snapToGrid w:val="0"/>
        </w:rPr>
      </w:pPr>
      <w:bookmarkStart w:id="7" w:name="_Hlk76382618"/>
      <w:r>
        <w:rPr>
          <w:snapToGrid w:val="0"/>
        </w:rPr>
        <w:t xml:space="preserve">Although no </w:t>
      </w:r>
      <w:r w:rsidR="00D56142" w:rsidRPr="00836F75">
        <w:rPr>
          <w:snapToGrid w:val="0"/>
        </w:rPr>
        <w:t xml:space="preserve">consumer </w:t>
      </w:r>
      <w:r w:rsidR="00D56142">
        <w:rPr>
          <w:snapToGrid w:val="0"/>
        </w:rPr>
        <w:t>inputs</w:t>
      </w:r>
      <w:r w:rsidR="00D56142" w:rsidRPr="00836F75">
        <w:rPr>
          <w:snapToGrid w:val="0"/>
        </w:rPr>
        <w:t xml:space="preserve"> were received for </w:t>
      </w:r>
      <w:r>
        <w:rPr>
          <w:snapToGrid w:val="0"/>
        </w:rPr>
        <w:t>the early re</w:t>
      </w:r>
      <w:r w:rsidR="007A591A">
        <w:rPr>
          <w:snapToGrid w:val="0"/>
        </w:rPr>
        <w:noBreakHyphen/>
      </w:r>
      <w:r>
        <w:rPr>
          <w:snapToGrid w:val="0"/>
        </w:rPr>
        <w:t xml:space="preserve">entry resubmission, the PBAC recalled the input received from </w:t>
      </w:r>
      <w:r w:rsidR="000009EA" w:rsidRPr="00A847E0">
        <w:rPr>
          <w:snapToGrid w:val="0"/>
        </w:rPr>
        <w:t xml:space="preserve">individuals (33), health care professionals (1) and organisations (1) via </w:t>
      </w:r>
      <w:r w:rsidR="000009EA" w:rsidRPr="00A847E0">
        <w:rPr>
          <w:rFonts w:cs="Arial"/>
          <w:snapToGrid w:val="0"/>
        </w:rPr>
        <w:t>the Office of Health Technology Assessment Consultation Hub</w:t>
      </w:r>
      <w:r>
        <w:rPr>
          <w:rFonts w:cs="Arial"/>
          <w:snapToGrid w:val="0"/>
        </w:rPr>
        <w:t xml:space="preserve"> in November 2025</w:t>
      </w:r>
      <w:r w:rsidR="000009EA" w:rsidRPr="00A847E0">
        <w:rPr>
          <w:snapToGrid w:val="0"/>
        </w:rPr>
        <w:t xml:space="preserve">. The comments </w:t>
      </w:r>
      <w:r w:rsidR="00851A02">
        <w:rPr>
          <w:snapToGrid w:val="0"/>
        </w:rPr>
        <w:t xml:space="preserve">highlighted the high and urgent clinical need for treatments for </w:t>
      </w:r>
      <w:r w:rsidR="000009EA" w:rsidRPr="00A847E0">
        <w:rPr>
          <w:snapToGrid w:val="0"/>
        </w:rPr>
        <w:t>SOD1</w:t>
      </w:r>
      <w:r w:rsidR="007A591A">
        <w:rPr>
          <w:snapToGrid w:val="0"/>
        </w:rPr>
        <w:noBreakHyphen/>
      </w:r>
      <w:r w:rsidR="000009EA" w:rsidRPr="00A847E0">
        <w:rPr>
          <w:snapToGrid w:val="0"/>
        </w:rPr>
        <w:t xml:space="preserve">ALS, the progressive nature of the disease and </w:t>
      </w:r>
      <w:r w:rsidR="004F0347">
        <w:rPr>
          <w:snapToGrid w:val="0"/>
        </w:rPr>
        <w:t>that any slowing of disease progression or retention of functional capacities was a crucial factor in improving patient quality of life.</w:t>
      </w:r>
      <w:r w:rsidR="007A591A">
        <w:rPr>
          <w:snapToGrid w:val="0"/>
        </w:rPr>
        <w:t xml:space="preserve"> </w:t>
      </w:r>
    </w:p>
    <w:bookmarkEnd w:id="4"/>
    <w:bookmarkEnd w:id="7"/>
    <w:p w14:paraId="4BA26FA9" w14:textId="0E3FCC71" w:rsidR="00862075" w:rsidRDefault="004C4B22" w:rsidP="007A591A">
      <w:pPr>
        <w:pStyle w:val="4-SubsectionHeading"/>
      </w:pPr>
      <w:r w:rsidRPr="0098262F">
        <w:t>Comparative effectiveness</w:t>
      </w:r>
      <w:bookmarkEnd w:id="5"/>
      <w:bookmarkEnd w:id="6"/>
    </w:p>
    <w:p w14:paraId="4BDFDDED" w14:textId="3C638CE6" w:rsidR="006C3956" w:rsidRPr="002B6176" w:rsidRDefault="00432031" w:rsidP="007A591A">
      <w:pPr>
        <w:pStyle w:val="3-BodyText"/>
      </w:pPr>
      <w:r w:rsidRPr="002B6176">
        <w:t>The resubmission presented the final VALOR OLE dataset, which had a follow</w:t>
      </w:r>
      <w:r w:rsidR="007A591A">
        <w:noBreakHyphen/>
      </w:r>
      <w:r w:rsidRPr="002B6176">
        <w:t>up of 148 weeks, as compared to 104 weeks in the previous submission.</w:t>
      </w:r>
      <w:r w:rsidR="00610181" w:rsidRPr="002B6176">
        <w:t xml:space="preserve"> </w:t>
      </w:r>
      <w:r w:rsidR="00120B23" w:rsidRPr="002B6176">
        <w:t>Much of the final VALOR OLE data was presented in the November 2025 pre</w:t>
      </w:r>
      <w:r w:rsidR="007A591A">
        <w:noBreakHyphen/>
      </w:r>
      <w:r w:rsidR="00120B23" w:rsidRPr="002B6176">
        <w:t>Sub</w:t>
      </w:r>
      <w:r w:rsidR="007A591A">
        <w:noBreakHyphen/>
      </w:r>
      <w:r w:rsidR="00120B23" w:rsidRPr="002B6176">
        <w:t>Committee response.</w:t>
      </w:r>
      <w:r w:rsidR="0089551D" w:rsidRPr="002B6176">
        <w:t xml:space="preserve"> The</w:t>
      </w:r>
      <w:r w:rsidR="00A24EA9" w:rsidRPr="002B6176">
        <w:t xml:space="preserve"> additional data was not used to revise any</w:t>
      </w:r>
      <w:r w:rsidR="0089551D" w:rsidRPr="002B6176">
        <w:t xml:space="preserve"> inputs to the economic evaluation</w:t>
      </w:r>
      <w:r w:rsidR="00A24EA9" w:rsidRPr="002B6176">
        <w:t>.</w:t>
      </w:r>
    </w:p>
    <w:p w14:paraId="38A789DF" w14:textId="205970A7" w:rsidR="00F53659" w:rsidRPr="002B6176" w:rsidRDefault="002E725B" w:rsidP="007A591A">
      <w:pPr>
        <w:pStyle w:val="3-BodyText"/>
      </w:pPr>
      <w:r w:rsidRPr="002B6176">
        <w:t>The November 2025 submission was based on</w:t>
      </w:r>
      <w:r w:rsidR="006052C8" w:rsidRPr="002B6176">
        <w:t xml:space="preserve"> </w:t>
      </w:r>
      <w:r w:rsidR="00F53659" w:rsidRPr="002B6176">
        <w:t>(i) one randomised control trial (RCT) comparing tofersen versus placebo (VALOR</w:t>
      </w:r>
      <w:r w:rsidR="00367953" w:rsidRPr="002B6176">
        <w:t xml:space="preserve"> – Part C</w:t>
      </w:r>
      <w:r w:rsidR="00AE6283" w:rsidRPr="002B6176">
        <w:t>;</w:t>
      </w:r>
      <w:r w:rsidR="0085757C" w:rsidRPr="002B6176">
        <w:t xml:space="preserve"> N = 108</w:t>
      </w:r>
      <w:r w:rsidR="00F53659" w:rsidRPr="002B6176">
        <w:t>) and (ii) an ongoing open</w:t>
      </w:r>
      <w:r w:rsidR="007A591A">
        <w:noBreakHyphen/>
      </w:r>
      <w:r w:rsidR="00F53659" w:rsidRPr="002B6176">
        <w:t>label extension (VALOR OLE</w:t>
      </w:r>
      <w:r w:rsidR="00AE6283" w:rsidRPr="002B6176">
        <w:t>; N = 95</w:t>
      </w:r>
      <w:r w:rsidR="00F53659" w:rsidRPr="002B6176">
        <w:t xml:space="preserve">). </w:t>
      </w:r>
      <w:r w:rsidR="00C15B12" w:rsidRPr="002B6176">
        <w:t>Patients who completed VALOR</w:t>
      </w:r>
      <w:r w:rsidR="007A591A">
        <w:noBreakHyphen/>
      </w:r>
      <w:r w:rsidR="00B47910" w:rsidRPr="002B6176">
        <w:t>Part C</w:t>
      </w:r>
      <w:r w:rsidR="00C15B12" w:rsidRPr="002B6176">
        <w:t xml:space="preserve"> could enter the VALOR</w:t>
      </w:r>
      <w:r w:rsidR="007A591A">
        <w:noBreakHyphen/>
      </w:r>
      <w:r w:rsidR="00C15B12" w:rsidRPr="002B6176">
        <w:t>OLE, while remaining unaware of their trial</w:t>
      </w:r>
      <w:r w:rsidR="007A591A">
        <w:noBreakHyphen/>
      </w:r>
      <w:r w:rsidR="00C15B12" w:rsidRPr="002B6176">
        <w:t xml:space="preserve">group assignment in VALOR. Patients treated with tofersen in VALOR </w:t>
      </w:r>
      <w:r w:rsidR="00C64953" w:rsidRPr="002B6176">
        <w:t xml:space="preserve">for the first 24 weeks </w:t>
      </w:r>
      <w:r w:rsidR="00C15B12" w:rsidRPr="002B6176">
        <w:t>and continued on tofersen in VALOR</w:t>
      </w:r>
      <w:r w:rsidR="007A591A">
        <w:noBreakHyphen/>
      </w:r>
      <w:r w:rsidR="00C15B12" w:rsidRPr="002B6176">
        <w:t>OLE (n=63) were referred as “early</w:t>
      </w:r>
      <w:r w:rsidR="007A591A">
        <w:noBreakHyphen/>
      </w:r>
      <w:r w:rsidR="00C15B12" w:rsidRPr="002B6176">
        <w:t xml:space="preserve">start”, and patients treated with placebo </w:t>
      </w:r>
      <w:r w:rsidR="00B35F90" w:rsidRPr="002B6176">
        <w:t xml:space="preserve">for the first 24 weeks </w:t>
      </w:r>
      <w:r w:rsidR="00C15B12" w:rsidRPr="002B6176">
        <w:t>in VALOR who initiate on tofersen in VALOR</w:t>
      </w:r>
      <w:r w:rsidR="007A591A">
        <w:noBreakHyphen/>
      </w:r>
      <w:r w:rsidR="00C15B12" w:rsidRPr="002B6176">
        <w:t>OLE (n=32) were referred as “delayed start patients”.</w:t>
      </w:r>
    </w:p>
    <w:p w14:paraId="5BF34426" w14:textId="6A172E3F" w:rsidR="002E725B" w:rsidRPr="002B6176" w:rsidRDefault="00AE6283" w:rsidP="007A591A">
      <w:pPr>
        <w:pStyle w:val="3-BodyText"/>
      </w:pPr>
      <w:r w:rsidRPr="002B6176">
        <w:lastRenderedPageBreak/>
        <w:t>The primary outcome in VALOR was change from baseline in ALSFRS</w:t>
      </w:r>
      <w:r w:rsidR="007A591A">
        <w:noBreakHyphen/>
      </w:r>
      <w:r w:rsidRPr="002B6176">
        <w:t>R at Week 28</w:t>
      </w:r>
      <w:r w:rsidR="00895A81" w:rsidRPr="002B6176">
        <w:t xml:space="preserve"> in the modified intention to treat (mITT</w:t>
      </w:r>
      <w:r w:rsidR="00B64FD8" w:rsidRPr="002B6176">
        <w:t>) population</w:t>
      </w:r>
      <w:r w:rsidR="004D17BB" w:rsidRPr="002B6176">
        <w:t>, an “enriched” subgroup of the ITT</w:t>
      </w:r>
      <w:r w:rsidR="00482CF4">
        <w:t xml:space="preserve"> population</w:t>
      </w:r>
      <w:r w:rsidR="004D17BB" w:rsidRPr="002B6176">
        <w:t xml:space="preserve"> who were fast progressing based on ALSFRS</w:t>
      </w:r>
      <w:r w:rsidR="007A591A">
        <w:noBreakHyphen/>
      </w:r>
      <w:r w:rsidR="004D17BB" w:rsidRPr="002B6176">
        <w:t>R slope decline or SOD1 variant</w:t>
      </w:r>
      <w:r w:rsidR="00692C9E" w:rsidRPr="002B6176">
        <w:t>.</w:t>
      </w:r>
      <w:r w:rsidR="00F87AC1" w:rsidRPr="002B6176">
        <w:t xml:space="preserve"> In November 2025, the ESC considered that the ITT population was the most relevan</w:t>
      </w:r>
      <w:r w:rsidR="007D1792" w:rsidRPr="002B6176">
        <w:t>t and consistent with the proposed PBS population.</w:t>
      </w:r>
    </w:p>
    <w:p w14:paraId="638740DD" w14:textId="01013C39" w:rsidR="00692C9E" w:rsidRPr="001B1D5F" w:rsidRDefault="00984F48" w:rsidP="007A591A">
      <w:pPr>
        <w:pStyle w:val="Caption"/>
        <w:jc w:val="left"/>
        <w:rPr>
          <w:rStyle w:val="CommentReference"/>
          <w:b w:val="0"/>
          <w:sz w:val="20"/>
          <w:szCs w:val="20"/>
        </w:rPr>
      </w:pPr>
      <w:r>
        <w:t xml:space="preserve">Table </w:t>
      </w:r>
      <w:fldSimple w:instr=" SEQ Table \* ARABIC ">
        <w:r w:rsidR="002E1A60">
          <w:rPr>
            <w:noProof/>
          </w:rPr>
          <w:t>3</w:t>
        </w:r>
      </w:fldSimple>
      <w:r>
        <w:t xml:space="preserve">: </w:t>
      </w:r>
      <w:r w:rsidR="00692C9E" w:rsidRPr="001B1D5F">
        <w:rPr>
          <w:rStyle w:val="CommentReference"/>
          <w:sz w:val="20"/>
          <w:szCs w:val="20"/>
        </w:rPr>
        <w:t>Change from baseline in ALSFRS</w:t>
      </w:r>
      <w:r w:rsidR="007A591A">
        <w:rPr>
          <w:rStyle w:val="CommentReference"/>
          <w:sz w:val="20"/>
          <w:szCs w:val="20"/>
        </w:rPr>
        <w:noBreakHyphen/>
      </w:r>
      <w:r w:rsidR="00692C9E" w:rsidRPr="001B1D5F">
        <w:rPr>
          <w:rStyle w:val="CommentReference"/>
          <w:sz w:val="20"/>
          <w:szCs w:val="20"/>
        </w:rPr>
        <w:t>R</w:t>
      </w:r>
      <w:r w:rsidR="00C0029E">
        <w:rPr>
          <w:rStyle w:val="CommentReference"/>
          <w:sz w:val="20"/>
          <w:szCs w:val="20"/>
        </w:rPr>
        <w:t xml:space="preserve"> </w:t>
      </w:r>
      <w:r w:rsidR="00692C9E" w:rsidRPr="001B1D5F">
        <w:rPr>
          <w:rStyle w:val="CommentReference"/>
          <w:sz w:val="20"/>
          <w:szCs w:val="20"/>
        </w:rPr>
        <w:t>at Week 28 (VALOR, completed 16 July 2021)</w:t>
      </w:r>
    </w:p>
    <w:tbl>
      <w:tblPr>
        <w:tblStyle w:val="TableGrid"/>
        <w:tblW w:w="5000" w:type="pct"/>
        <w:shd w:val="clear" w:color="auto" w:fill="DBE5F1" w:themeFill="accent1" w:themeFillTint="33"/>
        <w:tblCellMar>
          <w:left w:w="28" w:type="dxa"/>
          <w:right w:w="28" w:type="dxa"/>
        </w:tblCellMar>
        <w:tblLook w:val="04A0" w:firstRow="1" w:lastRow="0" w:firstColumn="1" w:lastColumn="0" w:noHBand="0" w:noVBand="1"/>
        <w:tblCaption w:val="Table 3: Change from baseline in ALSFRS R at Week 28 (VALOR, completed 16 July 2021)"/>
      </w:tblPr>
      <w:tblGrid>
        <w:gridCol w:w="2400"/>
        <w:gridCol w:w="1024"/>
        <w:gridCol w:w="1105"/>
        <w:gridCol w:w="1277"/>
        <w:gridCol w:w="1277"/>
        <w:gridCol w:w="948"/>
        <w:gridCol w:w="985"/>
      </w:tblGrid>
      <w:tr w:rsidR="00692C9E" w:rsidRPr="006A2B08" w14:paraId="32D51E3A" w14:textId="77777777" w:rsidTr="00DE2B3A">
        <w:trPr>
          <w:tblHeader/>
        </w:trPr>
        <w:tc>
          <w:tcPr>
            <w:tcW w:w="1331" w:type="pct"/>
            <w:vMerge w:val="restart"/>
            <w:shd w:val="clear" w:color="auto" w:fill="DBE5F1" w:themeFill="accent1" w:themeFillTint="33"/>
            <w:vAlign w:val="center"/>
          </w:tcPr>
          <w:p w14:paraId="56D04A7B" w14:textId="77777777" w:rsidR="00692C9E" w:rsidRPr="006A2B08" w:rsidRDefault="00692C9E" w:rsidP="007A591A">
            <w:pPr>
              <w:pStyle w:val="In-tableHeading"/>
            </w:pPr>
            <w:proofErr w:type="spellStart"/>
            <w:r w:rsidRPr="006A2B08">
              <w:t>Outcome</w:t>
            </w:r>
            <w:r w:rsidRPr="006A2B08">
              <w:rPr>
                <w:vertAlign w:val="superscript"/>
              </w:rPr>
              <w:t>a,b</w:t>
            </w:r>
            <w:proofErr w:type="spellEnd"/>
          </w:p>
        </w:tc>
        <w:tc>
          <w:tcPr>
            <w:tcW w:w="1181" w:type="pct"/>
            <w:gridSpan w:val="2"/>
            <w:shd w:val="clear" w:color="auto" w:fill="DBE5F1" w:themeFill="accent1" w:themeFillTint="33"/>
            <w:vAlign w:val="center"/>
          </w:tcPr>
          <w:p w14:paraId="0FC6359E" w14:textId="77777777" w:rsidR="00692C9E" w:rsidRPr="006A2B08" w:rsidRDefault="00692C9E" w:rsidP="007A591A">
            <w:pPr>
              <w:pStyle w:val="In-tableHeading"/>
              <w:jc w:val="center"/>
            </w:pPr>
            <w:r w:rsidRPr="006A2B08">
              <w:t>ITT</w:t>
            </w:r>
          </w:p>
        </w:tc>
        <w:tc>
          <w:tcPr>
            <w:tcW w:w="1416" w:type="pct"/>
            <w:gridSpan w:val="2"/>
            <w:shd w:val="clear" w:color="auto" w:fill="DBE5F1" w:themeFill="accent1" w:themeFillTint="33"/>
            <w:vAlign w:val="center"/>
          </w:tcPr>
          <w:p w14:paraId="42039536" w14:textId="77777777" w:rsidR="00692C9E" w:rsidRPr="006A2B08" w:rsidRDefault="00692C9E" w:rsidP="007A591A">
            <w:pPr>
              <w:pStyle w:val="In-tableHeading"/>
              <w:jc w:val="center"/>
            </w:pPr>
            <w:r w:rsidRPr="006A2B08">
              <w:t>mITT</w:t>
            </w:r>
          </w:p>
        </w:tc>
        <w:tc>
          <w:tcPr>
            <w:tcW w:w="1072" w:type="pct"/>
            <w:gridSpan w:val="2"/>
            <w:shd w:val="clear" w:color="auto" w:fill="DBE5F1" w:themeFill="accent1" w:themeFillTint="33"/>
            <w:vAlign w:val="center"/>
          </w:tcPr>
          <w:p w14:paraId="1E8015E8" w14:textId="0FF3025F" w:rsidR="00692C9E" w:rsidRPr="006A2B08" w:rsidRDefault="00692C9E" w:rsidP="007A591A">
            <w:pPr>
              <w:pStyle w:val="In-tableHeading"/>
              <w:jc w:val="center"/>
            </w:pPr>
            <w:r w:rsidRPr="006A2B08">
              <w:t>Non</w:t>
            </w:r>
            <w:r w:rsidR="007A591A">
              <w:noBreakHyphen/>
            </w:r>
            <w:r w:rsidRPr="006A2B08">
              <w:t>mITT</w:t>
            </w:r>
          </w:p>
        </w:tc>
      </w:tr>
      <w:tr w:rsidR="00692C9E" w:rsidRPr="006A2B08" w14:paraId="3EE28DAD" w14:textId="77777777" w:rsidTr="00DE2B3A">
        <w:trPr>
          <w:tblHeader/>
        </w:trPr>
        <w:tc>
          <w:tcPr>
            <w:tcW w:w="1331" w:type="pct"/>
            <w:vMerge/>
            <w:shd w:val="clear" w:color="auto" w:fill="DBE5F1" w:themeFill="accent1" w:themeFillTint="33"/>
          </w:tcPr>
          <w:p w14:paraId="34F572B5" w14:textId="77777777" w:rsidR="00692C9E" w:rsidRPr="006A2B08" w:rsidRDefault="00692C9E" w:rsidP="007A591A">
            <w:pPr>
              <w:pStyle w:val="In-tableHeading"/>
            </w:pPr>
          </w:p>
        </w:tc>
        <w:tc>
          <w:tcPr>
            <w:tcW w:w="568" w:type="pct"/>
            <w:shd w:val="clear" w:color="auto" w:fill="DBE5F1" w:themeFill="accent1" w:themeFillTint="33"/>
            <w:vAlign w:val="center"/>
          </w:tcPr>
          <w:p w14:paraId="473E6936" w14:textId="77777777" w:rsidR="00692C9E" w:rsidRPr="006A2B08" w:rsidRDefault="00692C9E" w:rsidP="007A591A">
            <w:pPr>
              <w:pStyle w:val="In-tableHeading"/>
              <w:jc w:val="center"/>
            </w:pPr>
            <w:r w:rsidRPr="006A2B08">
              <w:t>TOF (N=72)</w:t>
            </w:r>
          </w:p>
        </w:tc>
        <w:tc>
          <w:tcPr>
            <w:tcW w:w="613" w:type="pct"/>
            <w:shd w:val="clear" w:color="auto" w:fill="DBE5F1" w:themeFill="accent1" w:themeFillTint="33"/>
            <w:vAlign w:val="center"/>
          </w:tcPr>
          <w:p w14:paraId="40572631" w14:textId="77777777" w:rsidR="00692C9E" w:rsidRPr="006A2B08" w:rsidRDefault="00692C9E" w:rsidP="007A591A">
            <w:pPr>
              <w:pStyle w:val="In-tableHeading"/>
              <w:jc w:val="center"/>
            </w:pPr>
            <w:r w:rsidRPr="006A2B08">
              <w:t>PBO (N=36)</w:t>
            </w:r>
          </w:p>
        </w:tc>
        <w:tc>
          <w:tcPr>
            <w:tcW w:w="708" w:type="pct"/>
            <w:shd w:val="clear" w:color="auto" w:fill="DBE5F1" w:themeFill="accent1" w:themeFillTint="33"/>
            <w:vAlign w:val="center"/>
          </w:tcPr>
          <w:p w14:paraId="6A60FD04" w14:textId="77777777" w:rsidR="00692C9E" w:rsidRPr="006A2B08" w:rsidRDefault="00692C9E" w:rsidP="007A591A">
            <w:pPr>
              <w:pStyle w:val="In-tableHeading"/>
              <w:jc w:val="center"/>
            </w:pPr>
            <w:r w:rsidRPr="006A2B08">
              <w:t>TOF (N=39)</w:t>
            </w:r>
          </w:p>
        </w:tc>
        <w:tc>
          <w:tcPr>
            <w:tcW w:w="708" w:type="pct"/>
            <w:shd w:val="clear" w:color="auto" w:fill="DBE5F1" w:themeFill="accent1" w:themeFillTint="33"/>
            <w:vAlign w:val="center"/>
          </w:tcPr>
          <w:p w14:paraId="25D76CC7" w14:textId="77777777" w:rsidR="00692C9E" w:rsidRPr="006A2B08" w:rsidRDefault="00692C9E" w:rsidP="007A591A">
            <w:pPr>
              <w:pStyle w:val="In-tableHeading"/>
              <w:jc w:val="center"/>
            </w:pPr>
            <w:r w:rsidRPr="006A2B08">
              <w:t>PBO (N=21)</w:t>
            </w:r>
          </w:p>
        </w:tc>
        <w:tc>
          <w:tcPr>
            <w:tcW w:w="526" w:type="pct"/>
            <w:shd w:val="clear" w:color="auto" w:fill="DBE5F1" w:themeFill="accent1" w:themeFillTint="33"/>
            <w:vAlign w:val="center"/>
          </w:tcPr>
          <w:p w14:paraId="5474DE77" w14:textId="77777777" w:rsidR="00692C9E" w:rsidRPr="006A2B08" w:rsidRDefault="00692C9E" w:rsidP="007A591A">
            <w:pPr>
              <w:pStyle w:val="In-tableHeading"/>
              <w:jc w:val="center"/>
            </w:pPr>
            <w:r w:rsidRPr="006A2B08">
              <w:t>TOF (N=33)</w:t>
            </w:r>
          </w:p>
        </w:tc>
        <w:tc>
          <w:tcPr>
            <w:tcW w:w="546" w:type="pct"/>
            <w:shd w:val="clear" w:color="auto" w:fill="DBE5F1" w:themeFill="accent1" w:themeFillTint="33"/>
            <w:vAlign w:val="center"/>
          </w:tcPr>
          <w:p w14:paraId="228762B5" w14:textId="77777777" w:rsidR="00692C9E" w:rsidRPr="006A2B08" w:rsidRDefault="00692C9E" w:rsidP="007A591A">
            <w:pPr>
              <w:pStyle w:val="In-tableHeading"/>
              <w:jc w:val="center"/>
            </w:pPr>
            <w:r w:rsidRPr="006A2B08">
              <w:t>PBO (N=15)</w:t>
            </w:r>
          </w:p>
        </w:tc>
      </w:tr>
      <w:tr w:rsidR="00692C9E" w:rsidRPr="006A2B08" w14:paraId="0B5EF9DC" w14:textId="77777777" w:rsidTr="00DE2B3A">
        <w:tc>
          <w:tcPr>
            <w:tcW w:w="5000" w:type="pct"/>
            <w:gridSpan w:val="7"/>
            <w:tcBorders>
              <w:bottom w:val="single" w:sz="4" w:space="0" w:color="auto"/>
            </w:tcBorders>
            <w:shd w:val="clear" w:color="auto" w:fill="DBE5F1" w:themeFill="accent1" w:themeFillTint="33"/>
            <w:vAlign w:val="center"/>
          </w:tcPr>
          <w:p w14:paraId="1461EA1C" w14:textId="616F9CFD" w:rsidR="00692C9E" w:rsidRPr="006A2B08" w:rsidRDefault="00692C9E" w:rsidP="007A591A">
            <w:pPr>
              <w:pStyle w:val="TableText"/>
              <w:rPr>
                <w:b/>
                <w:bCs w:val="0"/>
              </w:rPr>
            </w:pPr>
            <w:r w:rsidRPr="006A2B08">
              <w:rPr>
                <w:b/>
                <w:bCs w:val="0"/>
              </w:rPr>
              <w:t>ALSFRS</w:t>
            </w:r>
            <w:r w:rsidR="007A591A">
              <w:rPr>
                <w:b/>
                <w:bCs w:val="0"/>
              </w:rPr>
              <w:noBreakHyphen/>
            </w:r>
            <w:r w:rsidRPr="006A2B08">
              <w:rPr>
                <w:b/>
                <w:bCs w:val="0"/>
              </w:rPr>
              <w:t xml:space="preserve">R score: change from VALOR baseline to Week 28 </w:t>
            </w:r>
          </w:p>
        </w:tc>
      </w:tr>
      <w:tr w:rsidR="00692C9E" w:rsidRPr="006A2B08" w14:paraId="140E7FA5" w14:textId="77777777" w:rsidTr="00DE2B3A">
        <w:tc>
          <w:tcPr>
            <w:tcW w:w="5000" w:type="pct"/>
            <w:gridSpan w:val="7"/>
            <w:tcBorders>
              <w:bottom w:val="single" w:sz="4" w:space="0" w:color="auto"/>
            </w:tcBorders>
            <w:shd w:val="clear" w:color="auto" w:fill="DBE5F1" w:themeFill="accent1" w:themeFillTint="33"/>
            <w:vAlign w:val="center"/>
          </w:tcPr>
          <w:p w14:paraId="55A41D8D" w14:textId="51961C32" w:rsidR="00692C9E" w:rsidRPr="00261058" w:rsidRDefault="00692C9E" w:rsidP="007A591A">
            <w:pPr>
              <w:pStyle w:val="TableText"/>
              <w:ind w:left="104"/>
              <w:rPr>
                <w:b/>
                <w:bCs w:val="0"/>
              </w:rPr>
            </w:pPr>
            <w:r w:rsidRPr="00261058">
              <w:rPr>
                <w:b/>
                <w:bCs w:val="0"/>
              </w:rPr>
              <w:t>Covariates: baseline disease duration, baseline ALSFRS</w:t>
            </w:r>
            <w:r w:rsidR="007A591A">
              <w:rPr>
                <w:b/>
                <w:bCs w:val="0"/>
              </w:rPr>
              <w:noBreakHyphen/>
            </w:r>
            <w:r w:rsidRPr="00261058">
              <w:rPr>
                <w:b/>
                <w:bCs w:val="0"/>
              </w:rPr>
              <w:t>R score, and riluzole/edaravone use</w:t>
            </w:r>
          </w:p>
        </w:tc>
      </w:tr>
      <w:tr w:rsidR="00692C9E" w:rsidRPr="006A2B08" w14:paraId="06C05C7E" w14:textId="77777777" w:rsidTr="00DE2B3A">
        <w:tc>
          <w:tcPr>
            <w:tcW w:w="1331" w:type="pct"/>
            <w:tcBorders>
              <w:top w:val="single" w:sz="4" w:space="0" w:color="auto"/>
              <w:bottom w:val="single" w:sz="4" w:space="0" w:color="auto"/>
            </w:tcBorders>
            <w:shd w:val="clear" w:color="auto" w:fill="DBE5F1" w:themeFill="accent1" w:themeFillTint="33"/>
          </w:tcPr>
          <w:p w14:paraId="0B43931E" w14:textId="77777777" w:rsidR="00692C9E" w:rsidRPr="006A2B08" w:rsidRDefault="00692C9E" w:rsidP="007A591A">
            <w:pPr>
              <w:pStyle w:val="TableText"/>
              <w:ind w:left="104"/>
            </w:pPr>
            <w:r w:rsidRPr="006A2B08">
              <w:t xml:space="preserve">Adjusted LS mean (SE) </w:t>
            </w:r>
          </w:p>
        </w:tc>
        <w:tc>
          <w:tcPr>
            <w:tcW w:w="568" w:type="pct"/>
            <w:tcBorders>
              <w:top w:val="single" w:sz="4" w:space="0" w:color="auto"/>
              <w:bottom w:val="single" w:sz="4" w:space="0" w:color="auto"/>
            </w:tcBorders>
            <w:shd w:val="clear" w:color="auto" w:fill="DBE5F1" w:themeFill="accent1" w:themeFillTint="33"/>
            <w:vAlign w:val="center"/>
          </w:tcPr>
          <w:p w14:paraId="3A6FA5E3" w14:textId="3D05E0A8" w:rsidR="00692C9E" w:rsidRPr="006A2B08" w:rsidRDefault="007A591A" w:rsidP="007A591A">
            <w:pPr>
              <w:pStyle w:val="TableText"/>
              <w:jc w:val="center"/>
            </w:pPr>
            <w:r>
              <w:noBreakHyphen/>
            </w:r>
            <w:r w:rsidR="00692C9E" w:rsidRPr="006A2B08">
              <w:t>4.5 (NR)</w:t>
            </w:r>
          </w:p>
        </w:tc>
        <w:tc>
          <w:tcPr>
            <w:tcW w:w="613" w:type="pct"/>
            <w:tcBorders>
              <w:top w:val="single" w:sz="4" w:space="0" w:color="auto"/>
              <w:bottom w:val="single" w:sz="4" w:space="0" w:color="auto"/>
            </w:tcBorders>
            <w:shd w:val="clear" w:color="auto" w:fill="DBE5F1" w:themeFill="accent1" w:themeFillTint="33"/>
            <w:vAlign w:val="center"/>
          </w:tcPr>
          <w:p w14:paraId="683BD3F3" w14:textId="7A332976" w:rsidR="00692C9E" w:rsidRPr="006A2B08" w:rsidRDefault="007A591A" w:rsidP="007A591A">
            <w:pPr>
              <w:pStyle w:val="TableText"/>
              <w:jc w:val="center"/>
            </w:pPr>
            <w:r>
              <w:noBreakHyphen/>
            </w:r>
            <w:r w:rsidR="00692C9E" w:rsidRPr="006A2B08">
              <w:t>5.8 (NR)</w:t>
            </w:r>
          </w:p>
        </w:tc>
        <w:tc>
          <w:tcPr>
            <w:tcW w:w="708" w:type="pct"/>
            <w:tcBorders>
              <w:top w:val="single" w:sz="4" w:space="0" w:color="auto"/>
              <w:bottom w:val="single" w:sz="4" w:space="0" w:color="auto"/>
            </w:tcBorders>
            <w:shd w:val="clear" w:color="auto" w:fill="DBE5F1" w:themeFill="accent1" w:themeFillTint="33"/>
            <w:vAlign w:val="center"/>
          </w:tcPr>
          <w:p w14:paraId="5A3EECFD" w14:textId="4F0FE5C6" w:rsidR="00692C9E" w:rsidRPr="006A2B08" w:rsidRDefault="007A591A" w:rsidP="007A591A">
            <w:pPr>
              <w:pStyle w:val="TableText"/>
              <w:jc w:val="center"/>
            </w:pPr>
            <w:r>
              <w:noBreakHyphen/>
            </w:r>
            <w:r w:rsidR="00692C9E" w:rsidRPr="006A2B08">
              <w:t>6.98 (NR)</w:t>
            </w:r>
          </w:p>
        </w:tc>
        <w:tc>
          <w:tcPr>
            <w:tcW w:w="708" w:type="pct"/>
            <w:tcBorders>
              <w:top w:val="single" w:sz="4" w:space="0" w:color="auto"/>
              <w:bottom w:val="single" w:sz="4" w:space="0" w:color="auto"/>
            </w:tcBorders>
            <w:shd w:val="clear" w:color="auto" w:fill="DBE5F1" w:themeFill="accent1" w:themeFillTint="33"/>
            <w:vAlign w:val="center"/>
          </w:tcPr>
          <w:p w14:paraId="3B168C56" w14:textId="71F52B9C" w:rsidR="00692C9E" w:rsidRPr="006A2B08" w:rsidRDefault="007A591A" w:rsidP="007A591A">
            <w:pPr>
              <w:pStyle w:val="TableText"/>
              <w:jc w:val="center"/>
            </w:pPr>
            <w:r>
              <w:noBreakHyphen/>
            </w:r>
            <w:r w:rsidR="00692C9E" w:rsidRPr="006A2B08">
              <w:t>8.14 (NR)</w:t>
            </w:r>
          </w:p>
        </w:tc>
        <w:tc>
          <w:tcPr>
            <w:tcW w:w="526" w:type="pct"/>
            <w:tcBorders>
              <w:top w:val="single" w:sz="4" w:space="0" w:color="auto"/>
              <w:bottom w:val="single" w:sz="4" w:space="0" w:color="auto"/>
            </w:tcBorders>
            <w:shd w:val="clear" w:color="auto" w:fill="DBE5F1" w:themeFill="accent1" w:themeFillTint="33"/>
            <w:vAlign w:val="center"/>
          </w:tcPr>
          <w:p w14:paraId="6B12A4B1" w14:textId="6A6D825E" w:rsidR="00692C9E" w:rsidRPr="006A2B08" w:rsidRDefault="007A591A" w:rsidP="007A591A">
            <w:pPr>
              <w:pStyle w:val="TableText"/>
              <w:jc w:val="center"/>
            </w:pPr>
            <w:r>
              <w:noBreakHyphen/>
            </w:r>
            <w:r w:rsidR="00692C9E" w:rsidRPr="006A2B08">
              <w:t>1.33 (NR)</w:t>
            </w:r>
          </w:p>
        </w:tc>
        <w:tc>
          <w:tcPr>
            <w:tcW w:w="546" w:type="pct"/>
            <w:tcBorders>
              <w:top w:val="single" w:sz="4" w:space="0" w:color="auto"/>
              <w:bottom w:val="single" w:sz="4" w:space="0" w:color="auto"/>
            </w:tcBorders>
            <w:shd w:val="clear" w:color="auto" w:fill="DBE5F1" w:themeFill="accent1" w:themeFillTint="33"/>
            <w:vAlign w:val="center"/>
          </w:tcPr>
          <w:p w14:paraId="45451841" w14:textId="5D5E9E91" w:rsidR="00692C9E" w:rsidRPr="006A2B08" w:rsidRDefault="007A591A" w:rsidP="007A591A">
            <w:pPr>
              <w:pStyle w:val="TableText"/>
              <w:jc w:val="center"/>
            </w:pPr>
            <w:r>
              <w:noBreakHyphen/>
            </w:r>
            <w:r w:rsidR="00692C9E" w:rsidRPr="006A2B08">
              <w:t>2.73 (NR)</w:t>
            </w:r>
          </w:p>
        </w:tc>
      </w:tr>
      <w:tr w:rsidR="00692C9E" w:rsidRPr="006A2B08" w14:paraId="02182D1F" w14:textId="77777777" w:rsidTr="00DE2B3A">
        <w:tc>
          <w:tcPr>
            <w:tcW w:w="1331" w:type="pct"/>
            <w:tcBorders>
              <w:top w:val="single" w:sz="4" w:space="0" w:color="auto"/>
              <w:bottom w:val="single" w:sz="4" w:space="0" w:color="auto"/>
            </w:tcBorders>
            <w:shd w:val="clear" w:color="auto" w:fill="DBE5F1" w:themeFill="accent1" w:themeFillTint="33"/>
          </w:tcPr>
          <w:p w14:paraId="1CA91050" w14:textId="1D115F75" w:rsidR="00692C9E" w:rsidRPr="006A2B08" w:rsidRDefault="00692C9E" w:rsidP="007A591A">
            <w:pPr>
              <w:pStyle w:val="TableText"/>
              <w:ind w:left="104"/>
            </w:pPr>
            <w:r w:rsidRPr="006A2B08">
              <w:t>Difference (95%</w:t>
            </w:r>
            <w:r w:rsidR="001B1396">
              <w:t xml:space="preserve"> </w:t>
            </w:r>
            <w:r w:rsidRPr="006A2B08">
              <w:t>CI) v</w:t>
            </w:r>
            <w:r w:rsidR="006940A6">
              <w:t>s</w:t>
            </w:r>
            <w:r w:rsidRPr="006A2B08">
              <w:t xml:space="preserve"> PBO</w:t>
            </w:r>
          </w:p>
        </w:tc>
        <w:tc>
          <w:tcPr>
            <w:tcW w:w="1181" w:type="pct"/>
            <w:gridSpan w:val="2"/>
            <w:tcBorders>
              <w:top w:val="single" w:sz="4" w:space="0" w:color="auto"/>
              <w:bottom w:val="single" w:sz="4" w:space="0" w:color="auto"/>
            </w:tcBorders>
            <w:shd w:val="clear" w:color="auto" w:fill="DBE5F1" w:themeFill="accent1" w:themeFillTint="33"/>
            <w:vAlign w:val="center"/>
          </w:tcPr>
          <w:p w14:paraId="1CE38BEE" w14:textId="28D41ADF" w:rsidR="00692C9E" w:rsidRPr="006A2B08" w:rsidRDefault="00692C9E" w:rsidP="007A591A">
            <w:pPr>
              <w:pStyle w:val="TableText"/>
              <w:jc w:val="center"/>
            </w:pPr>
            <w:r w:rsidRPr="006A2B08">
              <w:t>1.4 (</w:t>
            </w:r>
            <w:r w:rsidR="007A591A">
              <w:noBreakHyphen/>
            </w:r>
            <w:r w:rsidRPr="006A2B08">
              <w:t>1.34, 4.09)</w:t>
            </w:r>
          </w:p>
        </w:tc>
        <w:tc>
          <w:tcPr>
            <w:tcW w:w="1416" w:type="pct"/>
            <w:gridSpan w:val="2"/>
            <w:tcBorders>
              <w:top w:val="single" w:sz="4" w:space="0" w:color="auto"/>
              <w:bottom w:val="single" w:sz="4" w:space="0" w:color="auto"/>
            </w:tcBorders>
            <w:shd w:val="clear" w:color="auto" w:fill="DBE5F1" w:themeFill="accent1" w:themeFillTint="33"/>
            <w:vAlign w:val="center"/>
          </w:tcPr>
          <w:p w14:paraId="607BEC25" w14:textId="61E05C9F" w:rsidR="00692C9E" w:rsidRPr="006A2B08" w:rsidRDefault="00692C9E" w:rsidP="007A591A">
            <w:pPr>
              <w:pStyle w:val="TableText"/>
              <w:jc w:val="center"/>
            </w:pPr>
            <w:r w:rsidRPr="006A2B08">
              <w:t>1.2 (</w:t>
            </w:r>
            <w:r w:rsidR="007A591A">
              <w:noBreakHyphen/>
            </w:r>
            <w:r w:rsidRPr="006A2B08">
              <w:t>3.2, 5.5)</w:t>
            </w:r>
          </w:p>
        </w:tc>
        <w:tc>
          <w:tcPr>
            <w:tcW w:w="1072" w:type="pct"/>
            <w:gridSpan w:val="2"/>
            <w:tcBorders>
              <w:top w:val="single" w:sz="4" w:space="0" w:color="auto"/>
              <w:bottom w:val="single" w:sz="4" w:space="0" w:color="auto"/>
            </w:tcBorders>
            <w:shd w:val="clear" w:color="auto" w:fill="DBE5F1" w:themeFill="accent1" w:themeFillTint="33"/>
            <w:vAlign w:val="center"/>
          </w:tcPr>
          <w:p w14:paraId="0D1F3A9C" w14:textId="0A6138CF" w:rsidR="00692C9E" w:rsidRPr="006A2B08" w:rsidRDefault="00692C9E" w:rsidP="007A591A">
            <w:pPr>
              <w:pStyle w:val="TableText"/>
              <w:jc w:val="center"/>
            </w:pPr>
            <w:r w:rsidRPr="006A2B08">
              <w:t>1.4 (</w:t>
            </w:r>
            <w:r w:rsidR="007A591A">
              <w:noBreakHyphen/>
            </w:r>
            <w:r w:rsidRPr="006A2B08">
              <w:t>1.1, 3.9)</w:t>
            </w:r>
          </w:p>
        </w:tc>
      </w:tr>
      <w:tr w:rsidR="00692C9E" w:rsidRPr="006A2B08" w14:paraId="176CE2CF" w14:textId="77777777" w:rsidTr="00DE2B3A">
        <w:tc>
          <w:tcPr>
            <w:tcW w:w="1331" w:type="pct"/>
            <w:tcBorders>
              <w:top w:val="single" w:sz="4" w:space="0" w:color="auto"/>
              <w:bottom w:val="single" w:sz="4" w:space="0" w:color="auto"/>
            </w:tcBorders>
            <w:shd w:val="clear" w:color="auto" w:fill="DBE5F1" w:themeFill="accent1" w:themeFillTint="33"/>
          </w:tcPr>
          <w:p w14:paraId="7487A572" w14:textId="2ECE6E73" w:rsidR="00692C9E" w:rsidRPr="006A2B08" w:rsidRDefault="00692C9E" w:rsidP="007A591A">
            <w:pPr>
              <w:pStyle w:val="TableText"/>
              <w:ind w:left="104"/>
            </w:pPr>
            <w:r w:rsidRPr="006A2B08">
              <w:t>p</w:t>
            </w:r>
            <w:r w:rsidR="007A591A">
              <w:noBreakHyphen/>
            </w:r>
            <w:r w:rsidRPr="006A2B08">
              <w:t>value JRT+MI</w:t>
            </w:r>
          </w:p>
        </w:tc>
        <w:tc>
          <w:tcPr>
            <w:tcW w:w="1181" w:type="pct"/>
            <w:gridSpan w:val="2"/>
            <w:tcBorders>
              <w:top w:val="single" w:sz="4" w:space="0" w:color="auto"/>
              <w:bottom w:val="single" w:sz="4" w:space="0" w:color="auto"/>
            </w:tcBorders>
            <w:shd w:val="clear" w:color="auto" w:fill="DBE5F1" w:themeFill="accent1" w:themeFillTint="33"/>
            <w:vAlign w:val="center"/>
          </w:tcPr>
          <w:p w14:paraId="12E3068C" w14:textId="5FB8E4A3" w:rsidR="00692C9E" w:rsidRPr="006A2B08" w:rsidRDefault="00692C9E" w:rsidP="007A591A">
            <w:pPr>
              <w:pStyle w:val="TableText"/>
              <w:jc w:val="center"/>
            </w:pPr>
            <w:r w:rsidRPr="006A2B08">
              <w:t>0.9130</w:t>
            </w:r>
            <w:r w:rsidR="00B84DAD">
              <w:rPr>
                <w:vertAlign w:val="superscript"/>
              </w:rPr>
              <w:t>c</w:t>
            </w:r>
          </w:p>
        </w:tc>
        <w:tc>
          <w:tcPr>
            <w:tcW w:w="1416" w:type="pct"/>
            <w:gridSpan w:val="2"/>
            <w:tcBorders>
              <w:top w:val="single" w:sz="4" w:space="0" w:color="auto"/>
              <w:bottom w:val="single" w:sz="4" w:space="0" w:color="auto"/>
            </w:tcBorders>
            <w:shd w:val="clear" w:color="auto" w:fill="DBE5F1" w:themeFill="accent1" w:themeFillTint="33"/>
            <w:vAlign w:val="center"/>
          </w:tcPr>
          <w:p w14:paraId="2A7EE447" w14:textId="684C1D0D" w:rsidR="00692C9E" w:rsidRPr="006A2B08" w:rsidRDefault="00692C9E" w:rsidP="007A591A">
            <w:pPr>
              <w:pStyle w:val="TableText"/>
              <w:jc w:val="center"/>
            </w:pPr>
            <w:r w:rsidRPr="006A2B08">
              <w:t>0.9689</w:t>
            </w:r>
          </w:p>
        </w:tc>
        <w:tc>
          <w:tcPr>
            <w:tcW w:w="1072" w:type="pct"/>
            <w:gridSpan w:val="2"/>
            <w:tcBorders>
              <w:top w:val="single" w:sz="4" w:space="0" w:color="auto"/>
              <w:bottom w:val="single" w:sz="4" w:space="0" w:color="auto"/>
            </w:tcBorders>
            <w:shd w:val="clear" w:color="auto" w:fill="DBE5F1" w:themeFill="accent1" w:themeFillTint="33"/>
            <w:vAlign w:val="center"/>
          </w:tcPr>
          <w:p w14:paraId="61085334" w14:textId="77777777" w:rsidR="00692C9E" w:rsidRPr="006A2B08" w:rsidRDefault="00692C9E" w:rsidP="007A591A">
            <w:pPr>
              <w:pStyle w:val="TableText"/>
              <w:jc w:val="center"/>
            </w:pPr>
            <w:r w:rsidRPr="006A2B08">
              <w:t>NR</w:t>
            </w:r>
          </w:p>
        </w:tc>
      </w:tr>
      <w:tr w:rsidR="00692C9E" w:rsidRPr="006A2B08" w14:paraId="01D46463" w14:textId="77777777" w:rsidTr="00DE2B3A">
        <w:tc>
          <w:tcPr>
            <w:tcW w:w="1331" w:type="pct"/>
            <w:tcBorders>
              <w:top w:val="single" w:sz="4" w:space="0" w:color="auto"/>
              <w:bottom w:val="single" w:sz="4" w:space="0" w:color="auto"/>
            </w:tcBorders>
            <w:shd w:val="clear" w:color="auto" w:fill="DBE5F1" w:themeFill="accent1" w:themeFillTint="33"/>
          </w:tcPr>
          <w:p w14:paraId="4745EEC6" w14:textId="21BA6944" w:rsidR="00692C9E" w:rsidRPr="006A2B08" w:rsidRDefault="00692C9E" w:rsidP="007A591A">
            <w:pPr>
              <w:pStyle w:val="TableText"/>
              <w:ind w:left="104"/>
            </w:pPr>
            <w:r w:rsidRPr="006A2B08">
              <w:t>p</w:t>
            </w:r>
            <w:r w:rsidR="007A591A">
              <w:noBreakHyphen/>
            </w:r>
            <w:r w:rsidRPr="006A2B08">
              <w:t>value ANCOVA+MI</w:t>
            </w:r>
          </w:p>
        </w:tc>
        <w:tc>
          <w:tcPr>
            <w:tcW w:w="1181" w:type="pct"/>
            <w:gridSpan w:val="2"/>
            <w:tcBorders>
              <w:top w:val="single" w:sz="4" w:space="0" w:color="auto"/>
              <w:bottom w:val="single" w:sz="4" w:space="0" w:color="auto"/>
            </w:tcBorders>
            <w:shd w:val="clear" w:color="auto" w:fill="DBE5F1" w:themeFill="accent1" w:themeFillTint="33"/>
            <w:vAlign w:val="center"/>
          </w:tcPr>
          <w:p w14:paraId="60E5F805" w14:textId="49B31F6E" w:rsidR="00692C9E" w:rsidRPr="006A2B08" w:rsidRDefault="00692C9E" w:rsidP="007A591A">
            <w:pPr>
              <w:pStyle w:val="TableText"/>
              <w:jc w:val="center"/>
            </w:pPr>
            <w:r w:rsidRPr="006A2B08">
              <w:t>0.3218</w:t>
            </w:r>
            <w:r w:rsidR="00B84DAD">
              <w:rPr>
                <w:vertAlign w:val="superscript"/>
              </w:rPr>
              <w:t>c</w:t>
            </w:r>
          </w:p>
        </w:tc>
        <w:tc>
          <w:tcPr>
            <w:tcW w:w="1416" w:type="pct"/>
            <w:gridSpan w:val="2"/>
            <w:tcBorders>
              <w:top w:val="single" w:sz="4" w:space="0" w:color="auto"/>
              <w:bottom w:val="single" w:sz="4" w:space="0" w:color="auto"/>
            </w:tcBorders>
            <w:shd w:val="clear" w:color="auto" w:fill="DBE5F1" w:themeFill="accent1" w:themeFillTint="33"/>
            <w:vAlign w:val="center"/>
          </w:tcPr>
          <w:p w14:paraId="7168CCB4" w14:textId="33E518B2" w:rsidR="00692C9E" w:rsidRPr="006A2B08" w:rsidRDefault="00692C9E" w:rsidP="007A591A">
            <w:pPr>
              <w:pStyle w:val="TableText"/>
              <w:jc w:val="center"/>
            </w:pPr>
            <w:r w:rsidRPr="006A2B08">
              <w:t>0.5998</w:t>
            </w:r>
            <w:r w:rsidR="00B84DAD">
              <w:rPr>
                <w:vertAlign w:val="superscript"/>
              </w:rPr>
              <w:t>d</w:t>
            </w:r>
          </w:p>
        </w:tc>
        <w:tc>
          <w:tcPr>
            <w:tcW w:w="1072" w:type="pct"/>
            <w:gridSpan w:val="2"/>
            <w:tcBorders>
              <w:top w:val="single" w:sz="4" w:space="0" w:color="auto"/>
              <w:bottom w:val="single" w:sz="4" w:space="0" w:color="auto"/>
            </w:tcBorders>
            <w:shd w:val="clear" w:color="auto" w:fill="DBE5F1" w:themeFill="accent1" w:themeFillTint="33"/>
            <w:vAlign w:val="center"/>
          </w:tcPr>
          <w:p w14:paraId="5C81FD04" w14:textId="388C5957" w:rsidR="00692C9E" w:rsidRPr="006A2B08" w:rsidRDefault="00692C9E" w:rsidP="007A591A">
            <w:pPr>
              <w:pStyle w:val="TableText"/>
              <w:jc w:val="center"/>
            </w:pPr>
            <w:r w:rsidRPr="006A2B08">
              <w:t>0.2726</w:t>
            </w:r>
            <w:r w:rsidR="00B84DAD">
              <w:rPr>
                <w:vertAlign w:val="superscript"/>
              </w:rPr>
              <w:t>c</w:t>
            </w:r>
          </w:p>
        </w:tc>
      </w:tr>
      <w:tr w:rsidR="00692C9E" w:rsidRPr="006A2B08" w14:paraId="665E0EF4" w14:textId="77777777" w:rsidTr="00DE2B3A">
        <w:tc>
          <w:tcPr>
            <w:tcW w:w="5000" w:type="pct"/>
            <w:gridSpan w:val="7"/>
            <w:tcBorders>
              <w:bottom w:val="single" w:sz="4" w:space="0" w:color="auto"/>
            </w:tcBorders>
            <w:shd w:val="clear" w:color="auto" w:fill="DBE5F1" w:themeFill="accent1" w:themeFillTint="33"/>
            <w:vAlign w:val="center"/>
          </w:tcPr>
          <w:p w14:paraId="4C1BECF3" w14:textId="4F1A41F6" w:rsidR="00692C9E" w:rsidRPr="00261058" w:rsidRDefault="00692C9E" w:rsidP="007A591A">
            <w:pPr>
              <w:pStyle w:val="TableText"/>
              <w:ind w:left="104"/>
              <w:rPr>
                <w:b/>
                <w:bCs w:val="0"/>
              </w:rPr>
            </w:pPr>
            <w:r w:rsidRPr="00261058">
              <w:rPr>
                <w:b/>
                <w:bCs w:val="0"/>
              </w:rPr>
              <w:t xml:space="preserve">Covariates: baseline plasma </w:t>
            </w:r>
            <w:proofErr w:type="spellStart"/>
            <w:r w:rsidRPr="00261058">
              <w:rPr>
                <w:b/>
                <w:bCs w:val="0"/>
              </w:rPr>
              <w:t>NfL</w:t>
            </w:r>
            <w:proofErr w:type="spellEnd"/>
            <w:r w:rsidRPr="00261058">
              <w:rPr>
                <w:b/>
                <w:bCs w:val="0"/>
              </w:rPr>
              <w:t>, baseline ALSFRS</w:t>
            </w:r>
            <w:r w:rsidR="007A591A">
              <w:rPr>
                <w:b/>
                <w:bCs w:val="0"/>
              </w:rPr>
              <w:noBreakHyphen/>
            </w:r>
            <w:r w:rsidRPr="00261058">
              <w:rPr>
                <w:b/>
                <w:bCs w:val="0"/>
              </w:rPr>
              <w:t>R score, and riluzole/edaravone use</w:t>
            </w:r>
          </w:p>
        </w:tc>
      </w:tr>
      <w:tr w:rsidR="00692C9E" w:rsidRPr="006A2B08" w14:paraId="159CAC8C" w14:textId="77777777" w:rsidTr="00DE2B3A">
        <w:tc>
          <w:tcPr>
            <w:tcW w:w="1331" w:type="pct"/>
            <w:tcBorders>
              <w:top w:val="single" w:sz="4" w:space="0" w:color="auto"/>
              <w:bottom w:val="single" w:sz="4" w:space="0" w:color="auto"/>
            </w:tcBorders>
            <w:shd w:val="clear" w:color="auto" w:fill="DBE5F1" w:themeFill="accent1" w:themeFillTint="33"/>
          </w:tcPr>
          <w:p w14:paraId="41708DF8" w14:textId="77777777" w:rsidR="00692C9E" w:rsidRPr="006A2B08" w:rsidRDefault="00692C9E" w:rsidP="007A591A">
            <w:pPr>
              <w:pStyle w:val="TableText"/>
              <w:ind w:left="104"/>
            </w:pPr>
            <w:r w:rsidRPr="006A2B08">
              <w:t xml:space="preserve">Adjusted LS mean (SE) </w:t>
            </w:r>
          </w:p>
        </w:tc>
        <w:tc>
          <w:tcPr>
            <w:tcW w:w="568" w:type="pct"/>
            <w:tcBorders>
              <w:top w:val="single" w:sz="4" w:space="0" w:color="auto"/>
              <w:bottom w:val="single" w:sz="4" w:space="0" w:color="auto"/>
            </w:tcBorders>
            <w:shd w:val="clear" w:color="auto" w:fill="DBE5F1" w:themeFill="accent1" w:themeFillTint="33"/>
            <w:vAlign w:val="center"/>
          </w:tcPr>
          <w:p w14:paraId="16032914" w14:textId="5B977387" w:rsidR="00692C9E" w:rsidRPr="006A2B08" w:rsidRDefault="007A591A" w:rsidP="007A591A">
            <w:pPr>
              <w:pStyle w:val="TableText"/>
              <w:jc w:val="center"/>
            </w:pPr>
            <w:r>
              <w:noBreakHyphen/>
            </w:r>
            <w:r w:rsidR="00692C9E" w:rsidRPr="006A2B08">
              <w:t>4.1 (NR)</w:t>
            </w:r>
          </w:p>
        </w:tc>
        <w:tc>
          <w:tcPr>
            <w:tcW w:w="613" w:type="pct"/>
            <w:tcBorders>
              <w:top w:val="single" w:sz="4" w:space="0" w:color="auto"/>
              <w:bottom w:val="single" w:sz="4" w:space="0" w:color="auto"/>
            </w:tcBorders>
            <w:shd w:val="clear" w:color="auto" w:fill="DBE5F1" w:themeFill="accent1" w:themeFillTint="33"/>
            <w:vAlign w:val="center"/>
          </w:tcPr>
          <w:p w14:paraId="124BB0C5" w14:textId="6543470C" w:rsidR="00692C9E" w:rsidRPr="006A2B08" w:rsidRDefault="007A591A" w:rsidP="007A591A">
            <w:pPr>
              <w:pStyle w:val="TableText"/>
              <w:jc w:val="center"/>
            </w:pPr>
            <w:r>
              <w:noBreakHyphen/>
            </w:r>
            <w:r w:rsidR="00692C9E" w:rsidRPr="006A2B08">
              <w:t>6.2 (NR)</w:t>
            </w:r>
          </w:p>
        </w:tc>
        <w:tc>
          <w:tcPr>
            <w:tcW w:w="708" w:type="pct"/>
            <w:tcBorders>
              <w:top w:val="single" w:sz="4" w:space="0" w:color="auto"/>
              <w:bottom w:val="single" w:sz="4" w:space="0" w:color="auto"/>
            </w:tcBorders>
            <w:shd w:val="clear" w:color="auto" w:fill="DBE5F1" w:themeFill="accent1" w:themeFillTint="33"/>
            <w:vAlign w:val="center"/>
          </w:tcPr>
          <w:p w14:paraId="7CC93A7F" w14:textId="77777777" w:rsidR="00692C9E" w:rsidRPr="006A2B08" w:rsidRDefault="00692C9E" w:rsidP="007A591A">
            <w:pPr>
              <w:pStyle w:val="TableText"/>
              <w:jc w:val="center"/>
            </w:pPr>
            <w:r w:rsidRPr="006A2B08">
              <w:t>NR</w:t>
            </w:r>
          </w:p>
        </w:tc>
        <w:tc>
          <w:tcPr>
            <w:tcW w:w="708" w:type="pct"/>
            <w:tcBorders>
              <w:top w:val="single" w:sz="4" w:space="0" w:color="auto"/>
              <w:bottom w:val="single" w:sz="4" w:space="0" w:color="auto"/>
            </w:tcBorders>
            <w:shd w:val="clear" w:color="auto" w:fill="DBE5F1" w:themeFill="accent1" w:themeFillTint="33"/>
            <w:vAlign w:val="center"/>
          </w:tcPr>
          <w:p w14:paraId="4ED61E89" w14:textId="77777777" w:rsidR="00692C9E" w:rsidRPr="006A2B08" w:rsidRDefault="00692C9E" w:rsidP="007A591A">
            <w:pPr>
              <w:pStyle w:val="TableText"/>
              <w:jc w:val="center"/>
            </w:pPr>
            <w:r w:rsidRPr="006A2B08">
              <w:t>NR</w:t>
            </w:r>
          </w:p>
        </w:tc>
        <w:tc>
          <w:tcPr>
            <w:tcW w:w="526" w:type="pct"/>
            <w:tcBorders>
              <w:top w:val="single" w:sz="4" w:space="0" w:color="auto"/>
              <w:bottom w:val="single" w:sz="4" w:space="0" w:color="auto"/>
            </w:tcBorders>
            <w:shd w:val="clear" w:color="auto" w:fill="DBE5F1" w:themeFill="accent1" w:themeFillTint="33"/>
          </w:tcPr>
          <w:p w14:paraId="075E461D" w14:textId="77777777" w:rsidR="00692C9E" w:rsidRPr="006A2B08" w:rsidRDefault="00692C9E" w:rsidP="007A591A">
            <w:pPr>
              <w:pStyle w:val="TableText"/>
              <w:jc w:val="center"/>
            </w:pPr>
            <w:r w:rsidRPr="006A2B08">
              <w:t>NR</w:t>
            </w:r>
          </w:p>
        </w:tc>
        <w:tc>
          <w:tcPr>
            <w:tcW w:w="546" w:type="pct"/>
            <w:tcBorders>
              <w:top w:val="single" w:sz="4" w:space="0" w:color="auto"/>
              <w:bottom w:val="single" w:sz="4" w:space="0" w:color="auto"/>
            </w:tcBorders>
            <w:shd w:val="clear" w:color="auto" w:fill="DBE5F1" w:themeFill="accent1" w:themeFillTint="33"/>
          </w:tcPr>
          <w:p w14:paraId="46B47FEE" w14:textId="77777777" w:rsidR="00692C9E" w:rsidRPr="006A2B08" w:rsidRDefault="00692C9E" w:rsidP="007A591A">
            <w:pPr>
              <w:pStyle w:val="TableText"/>
              <w:jc w:val="center"/>
            </w:pPr>
            <w:r w:rsidRPr="006A2B08">
              <w:t>NR</w:t>
            </w:r>
          </w:p>
        </w:tc>
      </w:tr>
      <w:tr w:rsidR="00692C9E" w:rsidRPr="006A2B08" w14:paraId="79916E7B" w14:textId="77777777" w:rsidTr="00DE2B3A">
        <w:tc>
          <w:tcPr>
            <w:tcW w:w="1331" w:type="pct"/>
            <w:tcBorders>
              <w:top w:val="single" w:sz="4" w:space="0" w:color="auto"/>
              <w:bottom w:val="single" w:sz="4" w:space="0" w:color="auto"/>
            </w:tcBorders>
            <w:shd w:val="clear" w:color="auto" w:fill="DBE5F1" w:themeFill="accent1" w:themeFillTint="33"/>
          </w:tcPr>
          <w:p w14:paraId="36943D98" w14:textId="3E87D3F6" w:rsidR="00692C9E" w:rsidRPr="006A2B08" w:rsidRDefault="00692C9E" w:rsidP="007A591A">
            <w:pPr>
              <w:pStyle w:val="TableText"/>
              <w:keepNext w:val="0"/>
              <w:ind w:left="104"/>
            </w:pPr>
            <w:r w:rsidRPr="006A2B08">
              <w:t>Difference (95%</w:t>
            </w:r>
            <w:r w:rsidR="001B1396">
              <w:t xml:space="preserve"> </w:t>
            </w:r>
            <w:r w:rsidRPr="006A2B08">
              <w:t>CI) v</w:t>
            </w:r>
            <w:r w:rsidR="006940A6">
              <w:t>s</w:t>
            </w:r>
            <w:r w:rsidRPr="006A2B08">
              <w:t xml:space="preserve"> PBO</w:t>
            </w:r>
          </w:p>
        </w:tc>
        <w:tc>
          <w:tcPr>
            <w:tcW w:w="1181" w:type="pct"/>
            <w:gridSpan w:val="2"/>
            <w:tcBorders>
              <w:top w:val="single" w:sz="4" w:space="0" w:color="auto"/>
              <w:bottom w:val="single" w:sz="4" w:space="0" w:color="auto"/>
            </w:tcBorders>
            <w:shd w:val="clear" w:color="auto" w:fill="DBE5F1" w:themeFill="accent1" w:themeFillTint="33"/>
            <w:vAlign w:val="center"/>
          </w:tcPr>
          <w:p w14:paraId="700BB5AD" w14:textId="473F0A09" w:rsidR="00692C9E" w:rsidRPr="006A2B08" w:rsidRDefault="00692C9E" w:rsidP="007A591A">
            <w:pPr>
              <w:pStyle w:val="TableText"/>
              <w:keepNext w:val="0"/>
              <w:jc w:val="center"/>
            </w:pPr>
            <w:r w:rsidRPr="006A2B08">
              <w:t>2.1 (</w:t>
            </w:r>
            <w:r w:rsidR="007A591A">
              <w:noBreakHyphen/>
            </w:r>
            <w:r w:rsidRPr="006A2B08">
              <w:t>0.33, 4.54)</w:t>
            </w:r>
          </w:p>
        </w:tc>
        <w:tc>
          <w:tcPr>
            <w:tcW w:w="1416" w:type="pct"/>
            <w:gridSpan w:val="2"/>
            <w:tcBorders>
              <w:top w:val="single" w:sz="4" w:space="0" w:color="auto"/>
              <w:bottom w:val="single" w:sz="4" w:space="0" w:color="auto"/>
            </w:tcBorders>
            <w:shd w:val="clear" w:color="auto" w:fill="DBE5F1" w:themeFill="accent1" w:themeFillTint="33"/>
            <w:vAlign w:val="center"/>
          </w:tcPr>
          <w:p w14:paraId="0C45964D" w14:textId="7E97C337" w:rsidR="00692C9E" w:rsidRPr="006A2B08" w:rsidRDefault="00692C9E" w:rsidP="007A591A">
            <w:pPr>
              <w:pStyle w:val="TableText"/>
              <w:keepNext w:val="0"/>
              <w:jc w:val="center"/>
            </w:pPr>
            <w:r w:rsidRPr="006A2B08">
              <w:t>2.2 (</w:t>
            </w:r>
            <w:r w:rsidR="007A591A">
              <w:noBreakHyphen/>
            </w:r>
            <w:r w:rsidRPr="006A2B08">
              <w:t>1.82, 6.16)</w:t>
            </w:r>
          </w:p>
        </w:tc>
        <w:tc>
          <w:tcPr>
            <w:tcW w:w="1072" w:type="pct"/>
            <w:gridSpan w:val="2"/>
            <w:tcBorders>
              <w:top w:val="single" w:sz="4" w:space="0" w:color="auto"/>
              <w:bottom w:val="single" w:sz="4" w:space="0" w:color="auto"/>
            </w:tcBorders>
            <w:shd w:val="clear" w:color="auto" w:fill="DBE5F1" w:themeFill="accent1" w:themeFillTint="33"/>
          </w:tcPr>
          <w:p w14:paraId="64A3C38A" w14:textId="77777777" w:rsidR="00692C9E" w:rsidRPr="006A2B08" w:rsidRDefault="00692C9E" w:rsidP="007A591A">
            <w:pPr>
              <w:pStyle w:val="TableText"/>
              <w:keepNext w:val="0"/>
              <w:jc w:val="center"/>
            </w:pPr>
            <w:r w:rsidRPr="006A2B08">
              <w:t>NR</w:t>
            </w:r>
          </w:p>
        </w:tc>
      </w:tr>
      <w:tr w:rsidR="00692C9E" w:rsidRPr="006A2B08" w14:paraId="7EEA275B" w14:textId="77777777" w:rsidTr="00DE2B3A">
        <w:tc>
          <w:tcPr>
            <w:tcW w:w="1331" w:type="pct"/>
            <w:tcBorders>
              <w:top w:val="single" w:sz="4" w:space="0" w:color="auto"/>
              <w:bottom w:val="single" w:sz="4" w:space="0" w:color="auto"/>
            </w:tcBorders>
            <w:shd w:val="clear" w:color="auto" w:fill="DBE5F1" w:themeFill="accent1" w:themeFillTint="33"/>
          </w:tcPr>
          <w:p w14:paraId="5B484D5B" w14:textId="0674B9F2" w:rsidR="00692C9E" w:rsidRPr="006A2B08" w:rsidRDefault="00692C9E" w:rsidP="007A591A">
            <w:pPr>
              <w:pStyle w:val="TableText"/>
              <w:keepNext w:val="0"/>
              <w:ind w:left="104"/>
            </w:pPr>
            <w:r w:rsidRPr="006A2B08">
              <w:t>p</w:t>
            </w:r>
            <w:r w:rsidR="007A591A">
              <w:noBreakHyphen/>
            </w:r>
            <w:r w:rsidRPr="006A2B08">
              <w:t>value JRT+MI</w:t>
            </w:r>
          </w:p>
        </w:tc>
        <w:tc>
          <w:tcPr>
            <w:tcW w:w="1181" w:type="pct"/>
            <w:gridSpan w:val="2"/>
            <w:tcBorders>
              <w:top w:val="single" w:sz="4" w:space="0" w:color="auto"/>
              <w:bottom w:val="single" w:sz="4" w:space="0" w:color="auto"/>
            </w:tcBorders>
            <w:shd w:val="clear" w:color="auto" w:fill="DBE5F1" w:themeFill="accent1" w:themeFillTint="33"/>
            <w:vAlign w:val="center"/>
          </w:tcPr>
          <w:p w14:paraId="7FCC92D1" w14:textId="0F13FE53" w:rsidR="00692C9E" w:rsidRPr="006A2B08" w:rsidRDefault="00692C9E" w:rsidP="007A591A">
            <w:pPr>
              <w:pStyle w:val="TableText"/>
              <w:keepNext w:val="0"/>
              <w:jc w:val="center"/>
            </w:pPr>
            <w:r w:rsidRPr="006A2B08">
              <w:t>0.5015</w:t>
            </w:r>
            <w:r w:rsidR="00B84DAD">
              <w:rPr>
                <w:vertAlign w:val="superscript"/>
              </w:rPr>
              <w:t>c</w:t>
            </w:r>
          </w:p>
        </w:tc>
        <w:tc>
          <w:tcPr>
            <w:tcW w:w="1416" w:type="pct"/>
            <w:gridSpan w:val="2"/>
            <w:tcBorders>
              <w:top w:val="single" w:sz="4" w:space="0" w:color="auto"/>
              <w:bottom w:val="single" w:sz="4" w:space="0" w:color="auto"/>
            </w:tcBorders>
            <w:shd w:val="clear" w:color="auto" w:fill="DBE5F1" w:themeFill="accent1" w:themeFillTint="33"/>
            <w:vAlign w:val="center"/>
          </w:tcPr>
          <w:p w14:paraId="6629584E" w14:textId="1F7D57D5" w:rsidR="00692C9E" w:rsidRPr="006A2B08" w:rsidRDefault="00692C9E" w:rsidP="007A591A">
            <w:pPr>
              <w:pStyle w:val="TableText"/>
              <w:keepNext w:val="0"/>
              <w:jc w:val="center"/>
            </w:pPr>
            <w:r w:rsidRPr="006A2B08">
              <w:t>0.5842</w:t>
            </w:r>
            <w:r w:rsidR="00B84DAD">
              <w:rPr>
                <w:vertAlign w:val="superscript"/>
              </w:rPr>
              <w:t>c</w:t>
            </w:r>
          </w:p>
        </w:tc>
        <w:tc>
          <w:tcPr>
            <w:tcW w:w="1072" w:type="pct"/>
            <w:gridSpan w:val="2"/>
            <w:tcBorders>
              <w:top w:val="single" w:sz="4" w:space="0" w:color="auto"/>
              <w:bottom w:val="single" w:sz="4" w:space="0" w:color="auto"/>
            </w:tcBorders>
            <w:shd w:val="clear" w:color="auto" w:fill="DBE5F1" w:themeFill="accent1" w:themeFillTint="33"/>
          </w:tcPr>
          <w:p w14:paraId="5B2D9641" w14:textId="77777777" w:rsidR="00692C9E" w:rsidRPr="006A2B08" w:rsidRDefault="00692C9E" w:rsidP="007A591A">
            <w:pPr>
              <w:pStyle w:val="TableText"/>
              <w:keepNext w:val="0"/>
              <w:jc w:val="center"/>
            </w:pPr>
            <w:r w:rsidRPr="006A2B08">
              <w:t>NR</w:t>
            </w:r>
          </w:p>
        </w:tc>
      </w:tr>
      <w:tr w:rsidR="00692C9E" w:rsidRPr="006A2B08" w14:paraId="55B63221" w14:textId="77777777" w:rsidTr="00DE2B3A">
        <w:tc>
          <w:tcPr>
            <w:tcW w:w="1331" w:type="pct"/>
            <w:tcBorders>
              <w:top w:val="single" w:sz="4" w:space="0" w:color="auto"/>
              <w:bottom w:val="single" w:sz="4" w:space="0" w:color="auto"/>
            </w:tcBorders>
            <w:shd w:val="clear" w:color="auto" w:fill="DBE5F1" w:themeFill="accent1" w:themeFillTint="33"/>
          </w:tcPr>
          <w:p w14:paraId="77F4D5E7" w14:textId="057C2D7F" w:rsidR="00692C9E" w:rsidRPr="006A2B08" w:rsidRDefault="00692C9E" w:rsidP="007A591A">
            <w:pPr>
              <w:pStyle w:val="TableText"/>
              <w:keepNext w:val="0"/>
              <w:ind w:left="104"/>
            </w:pPr>
            <w:r w:rsidRPr="006A2B08">
              <w:t>p</w:t>
            </w:r>
            <w:r w:rsidR="007A591A">
              <w:noBreakHyphen/>
            </w:r>
            <w:r w:rsidRPr="006A2B08">
              <w:t>value ANCOVA+MI</w:t>
            </w:r>
          </w:p>
        </w:tc>
        <w:tc>
          <w:tcPr>
            <w:tcW w:w="1181" w:type="pct"/>
            <w:gridSpan w:val="2"/>
            <w:tcBorders>
              <w:top w:val="single" w:sz="4" w:space="0" w:color="auto"/>
              <w:bottom w:val="single" w:sz="4" w:space="0" w:color="auto"/>
            </w:tcBorders>
            <w:shd w:val="clear" w:color="auto" w:fill="DBE5F1" w:themeFill="accent1" w:themeFillTint="33"/>
            <w:vAlign w:val="center"/>
          </w:tcPr>
          <w:p w14:paraId="06BEE4E6" w14:textId="4B0A07A4" w:rsidR="00692C9E" w:rsidRPr="006A2B08" w:rsidRDefault="00692C9E" w:rsidP="007A591A">
            <w:pPr>
              <w:pStyle w:val="TableText"/>
              <w:keepNext w:val="0"/>
              <w:jc w:val="center"/>
            </w:pPr>
            <w:r w:rsidRPr="006A2B08">
              <w:t>0.0904</w:t>
            </w:r>
            <w:r w:rsidR="008C5CF6">
              <w:rPr>
                <w:vertAlign w:val="superscript"/>
              </w:rPr>
              <w:t>d</w:t>
            </w:r>
          </w:p>
        </w:tc>
        <w:tc>
          <w:tcPr>
            <w:tcW w:w="1416" w:type="pct"/>
            <w:gridSpan w:val="2"/>
            <w:tcBorders>
              <w:top w:val="single" w:sz="4" w:space="0" w:color="auto"/>
              <w:bottom w:val="single" w:sz="4" w:space="0" w:color="auto"/>
            </w:tcBorders>
            <w:shd w:val="clear" w:color="auto" w:fill="DBE5F1" w:themeFill="accent1" w:themeFillTint="33"/>
            <w:vAlign w:val="center"/>
          </w:tcPr>
          <w:p w14:paraId="64600745" w14:textId="45BA9563" w:rsidR="00692C9E" w:rsidRPr="006A2B08" w:rsidRDefault="00692C9E" w:rsidP="007A591A">
            <w:pPr>
              <w:pStyle w:val="TableText"/>
              <w:keepNext w:val="0"/>
              <w:jc w:val="center"/>
            </w:pPr>
            <w:r w:rsidRPr="006A2B08">
              <w:t>0.2858</w:t>
            </w:r>
            <w:r w:rsidR="00B84DAD">
              <w:rPr>
                <w:vertAlign w:val="superscript"/>
              </w:rPr>
              <w:t>c</w:t>
            </w:r>
          </w:p>
        </w:tc>
        <w:tc>
          <w:tcPr>
            <w:tcW w:w="1072" w:type="pct"/>
            <w:gridSpan w:val="2"/>
            <w:tcBorders>
              <w:top w:val="single" w:sz="4" w:space="0" w:color="auto"/>
              <w:bottom w:val="single" w:sz="4" w:space="0" w:color="auto"/>
            </w:tcBorders>
            <w:shd w:val="clear" w:color="auto" w:fill="DBE5F1" w:themeFill="accent1" w:themeFillTint="33"/>
          </w:tcPr>
          <w:p w14:paraId="5303D95A" w14:textId="77777777" w:rsidR="00692C9E" w:rsidRPr="006A2B08" w:rsidRDefault="00692C9E" w:rsidP="007A591A">
            <w:pPr>
              <w:pStyle w:val="TableText"/>
              <w:keepNext w:val="0"/>
              <w:jc w:val="center"/>
            </w:pPr>
            <w:r w:rsidRPr="006A2B08">
              <w:t>NR</w:t>
            </w:r>
          </w:p>
        </w:tc>
      </w:tr>
    </w:tbl>
    <w:p w14:paraId="19541D92" w14:textId="06C6CA1E" w:rsidR="001B1D5F" w:rsidRDefault="001B1D5F" w:rsidP="007A591A">
      <w:pPr>
        <w:pStyle w:val="TableFigureFooter"/>
      </w:pPr>
      <w:r>
        <w:t xml:space="preserve">Source: </w:t>
      </w:r>
      <w:r w:rsidR="00FC47BF">
        <w:t>Table 4, p</w:t>
      </w:r>
      <w:r w:rsidR="00C0029E">
        <w:t xml:space="preserve">15 </w:t>
      </w:r>
      <w:r w:rsidR="00991D04">
        <w:t>November 2025 minutes</w:t>
      </w:r>
    </w:p>
    <w:p w14:paraId="4AFF3C63" w14:textId="592570D5" w:rsidR="001B1D5F" w:rsidRPr="00517C13" w:rsidRDefault="001B1D5F" w:rsidP="007A591A">
      <w:pPr>
        <w:pStyle w:val="TableFigureFooter"/>
      </w:pPr>
      <w:r w:rsidRPr="00597A24">
        <w:t>ALSFRS</w:t>
      </w:r>
      <w:r w:rsidR="007A591A">
        <w:noBreakHyphen/>
      </w:r>
      <w:r w:rsidRPr="00597A24">
        <w:t>R</w:t>
      </w:r>
      <w:r w:rsidR="00384025">
        <w:t xml:space="preserve"> </w:t>
      </w:r>
      <w:r w:rsidRPr="00597A24">
        <w:t>=</w:t>
      </w:r>
      <w:r w:rsidR="00384025">
        <w:t xml:space="preserve"> </w:t>
      </w:r>
      <w:r w:rsidR="00A27CB0">
        <w:t>amyotrophic lateral sclerosis f</w:t>
      </w:r>
      <w:r w:rsidRPr="00597A24">
        <w:t xml:space="preserve">unctional </w:t>
      </w:r>
      <w:r w:rsidR="00A27CB0">
        <w:t>r</w:t>
      </w:r>
      <w:r w:rsidRPr="00597A24">
        <w:t xml:space="preserve">ating </w:t>
      </w:r>
      <w:r w:rsidR="00A27CB0">
        <w:t>s</w:t>
      </w:r>
      <w:r w:rsidRPr="00597A24">
        <w:t>cale–</w:t>
      </w:r>
      <w:r w:rsidR="00A27CB0">
        <w:t>r</w:t>
      </w:r>
      <w:r w:rsidRPr="00597A24">
        <w:t xml:space="preserve">evised; </w:t>
      </w:r>
      <w:r w:rsidRPr="0098262F">
        <w:t>ANCOVA</w:t>
      </w:r>
      <w:r w:rsidR="00384025">
        <w:t xml:space="preserve"> </w:t>
      </w:r>
      <w:r w:rsidRPr="0098262F">
        <w:t>=</w:t>
      </w:r>
      <w:r w:rsidR="00384025">
        <w:t xml:space="preserve"> </w:t>
      </w:r>
      <w:r w:rsidRPr="0098262F">
        <w:t>analysis of covariance; CI</w:t>
      </w:r>
      <w:r w:rsidR="00384025">
        <w:t xml:space="preserve"> </w:t>
      </w:r>
      <w:r w:rsidRPr="0098262F">
        <w:t>=</w:t>
      </w:r>
      <w:r w:rsidR="00384025">
        <w:t xml:space="preserve"> </w:t>
      </w:r>
      <w:r w:rsidRPr="0098262F">
        <w:t xml:space="preserve">confidence interval; </w:t>
      </w:r>
      <w:r w:rsidRPr="00597A24">
        <w:t>ITT</w:t>
      </w:r>
      <w:r w:rsidR="00384025">
        <w:t xml:space="preserve"> </w:t>
      </w:r>
      <w:r w:rsidRPr="00597A24">
        <w:t>=</w:t>
      </w:r>
      <w:r w:rsidR="00384025">
        <w:t xml:space="preserve"> </w:t>
      </w:r>
      <w:r w:rsidRPr="00597A24">
        <w:t>intention</w:t>
      </w:r>
      <w:r w:rsidR="007A591A">
        <w:noBreakHyphen/>
      </w:r>
      <w:r w:rsidRPr="00597A24">
        <w:t>to</w:t>
      </w:r>
      <w:r w:rsidR="007A591A">
        <w:noBreakHyphen/>
      </w:r>
      <w:r w:rsidRPr="00597A24">
        <w:t>treat; mITT</w:t>
      </w:r>
      <w:r w:rsidR="00384025">
        <w:t xml:space="preserve"> </w:t>
      </w:r>
      <w:r w:rsidRPr="00597A24">
        <w:t>=</w:t>
      </w:r>
      <w:r w:rsidR="00384025">
        <w:t xml:space="preserve"> </w:t>
      </w:r>
      <w:r w:rsidRPr="00597A24">
        <w:t xml:space="preserve">modified ITT; </w:t>
      </w:r>
      <w:r>
        <w:t>JRT</w:t>
      </w:r>
      <w:r w:rsidR="00384025">
        <w:t xml:space="preserve"> </w:t>
      </w:r>
      <w:r>
        <w:t>=</w:t>
      </w:r>
      <w:r w:rsidR="00384025">
        <w:t xml:space="preserve"> </w:t>
      </w:r>
      <w:r>
        <w:t>joint rank test; LS</w:t>
      </w:r>
      <w:r w:rsidR="00384025">
        <w:t xml:space="preserve"> </w:t>
      </w:r>
      <w:r>
        <w:t>=</w:t>
      </w:r>
      <w:r w:rsidR="00384025">
        <w:t xml:space="preserve"> </w:t>
      </w:r>
      <w:r>
        <w:t>least square; MI</w:t>
      </w:r>
      <w:r w:rsidR="00384025">
        <w:t xml:space="preserve"> </w:t>
      </w:r>
      <w:r>
        <w:t>=</w:t>
      </w:r>
      <w:r w:rsidR="00384025">
        <w:t xml:space="preserve"> </w:t>
      </w:r>
      <w:r>
        <w:t xml:space="preserve">multiple imputation; </w:t>
      </w:r>
      <w:proofErr w:type="spellStart"/>
      <w:r w:rsidRPr="002E25C2">
        <w:t>Nf</w:t>
      </w:r>
      <w:r>
        <w:t>L</w:t>
      </w:r>
      <w:proofErr w:type="spellEnd"/>
      <w:r w:rsidR="00384025">
        <w:t xml:space="preserve"> </w:t>
      </w:r>
      <w:r w:rsidRPr="002E25C2">
        <w:t>=</w:t>
      </w:r>
      <w:r w:rsidR="00384025">
        <w:t xml:space="preserve"> </w:t>
      </w:r>
      <w:r w:rsidRPr="002E25C2">
        <w:t>neurofilament light chain</w:t>
      </w:r>
      <w:r>
        <w:t>; NR</w:t>
      </w:r>
      <w:r w:rsidR="00384025">
        <w:t xml:space="preserve"> </w:t>
      </w:r>
      <w:r>
        <w:t>=</w:t>
      </w:r>
      <w:r w:rsidR="00384025">
        <w:t xml:space="preserve"> </w:t>
      </w:r>
      <w:r>
        <w:t xml:space="preserve">not reported; </w:t>
      </w:r>
      <w:r w:rsidR="006940A6">
        <w:t xml:space="preserve">PBO = placebo; </w:t>
      </w:r>
      <w:r w:rsidRPr="0098262F">
        <w:t>S</w:t>
      </w:r>
      <w:r w:rsidR="00384025">
        <w:t xml:space="preserve">E </w:t>
      </w:r>
      <w:r w:rsidRPr="0098262F">
        <w:t>=</w:t>
      </w:r>
      <w:r w:rsidR="00384025">
        <w:t xml:space="preserve"> </w:t>
      </w:r>
      <w:r w:rsidRPr="0098262F">
        <w:t xml:space="preserve">standard </w:t>
      </w:r>
      <w:r w:rsidR="00384025">
        <w:t>error</w:t>
      </w:r>
      <w:r>
        <w:t>; SOD1</w:t>
      </w:r>
      <w:r w:rsidR="00384025">
        <w:t xml:space="preserve"> </w:t>
      </w:r>
      <w:r>
        <w:t>=</w:t>
      </w:r>
      <w:r w:rsidR="00384025">
        <w:t xml:space="preserve"> </w:t>
      </w:r>
      <w:r w:rsidRPr="002E25C2">
        <w:t>superoxide dismutase 1</w:t>
      </w:r>
    </w:p>
    <w:p w14:paraId="3CBC6D58" w14:textId="77777777" w:rsidR="001B1D5F" w:rsidRDefault="001B1D5F" w:rsidP="007A591A">
      <w:pPr>
        <w:pStyle w:val="TableFigureFooter"/>
        <w:tabs>
          <w:tab w:val="left" w:pos="142"/>
        </w:tabs>
        <w:ind w:left="135" w:hanging="135"/>
      </w:pPr>
      <w:r w:rsidRPr="00E5451D">
        <w:t>a</w:t>
      </w:r>
      <w:r>
        <w:tab/>
      </w:r>
      <w:r w:rsidRPr="00E5451D">
        <w:t xml:space="preserve">MI model included </w:t>
      </w:r>
      <w:r w:rsidRPr="007A60D2">
        <w:t>treatment group, baseline disease duration since symptom onset, relevant baseline score, and riluzole or edaravone</w:t>
      </w:r>
      <w:r>
        <w:t xml:space="preserve"> use</w:t>
      </w:r>
      <w:r w:rsidRPr="00E5451D">
        <w:t xml:space="preserve">. </w:t>
      </w:r>
      <w:r>
        <w:t xml:space="preserve">Analyses adjusting for baseline plasma </w:t>
      </w:r>
      <w:proofErr w:type="spellStart"/>
      <w:r>
        <w:t>NfL</w:t>
      </w:r>
      <w:proofErr w:type="spellEnd"/>
      <w:r>
        <w:t xml:space="preserve"> included baseline plasma </w:t>
      </w:r>
      <w:proofErr w:type="spellStart"/>
      <w:r>
        <w:t>NfL</w:t>
      </w:r>
      <w:proofErr w:type="spellEnd"/>
      <w:r>
        <w:t xml:space="preserve"> in the MI model.</w:t>
      </w:r>
    </w:p>
    <w:p w14:paraId="23BB9878" w14:textId="6677C4F9" w:rsidR="001B1D5F" w:rsidRDefault="001B1D5F" w:rsidP="007A591A">
      <w:pPr>
        <w:pStyle w:val="TableFigureFooter"/>
        <w:tabs>
          <w:tab w:val="left" w:pos="142"/>
        </w:tabs>
        <w:ind w:left="135" w:hanging="135"/>
      </w:pPr>
      <w:r>
        <w:t>b</w:t>
      </w:r>
      <w:r>
        <w:tab/>
      </w:r>
      <w:r w:rsidRPr="00E5451D">
        <w:t>Adjusted means, ratios to baseline, treatment differences (or ratios) and 95%</w:t>
      </w:r>
      <w:r w:rsidR="00BD6B15">
        <w:t xml:space="preserve"> </w:t>
      </w:r>
      <w:r w:rsidRPr="00E5451D">
        <w:t>CIs and nominal p</w:t>
      </w:r>
      <w:r w:rsidR="007A591A">
        <w:noBreakHyphen/>
      </w:r>
      <w:r w:rsidRPr="00E5451D">
        <w:t>values were obtained from the ANCOVA model for change from baseline</w:t>
      </w:r>
      <w:r>
        <w:t>. JRT p</w:t>
      </w:r>
      <w:r w:rsidR="007A591A">
        <w:noBreakHyphen/>
      </w:r>
      <w:r>
        <w:t>values obtained from the ANCOVA model for ranked scores where deaths were ranked lowest, in conjunction with MI for handling missing data due to withdrawals other than death.</w:t>
      </w:r>
    </w:p>
    <w:p w14:paraId="61B449B7" w14:textId="1BB35DAE" w:rsidR="001B1D5F" w:rsidRDefault="00B84DAD" w:rsidP="007A591A">
      <w:pPr>
        <w:pStyle w:val="TableFigureFooter"/>
        <w:tabs>
          <w:tab w:val="left" w:pos="142"/>
        </w:tabs>
        <w:spacing w:after="0"/>
      </w:pPr>
      <w:r>
        <w:t>c</w:t>
      </w:r>
      <w:r w:rsidR="001B1D5F">
        <w:tab/>
      </w:r>
      <w:r w:rsidR="00FC47BF">
        <w:rPr>
          <w:i/>
          <w:iCs/>
        </w:rPr>
        <w:t>P</w:t>
      </w:r>
      <w:r w:rsidR="001B1D5F" w:rsidRPr="00DF3389">
        <w:rPr>
          <w:i/>
          <w:iCs/>
        </w:rPr>
        <w:t>ost hoc</w:t>
      </w:r>
      <w:r w:rsidR="001B1D5F">
        <w:t xml:space="preserve"> analysis.</w:t>
      </w:r>
    </w:p>
    <w:p w14:paraId="2D971CA0" w14:textId="1CC173D8" w:rsidR="00692C9E" w:rsidRDefault="00B84DAD" w:rsidP="007A591A">
      <w:pPr>
        <w:pStyle w:val="TableFigureFooter"/>
        <w:tabs>
          <w:tab w:val="left" w:pos="142"/>
        </w:tabs>
      </w:pPr>
      <w:r>
        <w:t>d</w:t>
      </w:r>
      <w:r w:rsidR="001B1D5F">
        <w:tab/>
      </w:r>
      <w:r w:rsidR="00FC47BF">
        <w:t>S</w:t>
      </w:r>
      <w:r w:rsidR="001B1D5F">
        <w:t>ensitivity analysis.</w:t>
      </w:r>
    </w:p>
    <w:p w14:paraId="24539EFC" w14:textId="77777777" w:rsidR="006608EC" w:rsidRDefault="006608EC" w:rsidP="007A591A">
      <w:pPr>
        <w:pStyle w:val="TableFigureFooter"/>
        <w:rPr>
          <w:lang w:val="en-US"/>
        </w:rPr>
      </w:pPr>
      <w:r w:rsidRPr="000A1803">
        <w:rPr>
          <w:shd w:val="clear" w:color="auto" w:fill="DBE5F1" w:themeFill="accent1" w:themeFillTint="33"/>
          <w:lang w:val="en-US"/>
        </w:rPr>
        <w:t>Blue</w:t>
      </w:r>
      <w:r>
        <w:rPr>
          <w:lang w:val="en-US"/>
        </w:rPr>
        <w:t xml:space="preserve"> = data presented in November 2025 submission</w:t>
      </w:r>
    </w:p>
    <w:p w14:paraId="1D2EEA86" w14:textId="367C1D99" w:rsidR="00D93891" w:rsidRDefault="00D93891" w:rsidP="007A591A">
      <w:pPr>
        <w:pStyle w:val="3-BodyText"/>
        <w:rPr>
          <w:snapToGrid w:val="0"/>
        </w:rPr>
      </w:pPr>
      <w:r>
        <w:rPr>
          <w:iCs/>
          <w:snapToGrid w:val="0"/>
        </w:rPr>
        <w:t>In November 2025, t</w:t>
      </w:r>
      <w:r w:rsidRPr="00D0496B">
        <w:rPr>
          <w:iCs/>
          <w:snapToGrid w:val="0"/>
        </w:rPr>
        <w:t>he</w:t>
      </w:r>
      <w:r w:rsidRPr="00D0496B">
        <w:rPr>
          <w:snapToGrid w:val="0"/>
        </w:rPr>
        <w:t xml:space="preserve"> PBAC considered that the claim of superior comparative effectiveness was not </w:t>
      </w:r>
      <w:r>
        <w:rPr>
          <w:snapToGrid w:val="0"/>
        </w:rPr>
        <w:t>well</w:t>
      </w:r>
      <w:r w:rsidR="007A591A">
        <w:rPr>
          <w:snapToGrid w:val="0"/>
        </w:rPr>
        <w:noBreakHyphen/>
      </w:r>
      <w:r w:rsidRPr="00D0496B">
        <w:rPr>
          <w:snapToGrid w:val="0"/>
        </w:rPr>
        <w:t xml:space="preserve">supported by the data, which was </w:t>
      </w:r>
      <w:r w:rsidRPr="00D0496B">
        <w:t xml:space="preserve">limited by the small patient population and the short duration of the comparative phase of the trial. </w:t>
      </w:r>
      <w:r w:rsidRPr="00D0496B">
        <w:rPr>
          <w:snapToGrid w:val="0"/>
        </w:rPr>
        <w:t xml:space="preserve">However, on balance, the PBAC </w:t>
      </w:r>
      <w:r>
        <w:rPr>
          <w:snapToGrid w:val="0"/>
        </w:rPr>
        <w:t>considered</w:t>
      </w:r>
      <w:r w:rsidRPr="00D0496B">
        <w:rPr>
          <w:snapToGrid w:val="0"/>
        </w:rPr>
        <w:t xml:space="preserve"> that tofersen was likely to provide a clinically meaningful benefit to some patients, but that the magnitude of the benefit and longer</w:t>
      </w:r>
      <w:r w:rsidR="007A591A">
        <w:rPr>
          <w:snapToGrid w:val="0"/>
        </w:rPr>
        <w:noBreakHyphen/>
      </w:r>
      <w:r w:rsidRPr="00D0496B">
        <w:rPr>
          <w:snapToGrid w:val="0"/>
        </w:rPr>
        <w:t>term effects were uncertain</w:t>
      </w:r>
      <w:r>
        <w:rPr>
          <w:snapToGrid w:val="0"/>
        </w:rPr>
        <w:t xml:space="preserve"> (paragraph </w:t>
      </w:r>
      <w:r w:rsidR="00447011">
        <w:rPr>
          <w:snapToGrid w:val="0"/>
        </w:rPr>
        <w:t xml:space="preserve">6.37 </w:t>
      </w:r>
      <w:proofErr w:type="spellStart"/>
      <w:r w:rsidR="00447011">
        <w:rPr>
          <w:snapToGrid w:val="0"/>
        </w:rPr>
        <w:t>tofersen</w:t>
      </w:r>
      <w:proofErr w:type="spellEnd"/>
      <w:r w:rsidR="00447011">
        <w:rPr>
          <w:snapToGrid w:val="0"/>
        </w:rPr>
        <w:t xml:space="preserve"> </w:t>
      </w:r>
      <w:r w:rsidR="002A114D">
        <w:rPr>
          <w:snapToGrid w:val="0"/>
        </w:rPr>
        <w:t>PSD</w:t>
      </w:r>
      <w:r w:rsidR="00447011">
        <w:rPr>
          <w:snapToGrid w:val="0"/>
        </w:rPr>
        <w:t>, November 2025</w:t>
      </w:r>
      <w:r w:rsidR="005909ED">
        <w:rPr>
          <w:snapToGrid w:val="0"/>
        </w:rPr>
        <w:t xml:space="preserve"> PBAC</w:t>
      </w:r>
      <w:r w:rsidR="00447011">
        <w:rPr>
          <w:snapToGrid w:val="0"/>
        </w:rPr>
        <w:t>)</w:t>
      </w:r>
      <w:r w:rsidRPr="00D0496B">
        <w:rPr>
          <w:snapToGrid w:val="0"/>
        </w:rPr>
        <w:t xml:space="preserve">. </w:t>
      </w:r>
    </w:p>
    <w:p w14:paraId="46C0F248" w14:textId="41DC1EE8" w:rsidR="00991D04" w:rsidRPr="009728E2" w:rsidRDefault="008D5A88" w:rsidP="007A591A">
      <w:pPr>
        <w:pStyle w:val="3-BodyText"/>
        <w:rPr>
          <w:snapToGrid w:val="0"/>
        </w:rPr>
      </w:pPr>
      <w:r>
        <w:rPr>
          <w:snapToGrid w:val="0"/>
        </w:rPr>
        <w:t>Change from baseline in ALSFRS</w:t>
      </w:r>
      <w:r w:rsidR="007A591A">
        <w:rPr>
          <w:snapToGrid w:val="0"/>
        </w:rPr>
        <w:noBreakHyphen/>
      </w:r>
      <w:r>
        <w:rPr>
          <w:snapToGrid w:val="0"/>
        </w:rPr>
        <w:t>R total score</w:t>
      </w:r>
      <w:r w:rsidR="00EB77B7">
        <w:rPr>
          <w:snapToGrid w:val="0"/>
        </w:rPr>
        <w:t xml:space="preserve"> at Weeks 76, 104 and 148 from the VALOR OLE study are presented in </w:t>
      </w:r>
      <w:r w:rsidR="009728E2" w:rsidRPr="009728E2">
        <w:rPr>
          <w:snapToGrid w:val="0"/>
        </w:rPr>
        <w:fldChar w:fldCharType="begin"/>
      </w:r>
      <w:r w:rsidR="009728E2" w:rsidRPr="009728E2">
        <w:rPr>
          <w:snapToGrid w:val="0"/>
        </w:rPr>
        <w:instrText xml:space="preserve"> REF _Ref220496980 \h </w:instrText>
      </w:r>
      <w:r w:rsidR="009728E2">
        <w:rPr>
          <w:snapToGrid w:val="0"/>
        </w:rPr>
        <w:instrText xml:space="preserve"> \* MERGEFORMAT </w:instrText>
      </w:r>
      <w:r w:rsidR="009728E2" w:rsidRPr="009728E2">
        <w:rPr>
          <w:snapToGrid w:val="0"/>
        </w:rPr>
      </w:r>
      <w:r w:rsidR="009728E2" w:rsidRPr="009728E2">
        <w:rPr>
          <w:snapToGrid w:val="0"/>
        </w:rPr>
        <w:fldChar w:fldCharType="separate"/>
      </w:r>
      <w:r w:rsidR="002E1A60">
        <w:t xml:space="preserve">Table </w:t>
      </w:r>
      <w:r w:rsidR="002E1A60">
        <w:rPr>
          <w:noProof/>
        </w:rPr>
        <w:t>4</w:t>
      </w:r>
      <w:r w:rsidR="009728E2" w:rsidRPr="009728E2">
        <w:rPr>
          <w:snapToGrid w:val="0"/>
        </w:rPr>
        <w:fldChar w:fldCharType="end"/>
      </w:r>
      <w:r w:rsidR="00CC203E" w:rsidRPr="009728E2">
        <w:rPr>
          <w:snapToGrid w:val="0"/>
        </w:rPr>
        <w:t xml:space="preserve"> and </w:t>
      </w:r>
      <w:r w:rsidR="009728E2" w:rsidRPr="009728E2">
        <w:rPr>
          <w:snapToGrid w:val="0"/>
        </w:rPr>
        <w:fldChar w:fldCharType="begin"/>
      </w:r>
      <w:r w:rsidR="009728E2" w:rsidRPr="009728E2">
        <w:rPr>
          <w:snapToGrid w:val="0"/>
        </w:rPr>
        <w:instrText xml:space="preserve"> REF _Ref220497017 \h </w:instrText>
      </w:r>
      <w:r w:rsidR="009728E2">
        <w:rPr>
          <w:snapToGrid w:val="0"/>
        </w:rPr>
        <w:instrText xml:space="preserve"> \* MERGEFORMAT </w:instrText>
      </w:r>
      <w:r w:rsidR="009728E2" w:rsidRPr="009728E2">
        <w:rPr>
          <w:snapToGrid w:val="0"/>
        </w:rPr>
      </w:r>
      <w:r w:rsidR="009728E2" w:rsidRPr="009728E2">
        <w:rPr>
          <w:snapToGrid w:val="0"/>
        </w:rPr>
        <w:fldChar w:fldCharType="separate"/>
      </w:r>
      <w:r w:rsidR="002E1A60">
        <w:t xml:space="preserve">Figure </w:t>
      </w:r>
      <w:r w:rsidR="002E1A60">
        <w:rPr>
          <w:noProof/>
        </w:rPr>
        <w:t>1</w:t>
      </w:r>
      <w:r w:rsidR="009728E2" w:rsidRPr="009728E2">
        <w:rPr>
          <w:snapToGrid w:val="0"/>
        </w:rPr>
        <w:fldChar w:fldCharType="end"/>
      </w:r>
      <w:r w:rsidR="00EB77B7" w:rsidRPr="009728E2">
        <w:rPr>
          <w:snapToGrid w:val="0"/>
        </w:rPr>
        <w:t>.</w:t>
      </w:r>
    </w:p>
    <w:p w14:paraId="6F62C4D9" w14:textId="64DD882B" w:rsidR="00B62252" w:rsidRPr="00FA2DC4" w:rsidRDefault="00E348DE" w:rsidP="007A591A">
      <w:pPr>
        <w:pStyle w:val="Caption"/>
        <w:jc w:val="left"/>
      </w:pPr>
      <w:bookmarkStart w:id="8" w:name="_Ref220496980"/>
      <w:bookmarkStart w:id="9" w:name="_Ref192169796"/>
      <w:bookmarkStart w:id="10" w:name="_Ref201307072"/>
      <w:bookmarkStart w:id="11" w:name="_Toc194577635"/>
      <w:bookmarkStart w:id="12" w:name="_Toc217402282"/>
      <w:bookmarkStart w:id="13" w:name="_Ref220496972"/>
      <w:r>
        <w:lastRenderedPageBreak/>
        <w:t xml:space="preserve">Table </w:t>
      </w:r>
      <w:fldSimple w:instr=" SEQ Table \* ARABIC ">
        <w:r w:rsidR="002E1A60">
          <w:rPr>
            <w:noProof/>
          </w:rPr>
          <w:t>4</w:t>
        </w:r>
      </w:fldSimple>
      <w:bookmarkEnd w:id="8"/>
      <w:r>
        <w:t>:</w:t>
      </w:r>
      <w:bookmarkEnd w:id="9"/>
      <w:bookmarkEnd w:id="10"/>
      <w:r w:rsidR="00FA2DC4">
        <w:t xml:space="preserve"> </w:t>
      </w:r>
      <w:r w:rsidR="00B62252">
        <w:t>ALSFRS</w:t>
      </w:r>
      <w:r w:rsidR="007A591A">
        <w:noBreakHyphen/>
      </w:r>
      <w:r w:rsidR="00B62252">
        <w:t xml:space="preserve">R </w:t>
      </w:r>
      <w:r w:rsidR="00A27CB0">
        <w:t>t</w:t>
      </w:r>
      <w:r w:rsidR="00B62252">
        <w:t xml:space="preserve">otal </w:t>
      </w:r>
      <w:r w:rsidR="00A27CB0">
        <w:t>s</w:t>
      </w:r>
      <w:r w:rsidR="00B62252">
        <w:t xml:space="preserve">core </w:t>
      </w:r>
      <w:r w:rsidR="007A591A">
        <w:noBreakHyphen/>
      </w:r>
      <w:r w:rsidR="00B62252">
        <w:t xml:space="preserve"> change from baseline (Week 76</w:t>
      </w:r>
      <w:r w:rsidR="00B62252">
        <w:rPr>
          <w:color w:val="76923C" w:themeColor="accent3" w:themeShade="BF"/>
        </w:rPr>
        <w:t>,</w:t>
      </w:r>
      <w:r w:rsidR="00B62252" w:rsidRPr="00745329">
        <w:rPr>
          <w:color w:val="76923C" w:themeColor="accent3" w:themeShade="BF"/>
        </w:rPr>
        <w:t xml:space="preserve"> </w:t>
      </w:r>
      <w:r w:rsidR="00B62252">
        <w:t xml:space="preserve">Week </w:t>
      </w:r>
      <w:r w:rsidR="00B62252" w:rsidRPr="00FA2DC4">
        <w:t xml:space="preserve">104, Week 148; ITT </w:t>
      </w:r>
      <w:r w:rsidR="00153BC6">
        <w:t>p</w:t>
      </w:r>
      <w:r w:rsidR="00B62252" w:rsidRPr="00FA2DC4">
        <w:t>opulation)</w:t>
      </w:r>
      <w:bookmarkEnd w:id="11"/>
      <w:bookmarkEnd w:id="12"/>
      <w:bookmarkEnd w:id="13"/>
    </w:p>
    <w:tbl>
      <w:tblPr>
        <w:tblStyle w:val="TableGrid9"/>
        <w:tblW w:w="9067" w:type="dxa"/>
        <w:tblLayout w:type="fixed"/>
        <w:tblCellMar>
          <w:left w:w="108" w:type="dxa"/>
          <w:right w:w="108" w:type="dxa"/>
        </w:tblCellMar>
        <w:tblLook w:val="04A0" w:firstRow="1" w:lastRow="0" w:firstColumn="1" w:lastColumn="0" w:noHBand="0" w:noVBand="1"/>
        <w:tblCaption w:val="Table 4: ALSFRS R total score   change from baseline (Week 76, Week 104, Week 148; ITT population)"/>
      </w:tblPr>
      <w:tblGrid>
        <w:gridCol w:w="2263"/>
        <w:gridCol w:w="2268"/>
        <w:gridCol w:w="2268"/>
        <w:gridCol w:w="2268"/>
      </w:tblGrid>
      <w:tr w:rsidR="00FA2DC4" w:rsidRPr="00FA2DC4" w14:paraId="3DDEB01D" w14:textId="77777777" w:rsidTr="00D56EED">
        <w:trPr>
          <w:trHeight w:hRule="exact" w:val="983"/>
        </w:trPr>
        <w:tc>
          <w:tcPr>
            <w:tcW w:w="2263" w:type="dxa"/>
            <w:tcBorders>
              <w:bottom w:val="single" w:sz="4" w:space="0" w:color="auto"/>
            </w:tcBorders>
            <w:tcMar>
              <w:top w:w="28" w:type="dxa"/>
              <w:left w:w="28" w:type="dxa"/>
              <w:bottom w:w="28" w:type="dxa"/>
              <w:right w:w="28" w:type="dxa"/>
            </w:tcMar>
          </w:tcPr>
          <w:p w14:paraId="3B26B789" w14:textId="77777777" w:rsidR="00B62252" w:rsidRPr="00FA2DC4" w:rsidRDefault="00B62252" w:rsidP="007A591A">
            <w:pPr>
              <w:pStyle w:val="PBACTblFignote"/>
              <w:widowControl/>
              <w:spacing w:before="0"/>
              <w:rPr>
                <w:sz w:val="20"/>
                <w:szCs w:val="28"/>
              </w:rPr>
            </w:pPr>
            <w:r w:rsidRPr="00FA2DC4">
              <w:rPr>
                <w:b/>
                <w:noProof/>
                <w:sz w:val="20"/>
                <w:szCs w:val="28"/>
              </w:rPr>
              <mc:AlternateContent>
                <mc:Choice Requires="wps">
                  <w:drawing>
                    <wp:anchor distT="0" distB="0" distL="114300" distR="114300" simplePos="0" relativeHeight="251658241" behindDoc="0" locked="0" layoutInCell="1" allowOverlap="1" wp14:anchorId="21E59316" wp14:editId="7F4879A5">
                      <wp:simplePos x="0" y="0"/>
                      <wp:positionH relativeFrom="page">
                        <wp:posOffset>-9144</wp:posOffset>
                      </wp:positionH>
                      <wp:positionV relativeFrom="line">
                        <wp:posOffset>-9186</wp:posOffset>
                      </wp:positionV>
                      <wp:extent cx="9144" cy="9144"/>
                      <wp:effectExtent l="0" t="0" r="0" b="0"/>
                      <wp:wrapNone/>
                      <wp:docPr id="483" name="Freeform 483"/>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4FAC12B5" id="Freeform 483" o:spid="_x0000_s1026" style="position:absolute;margin-left:-.7pt;margin-top:-.7pt;width:.7pt;height:.7pt;z-index:251658241;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" path="m,9144r9144,l9144,,,,,9144xe" fillcolor="black" stroked="f" strokeweight="1pt">
                      <v:path arrowok="t"/>
                      <w10:wrap anchorx="page" anchory="line"/>
                    </v:shape>
                  </w:pict>
                </mc:Fallback>
              </mc:AlternateContent>
            </w:r>
            <w:r w:rsidRPr="00FA2DC4">
              <w:rPr>
                <w:b/>
                <w:noProof/>
                <w:sz w:val="20"/>
                <w:szCs w:val="28"/>
              </w:rPr>
              <mc:AlternateContent>
                <mc:Choice Requires="wps">
                  <w:drawing>
                    <wp:anchor distT="0" distB="0" distL="114300" distR="114300" simplePos="0" relativeHeight="251658240" behindDoc="0" locked="0" layoutInCell="1" allowOverlap="1" wp14:anchorId="1A6FBA29" wp14:editId="4B457D40">
                      <wp:simplePos x="0" y="0"/>
                      <wp:positionH relativeFrom="page">
                        <wp:posOffset>-9144</wp:posOffset>
                      </wp:positionH>
                      <wp:positionV relativeFrom="line">
                        <wp:posOffset>-9186</wp:posOffset>
                      </wp:positionV>
                      <wp:extent cx="9144" cy="9144"/>
                      <wp:effectExtent l="0" t="0" r="0" b="0"/>
                      <wp:wrapNone/>
                      <wp:docPr id="484" name="Freeform 484"/>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cap="flat" cmpd="sng" algn="ctr">
                                <a:noFill/>
                                <a:prstDash val="solid"/>
                              </a:ln>
                              <a:effectLst/>
                            </wps:spPr>
                            <wps:bodyPr/>
                          </wps:wsp>
                        </a:graphicData>
                      </a:graphic>
                    </wp:anchor>
                  </w:drawing>
                </mc:Choice>
                <mc:Fallback>
                  <w:pict>
                    <v:shape w14:anchorId="6F34BC78" id="Freeform 484" o:spid="_x0000_s1026" style="position:absolute;margin-left:-.7pt;margin-top:-.7pt;width:.7pt;height:.7pt;z-index:251658240;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" path="m,9144r9144,l9144,,,,,9144xe" fillcolor="black" stroked="f" strokeweight="1pt">
                      <v:path arrowok="t"/>
                      <w10:wrap anchorx="page" anchory="line"/>
                    </v:shape>
                  </w:pict>
                </mc:Fallback>
              </mc:AlternateContent>
            </w:r>
          </w:p>
          <w:p w14:paraId="575BE29A" w14:textId="77777777" w:rsidR="00B62252" w:rsidRPr="00FA2DC4" w:rsidRDefault="00B62252" w:rsidP="007A591A">
            <w:pPr>
              <w:pStyle w:val="PBACTblFignote"/>
              <w:widowControl/>
              <w:spacing w:before="0"/>
              <w:rPr>
                <w:bCs/>
                <w:sz w:val="20"/>
                <w:szCs w:val="28"/>
              </w:rPr>
            </w:pPr>
          </w:p>
        </w:tc>
        <w:tc>
          <w:tcPr>
            <w:tcW w:w="2268" w:type="dxa"/>
            <w:tcBorders>
              <w:bottom w:val="single" w:sz="4" w:space="0" w:color="auto"/>
            </w:tcBorders>
            <w:shd w:val="clear" w:color="auto" w:fill="DBE5F1" w:themeFill="accent1" w:themeFillTint="33"/>
            <w:tcMar>
              <w:top w:w="28" w:type="dxa"/>
              <w:left w:w="28" w:type="dxa"/>
              <w:bottom w:w="28" w:type="dxa"/>
              <w:right w:w="28" w:type="dxa"/>
            </w:tcMar>
          </w:tcPr>
          <w:p w14:paraId="7B1113FF" w14:textId="2CF8EE93" w:rsidR="00B62252" w:rsidRPr="00FA2DC4" w:rsidRDefault="00B62252" w:rsidP="007A591A">
            <w:pPr>
              <w:pStyle w:val="PBACTblFignote"/>
              <w:widowControl/>
              <w:spacing w:before="0"/>
              <w:jc w:val="center"/>
              <w:rPr>
                <w:sz w:val="20"/>
                <w:szCs w:val="28"/>
              </w:rPr>
            </w:pPr>
            <w:r w:rsidRPr="00FA2DC4">
              <w:rPr>
                <w:b/>
                <w:sz w:val="20"/>
                <w:szCs w:val="28"/>
              </w:rPr>
              <w:t>VALOR OLE (Week 76)</w:t>
            </w:r>
            <w:r w:rsidRPr="00FA2DC4">
              <w:rPr>
                <w:b/>
                <w:sz w:val="20"/>
                <w:szCs w:val="28"/>
              </w:rPr>
              <w:br/>
            </w:r>
            <w:r w:rsidRPr="00FA2DC4">
              <w:rPr>
                <w:bCs/>
                <w:sz w:val="20"/>
                <w:szCs w:val="28"/>
              </w:rPr>
              <w:t>Early</w:t>
            </w:r>
            <w:r w:rsidR="007A591A">
              <w:rPr>
                <w:bCs/>
                <w:sz w:val="20"/>
                <w:szCs w:val="28"/>
              </w:rPr>
              <w:noBreakHyphen/>
            </w:r>
            <w:r w:rsidR="00153BC6">
              <w:rPr>
                <w:bCs/>
                <w:sz w:val="20"/>
                <w:szCs w:val="28"/>
              </w:rPr>
              <w:t>s</w:t>
            </w:r>
            <w:r w:rsidRPr="00FA2DC4">
              <w:rPr>
                <w:bCs/>
                <w:sz w:val="20"/>
                <w:szCs w:val="28"/>
              </w:rPr>
              <w:t xml:space="preserve">tart </w:t>
            </w:r>
            <w:proofErr w:type="spellStart"/>
            <w:r w:rsidR="00153BC6">
              <w:rPr>
                <w:bCs/>
                <w:sz w:val="20"/>
                <w:szCs w:val="28"/>
              </w:rPr>
              <w:t>t</w:t>
            </w:r>
            <w:r w:rsidRPr="00FA2DC4">
              <w:rPr>
                <w:bCs/>
                <w:sz w:val="20"/>
                <w:szCs w:val="28"/>
              </w:rPr>
              <w:t>ofersen</w:t>
            </w:r>
            <w:proofErr w:type="spellEnd"/>
            <w:r w:rsidRPr="00FA2DC4">
              <w:rPr>
                <w:bCs/>
                <w:sz w:val="20"/>
                <w:szCs w:val="28"/>
              </w:rPr>
              <w:t xml:space="preserve"> (n=72) vs. Placebo/</w:t>
            </w:r>
            <w:r w:rsidR="00153BC6">
              <w:rPr>
                <w:bCs/>
                <w:sz w:val="20"/>
                <w:szCs w:val="28"/>
              </w:rPr>
              <w:t>d</w:t>
            </w:r>
            <w:r w:rsidRPr="00FA2DC4">
              <w:rPr>
                <w:bCs/>
                <w:sz w:val="20"/>
                <w:szCs w:val="28"/>
              </w:rPr>
              <w:t>elayed</w:t>
            </w:r>
            <w:r w:rsidR="007A591A">
              <w:rPr>
                <w:bCs/>
                <w:sz w:val="20"/>
                <w:szCs w:val="28"/>
              </w:rPr>
              <w:noBreakHyphen/>
            </w:r>
            <w:r w:rsidR="00153BC6">
              <w:rPr>
                <w:bCs/>
                <w:sz w:val="20"/>
                <w:szCs w:val="28"/>
              </w:rPr>
              <w:t>s</w:t>
            </w:r>
            <w:r w:rsidRPr="00FA2DC4">
              <w:rPr>
                <w:bCs/>
                <w:sz w:val="20"/>
                <w:szCs w:val="28"/>
              </w:rPr>
              <w:t xml:space="preserve">tart </w:t>
            </w:r>
            <w:proofErr w:type="spellStart"/>
            <w:r w:rsidR="00153BC6">
              <w:rPr>
                <w:bCs/>
                <w:sz w:val="20"/>
                <w:szCs w:val="28"/>
              </w:rPr>
              <w:t>t</w:t>
            </w:r>
            <w:r w:rsidRPr="00FA2DC4">
              <w:rPr>
                <w:bCs/>
                <w:sz w:val="20"/>
                <w:szCs w:val="28"/>
              </w:rPr>
              <w:t>ofersen</w:t>
            </w:r>
            <w:proofErr w:type="spellEnd"/>
            <w:r w:rsidRPr="00FA2DC4">
              <w:rPr>
                <w:bCs/>
                <w:sz w:val="20"/>
                <w:szCs w:val="28"/>
              </w:rPr>
              <w:t xml:space="preserve"> (n=36)</w:t>
            </w:r>
          </w:p>
        </w:tc>
        <w:tc>
          <w:tcPr>
            <w:tcW w:w="2268" w:type="dxa"/>
            <w:tcBorders>
              <w:bottom w:val="single" w:sz="4" w:space="0" w:color="auto"/>
            </w:tcBorders>
            <w:shd w:val="clear" w:color="auto" w:fill="DBE5F1" w:themeFill="accent1" w:themeFillTint="33"/>
            <w:tcMar>
              <w:top w:w="28" w:type="dxa"/>
              <w:left w:w="28" w:type="dxa"/>
              <w:bottom w:w="28" w:type="dxa"/>
              <w:right w:w="28" w:type="dxa"/>
            </w:tcMar>
          </w:tcPr>
          <w:p w14:paraId="5939069C" w14:textId="11239D4F" w:rsidR="00B62252" w:rsidRPr="00FA2DC4" w:rsidRDefault="00B62252" w:rsidP="007A591A">
            <w:pPr>
              <w:pStyle w:val="PBACTblFignote"/>
              <w:widowControl/>
              <w:spacing w:before="0"/>
              <w:jc w:val="center"/>
              <w:rPr>
                <w:sz w:val="20"/>
                <w:szCs w:val="20"/>
              </w:rPr>
            </w:pPr>
            <w:r w:rsidRPr="00FA2DC4">
              <w:rPr>
                <w:b/>
                <w:sz w:val="20"/>
                <w:szCs w:val="28"/>
              </w:rPr>
              <w:t>VALOR OLE (Week 104)</w:t>
            </w:r>
            <w:r w:rsidRPr="00FA2DC4">
              <w:rPr>
                <w:b/>
                <w:sz w:val="20"/>
                <w:szCs w:val="28"/>
              </w:rPr>
              <w:br/>
            </w:r>
            <w:r w:rsidRPr="00FA2DC4">
              <w:rPr>
                <w:bCs/>
                <w:sz w:val="20"/>
                <w:szCs w:val="28"/>
              </w:rPr>
              <w:t>Early</w:t>
            </w:r>
            <w:r w:rsidR="007A591A">
              <w:rPr>
                <w:bCs/>
                <w:sz w:val="20"/>
                <w:szCs w:val="28"/>
              </w:rPr>
              <w:noBreakHyphen/>
            </w:r>
            <w:r w:rsidR="00153BC6">
              <w:rPr>
                <w:bCs/>
                <w:sz w:val="20"/>
                <w:szCs w:val="20"/>
              </w:rPr>
              <w:t>s</w:t>
            </w:r>
            <w:r w:rsidRPr="00FA2DC4">
              <w:rPr>
                <w:bCs/>
                <w:sz w:val="20"/>
                <w:szCs w:val="20"/>
              </w:rPr>
              <w:t xml:space="preserve">tart </w:t>
            </w:r>
            <w:proofErr w:type="spellStart"/>
            <w:r w:rsidR="00153BC6">
              <w:rPr>
                <w:bCs/>
                <w:sz w:val="20"/>
                <w:szCs w:val="20"/>
              </w:rPr>
              <w:t>t</w:t>
            </w:r>
            <w:r w:rsidRPr="00FA2DC4">
              <w:rPr>
                <w:bCs/>
                <w:sz w:val="20"/>
                <w:szCs w:val="20"/>
              </w:rPr>
              <w:t>ofersen</w:t>
            </w:r>
            <w:proofErr w:type="spellEnd"/>
            <w:r w:rsidRPr="00FA2DC4">
              <w:rPr>
                <w:bCs/>
                <w:sz w:val="20"/>
                <w:szCs w:val="20"/>
              </w:rPr>
              <w:t xml:space="preserve"> (n=72) vs. </w:t>
            </w:r>
            <w:r w:rsidRPr="00FA2DC4">
              <w:rPr>
                <w:sz w:val="20"/>
                <w:szCs w:val="20"/>
              </w:rPr>
              <w:t>Placebo/</w:t>
            </w:r>
            <w:r w:rsidR="00153BC6">
              <w:rPr>
                <w:sz w:val="20"/>
                <w:szCs w:val="20"/>
              </w:rPr>
              <w:t>d</w:t>
            </w:r>
            <w:r w:rsidRPr="00FA2DC4">
              <w:rPr>
                <w:sz w:val="20"/>
                <w:szCs w:val="20"/>
              </w:rPr>
              <w:t>elayed</w:t>
            </w:r>
            <w:r w:rsidR="007A591A">
              <w:rPr>
                <w:sz w:val="20"/>
                <w:szCs w:val="20"/>
              </w:rPr>
              <w:noBreakHyphen/>
            </w:r>
            <w:r w:rsidRPr="00FA2DC4">
              <w:rPr>
                <w:sz w:val="20"/>
                <w:szCs w:val="20"/>
              </w:rPr>
              <w:t xml:space="preserve">start </w:t>
            </w:r>
            <w:proofErr w:type="spellStart"/>
            <w:r w:rsidRPr="00FA2DC4">
              <w:rPr>
                <w:sz w:val="20"/>
                <w:szCs w:val="20"/>
              </w:rPr>
              <w:t>tofersen</w:t>
            </w:r>
            <w:proofErr w:type="spellEnd"/>
            <w:r w:rsidRPr="00FA2DC4">
              <w:rPr>
                <w:sz w:val="20"/>
                <w:szCs w:val="20"/>
              </w:rPr>
              <w:t xml:space="preserve"> (n=36)</w:t>
            </w:r>
          </w:p>
          <w:p w14:paraId="7BBF7AF1" w14:textId="77777777" w:rsidR="00B62252" w:rsidRPr="00FA2DC4" w:rsidRDefault="00B62252" w:rsidP="007A591A">
            <w:pPr>
              <w:pStyle w:val="PBACTblFignote"/>
              <w:widowControl/>
              <w:spacing w:before="0"/>
              <w:jc w:val="center"/>
              <w:rPr>
                <w:b/>
                <w:sz w:val="20"/>
                <w:szCs w:val="28"/>
              </w:rPr>
            </w:pPr>
          </w:p>
        </w:tc>
        <w:tc>
          <w:tcPr>
            <w:tcW w:w="2268" w:type="dxa"/>
            <w:tcBorders>
              <w:bottom w:val="single" w:sz="4" w:space="0" w:color="auto"/>
            </w:tcBorders>
            <w:tcMar>
              <w:top w:w="28" w:type="dxa"/>
              <w:left w:w="28" w:type="dxa"/>
              <w:bottom w:w="28" w:type="dxa"/>
              <w:right w:w="28" w:type="dxa"/>
            </w:tcMar>
          </w:tcPr>
          <w:p w14:paraId="4FAD13D5" w14:textId="4796E8CA" w:rsidR="00B62252" w:rsidRPr="00153BC6" w:rsidRDefault="00B62252" w:rsidP="007A591A">
            <w:pPr>
              <w:pStyle w:val="PBACTblFignote"/>
              <w:widowControl/>
              <w:spacing w:before="0"/>
              <w:jc w:val="center"/>
              <w:rPr>
                <w:bCs/>
                <w:sz w:val="20"/>
                <w:szCs w:val="28"/>
              </w:rPr>
            </w:pPr>
            <w:r w:rsidRPr="00FA2DC4">
              <w:rPr>
                <w:b/>
                <w:sz w:val="20"/>
                <w:szCs w:val="28"/>
              </w:rPr>
              <w:t xml:space="preserve">VALOR OLE (Week 148) </w:t>
            </w:r>
            <w:r w:rsidR="00153BC6">
              <w:rPr>
                <w:b/>
                <w:sz w:val="20"/>
                <w:szCs w:val="28"/>
              </w:rPr>
              <w:br/>
            </w:r>
            <w:r w:rsidRPr="00FA2DC4">
              <w:rPr>
                <w:bCs/>
                <w:sz w:val="20"/>
                <w:szCs w:val="28"/>
              </w:rPr>
              <w:t>Early</w:t>
            </w:r>
            <w:r w:rsidR="007A591A">
              <w:rPr>
                <w:bCs/>
                <w:sz w:val="20"/>
                <w:szCs w:val="28"/>
              </w:rPr>
              <w:noBreakHyphen/>
            </w:r>
            <w:r w:rsidR="00153BC6">
              <w:rPr>
                <w:bCs/>
                <w:sz w:val="20"/>
                <w:szCs w:val="28"/>
              </w:rPr>
              <w:t>s</w:t>
            </w:r>
            <w:r w:rsidRPr="00FA2DC4">
              <w:rPr>
                <w:bCs/>
                <w:sz w:val="20"/>
                <w:szCs w:val="28"/>
              </w:rPr>
              <w:t xml:space="preserve">tart </w:t>
            </w:r>
            <w:proofErr w:type="spellStart"/>
            <w:r w:rsidRPr="00FA2DC4">
              <w:rPr>
                <w:bCs/>
                <w:sz w:val="20"/>
                <w:szCs w:val="28"/>
              </w:rPr>
              <w:t>tofersen</w:t>
            </w:r>
            <w:proofErr w:type="spellEnd"/>
            <w:r w:rsidRPr="00FA2DC4">
              <w:rPr>
                <w:bCs/>
                <w:sz w:val="20"/>
                <w:szCs w:val="28"/>
              </w:rPr>
              <w:t xml:space="preserve"> (n=72) vs. Placebo/</w:t>
            </w:r>
            <w:r w:rsidR="00153BC6">
              <w:rPr>
                <w:bCs/>
                <w:sz w:val="20"/>
                <w:szCs w:val="28"/>
              </w:rPr>
              <w:t>d</w:t>
            </w:r>
            <w:r w:rsidRPr="00FA2DC4">
              <w:rPr>
                <w:bCs/>
                <w:sz w:val="20"/>
                <w:szCs w:val="28"/>
              </w:rPr>
              <w:t>elayed</w:t>
            </w:r>
            <w:r w:rsidR="007A591A">
              <w:rPr>
                <w:bCs/>
                <w:sz w:val="20"/>
                <w:szCs w:val="28"/>
              </w:rPr>
              <w:noBreakHyphen/>
            </w:r>
            <w:r w:rsidRPr="00FA2DC4">
              <w:rPr>
                <w:bCs/>
                <w:sz w:val="20"/>
                <w:szCs w:val="28"/>
              </w:rPr>
              <w:t xml:space="preserve">start </w:t>
            </w:r>
            <w:proofErr w:type="spellStart"/>
            <w:r w:rsidRPr="00FA2DC4">
              <w:rPr>
                <w:bCs/>
                <w:sz w:val="20"/>
                <w:szCs w:val="28"/>
              </w:rPr>
              <w:t>tofersen</w:t>
            </w:r>
            <w:proofErr w:type="spellEnd"/>
            <w:r w:rsidRPr="00FA2DC4">
              <w:rPr>
                <w:bCs/>
                <w:sz w:val="20"/>
                <w:szCs w:val="28"/>
              </w:rPr>
              <w:t xml:space="preserve"> (n=36)</w:t>
            </w:r>
          </w:p>
        </w:tc>
      </w:tr>
      <w:tr w:rsidR="00FA2DC4" w:rsidRPr="00FA2DC4" w14:paraId="3FBAA33D" w14:textId="77777777" w:rsidTr="00D56EED">
        <w:trPr>
          <w:trHeight w:hRule="exact" w:val="280"/>
        </w:trPr>
        <w:tc>
          <w:tcPr>
            <w:tcW w:w="6799" w:type="dxa"/>
            <w:gridSpan w:val="3"/>
            <w:tcBorders>
              <w:bottom w:val="single" w:sz="4" w:space="0" w:color="auto"/>
            </w:tcBorders>
            <w:tcMar>
              <w:top w:w="28" w:type="dxa"/>
              <w:left w:w="28" w:type="dxa"/>
              <w:bottom w:w="28" w:type="dxa"/>
              <w:right w:w="28" w:type="dxa"/>
            </w:tcMar>
          </w:tcPr>
          <w:p w14:paraId="23172B4B" w14:textId="145A2A58" w:rsidR="00B62252" w:rsidRPr="00FA2DC4" w:rsidRDefault="00B62252" w:rsidP="007A591A">
            <w:pPr>
              <w:pStyle w:val="PBACTblFignote"/>
              <w:widowControl/>
              <w:spacing w:before="0"/>
              <w:rPr>
                <w:b/>
                <w:sz w:val="20"/>
                <w:szCs w:val="28"/>
              </w:rPr>
            </w:pPr>
            <w:r w:rsidRPr="00FA2DC4">
              <w:rPr>
                <w:b/>
                <w:sz w:val="20"/>
                <w:szCs w:val="28"/>
              </w:rPr>
              <w:t xml:space="preserve">Original Multiple </w:t>
            </w:r>
            <w:proofErr w:type="spellStart"/>
            <w:r w:rsidRPr="00FA2DC4">
              <w:rPr>
                <w:b/>
                <w:sz w:val="20"/>
                <w:szCs w:val="28"/>
              </w:rPr>
              <w:t>Imputation</w:t>
            </w:r>
            <w:r w:rsidR="003434AD">
              <w:rPr>
                <w:b/>
                <w:sz w:val="20"/>
                <w:szCs w:val="28"/>
                <w:vertAlign w:val="superscript"/>
              </w:rPr>
              <w:t>a</w:t>
            </w:r>
            <w:proofErr w:type="spellEnd"/>
          </w:p>
        </w:tc>
        <w:tc>
          <w:tcPr>
            <w:tcW w:w="2268" w:type="dxa"/>
            <w:tcBorders>
              <w:bottom w:val="single" w:sz="4" w:space="0" w:color="auto"/>
            </w:tcBorders>
            <w:tcMar>
              <w:top w:w="28" w:type="dxa"/>
              <w:left w:w="28" w:type="dxa"/>
              <w:bottom w:w="28" w:type="dxa"/>
              <w:right w:w="28" w:type="dxa"/>
            </w:tcMar>
          </w:tcPr>
          <w:p w14:paraId="4AE49F28" w14:textId="77777777" w:rsidR="00B62252" w:rsidRPr="00FA2DC4" w:rsidRDefault="00B62252" w:rsidP="007A591A">
            <w:pPr>
              <w:pStyle w:val="PBACTblFignote"/>
              <w:widowControl/>
              <w:spacing w:before="0"/>
              <w:rPr>
                <w:b/>
                <w:sz w:val="20"/>
                <w:szCs w:val="28"/>
              </w:rPr>
            </w:pPr>
          </w:p>
        </w:tc>
      </w:tr>
      <w:tr w:rsidR="00FA2DC4" w:rsidRPr="00FA2DC4" w14:paraId="2F47D4EA" w14:textId="77777777" w:rsidTr="00D56EED">
        <w:trPr>
          <w:trHeight w:hRule="exact" w:val="267"/>
        </w:trPr>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152F9A" w14:textId="0601A5F2" w:rsidR="00B62252" w:rsidRPr="00FA2DC4" w:rsidRDefault="00261058" w:rsidP="007A591A">
            <w:pPr>
              <w:keepNext/>
              <w:keepLines/>
              <w:widowControl/>
              <w:rPr>
                <w:rFonts w:ascii="Arial Narrow" w:eastAsia="Times New Roman" w:hAnsi="Arial Narrow" w:cs="Arial"/>
                <w:noProof/>
                <w:sz w:val="20"/>
                <w:szCs w:val="28"/>
                <w:lang w:eastAsia="en-GB"/>
              </w:rPr>
            </w:pPr>
            <w:r>
              <w:rPr>
                <w:rFonts w:ascii="Arial Narrow" w:eastAsia="Times New Roman" w:hAnsi="Arial Narrow" w:cs="Arial"/>
                <w:noProof/>
                <w:sz w:val="20"/>
                <w:szCs w:val="28"/>
                <w:lang w:eastAsia="en-GB"/>
              </w:rPr>
              <w:t xml:space="preserve"> </w:t>
            </w:r>
            <w:r w:rsidR="00B62252" w:rsidRPr="00FA2DC4">
              <w:rPr>
                <w:rFonts w:ascii="Arial Narrow" w:eastAsia="Times New Roman" w:hAnsi="Arial Narrow" w:cs="Arial"/>
                <w:noProof/>
                <w:sz w:val="20"/>
                <w:szCs w:val="28"/>
                <w:lang w:eastAsia="en-GB"/>
              </w:rPr>
              <w:t>Adjusted Means: T</w:t>
            </w:r>
            <w:r w:rsidR="00A27CB0">
              <w:rPr>
                <w:rFonts w:ascii="Arial Narrow" w:eastAsia="Times New Roman" w:hAnsi="Arial Narrow" w:cs="Arial"/>
                <w:noProof/>
                <w:sz w:val="20"/>
                <w:szCs w:val="28"/>
                <w:lang w:eastAsia="en-GB"/>
              </w:rPr>
              <w:t>OF</w:t>
            </w:r>
            <w:r w:rsidR="00B62252" w:rsidRPr="00FA2DC4">
              <w:rPr>
                <w:rFonts w:ascii="Arial Narrow" w:eastAsia="Times New Roman" w:hAnsi="Arial Narrow" w:cs="Arial"/>
                <w:noProof/>
                <w:sz w:val="20"/>
                <w:szCs w:val="28"/>
                <w:lang w:eastAsia="en-GB"/>
              </w:rPr>
              <w:t>; P</w:t>
            </w:r>
            <w:r w:rsidR="00A27CB0">
              <w:rPr>
                <w:rFonts w:ascii="Arial Narrow" w:eastAsia="Times New Roman" w:hAnsi="Arial Narrow" w:cs="Arial"/>
                <w:noProof/>
                <w:sz w:val="20"/>
                <w:szCs w:val="28"/>
                <w:lang w:eastAsia="en-GB"/>
              </w:rPr>
              <w:t>BO</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25D01BFC" w14:textId="2C80D09E" w:rsidR="00B62252" w:rsidRPr="00FA2DC4" w:rsidRDefault="007A591A" w:rsidP="007A591A">
            <w:pPr>
              <w:pStyle w:val="PBACTblFignote"/>
              <w:widowControl/>
              <w:spacing w:before="0"/>
              <w:jc w:val="center"/>
              <w:rPr>
                <w:noProof/>
                <w:sz w:val="20"/>
                <w:szCs w:val="28"/>
              </w:rPr>
            </w:pPr>
            <w:r>
              <w:rPr>
                <w:noProof/>
                <w:sz w:val="20"/>
                <w:szCs w:val="28"/>
              </w:rPr>
              <w:noBreakHyphen/>
            </w:r>
            <w:r w:rsidR="00B62252" w:rsidRPr="00FA2DC4">
              <w:rPr>
                <w:noProof/>
                <w:sz w:val="20"/>
                <w:szCs w:val="28"/>
              </w:rPr>
              <w:t xml:space="preserve">7.6; </w:t>
            </w:r>
            <w:r>
              <w:rPr>
                <w:noProof/>
                <w:sz w:val="20"/>
                <w:szCs w:val="28"/>
              </w:rPr>
              <w:noBreakHyphen/>
            </w:r>
            <w:r w:rsidR="00B62252" w:rsidRPr="00FA2DC4">
              <w:rPr>
                <w:noProof/>
                <w:sz w:val="20"/>
                <w:szCs w:val="28"/>
              </w:rPr>
              <w:t>11.0</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3BCE61E6" w14:textId="5F1F97C5" w:rsidR="00B62252" w:rsidRPr="00FA2DC4" w:rsidRDefault="007A591A" w:rsidP="007A591A">
            <w:pPr>
              <w:pStyle w:val="PBACTblFignote"/>
              <w:widowControl/>
              <w:spacing w:before="0"/>
              <w:jc w:val="center"/>
              <w:rPr>
                <w:sz w:val="20"/>
                <w:szCs w:val="28"/>
              </w:rPr>
            </w:pPr>
            <w:proofErr w:type="gramStart"/>
            <w:r>
              <w:rPr>
                <w:sz w:val="20"/>
                <w:szCs w:val="28"/>
              </w:rPr>
              <w:noBreakHyphen/>
            </w:r>
            <w:r w:rsidR="00B62252" w:rsidRPr="00FA2DC4">
              <w:rPr>
                <w:sz w:val="20"/>
                <w:szCs w:val="28"/>
              </w:rPr>
              <w:t xml:space="preserve">9.5; </w:t>
            </w:r>
            <w:r>
              <w:rPr>
                <w:sz w:val="20"/>
                <w:szCs w:val="28"/>
              </w:rPr>
              <w:noBreakHyphen/>
            </w:r>
            <w:proofErr w:type="gramEnd"/>
            <w:r w:rsidR="00B62252" w:rsidRPr="00FA2DC4">
              <w:rPr>
                <w:sz w:val="20"/>
                <w:szCs w:val="28"/>
              </w:rPr>
              <w:t>13.2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78E75BD" w14:textId="0FD78BA3" w:rsidR="00B62252" w:rsidRPr="00FA2DC4" w:rsidRDefault="007A591A" w:rsidP="007A591A">
            <w:pPr>
              <w:pStyle w:val="PBACTblFignote"/>
              <w:widowControl/>
              <w:spacing w:before="0"/>
              <w:jc w:val="center"/>
              <w:rPr>
                <w:sz w:val="20"/>
                <w:szCs w:val="28"/>
              </w:rPr>
            </w:pPr>
            <w:proofErr w:type="gramStart"/>
            <w:r>
              <w:rPr>
                <w:sz w:val="20"/>
                <w:szCs w:val="28"/>
              </w:rPr>
              <w:noBreakHyphen/>
            </w:r>
            <w:r w:rsidR="00B62252" w:rsidRPr="00FA2DC4">
              <w:rPr>
                <w:sz w:val="20"/>
                <w:szCs w:val="28"/>
              </w:rPr>
              <w:t xml:space="preserve">9.9, </w:t>
            </w:r>
            <w:r>
              <w:rPr>
                <w:sz w:val="20"/>
                <w:szCs w:val="28"/>
              </w:rPr>
              <w:noBreakHyphen/>
            </w:r>
            <w:proofErr w:type="gramEnd"/>
            <w:r w:rsidR="00B62252" w:rsidRPr="00FA2DC4">
              <w:rPr>
                <w:sz w:val="20"/>
                <w:szCs w:val="28"/>
              </w:rPr>
              <w:t>13.5</w:t>
            </w:r>
          </w:p>
        </w:tc>
      </w:tr>
      <w:tr w:rsidR="00FA2DC4" w:rsidRPr="00FA2DC4" w14:paraId="7BDFE4CF" w14:textId="77777777" w:rsidTr="00D56EED">
        <w:trPr>
          <w:trHeight w:hRule="exact" w:val="432"/>
        </w:trPr>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1BFD538" w14:textId="77AEE150" w:rsidR="00B62252" w:rsidRPr="00FA2DC4" w:rsidRDefault="00261058" w:rsidP="007A591A">
            <w:pPr>
              <w:pStyle w:val="PBACTblFignote"/>
              <w:widowControl/>
              <w:spacing w:before="0"/>
              <w:rPr>
                <w:noProof/>
                <w:sz w:val="20"/>
                <w:szCs w:val="28"/>
              </w:rPr>
            </w:pPr>
            <w:r>
              <w:rPr>
                <w:noProof/>
                <w:sz w:val="20"/>
                <w:szCs w:val="28"/>
              </w:rPr>
              <w:t xml:space="preserve"> </w:t>
            </w:r>
            <w:r w:rsidR="00B62252" w:rsidRPr="00FA2DC4">
              <w:rPr>
                <w:noProof/>
                <w:sz w:val="20"/>
                <w:szCs w:val="28"/>
              </w:rPr>
              <w:t>T</w:t>
            </w:r>
            <w:r w:rsidR="00A27CB0">
              <w:rPr>
                <w:noProof/>
                <w:sz w:val="20"/>
                <w:szCs w:val="28"/>
              </w:rPr>
              <w:t>OR</w:t>
            </w:r>
            <w:r w:rsidR="007A591A">
              <w:rPr>
                <w:noProof/>
                <w:sz w:val="20"/>
                <w:szCs w:val="28"/>
              </w:rPr>
              <w:noBreakHyphen/>
            </w:r>
            <w:r w:rsidR="00A27CB0">
              <w:rPr>
                <w:noProof/>
                <w:sz w:val="20"/>
                <w:szCs w:val="28"/>
              </w:rPr>
              <w:t>PBO</w:t>
            </w:r>
            <w:r w:rsidR="00B62252" w:rsidRPr="00FA2DC4">
              <w:rPr>
                <w:noProof/>
                <w:sz w:val="20"/>
                <w:szCs w:val="28"/>
              </w:rPr>
              <w:t>: Adjusted Mean</w:t>
            </w:r>
            <w:r w:rsidR="00C10EC6">
              <w:rPr>
                <w:noProof/>
                <w:sz w:val="20"/>
                <w:szCs w:val="28"/>
              </w:rPr>
              <w:t xml:space="preserve"> </w:t>
            </w:r>
            <w:r w:rsidR="00B62252" w:rsidRPr="00FA2DC4">
              <w:rPr>
                <w:noProof/>
                <w:sz w:val="20"/>
                <w:szCs w:val="28"/>
              </w:rPr>
              <w:t>Difference (95% CI)</w:t>
            </w:r>
            <w:r w:rsidR="007A591A">
              <w:rPr>
                <w:noProof/>
                <w:sz w:val="20"/>
                <w:szCs w:val="2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6763B8BB" w14:textId="5D1FBCD7" w:rsidR="00B62252" w:rsidRPr="00FA2DC4" w:rsidRDefault="00B62252" w:rsidP="007A591A">
            <w:pPr>
              <w:pStyle w:val="PBACTblFignote"/>
              <w:widowControl/>
              <w:spacing w:before="0"/>
              <w:jc w:val="center"/>
              <w:rPr>
                <w:noProof/>
                <w:sz w:val="20"/>
                <w:szCs w:val="28"/>
              </w:rPr>
            </w:pPr>
            <w:r w:rsidRPr="00FA2DC4">
              <w:rPr>
                <w:noProof/>
                <w:sz w:val="20"/>
                <w:szCs w:val="28"/>
              </w:rPr>
              <w:t>3.4 (</w:t>
            </w:r>
            <w:r w:rsidR="007A591A">
              <w:rPr>
                <w:noProof/>
                <w:sz w:val="20"/>
                <w:szCs w:val="28"/>
              </w:rPr>
              <w:noBreakHyphen/>
            </w:r>
            <w:r w:rsidRPr="00FA2DC4">
              <w:rPr>
                <w:noProof/>
                <w:sz w:val="20"/>
                <w:szCs w:val="28"/>
              </w:rPr>
              <w:t>0.3, 7.1)</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77B2D3A5" w14:textId="7C50ED20" w:rsidR="00B62252" w:rsidRPr="00FA2DC4" w:rsidRDefault="00B62252" w:rsidP="007A591A">
            <w:pPr>
              <w:pStyle w:val="PBACTblFignote"/>
              <w:widowControl/>
              <w:spacing w:before="0"/>
              <w:jc w:val="center"/>
              <w:rPr>
                <w:sz w:val="20"/>
                <w:szCs w:val="28"/>
              </w:rPr>
            </w:pPr>
            <w:proofErr w:type="gramStart"/>
            <w:r w:rsidRPr="00FA2DC4">
              <w:rPr>
                <w:sz w:val="20"/>
                <w:szCs w:val="28"/>
              </w:rPr>
              <w:t>3.7 (</w:t>
            </w:r>
            <w:r w:rsidR="007A591A">
              <w:rPr>
                <w:sz w:val="20"/>
                <w:szCs w:val="28"/>
              </w:rPr>
              <w:noBreakHyphen/>
            </w:r>
            <w:proofErr w:type="gramEnd"/>
            <w:r w:rsidRPr="00FA2DC4">
              <w:rPr>
                <w:sz w:val="20"/>
                <w:szCs w:val="28"/>
              </w:rPr>
              <w:t>0.7, 8.2)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6E487F" w14:textId="3F546CB3" w:rsidR="00B62252" w:rsidRPr="00FA2DC4" w:rsidRDefault="00B62252" w:rsidP="007A591A">
            <w:pPr>
              <w:pStyle w:val="PBACTblFignote"/>
              <w:widowControl/>
              <w:spacing w:before="0"/>
              <w:jc w:val="center"/>
              <w:rPr>
                <w:sz w:val="20"/>
                <w:szCs w:val="28"/>
              </w:rPr>
            </w:pPr>
            <w:proofErr w:type="gramStart"/>
            <w:r w:rsidRPr="00FA2DC4">
              <w:rPr>
                <w:sz w:val="20"/>
                <w:szCs w:val="28"/>
              </w:rPr>
              <w:t>3.6 (</w:t>
            </w:r>
            <w:r w:rsidR="007A591A">
              <w:rPr>
                <w:sz w:val="20"/>
                <w:szCs w:val="28"/>
              </w:rPr>
              <w:noBreakHyphen/>
            </w:r>
            <w:proofErr w:type="gramEnd"/>
            <w:r w:rsidRPr="00FA2DC4">
              <w:rPr>
                <w:sz w:val="20"/>
                <w:szCs w:val="28"/>
              </w:rPr>
              <w:t>1.2, 8.4)</w:t>
            </w:r>
          </w:p>
        </w:tc>
      </w:tr>
      <w:tr w:rsidR="00FA2DC4" w:rsidRPr="00FA2DC4" w14:paraId="157BC844" w14:textId="77777777" w:rsidTr="00D56EED">
        <w:trPr>
          <w:trHeight w:hRule="exact" w:val="296"/>
        </w:trPr>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759CDA3" w14:textId="7E85EE69" w:rsidR="00B62252" w:rsidRPr="00FA2DC4" w:rsidRDefault="00261058" w:rsidP="007A591A">
            <w:pPr>
              <w:pStyle w:val="PBACTblFignote"/>
              <w:widowControl/>
              <w:spacing w:before="0"/>
              <w:rPr>
                <w:noProof/>
                <w:sz w:val="20"/>
                <w:szCs w:val="28"/>
              </w:rPr>
            </w:pPr>
            <w:r>
              <w:rPr>
                <w:noProof/>
                <w:sz w:val="20"/>
                <w:szCs w:val="28"/>
              </w:rPr>
              <w:t xml:space="preserve"> </w:t>
            </w:r>
            <w:r w:rsidR="00B62252" w:rsidRPr="00FA2DC4">
              <w:rPr>
                <w:noProof/>
                <w:sz w:val="20"/>
                <w:szCs w:val="28"/>
              </w:rPr>
              <w:t>p</w:t>
            </w:r>
            <w:r w:rsidR="007A591A">
              <w:rPr>
                <w:noProof/>
                <w:sz w:val="20"/>
                <w:szCs w:val="28"/>
              </w:rPr>
              <w:noBreakHyphen/>
            </w:r>
            <w:r w:rsidR="00B62252" w:rsidRPr="00FA2DC4">
              <w:rPr>
                <w:noProof/>
                <w:sz w:val="20"/>
                <w:szCs w:val="28"/>
              </w:rPr>
              <w:t>Value (ANCOVA+MI)</w:t>
            </w:r>
            <w:r w:rsidR="007A591A">
              <w:rPr>
                <w:noProof/>
                <w:sz w:val="20"/>
                <w:szCs w:val="2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2B32CA8C" w14:textId="77777777" w:rsidR="00B62252" w:rsidRPr="00FA2DC4" w:rsidRDefault="00B62252" w:rsidP="007A591A">
            <w:pPr>
              <w:pStyle w:val="PBACTblFignote"/>
              <w:widowControl/>
              <w:spacing w:before="0"/>
              <w:jc w:val="center"/>
              <w:rPr>
                <w:noProof/>
                <w:sz w:val="20"/>
                <w:szCs w:val="28"/>
              </w:rPr>
            </w:pPr>
            <w:r w:rsidRPr="00FA2DC4">
              <w:rPr>
                <w:noProof/>
                <w:sz w:val="20"/>
                <w:szCs w:val="28"/>
              </w:rPr>
              <w:t>p=0.0686</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569118A7" w14:textId="77777777" w:rsidR="00B62252" w:rsidRPr="00FA2DC4" w:rsidRDefault="00B62252" w:rsidP="007A591A">
            <w:pPr>
              <w:pStyle w:val="PBACTblFignote"/>
              <w:widowControl/>
              <w:spacing w:before="0"/>
              <w:jc w:val="center"/>
              <w:rPr>
                <w:sz w:val="20"/>
                <w:szCs w:val="28"/>
              </w:rPr>
            </w:pPr>
            <w:r w:rsidRPr="00FA2DC4">
              <w:rPr>
                <w:sz w:val="20"/>
                <w:szCs w:val="28"/>
              </w:rPr>
              <w:t>p=0.1004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76B9690" w14:textId="77777777" w:rsidR="00B62252" w:rsidRPr="00FA2DC4" w:rsidRDefault="00B62252" w:rsidP="007A591A">
            <w:pPr>
              <w:pStyle w:val="PBACTblFignote"/>
              <w:widowControl/>
              <w:spacing w:before="0"/>
              <w:jc w:val="center"/>
              <w:rPr>
                <w:sz w:val="20"/>
                <w:szCs w:val="28"/>
              </w:rPr>
            </w:pPr>
            <w:r w:rsidRPr="00FA2DC4">
              <w:rPr>
                <w:sz w:val="20"/>
                <w:szCs w:val="28"/>
              </w:rPr>
              <w:t>p = 0.1432</w:t>
            </w:r>
          </w:p>
        </w:tc>
      </w:tr>
      <w:tr w:rsidR="00FA2DC4" w:rsidRPr="00FA2DC4" w14:paraId="34AD08ED" w14:textId="77777777" w:rsidTr="00D56EED">
        <w:trPr>
          <w:trHeight w:hRule="exact" w:val="286"/>
        </w:trPr>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BE83C9" w14:textId="0105C0E1" w:rsidR="00B62252" w:rsidRPr="00FA2DC4" w:rsidRDefault="00261058" w:rsidP="007A591A">
            <w:pPr>
              <w:pStyle w:val="PBACTblFignote"/>
              <w:widowControl/>
              <w:spacing w:before="0"/>
              <w:rPr>
                <w:sz w:val="20"/>
                <w:szCs w:val="28"/>
              </w:rPr>
            </w:pPr>
            <w:r>
              <w:rPr>
                <w:sz w:val="20"/>
                <w:szCs w:val="28"/>
              </w:rPr>
              <w:t xml:space="preserve"> </w:t>
            </w:r>
            <w:r w:rsidR="00B62252" w:rsidRPr="00FA2DC4">
              <w:rPr>
                <w:sz w:val="20"/>
                <w:szCs w:val="28"/>
              </w:rPr>
              <w:t>p</w:t>
            </w:r>
            <w:r w:rsidR="007A591A">
              <w:rPr>
                <w:sz w:val="20"/>
                <w:szCs w:val="28"/>
              </w:rPr>
              <w:noBreakHyphen/>
            </w:r>
            <w:r w:rsidR="00B62252" w:rsidRPr="00FA2DC4">
              <w:rPr>
                <w:sz w:val="20"/>
                <w:szCs w:val="28"/>
              </w:rPr>
              <w:t xml:space="preserve">Value (original JRT+MI) </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4FD2A0DE" w14:textId="77777777" w:rsidR="00B62252" w:rsidRPr="00FA2DC4" w:rsidRDefault="00B62252" w:rsidP="007A591A">
            <w:pPr>
              <w:pStyle w:val="PBACTblFignote"/>
              <w:widowControl/>
              <w:spacing w:before="0"/>
              <w:jc w:val="center"/>
              <w:rPr>
                <w:sz w:val="20"/>
                <w:szCs w:val="28"/>
              </w:rPr>
            </w:pPr>
            <w:r w:rsidRPr="00FA2DC4">
              <w:rPr>
                <w:sz w:val="20"/>
                <w:szCs w:val="28"/>
              </w:rPr>
              <w:t>p=0.0860</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5E723F3C" w14:textId="7E8747D9" w:rsidR="00B62252" w:rsidRPr="00FA2DC4" w:rsidRDefault="00B62252" w:rsidP="007A591A">
            <w:pPr>
              <w:pStyle w:val="PBACTblFignote"/>
              <w:widowControl/>
              <w:spacing w:before="0"/>
              <w:jc w:val="center"/>
              <w:rPr>
                <w:sz w:val="20"/>
                <w:szCs w:val="28"/>
              </w:rPr>
            </w:pPr>
            <w:r w:rsidRPr="00FA2DC4">
              <w:rPr>
                <w:sz w:val="20"/>
                <w:szCs w:val="28"/>
              </w:rPr>
              <w:t>p=0.0835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FF0D1CA" w14:textId="77777777" w:rsidR="00B62252" w:rsidRPr="00FA2DC4" w:rsidRDefault="00B62252" w:rsidP="007A591A">
            <w:pPr>
              <w:pStyle w:val="PBACTblFignote"/>
              <w:widowControl/>
              <w:spacing w:before="0"/>
              <w:jc w:val="center"/>
              <w:rPr>
                <w:sz w:val="20"/>
                <w:szCs w:val="28"/>
              </w:rPr>
            </w:pPr>
            <w:r w:rsidRPr="00FA2DC4">
              <w:rPr>
                <w:sz w:val="20"/>
                <w:szCs w:val="28"/>
              </w:rPr>
              <w:t>p = 0.1064</w:t>
            </w:r>
          </w:p>
        </w:tc>
      </w:tr>
      <w:tr w:rsidR="00FA2DC4" w:rsidRPr="00FA2DC4" w14:paraId="7AFB0BC7" w14:textId="77777777" w:rsidTr="00D56EED">
        <w:trPr>
          <w:trHeight w:hRule="exact" w:val="264"/>
        </w:trPr>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D3C3E11" w14:textId="1A4D29A9" w:rsidR="00B62252" w:rsidRPr="00FA2DC4" w:rsidRDefault="00261058" w:rsidP="007A591A">
            <w:pPr>
              <w:pStyle w:val="PBACTblFignote"/>
              <w:widowControl/>
              <w:spacing w:before="0"/>
              <w:rPr>
                <w:noProof/>
                <w:sz w:val="20"/>
                <w:szCs w:val="28"/>
                <w:lang w:val="de-DE"/>
              </w:rPr>
            </w:pPr>
            <w:r>
              <w:rPr>
                <w:sz w:val="20"/>
                <w:szCs w:val="28"/>
                <w:lang w:val="de-DE"/>
              </w:rPr>
              <w:t xml:space="preserve"> </w:t>
            </w:r>
            <w:r w:rsidR="00B62252" w:rsidRPr="00FA2DC4">
              <w:rPr>
                <w:sz w:val="20"/>
                <w:szCs w:val="28"/>
                <w:lang w:val="de-DE"/>
              </w:rPr>
              <w:t>p</w:t>
            </w:r>
            <w:r w:rsidR="007A591A">
              <w:rPr>
                <w:sz w:val="20"/>
                <w:szCs w:val="28"/>
                <w:lang w:val="de-DE"/>
              </w:rPr>
              <w:noBreakHyphen/>
            </w:r>
            <w:r w:rsidR="00B62252" w:rsidRPr="00FA2DC4">
              <w:rPr>
                <w:sz w:val="20"/>
                <w:szCs w:val="28"/>
                <w:lang w:val="de-DE"/>
              </w:rPr>
              <w:t>Value (alter. JRT+MI)</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3B260770" w14:textId="77777777" w:rsidR="00B62252" w:rsidRPr="00FA2DC4" w:rsidRDefault="00B62252" w:rsidP="007A591A">
            <w:pPr>
              <w:pStyle w:val="PBACTblFignote"/>
              <w:widowControl/>
              <w:spacing w:before="0"/>
              <w:jc w:val="center"/>
              <w:rPr>
                <w:noProof/>
                <w:sz w:val="20"/>
                <w:szCs w:val="28"/>
                <w:lang w:val="de-DE"/>
              </w:rPr>
            </w:pPr>
            <w:r w:rsidRPr="00FA2DC4">
              <w:rPr>
                <w:sz w:val="20"/>
                <w:szCs w:val="28"/>
              </w:rPr>
              <w:t>p=0.0375</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3CF837DE" w14:textId="77777777" w:rsidR="00B62252" w:rsidRPr="00FA2DC4" w:rsidRDefault="00B62252" w:rsidP="007A591A">
            <w:pPr>
              <w:pStyle w:val="PBACTblFignote"/>
              <w:widowControl/>
              <w:spacing w:before="0"/>
              <w:jc w:val="center"/>
              <w:rPr>
                <w:sz w:val="20"/>
                <w:szCs w:val="28"/>
                <w:lang w:val="de-DE"/>
              </w:rPr>
            </w:pPr>
            <w:r w:rsidRPr="00FA2DC4">
              <w:rPr>
                <w:sz w:val="20"/>
                <w:szCs w:val="28"/>
              </w:rPr>
              <w:t>p=0.0335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98413DF" w14:textId="77777777" w:rsidR="00B62252" w:rsidRPr="00FA2DC4" w:rsidRDefault="00B62252" w:rsidP="007A591A">
            <w:pPr>
              <w:pStyle w:val="PBACTblFignote"/>
              <w:widowControl/>
              <w:spacing w:before="0"/>
              <w:jc w:val="center"/>
              <w:rPr>
                <w:sz w:val="20"/>
                <w:szCs w:val="28"/>
              </w:rPr>
            </w:pPr>
            <w:r w:rsidRPr="00FA2DC4">
              <w:rPr>
                <w:sz w:val="20"/>
                <w:szCs w:val="28"/>
              </w:rPr>
              <w:t>p = 0.0541</w:t>
            </w:r>
          </w:p>
        </w:tc>
      </w:tr>
      <w:tr w:rsidR="00FA2DC4" w:rsidRPr="00FA2DC4" w14:paraId="50750FD1" w14:textId="77777777" w:rsidTr="00D56EED">
        <w:trPr>
          <w:trHeight w:hRule="exact" w:val="305"/>
        </w:trPr>
        <w:tc>
          <w:tcPr>
            <w:tcW w:w="6799" w:type="dxa"/>
            <w:gridSpan w:val="3"/>
            <w:tcBorders>
              <w:bottom w:val="single" w:sz="4" w:space="0" w:color="auto"/>
            </w:tcBorders>
            <w:tcMar>
              <w:top w:w="28" w:type="dxa"/>
              <w:left w:w="28" w:type="dxa"/>
              <w:bottom w:w="28" w:type="dxa"/>
              <w:right w:w="28" w:type="dxa"/>
            </w:tcMar>
          </w:tcPr>
          <w:p w14:paraId="0BFFD339" w14:textId="0CBA0E7C" w:rsidR="00B62252" w:rsidRPr="00FA2DC4" w:rsidRDefault="00B62252" w:rsidP="007A591A">
            <w:pPr>
              <w:pStyle w:val="PBACTblFignote"/>
              <w:widowControl/>
              <w:spacing w:before="0"/>
              <w:rPr>
                <w:b/>
                <w:sz w:val="20"/>
                <w:szCs w:val="28"/>
              </w:rPr>
            </w:pPr>
            <w:r w:rsidRPr="00FA2DC4">
              <w:rPr>
                <w:b/>
                <w:sz w:val="20"/>
                <w:szCs w:val="28"/>
              </w:rPr>
              <w:t xml:space="preserve">Multiple Imputation and Imputation Zero After </w:t>
            </w:r>
            <w:proofErr w:type="spellStart"/>
            <w:r w:rsidRPr="00FA2DC4">
              <w:rPr>
                <w:b/>
                <w:sz w:val="20"/>
                <w:szCs w:val="28"/>
              </w:rPr>
              <w:t>Death</w:t>
            </w:r>
            <w:r w:rsidR="003434AD">
              <w:rPr>
                <w:b/>
                <w:sz w:val="20"/>
                <w:szCs w:val="28"/>
                <w:vertAlign w:val="superscript"/>
              </w:rPr>
              <w:t>a,b</w:t>
            </w:r>
            <w:proofErr w:type="spellEnd"/>
          </w:p>
        </w:tc>
        <w:tc>
          <w:tcPr>
            <w:tcW w:w="2268" w:type="dxa"/>
            <w:tcBorders>
              <w:bottom w:val="single" w:sz="4" w:space="0" w:color="auto"/>
            </w:tcBorders>
            <w:tcMar>
              <w:top w:w="28" w:type="dxa"/>
              <w:left w:w="28" w:type="dxa"/>
              <w:bottom w:w="28" w:type="dxa"/>
              <w:right w:w="28" w:type="dxa"/>
            </w:tcMar>
          </w:tcPr>
          <w:p w14:paraId="7056E3FB" w14:textId="77777777" w:rsidR="00B62252" w:rsidRPr="00FA2DC4" w:rsidRDefault="00B62252" w:rsidP="007A591A">
            <w:pPr>
              <w:pStyle w:val="PBACTblFignote"/>
              <w:widowControl/>
              <w:spacing w:before="0"/>
              <w:rPr>
                <w:b/>
                <w:sz w:val="20"/>
                <w:szCs w:val="28"/>
              </w:rPr>
            </w:pPr>
          </w:p>
        </w:tc>
      </w:tr>
      <w:tr w:rsidR="00FA2DC4" w:rsidRPr="00FA2DC4" w14:paraId="1FE6461B" w14:textId="77777777" w:rsidTr="00D56EED">
        <w:trPr>
          <w:trHeight w:hRule="exact" w:val="282"/>
        </w:trPr>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5EC93AD" w14:textId="599C6204" w:rsidR="00B62252" w:rsidRPr="00FA2DC4" w:rsidRDefault="00261058" w:rsidP="007A591A">
            <w:pPr>
              <w:pStyle w:val="PBACTblFignote"/>
              <w:widowControl/>
              <w:spacing w:before="0"/>
              <w:rPr>
                <w:noProof/>
                <w:sz w:val="20"/>
                <w:szCs w:val="28"/>
              </w:rPr>
            </w:pPr>
            <w:r>
              <w:rPr>
                <w:noProof/>
                <w:sz w:val="20"/>
                <w:szCs w:val="28"/>
              </w:rPr>
              <w:t xml:space="preserve"> </w:t>
            </w:r>
            <w:r w:rsidR="00B62252" w:rsidRPr="00FA2DC4">
              <w:rPr>
                <w:noProof/>
                <w:sz w:val="20"/>
                <w:szCs w:val="28"/>
              </w:rPr>
              <w:t>Adjusted Means: T</w:t>
            </w:r>
            <w:r w:rsidR="00A27CB0">
              <w:rPr>
                <w:noProof/>
                <w:sz w:val="20"/>
                <w:szCs w:val="28"/>
              </w:rPr>
              <w:t>OF</w:t>
            </w:r>
            <w:r w:rsidR="00B62252" w:rsidRPr="00FA2DC4">
              <w:rPr>
                <w:noProof/>
                <w:sz w:val="20"/>
                <w:szCs w:val="28"/>
              </w:rPr>
              <w:t>; P</w:t>
            </w:r>
            <w:r w:rsidR="00A27CB0">
              <w:rPr>
                <w:noProof/>
                <w:sz w:val="20"/>
                <w:szCs w:val="28"/>
              </w:rPr>
              <w:t>BO</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4FEA2A04" w14:textId="38ED497B" w:rsidR="00B62252" w:rsidRPr="00FA2DC4" w:rsidRDefault="007A591A" w:rsidP="007A591A">
            <w:pPr>
              <w:pStyle w:val="PBACTblFignote"/>
              <w:widowControl/>
              <w:spacing w:before="0"/>
              <w:jc w:val="center"/>
              <w:rPr>
                <w:noProof/>
                <w:sz w:val="20"/>
                <w:szCs w:val="28"/>
              </w:rPr>
            </w:pPr>
            <w:r>
              <w:rPr>
                <w:noProof/>
                <w:sz w:val="20"/>
                <w:szCs w:val="28"/>
              </w:rPr>
              <w:noBreakHyphen/>
            </w:r>
            <w:r w:rsidR="00B62252" w:rsidRPr="00FA2DC4">
              <w:rPr>
                <w:noProof/>
                <w:sz w:val="20"/>
                <w:szCs w:val="28"/>
              </w:rPr>
              <w:t xml:space="preserve">9.0; </w:t>
            </w:r>
            <w:r>
              <w:rPr>
                <w:noProof/>
                <w:sz w:val="20"/>
                <w:szCs w:val="28"/>
              </w:rPr>
              <w:noBreakHyphen/>
            </w:r>
            <w:r w:rsidR="00B62252" w:rsidRPr="00FA2DC4">
              <w:rPr>
                <w:noProof/>
                <w:sz w:val="20"/>
                <w:szCs w:val="28"/>
              </w:rPr>
              <w:t>14.5</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655AB0F2" w14:textId="24614173" w:rsidR="00B62252" w:rsidRPr="00FA2DC4" w:rsidRDefault="007A591A" w:rsidP="007A591A">
            <w:pPr>
              <w:pStyle w:val="PBACTblFignote"/>
              <w:widowControl/>
              <w:spacing w:before="0"/>
              <w:jc w:val="center"/>
              <w:rPr>
                <w:sz w:val="20"/>
                <w:szCs w:val="28"/>
              </w:rPr>
            </w:pPr>
            <w:proofErr w:type="gramStart"/>
            <w:r>
              <w:rPr>
                <w:sz w:val="20"/>
                <w:szCs w:val="28"/>
              </w:rPr>
              <w:noBreakHyphen/>
            </w:r>
            <w:r w:rsidR="00B62252" w:rsidRPr="00FA2DC4">
              <w:rPr>
                <w:sz w:val="20"/>
                <w:szCs w:val="28"/>
              </w:rPr>
              <w:t xml:space="preserve">10.6; </w:t>
            </w:r>
            <w:r>
              <w:rPr>
                <w:sz w:val="20"/>
                <w:szCs w:val="28"/>
              </w:rPr>
              <w:noBreakHyphen/>
            </w:r>
            <w:proofErr w:type="gramEnd"/>
            <w:r w:rsidR="00B62252" w:rsidRPr="00FA2DC4">
              <w:rPr>
                <w:sz w:val="20"/>
                <w:szCs w:val="28"/>
              </w:rPr>
              <w:t>16.2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343176B" w14:textId="7196A7D1" w:rsidR="00B62252" w:rsidRPr="00FA2DC4" w:rsidRDefault="007A591A" w:rsidP="007A591A">
            <w:pPr>
              <w:pStyle w:val="PBACTblFignote"/>
              <w:widowControl/>
              <w:spacing w:before="0"/>
              <w:jc w:val="center"/>
              <w:rPr>
                <w:sz w:val="20"/>
                <w:szCs w:val="28"/>
              </w:rPr>
            </w:pPr>
            <w:proofErr w:type="gramStart"/>
            <w:r>
              <w:rPr>
                <w:sz w:val="20"/>
                <w:szCs w:val="28"/>
              </w:rPr>
              <w:noBreakHyphen/>
            </w:r>
            <w:r w:rsidR="00B62252" w:rsidRPr="00FA2DC4">
              <w:rPr>
                <w:sz w:val="20"/>
                <w:szCs w:val="28"/>
              </w:rPr>
              <w:t xml:space="preserve">11.8; </w:t>
            </w:r>
            <w:r>
              <w:rPr>
                <w:sz w:val="20"/>
                <w:szCs w:val="28"/>
              </w:rPr>
              <w:noBreakHyphen/>
            </w:r>
            <w:proofErr w:type="gramEnd"/>
            <w:r w:rsidR="00B62252" w:rsidRPr="00FA2DC4">
              <w:rPr>
                <w:sz w:val="20"/>
                <w:szCs w:val="28"/>
              </w:rPr>
              <w:t>16.7</w:t>
            </w:r>
          </w:p>
        </w:tc>
      </w:tr>
      <w:tr w:rsidR="00FA2DC4" w:rsidRPr="00FA2DC4" w14:paraId="4F460404" w14:textId="77777777" w:rsidTr="00D56EED">
        <w:trPr>
          <w:trHeight w:hRule="exact" w:val="569"/>
        </w:trPr>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01C324E" w14:textId="0E84685E" w:rsidR="00B62252" w:rsidRPr="00FA2DC4" w:rsidRDefault="00261058" w:rsidP="007A591A">
            <w:pPr>
              <w:pStyle w:val="PBACTblFignote"/>
              <w:widowControl/>
              <w:spacing w:before="0"/>
              <w:rPr>
                <w:noProof/>
                <w:sz w:val="20"/>
                <w:szCs w:val="28"/>
              </w:rPr>
            </w:pPr>
            <w:r>
              <w:rPr>
                <w:noProof/>
                <w:sz w:val="20"/>
                <w:szCs w:val="28"/>
              </w:rPr>
              <w:t xml:space="preserve"> </w:t>
            </w:r>
            <w:r w:rsidR="00B62252" w:rsidRPr="00FA2DC4">
              <w:rPr>
                <w:noProof/>
                <w:sz w:val="20"/>
                <w:szCs w:val="28"/>
              </w:rPr>
              <w:t>T</w:t>
            </w:r>
            <w:r w:rsidR="00A27CB0">
              <w:rPr>
                <w:noProof/>
                <w:sz w:val="20"/>
                <w:szCs w:val="28"/>
              </w:rPr>
              <w:t>OF</w:t>
            </w:r>
            <w:r w:rsidR="007A591A">
              <w:rPr>
                <w:noProof/>
                <w:sz w:val="20"/>
                <w:szCs w:val="28"/>
              </w:rPr>
              <w:noBreakHyphen/>
            </w:r>
            <w:r w:rsidR="00A27CB0">
              <w:rPr>
                <w:noProof/>
                <w:sz w:val="20"/>
                <w:szCs w:val="28"/>
              </w:rPr>
              <w:t>PBO</w:t>
            </w:r>
            <w:r w:rsidR="00B62252" w:rsidRPr="00FA2DC4">
              <w:rPr>
                <w:noProof/>
                <w:sz w:val="20"/>
                <w:szCs w:val="28"/>
              </w:rPr>
              <w:t>: Adjusted Mean Difference (95% CI)</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34C2B287" w14:textId="77777777" w:rsidR="00B62252" w:rsidRPr="00FA2DC4" w:rsidRDefault="00B62252" w:rsidP="007A591A">
            <w:pPr>
              <w:pStyle w:val="PBACTblFignote"/>
              <w:widowControl/>
              <w:spacing w:before="0"/>
              <w:jc w:val="center"/>
              <w:rPr>
                <w:noProof/>
                <w:sz w:val="20"/>
                <w:szCs w:val="28"/>
              </w:rPr>
            </w:pPr>
            <w:r w:rsidRPr="00FA2DC4">
              <w:rPr>
                <w:noProof/>
                <w:sz w:val="20"/>
                <w:szCs w:val="28"/>
              </w:rPr>
              <w:t>5.6 (1.0,10.1)</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2C47B6DE" w14:textId="77777777" w:rsidR="00B62252" w:rsidRPr="00FA2DC4" w:rsidRDefault="00B62252" w:rsidP="007A591A">
            <w:pPr>
              <w:pStyle w:val="PBACTblFignote"/>
              <w:widowControl/>
              <w:spacing w:before="0"/>
              <w:jc w:val="center"/>
              <w:rPr>
                <w:sz w:val="20"/>
                <w:szCs w:val="28"/>
              </w:rPr>
            </w:pPr>
            <w:r w:rsidRPr="00FA2DC4">
              <w:rPr>
                <w:sz w:val="20"/>
                <w:szCs w:val="28"/>
              </w:rPr>
              <w:t>5.6 (0.6,10.5)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63F239C" w14:textId="2EAF7F10" w:rsidR="00B62252" w:rsidRPr="00FA2DC4" w:rsidRDefault="00B62252" w:rsidP="007A591A">
            <w:pPr>
              <w:pStyle w:val="PBACTblFignote"/>
              <w:widowControl/>
              <w:spacing w:before="0"/>
              <w:jc w:val="center"/>
              <w:rPr>
                <w:sz w:val="20"/>
                <w:szCs w:val="28"/>
              </w:rPr>
            </w:pPr>
            <w:proofErr w:type="gramStart"/>
            <w:r w:rsidRPr="00FA2DC4">
              <w:rPr>
                <w:sz w:val="20"/>
                <w:szCs w:val="28"/>
              </w:rPr>
              <w:t>4.9 (</w:t>
            </w:r>
            <w:r w:rsidR="007A591A">
              <w:rPr>
                <w:sz w:val="20"/>
                <w:szCs w:val="28"/>
              </w:rPr>
              <w:noBreakHyphen/>
            </w:r>
            <w:proofErr w:type="gramEnd"/>
            <w:r w:rsidRPr="00FA2DC4">
              <w:rPr>
                <w:sz w:val="20"/>
                <w:szCs w:val="28"/>
              </w:rPr>
              <w:t>0.4, 10.1)</w:t>
            </w:r>
          </w:p>
        </w:tc>
      </w:tr>
      <w:tr w:rsidR="00FA2DC4" w:rsidRPr="00FA2DC4" w14:paraId="632D4D2C" w14:textId="77777777" w:rsidTr="00D56EED">
        <w:trPr>
          <w:trHeight w:hRule="exact" w:val="282"/>
        </w:trPr>
        <w:tc>
          <w:tcPr>
            <w:tcW w:w="226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C150051" w14:textId="2A5B6C14" w:rsidR="00B62252" w:rsidRPr="00FA2DC4" w:rsidRDefault="00261058" w:rsidP="007A591A">
            <w:pPr>
              <w:pStyle w:val="PBACTblFignote"/>
              <w:widowControl/>
              <w:spacing w:before="0"/>
              <w:rPr>
                <w:noProof/>
                <w:sz w:val="20"/>
                <w:szCs w:val="28"/>
              </w:rPr>
            </w:pPr>
            <w:r>
              <w:rPr>
                <w:noProof/>
                <w:sz w:val="20"/>
                <w:szCs w:val="28"/>
              </w:rPr>
              <w:t xml:space="preserve"> </w:t>
            </w:r>
            <w:r w:rsidR="00B62252" w:rsidRPr="00FA2DC4">
              <w:rPr>
                <w:noProof/>
                <w:sz w:val="20"/>
                <w:szCs w:val="28"/>
              </w:rPr>
              <w:t>p</w:t>
            </w:r>
            <w:r w:rsidR="007A591A">
              <w:rPr>
                <w:noProof/>
                <w:sz w:val="20"/>
                <w:szCs w:val="28"/>
              </w:rPr>
              <w:noBreakHyphen/>
            </w:r>
            <w:r w:rsidR="00B62252" w:rsidRPr="00FA2DC4">
              <w:rPr>
                <w:noProof/>
                <w:sz w:val="20"/>
                <w:szCs w:val="28"/>
              </w:rPr>
              <w:t>Value (ANCOVA+MI)</w:t>
            </w:r>
            <w:r w:rsidR="007A591A">
              <w:rPr>
                <w:noProof/>
                <w:sz w:val="20"/>
                <w:szCs w:val="2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5CBA0EB9" w14:textId="77777777" w:rsidR="00B62252" w:rsidRPr="00FA2DC4" w:rsidRDefault="00B62252" w:rsidP="007A591A">
            <w:pPr>
              <w:pStyle w:val="PBACTblFignote"/>
              <w:widowControl/>
              <w:spacing w:before="0"/>
              <w:jc w:val="center"/>
              <w:rPr>
                <w:noProof/>
                <w:sz w:val="20"/>
                <w:szCs w:val="28"/>
              </w:rPr>
            </w:pPr>
            <w:r w:rsidRPr="00FA2DC4">
              <w:rPr>
                <w:noProof/>
                <w:sz w:val="20"/>
                <w:szCs w:val="28"/>
              </w:rPr>
              <w:t>p=0.0160</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28" w:type="dxa"/>
              <w:bottom w:w="28" w:type="dxa"/>
              <w:right w:w="28" w:type="dxa"/>
            </w:tcMar>
            <w:vAlign w:val="center"/>
          </w:tcPr>
          <w:p w14:paraId="68D3AD3D" w14:textId="77777777" w:rsidR="00B62252" w:rsidRPr="00FA2DC4" w:rsidRDefault="00B62252" w:rsidP="007A591A">
            <w:pPr>
              <w:pStyle w:val="PBACTblFignote"/>
              <w:widowControl/>
              <w:spacing w:before="0"/>
              <w:jc w:val="center"/>
              <w:rPr>
                <w:sz w:val="20"/>
                <w:szCs w:val="28"/>
              </w:rPr>
            </w:pPr>
            <w:r w:rsidRPr="00FA2DC4">
              <w:rPr>
                <w:sz w:val="20"/>
                <w:szCs w:val="28"/>
              </w:rPr>
              <w:t>p=0.0280</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A9FBCB" w14:textId="77777777" w:rsidR="00B62252" w:rsidRPr="00FA2DC4" w:rsidRDefault="00B62252" w:rsidP="007A591A">
            <w:pPr>
              <w:pStyle w:val="PBACTblFignote"/>
              <w:widowControl/>
              <w:spacing w:before="0"/>
              <w:jc w:val="center"/>
              <w:rPr>
                <w:sz w:val="20"/>
                <w:szCs w:val="28"/>
              </w:rPr>
            </w:pPr>
            <w:r w:rsidRPr="00FA2DC4">
              <w:rPr>
                <w:sz w:val="20"/>
                <w:szCs w:val="28"/>
              </w:rPr>
              <w:t>p = 0.0711</w:t>
            </w:r>
          </w:p>
        </w:tc>
      </w:tr>
    </w:tbl>
    <w:p w14:paraId="472E4D46" w14:textId="1AE64884" w:rsidR="00153BC6" w:rsidRDefault="00153BC6" w:rsidP="007A591A">
      <w:pPr>
        <w:pStyle w:val="TableFigureFooter"/>
        <w:rPr>
          <w:lang w:val="en-US"/>
        </w:rPr>
      </w:pPr>
      <w:r>
        <w:rPr>
          <w:lang w:val="en-US"/>
        </w:rPr>
        <w:t>Source: Table 2.1, p31 of the March 2026 early re</w:t>
      </w:r>
      <w:r w:rsidR="007A591A">
        <w:rPr>
          <w:lang w:val="en-US"/>
        </w:rPr>
        <w:noBreakHyphen/>
      </w:r>
      <w:r>
        <w:rPr>
          <w:lang w:val="en-US"/>
        </w:rPr>
        <w:t>entry resubmission</w:t>
      </w:r>
    </w:p>
    <w:p w14:paraId="2F297BD9" w14:textId="16AC6269" w:rsidR="00153BC6" w:rsidRPr="00153BC6" w:rsidRDefault="00153BC6" w:rsidP="007A591A">
      <w:pPr>
        <w:pStyle w:val="TableFigureFooter"/>
        <w:rPr>
          <w:lang w:val="en-US"/>
        </w:rPr>
      </w:pPr>
      <w:r>
        <w:rPr>
          <w:lang w:val="en-US"/>
        </w:rPr>
        <w:t>ALS</w:t>
      </w:r>
      <w:r w:rsidR="00032D2E">
        <w:rPr>
          <w:lang w:val="en-US"/>
        </w:rPr>
        <w:t>FRS</w:t>
      </w:r>
      <w:r w:rsidR="007A591A">
        <w:rPr>
          <w:lang w:val="en-US"/>
        </w:rPr>
        <w:noBreakHyphen/>
      </w:r>
      <w:r w:rsidR="00032D2E">
        <w:rPr>
          <w:lang w:val="en-US"/>
        </w:rPr>
        <w:t xml:space="preserve">R = </w:t>
      </w:r>
      <w:r w:rsidR="00A27CB0">
        <w:t>amyotrophic lateral sclerosis f</w:t>
      </w:r>
      <w:r w:rsidR="00A27CB0" w:rsidRPr="00597A24">
        <w:t xml:space="preserve">unctional </w:t>
      </w:r>
      <w:r w:rsidR="00A27CB0">
        <w:t>r</w:t>
      </w:r>
      <w:r w:rsidR="00A27CB0" w:rsidRPr="00597A24">
        <w:t xml:space="preserve">ating </w:t>
      </w:r>
      <w:r w:rsidR="00A27CB0">
        <w:t>s</w:t>
      </w:r>
      <w:r w:rsidR="00A27CB0" w:rsidRPr="00597A24">
        <w:t>cale–</w:t>
      </w:r>
      <w:r w:rsidR="00A27CB0">
        <w:t>r</w:t>
      </w:r>
      <w:r w:rsidR="00A27CB0" w:rsidRPr="00597A24">
        <w:t>evised;</w:t>
      </w:r>
      <w:r w:rsidR="00A27CB0">
        <w:t xml:space="preserve"> </w:t>
      </w:r>
      <w:r w:rsidR="00A27CB0" w:rsidRPr="0098262F">
        <w:t>ANCOVA</w:t>
      </w:r>
      <w:r w:rsidR="00A27CB0">
        <w:t xml:space="preserve"> </w:t>
      </w:r>
      <w:r w:rsidR="00A27CB0" w:rsidRPr="0098262F">
        <w:t>=</w:t>
      </w:r>
      <w:r w:rsidR="00A27CB0">
        <w:t xml:space="preserve"> </w:t>
      </w:r>
      <w:r w:rsidR="00A27CB0" w:rsidRPr="0098262F">
        <w:t xml:space="preserve">analysis of covariance; </w:t>
      </w:r>
      <w:r w:rsidR="00A27CB0">
        <w:t xml:space="preserve">CI = confidence interval; ITT = intention to treat; JRT = joint rank test; MI = multiple imputation; </w:t>
      </w:r>
      <w:proofErr w:type="spellStart"/>
      <w:r w:rsidR="003434AD" w:rsidRPr="002E25C2">
        <w:t>Nf</w:t>
      </w:r>
      <w:r w:rsidR="003434AD">
        <w:t>L</w:t>
      </w:r>
      <w:proofErr w:type="spellEnd"/>
      <w:r w:rsidR="003434AD">
        <w:t xml:space="preserve"> </w:t>
      </w:r>
      <w:r w:rsidR="003434AD" w:rsidRPr="002E25C2">
        <w:t>=</w:t>
      </w:r>
      <w:r w:rsidR="003434AD">
        <w:t xml:space="preserve"> </w:t>
      </w:r>
      <w:r w:rsidR="003434AD" w:rsidRPr="002E25C2">
        <w:t>neurofilament light chain</w:t>
      </w:r>
      <w:r w:rsidR="003434AD">
        <w:t xml:space="preserve">; </w:t>
      </w:r>
      <w:r w:rsidR="00A27CB0">
        <w:t>OLE = open</w:t>
      </w:r>
      <w:r w:rsidR="007A591A">
        <w:noBreakHyphen/>
      </w:r>
      <w:r w:rsidR="00A27CB0">
        <w:t>label extension; PBO = placebo; TOF = tofersen</w:t>
      </w:r>
    </w:p>
    <w:p w14:paraId="5BF67430" w14:textId="5DC344E3" w:rsidR="00B62252" w:rsidRPr="006E1F8A" w:rsidRDefault="003434AD" w:rsidP="007A591A">
      <w:pPr>
        <w:pStyle w:val="TableFigureFooter"/>
      </w:pPr>
      <w:r>
        <w:rPr>
          <w:lang w:val="en-US"/>
        </w:rPr>
        <w:t xml:space="preserve">A </w:t>
      </w:r>
      <w:r w:rsidR="00B62252" w:rsidRPr="265BA6FB">
        <w:t>Joint rank p</w:t>
      </w:r>
      <w:r w:rsidR="007A591A">
        <w:noBreakHyphen/>
      </w:r>
      <w:r w:rsidR="00B62252" w:rsidRPr="265BA6FB">
        <w:t>value was calculated from the rank ANCOVA model based on the change of the ranked score</w:t>
      </w:r>
      <w:r w:rsidR="007A591A">
        <w:t xml:space="preserve"> </w:t>
      </w:r>
      <w:r w:rsidR="00B62252" w:rsidRPr="265BA6FB">
        <w:t>pre</w:t>
      </w:r>
      <w:r w:rsidR="007A591A">
        <w:noBreakHyphen/>
      </w:r>
      <w:r w:rsidR="00B62252" w:rsidRPr="265BA6FB">
        <w:t xml:space="preserve"> and post</w:t>
      </w:r>
      <w:r w:rsidR="007A591A">
        <w:noBreakHyphen/>
      </w:r>
      <w:r w:rsidR="00B62252" w:rsidRPr="265BA6FB">
        <w:t>treatment, i.e., the ranked score with ALSFRS</w:t>
      </w:r>
      <w:r w:rsidR="007A591A">
        <w:noBreakHyphen/>
      </w:r>
      <w:r w:rsidR="00B62252" w:rsidRPr="265BA6FB">
        <w:t>R total score at Week 76 or Week 104, where deaths</w:t>
      </w:r>
      <w:r w:rsidR="007A591A">
        <w:t xml:space="preserve"> </w:t>
      </w:r>
      <w:r w:rsidR="00B62252" w:rsidRPr="265BA6FB">
        <w:t>were ranked the lowest, minus the rank of baseline ALSFRS</w:t>
      </w:r>
      <w:r w:rsidR="007A591A">
        <w:noBreakHyphen/>
      </w:r>
      <w:r w:rsidR="00B62252" w:rsidRPr="265BA6FB">
        <w:t>R total score, and in conjunction with multiple</w:t>
      </w:r>
      <w:r w:rsidR="007A591A">
        <w:t xml:space="preserve"> </w:t>
      </w:r>
      <w:r w:rsidR="00B62252" w:rsidRPr="265BA6FB">
        <w:t>imputation for handling missing data due to withdrawals other than death. The rank ANCOVA model includes</w:t>
      </w:r>
      <w:r w:rsidR="007A591A">
        <w:t xml:space="preserve"> </w:t>
      </w:r>
      <w:r w:rsidR="00B62252" w:rsidRPr="265BA6FB">
        <w:t xml:space="preserve">treatment as a fixed effect and adjusts for the following ranked covariates: ranked baseline plasma </w:t>
      </w:r>
      <w:proofErr w:type="spellStart"/>
      <w:r w:rsidR="00B62252" w:rsidRPr="265BA6FB">
        <w:t>NfL</w:t>
      </w:r>
      <w:proofErr w:type="spellEnd"/>
      <w:r w:rsidR="00B62252" w:rsidRPr="265BA6FB">
        <w:t>, ranked</w:t>
      </w:r>
      <w:r w:rsidR="007A591A">
        <w:t xml:space="preserve"> </w:t>
      </w:r>
      <w:r w:rsidR="00B62252" w:rsidRPr="265BA6FB">
        <w:t>baseline ALSFRS</w:t>
      </w:r>
      <w:r w:rsidR="007A591A">
        <w:noBreakHyphen/>
      </w:r>
      <w:r w:rsidR="00B62252" w:rsidRPr="265BA6FB">
        <w:t>R total score, and use of riluzole or edaravone.</w:t>
      </w:r>
      <w:r w:rsidR="007A591A">
        <w:t xml:space="preserve"> </w:t>
      </w:r>
    </w:p>
    <w:p w14:paraId="18D44229" w14:textId="3CDCCE67" w:rsidR="00B62252" w:rsidRDefault="003434AD" w:rsidP="007A591A">
      <w:pPr>
        <w:pStyle w:val="TableFigureFooter"/>
        <w:rPr>
          <w:lang w:val="en-US"/>
        </w:rPr>
      </w:pPr>
      <w:r>
        <w:rPr>
          <w:lang w:val="en-US"/>
        </w:rPr>
        <w:t xml:space="preserve">B </w:t>
      </w:r>
      <w:r w:rsidR="00B62252" w:rsidRPr="006E1F8A">
        <w:rPr>
          <w:lang w:val="en-US"/>
        </w:rPr>
        <w:t xml:space="preserve">Multiple imputation including the treatment group, use of riluzole or </w:t>
      </w:r>
      <w:proofErr w:type="spellStart"/>
      <w:r w:rsidR="00B62252" w:rsidRPr="006E1F8A">
        <w:rPr>
          <w:lang w:val="en-US"/>
        </w:rPr>
        <w:t>edaravone</w:t>
      </w:r>
      <w:proofErr w:type="spellEnd"/>
      <w:r w:rsidR="00B62252" w:rsidRPr="006E1F8A">
        <w:rPr>
          <w:lang w:val="en-US"/>
        </w:rPr>
        <w:t xml:space="preserve">, baseline plasma </w:t>
      </w:r>
      <w:proofErr w:type="spellStart"/>
      <w:r w:rsidR="00B62252" w:rsidRPr="006E1F8A">
        <w:rPr>
          <w:lang w:val="en-US"/>
        </w:rPr>
        <w:t>NfL</w:t>
      </w:r>
      <w:proofErr w:type="spellEnd"/>
      <w:r w:rsidR="00B62252" w:rsidRPr="006E1F8A">
        <w:rPr>
          <w:lang w:val="en-US"/>
        </w:rPr>
        <w:t xml:space="preserve">, and relevant baseline and postbaseline values for the endpoint </w:t>
      </w:r>
      <w:proofErr w:type="gramStart"/>
      <w:r w:rsidR="00B62252" w:rsidRPr="006E1F8A">
        <w:rPr>
          <w:lang w:val="en-US"/>
        </w:rPr>
        <w:t>was</w:t>
      </w:r>
      <w:proofErr w:type="gramEnd"/>
      <w:r w:rsidR="00B62252" w:rsidRPr="006E1F8A">
        <w:rPr>
          <w:lang w:val="en-US"/>
        </w:rPr>
        <w:t xml:space="preserve"> used for missing data. The missing data after death</w:t>
      </w:r>
      <w:r w:rsidR="007A591A">
        <w:rPr>
          <w:lang w:val="en-US"/>
        </w:rPr>
        <w:t xml:space="preserve"> </w:t>
      </w:r>
      <w:r w:rsidR="00B62252" w:rsidRPr="006E1F8A">
        <w:rPr>
          <w:lang w:val="en-US"/>
        </w:rPr>
        <w:t>were imputed with zero.</w:t>
      </w:r>
      <w:r w:rsidR="007A591A">
        <w:rPr>
          <w:lang w:val="en-US"/>
        </w:rPr>
        <w:t xml:space="preserve"> </w:t>
      </w:r>
    </w:p>
    <w:p w14:paraId="4C0A3B82" w14:textId="4F47D4AB" w:rsidR="000A1803" w:rsidRDefault="000A1803" w:rsidP="007A591A">
      <w:pPr>
        <w:pStyle w:val="TableFigureFooter"/>
        <w:rPr>
          <w:lang w:val="en-US"/>
        </w:rPr>
      </w:pPr>
      <w:r w:rsidRPr="000A1803">
        <w:rPr>
          <w:shd w:val="clear" w:color="auto" w:fill="DBE5F1" w:themeFill="accent1" w:themeFillTint="33"/>
          <w:lang w:val="en-US"/>
        </w:rPr>
        <w:t>Blue</w:t>
      </w:r>
      <w:r>
        <w:rPr>
          <w:lang w:val="en-US"/>
        </w:rPr>
        <w:t xml:space="preserve"> = data presented in November 2025 submission</w:t>
      </w:r>
    </w:p>
    <w:p w14:paraId="312F8BE2" w14:textId="77777777" w:rsidR="00F818F4" w:rsidRDefault="00F818F4" w:rsidP="007A591A">
      <w:pPr>
        <w:pStyle w:val="TableFigureFooter"/>
        <w:rPr>
          <w:lang w:val="en-US"/>
        </w:rPr>
      </w:pPr>
    </w:p>
    <w:p w14:paraId="545E0EB8" w14:textId="73A8CB3B" w:rsidR="00F818F4" w:rsidRPr="00C815E5" w:rsidRDefault="009728E2" w:rsidP="00C10EC6">
      <w:pPr>
        <w:pStyle w:val="Caption"/>
        <w:rPr>
          <w:b w:val="0"/>
          <w:bCs w:val="0"/>
          <w:szCs w:val="20"/>
          <w:lang w:val="en-US"/>
        </w:rPr>
      </w:pPr>
      <w:bookmarkStart w:id="14" w:name="_Ref220497017"/>
      <w:r>
        <w:lastRenderedPageBreak/>
        <w:t xml:space="preserve">Figure </w:t>
      </w:r>
      <w:fldSimple w:instr=" SEQ Figure \* ARABIC ">
        <w:r w:rsidR="002E1A60">
          <w:rPr>
            <w:noProof/>
          </w:rPr>
          <w:t>1</w:t>
        </w:r>
      </w:fldSimple>
      <w:bookmarkEnd w:id="14"/>
      <w:r>
        <w:t xml:space="preserve">: </w:t>
      </w:r>
      <w:r w:rsidR="0052648A" w:rsidRPr="00C815E5">
        <w:rPr>
          <w:szCs w:val="20"/>
          <w:lang w:val="en-US"/>
        </w:rPr>
        <w:t>ALSFRS</w:t>
      </w:r>
      <w:r w:rsidR="007A591A">
        <w:rPr>
          <w:szCs w:val="20"/>
          <w:lang w:val="en-US"/>
        </w:rPr>
        <w:noBreakHyphen/>
      </w:r>
      <w:r w:rsidR="0052648A" w:rsidRPr="00C815E5">
        <w:rPr>
          <w:szCs w:val="20"/>
          <w:lang w:val="en-US"/>
        </w:rPr>
        <w:t>R total score LS mean change from baseline (ITT)</w:t>
      </w:r>
      <w:r w:rsidR="00C815E5" w:rsidRPr="00C815E5">
        <w:rPr>
          <w:szCs w:val="20"/>
          <w:lang w:val="en-US"/>
        </w:rPr>
        <w:t xml:space="preserve">, early vs delayed </w:t>
      </w:r>
      <w:proofErr w:type="spellStart"/>
      <w:r w:rsidR="00C815E5" w:rsidRPr="00C815E5">
        <w:rPr>
          <w:szCs w:val="20"/>
          <w:lang w:val="en-US"/>
        </w:rPr>
        <w:t>tofersen</w:t>
      </w:r>
      <w:proofErr w:type="spellEnd"/>
      <w:r w:rsidR="00C815E5" w:rsidRPr="00C815E5">
        <w:rPr>
          <w:szCs w:val="20"/>
          <w:lang w:val="en-US"/>
        </w:rPr>
        <w:t xml:space="preserve"> from VALOR OLE, adjusted for baseline </w:t>
      </w:r>
      <w:proofErr w:type="spellStart"/>
      <w:r w:rsidR="00C815E5" w:rsidRPr="00C815E5">
        <w:rPr>
          <w:szCs w:val="20"/>
          <w:lang w:val="en-US"/>
        </w:rPr>
        <w:t>nfL</w:t>
      </w:r>
      <w:proofErr w:type="spellEnd"/>
    </w:p>
    <w:p w14:paraId="73C171C3" w14:textId="565135F5" w:rsidR="00EB77B7" w:rsidRDefault="0052648A" w:rsidP="00C10EC6">
      <w:pPr>
        <w:pStyle w:val="3-BodyText"/>
        <w:keepNext/>
        <w:numPr>
          <w:ilvl w:val="0"/>
          <w:numId w:val="0"/>
        </w:numPr>
        <w:rPr>
          <w:snapToGrid w:val="0"/>
        </w:rPr>
      </w:pPr>
      <w:r w:rsidRPr="004F65D0">
        <w:rPr>
          <w:rFonts w:ascii="Arial Narrow" w:eastAsia="Times New Roman" w:hAnsi="Arial Narrow"/>
          <w:noProof/>
          <w:sz w:val="18"/>
          <w:szCs w:val="24"/>
        </w:rPr>
        <w:drawing>
          <wp:inline distT="0" distB="0" distL="0" distR="0" wp14:anchorId="048FEBEC" wp14:editId="7568BF62">
            <wp:extent cx="5731510" cy="2808705"/>
            <wp:effectExtent l="0" t="0" r="2540" b="0"/>
            <wp:docPr id="1655506895" name="Picture 1" descr="Figure 1: ALSFRS R total score LS mean change from baseline (ITT), early vs delayed tofersen from VALOR OLE, adjusted for baseline 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06895" name="Picture 1" descr="Figure 1: ALSFRS R total score LS mean change from baseline (ITT), early vs delayed tofersen from VALOR OLE, adjusted for baseline nfL"/>
                    <pic:cNvPicPr/>
                  </pic:nvPicPr>
                  <pic:blipFill>
                    <a:blip r:embed="rId11"/>
                    <a:stretch>
                      <a:fillRect/>
                    </a:stretch>
                  </pic:blipFill>
                  <pic:spPr>
                    <a:xfrm>
                      <a:off x="0" y="0"/>
                      <a:ext cx="5731510" cy="2808705"/>
                    </a:xfrm>
                    <a:prstGeom prst="rect">
                      <a:avLst/>
                    </a:prstGeom>
                  </pic:spPr>
                </pic:pic>
              </a:graphicData>
            </a:graphic>
          </wp:inline>
        </w:drawing>
      </w:r>
    </w:p>
    <w:p w14:paraId="653ACC92" w14:textId="0E9EE86B" w:rsidR="00F818F4" w:rsidRDefault="00C815E5" w:rsidP="00C10EC6">
      <w:pPr>
        <w:pStyle w:val="TableFigureFooter"/>
        <w:keepNext/>
      </w:pPr>
      <w:r>
        <w:t>Source: Figure 2.1, p</w:t>
      </w:r>
      <w:r w:rsidR="0038713E">
        <w:t>32 of the March 2026 early re</w:t>
      </w:r>
      <w:r w:rsidR="007A591A">
        <w:noBreakHyphen/>
      </w:r>
      <w:r w:rsidR="0038713E">
        <w:t>entry resubmission</w:t>
      </w:r>
    </w:p>
    <w:p w14:paraId="37048B52" w14:textId="568F3036" w:rsidR="0038713E" w:rsidRPr="00153BC6" w:rsidRDefault="0038713E" w:rsidP="00C10EC6">
      <w:pPr>
        <w:pStyle w:val="TableFigureFooter"/>
        <w:keepNext/>
        <w:rPr>
          <w:lang w:val="en-US"/>
        </w:rPr>
      </w:pPr>
      <w:r>
        <w:rPr>
          <w:lang w:val="en-US"/>
        </w:rPr>
        <w:t>ALSFRS</w:t>
      </w:r>
      <w:r w:rsidR="007A591A">
        <w:rPr>
          <w:lang w:val="en-US"/>
        </w:rPr>
        <w:noBreakHyphen/>
      </w:r>
      <w:r>
        <w:rPr>
          <w:lang w:val="en-US"/>
        </w:rPr>
        <w:t xml:space="preserve">R = </w:t>
      </w:r>
      <w:r>
        <w:t>amyotrophic lateral sclerosis f</w:t>
      </w:r>
      <w:r w:rsidRPr="00597A24">
        <w:t xml:space="preserve">unctional </w:t>
      </w:r>
      <w:r>
        <w:t>r</w:t>
      </w:r>
      <w:r w:rsidRPr="00597A24">
        <w:t xml:space="preserve">ating </w:t>
      </w:r>
      <w:r>
        <w:t>s</w:t>
      </w:r>
      <w:r w:rsidRPr="00597A24">
        <w:t>cale–</w:t>
      </w:r>
      <w:r>
        <w:t>r</w:t>
      </w:r>
      <w:r w:rsidRPr="00597A24">
        <w:t>evised;</w:t>
      </w:r>
      <w:r>
        <w:t xml:space="preserve"> ITT = intention to treat; </w:t>
      </w:r>
      <w:proofErr w:type="spellStart"/>
      <w:r w:rsidRPr="002E25C2">
        <w:t>Nf</w:t>
      </w:r>
      <w:r>
        <w:t>L</w:t>
      </w:r>
      <w:proofErr w:type="spellEnd"/>
      <w:r>
        <w:t xml:space="preserve"> </w:t>
      </w:r>
      <w:r w:rsidRPr="002E25C2">
        <w:t>=</w:t>
      </w:r>
      <w:r>
        <w:t xml:space="preserve"> </w:t>
      </w:r>
      <w:r w:rsidRPr="002E25C2">
        <w:t>neurofilament light chain</w:t>
      </w:r>
      <w:r>
        <w:t>; OLE = open</w:t>
      </w:r>
      <w:r w:rsidR="007A591A">
        <w:noBreakHyphen/>
      </w:r>
      <w:r>
        <w:t>label extension</w:t>
      </w:r>
    </w:p>
    <w:p w14:paraId="1D41F3ED" w14:textId="77777777" w:rsidR="0038713E" w:rsidRPr="00D0496B" w:rsidRDefault="0038713E" w:rsidP="007A591A">
      <w:pPr>
        <w:pStyle w:val="TableFigureFooter"/>
      </w:pPr>
    </w:p>
    <w:p w14:paraId="3D05F987" w14:textId="79C0C178" w:rsidR="00214ECC" w:rsidRPr="006F2E5C" w:rsidRDefault="007F4272" w:rsidP="007A591A">
      <w:pPr>
        <w:pStyle w:val="3-BodyText"/>
      </w:pPr>
      <w:r w:rsidRPr="006F2E5C">
        <w:t xml:space="preserve">Consistent with the data presented in the November 2025 submission, the submission stated that </w:t>
      </w:r>
      <w:r w:rsidR="00EE4B7F" w:rsidRPr="006F2E5C">
        <w:t>over the longer</w:t>
      </w:r>
      <w:r w:rsidR="007A591A">
        <w:noBreakHyphen/>
      </w:r>
      <w:r w:rsidR="00EE4B7F" w:rsidRPr="006F2E5C">
        <w:t xml:space="preserve">term, the </w:t>
      </w:r>
      <w:r w:rsidR="002933E9" w:rsidRPr="006F2E5C">
        <w:t>early</w:t>
      </w:r>
      <w:r w:rsidR="007A591A">
        <w:noBreakHyphen/>
      </w:r>
      <w:r w:rsidR="00D875AD" w:rsidRPr="006F2E5C">
        <w:t xml:space="preserve">start </w:t>
      </w:r>
      <w:r w:rsidR="00C8669C" w:rsidRPr="006F2E5C">
        <w:t>tofersen group experienced a significantly slower decline in ALSFRS</w:t>
      </w:r>
      <w:r w:rsidR="007A591A">
        <w:noBreakHyphen/>
      </w:r>
      <w:r w:rsidR="00C8669C" w:rsidRPr="006F2E5C">
        <w:t>R total score from baseline at Week 76 (3.4 point</w:t>
      </w:r>
      <w:r w:rsidR="004A5BCA" w:rsidRPr="006F2E5C">
        <w:t>s</w:t>
      </w:r>
      <w:r w:rsidR="00C8669C" w:rsidRPr="006F2E5C">
        <w:t>), Week 104 (</w:t>
      </w:r>
      <w:r w:rsidR="004A5BCA" w:rsidRPr="006F2E5C">
        <w:t>3.7 points) and Week 148 (3.6 points)</w:t>
      </w:r>
      <w:r w:rsidR="00EE4B7F" w:rsidRPr="006F2E5C">
        <w:t xml:space="preserve"> </w:t>
      </w:r>
      <w:r w:rsidR="004A5BCA" w:rsidRPr="006F2E5C">
        <w:t xml:space="preserve">compared to the </w:t>
      </w:r>
      <w:r w:rsidR="00A50141" w:rsidRPr="006F2E5C">
        <w:t>placebo</w:t>
      </w:r>
      <w:r w:rsidR="0091410E" w:rsidRPr="006F2E5C">
        <w:t>/</w:t>
      </w:r>
      <w:r w:rsidR="00A50141" w:rsidRPr="006F2E5C">
        <w:t>delayed</w:t>
      </w:r>
      <w:r w:rsidR="007A591A">
        <w:noBreakHyphen/>
      </w:r>
      <w:r w:rsidR="004A5BCA" w:rsidRPr="006F2E5C">
        <w:t>start group</w:t>
      </w:r>
      <w:r w:rsidR="00214ECC" w:rsidRPr="006F2E5C">
        <w:t>.</w:t>
      </w:r>
    </w:p>
    <w:p w14:paraId="1009D70C" w14:textId="5D424CF1" w:rsidR="004F6160" w:rsidRPr="006F2E5C" w:rsidRDefault="007968E0" w:rsidP="007A591A">
      <w:pPr>
        <w:pStyle w:val="3-BodyText"/>
      </w:pPr>
      <w:r w:rsidRPr="006F2E5C">
        <w:t>The resubmission also presented ALSFRS</w:t>
      </w:r>
      <w:r w:rsidR="007A591A">
        <w:noBreakHyphen/>
      </w:r>
      <w:r w:rsidRPr="006F2E5C">
        <w:t>R</w:t>
      </w:r>
      <w:r w:rsidR="00EF7CF9" w:rsidRPr="006F2E5C">
        <w:t>,</w:t>
      </w:r>
      <w:r w:rsidR="00205BFA" w:rsidRPr="006F2E5C">
        <w:t xml:space="preserve"> percent</w:t>
      </w:r>
      <w:r w:rsidR="007A591A">
        <w:noBreakHyphen/>
      </w:r>
      <w:r w:rsidR="00205BFA" w:rsidRPr="006F2E5C">
        <w:t xml:space="preserve">predicted </w:t>
      </w:r>
      <w:r w:rsidR="002162E8" w:rsidRPr="006F2E5C">
        <w:t>slow vital capacity (%S</w:t>
      </w:r>
      <w:r w:rsidR="00205BFA" w:rsidRPr="006F2E5C">
        <w:t>VC</w:t>
      </w:r>
      <w:r w:rsidR="002162E8" w:rsidRPr="006F2E5C">
        <w:t>)</w:t>
      </w:r>
      <w:r w:rsidR="00EF7CF9" w:rsidRPr="006F2E5C">
        <w:t xml:space="preserve"> and </w:t>
      </w:r>
      <w:r w:rsidR="002162E8" w:rsidRPr="006F2E5C">
        <w:t>handheld dynamometry (</w:t>
      </w:r>
      <w:r w:rsidR="00EF7CF9" w:rsidRPr="006F2E5C">
        <w:t>HHD</w:t>
      </w:r>
      <w:r w:rsidR="002162E8" w:rsidRPr="006F2E5C">
        <w:t>)</w:t>
      </w:r>
      <w:r w:rsidR="00EF7CF9" w:rsidRPr="006F2E5C">
        <w:t xml:space="preserve"> </w:t>
      </w:r>
      <w:proofErr w:type="spellStart"/>
      <w:r w:rsidR="00EF7CF9" w:rsidRPr="006F2E5C">
        <w:t>megascore</w:t>
      </w:r>
      <w:proofErr w:type="spellEnd"/>
      <w:r w:rsidR="00205BFA" w:rsidRPr="006F2E5C">
        <w:t xml:space="preserve"> </w:t>
      </w:r>
      <w:r w:rsidRPr="006F2E5C">
        <w:t>responder analys</w:t>
      </w:r>
      <w:r w:rsidR="001F4B5E" w:rsidRPr="006F2E5C">
        <w:t>es</w:t>
      </w:r>
      <w:r w:rsidR="00205BFA" w:rsidRPr="006F2E5C">
        <w:t>,</w:t>
      </w:r>
      <w:r w:rsidR="001F4B5E" w:rsidRPr="006F2E5C">
        <w:t xml:space="preserve"> </w:t>
      </w:r>
      <w:r w:rsidR="00E13CC6" w:rsidRPr="006F2E5C">
        <w:t xml:space="preserve">change from baseline in </w:t>
      </w:r>
      <w:r w:rsidR="002162E8" w:rsidRPr="006F2E5C">
        <w:t>cerebrospinal fluid (</w:t>
      </w:r>
      <w:r w:rsidR="00E13CC6" w:rsidRPr="006F2E5C">
        <w:t>CSF</w:t>
      </w:r>
      <w:r w:rsidR="002162E8" w:rsidRPr="006F2E5C">
        <w:t>)</w:t>
      </w:r>
      <w:r w:rsidR="00E13CC6" w:rsidRPr="006F2E5C">
        <w:t xml:space="preserve"> SOD1, plasma </w:t>
      </w:r>
      <w:r w:rsidR="002162E8" w:rsidRPr="006F2E5C">
        <w:t>ne</w:t>
      </w:r>
      <w:r w:rsidR="005D4C87" w:rsidRPr="006F2E5C">
        <w:t>urofilament light change (</w:t>
      </w:r>
      <w:proofErr w:type="spellStart"/>
      <w:r w:rsidR="00E13CC6" w:rsidRPr="006F2E5C">
        <w:t>NfL</w:t>
      </w:r>
      <w:proofErr w:type="spellEnd"/>
      <w:r w:rsidR="005D4C87" w:rsidRPr="006F2E5C">
        <w:t>)</w:t>
      </w:r>
      <w:r w:rsidR="00205BFA" w:rsidRPr="006F2E5C">
        <w:t xml:space="preserve">, </w:t>
      </w:r>
      <w:r w:rsidR="005D4C87" w:rsidRPr="006F2E5C">
        <w:t>%</w:t>
      </w:r>
      <w:r w:rsidR="00205BFA" w:rsidRPr="006F2E5C">
        <w:t xml:space="preserve">SVC and HHD </w:t>
      </w:r>
      <w:proofErr w:type="spellStart"/>
      <w:r w:rsidR="00205BFA" w:rsidRPr="006F2E5C">
        <w:t>megascore</w:t>
      </w:r>
      <w:proofErr w:type="spellEnd"/>
      <w:r w:rsidR="00EF7CF9" w:rsidRPr="006F2E5C">
        <w:t xml:space="preserve">, time to event and </w:t>
      </w:r>
      <w:r w:rsidR="00E042F7" w:rsidRPr="006F2E5C">
        <w:t>patient</w:t>
      </w:r>
      <w:r w:rsidR="007A591A">
        <w:noBreakHyphen/>
      </w:r>
      <w:r w:rsidR="00E042F7" w:rsidRPr="006F2E5C">
        <w:t>reported outcome data from the VALOR OLE at Week 148</w:t>
      </w:r>
      <w:r w:rsidR="00BD695B" w:rsidRPr="006F2E5C">
        <w:t xml:space="preserve">. As noted in paragraph 6.28 of the </w:t>
      </w:r>
      <w:r w:rsidR="00AB7702" w:rsidRPr="006F2E5C">
        <w:t xml:space="preserve">November 2025 </w:t>
      </w:r>
      <w:r w:rsidR="00B55554">
        <w:t>PSD</w:t>
      </w:r>
      <w:r w:rsidR="00AB7702" w:rsidRPr="006F2E5C">
        <w:t>, the ESC considered that the results from Week 148 were consistent with those presented at Week 104</w:t>
      </w:r>
      <w:r w:rsidR="00C022B4" w:rsidRPr="006F2E5C">
        <w:t>. The ESC noted that there was no</w:t>
      </w:r>
      <w:r w:rsidR="00F31A4C" w:rsidRPr="006F2E5C">
        <w:t xml:space="preserve"> difference between early</w:t>
      </w:r>
      <w:r w:rsidR="007A591A">
        <w:noBreakHyphen/>
      </w:r>
      <w:r w:rsidR="00F31A4C" w:rsidRPr="006F2E5C">
        <w:t>start and delayed</w:t>
      </w:r>
      <w:r w:rsidR="007A591A">
        <w:noBreakHyphen/>
      </w:r>
      <w:r w:rsidR="00F31A4C" w:rsidRPr="006F2E5C">
        <w:t xml:space="preserve">start tofersen patients at Week 148 in the improvement from baseline in function and survival. Reduction in </w:t>
      </w:r>
      <w:proofErr w:type="spellStart"/>
      <w:r w:rsidR="00F31A4C" w:rsidRPr="006F2E5C">
        <w:t>NfL</w:t>
      </w:r>
      <w:proofErr w:type="spellEnd"/>
      <w:r w:rsidR="00F31A4C" w:rsidRPr="006F2E5C">
        <w:t xml:space="preserve"> was also similar between early</w:t>
      </w:r>
      <w:r w:rsidR="007A591A">
        <w:noBreakHyphen/>
      </w:r>
      <w:r w:rsidR="00F31A4C" w:rsidRPr="006F2E5C">
        <w:t>start and delayed</w:t>
      </w:r>
      <w:r w:rsidR="007A591A">
        <w:noBreakHyphen/>
      </w:r>
      <w:r w:rsidR="00F31A4C" w:rsidRPr="006F2E5C">
        <w:t>start patients at Week 148. The ESC agreed that there was a trend towards slower decline in ALSFRS</w:t>
      </w:r>
      <w:r w:rsidR="007A591A">
        <w:noBreakHyphen/>
      </w:r>
      <w:r w:rsidR="00F31A4C" w:rsidRPr="006F2E5C">
        <w:t>R score, %SVC and HDD.</w:t>
      </w:r>
    </w:p>
    <w:p w14:paraId="28250022" w14:textId="77777777" w:rsidR="00F848DB" w:rsidRPr="0098262F" w:rsidRDefault="00F848DB" w:rsidP="007A591A">
      <w:pPr>
        <w:pStyle w:val="4-SubsectionHeading"/>
      </w:pPr>
      <w:bookmarkStart w:id="15" w:name="_Toc22897642"/>
      <w:bookmarkStart w:id="16" w:name="_Toc208993656"/>
      <w:r w:rsidRPr="0098262F">
        <w:t>Comparative harms</w:t>
      </w:r>
      <w:bookmarkEnd w:id="15"/>
      <w:bookmarkEnd w:id="16"/>
    </w:p>
    <w:p w14:paraId="20699B41" w14:textId="22B4AF27" w:rsidR="00CA208C" w:rsidRDefault="00DD4C60" w:rsidP="007A591A">
      <w:pPr>
        <w:pStyle w:val="3-BodyText"/>
      </w:pPr>
      <w:r>
        <w:t>T</w:t>
      </w:r>
      <w:r w:rsidR="005A636C" w:rsidRPr="00663BAF">
        <w:t xml:space="preserve">he resubmission </w:t>
      </w:r>
      <w:r w:rsidR="00200F0C">
        <w:t xml:space="preserve">noted that the </w:t>
      </w:r>
      <w:r w:rsidR="00CA208C">
        <w:t>second Period Safety Update Report (PSUR)</w:t>
      </w:r>
      <w:r w:rsidR="00187370">
        <w:t xml:space="preserve"> </w:t>
      </w:r>
      <w:r w:rsidR="00200F0C">
        <w:t>was available</w:t>
      </w:r>
      <w:r w:rsidR="00C32CEC">
        <w:t xml:space="preserve">. </w:t>
      </w:r>
      <w:r>
        <w:t xml:space="preserve">No new </w:t>
      </w:r>
      <w:r w:rsidR="006B0AF1">
        <w:t>safety findings were noted.</w:t>
      </w:r>
    </w:p>
    <w:p w14:paraId="228B9AD3" w14:textId="77777777" w:rsidR="001801D7" w:rsidRPr="0098262F" w:rsidRDefault="001801D7" w:rsidP="007A591A">
      <w:pPr>
        <w:pStyle w:val="4-SubsectionHeading"/>
      </w:pPr>
      <w:bookmarkStart w:id="17" w:name="_Toc22897644"/>
      <w:bookmarkStart w:id="18" w:name="_Toc208993658"/>
      <w:r w:rsidRPr="0098262F">
        <w:t>Clinical claim</w:t>
      </w:r>
      <w:bookmarkEnd w:id="17"/>
      <w:bookmarkEnd w:id="18"/>
    </w:p>
    <w:p w14:paraId="095E25C7" w14:textId="527F6741" w:rsidR="00663BAF" w:rsidRPr="006F2E5C" w:rsidRDefault="00B408ED" w:rsidP="007A591A">
      <w:pPr>
        <w:pStyle w:val="3-BodyText"/>
      </w:pPr>
      <w:r w:rsidRPr="006F2E5C">
        <w:lastRenderedPageBreak/>
        <w:t xml:space="preserve">The resubmission did not provide new clinical claims, rather it appeared to accept the </w:t>
      </w:r>
      <w:r w:rsidR="001107C1" w:rsidRPr="006F2E5C">
        <w:t>PBAC’s considerations in November 2025 that:</w:t>
      </w:r>
    </w:p>
    <w:p w14:paraId="00655AA8" w14:textId="7B980D8A" w:rsidR="001361AD" w:rsidRPr="00D0496B" w:rsidRDefault="001361AD" w:rsidP="007A591A">
      <w:pPr>
        <w:pStyle w:val="3-BodyText"/>
        <w:numPr>
          <w:ilvl w:val="1"/>
          <w:numId w:val="22"/>
        </w:numPr>
        <w:ind w:left="1077" w:hanging="357"/>
        <w:rPr>
          <w:snapToGrid w:val="0"/>
        </w:rPr>
      </w:pPr>
      <w:bookmarkStart w:id="19" w:name="_Hlk76376200"/>
      <w:r w:rsidRPr="006F2E5C">
        <w:rPr>
          <w:snapToGrid w:val="0"/>
        </w:rPr>
        <w:t>the claim of superior comparative effectiveness was not well</w:t>
      </w:r>
      <w:r w:rsidR="007A591A">
        <w:rPr>
          <w:snapToGrid w:val="0"/>
        </w:rPr>
        <w:noBreakHyphen/>
      </w:r>
      <w:r w:rsidRPr="006F2E5C">
        <w:rPr>
          <w:snapToGrid w:val="0"/>
        </w:rPr>
        <w:t xml:space="preserve">supported by the data, which was </w:t>
      </w:r>
      <w:r w:rsidRPr="006F2E5C">
        <w:t xml:space="preserve">limited by the small patient population and the short duration of the comparative phase of the trial. </w:t>
      </w:r>
      <w:r w:rsidRPr="006F2E5C">
        <w:rPr>
          <w:snapToGrid w:val="0"/>
        </w:rPr>
        <w:t>However, on balance, tofersen was likely to provide a clinically meaningful</w:t>
      </w:r>
      <w:r w:rsidRPr="00D0496B">
        <w:rPr>
          <w:snapToGrid w:val="0"/>
        </w:rPr>
        <w:t xml:space="preserve"> benefit to some patients, but that the magnitude of the benefit and longer</w:t>
      </w:r>
      <w:r w:rsidR="007A591A">
        <w:rPr>
          <w:snapToGrid w:val="0"/>
        </w:rPr>
        <w:noBreakHyphen/>
      </w:r>
      <w:r w:rsidRPr="00D0496B">
        <w:rPr>
          <w:snapToGrid w:val="0"/>
        </w:rPr>
        <w:t>term effects were uncertain</w:t>
      </w:r>
      <w:r>
        <w:rPr>
          <w:snapToGrid w:val="0"/>
        </w:rPr>
        <w:t xml:space="preserve"> (paragraph 6.37, </w:t>
      </w:r>
      <w:proofErr w:type="spellStart"/>
      <w:r>
        <w:rPr>
          <w:snapToGrid w:val="0"/>
        </w:rPr>
        <w:t>tofersen</w:t>
      </w:r>
      <w:proofErr w:type="spellEnd"/>
      <w:r>
        <w:rPr>
          <w:snapToGrid w:val="0"/>
        </w:rPr>
        <w:t xml:space="preserve"> </w:t>
      </w:r>
      <w:r w:rsidR="00B55554">
        <w:rPr>
          <w:snapToGrid w:val="0"/>
        </w:rPr>
        <w:t>PSD</w:t>
      </w:r>
      <w:r>
        <w:rPr>
          <w:snapToGrid w:val="0"/>
        </w:rPr>
        <w:t>, November 2025)</w:t>
      </w:r>
      <w:r w:rsidRPr="00D0496B">
        <w:rPr>
          <w:snapToGrid w:val="0"/>
        </w:rPr>
        <w:t xml:space="preserve">. </w:t>
      </w:r>
    </w:p>
    <w:p w14:paraId="7E0608D2" w14:textId="2F1D4852" w:rsidR="001107C1" w:rsidRPr="005026EB" w:rsidRDefault="001361AD" w:rsidP="007A591A">
      <w:pPr>
        <w:pStyle w:val="3-BodyText"/>
        <w:numPr>
          <w:ilvl w:val="1"/>
          <w:numId w:val="22"/>
        </w:numPr>
        <w:ind w:left="1077" w:hanging="357"/>
      </w:pPr>
      <w:r w:rsidRPr="00D0496B">
        <w:rPr>
          <w:snapToGrid w:val="0"/>
        </w:rPr>
        <w:t>the claim of inferior comparative safety was reasonable</w:t>
      </w:r>
      <w:r>
        <w:rPr>
          <w:snapToGrid w:val="0"/>
        </w:rPr>
        <w:t xml:space="preserve"> (paragraph 6.38, </w:t>
      </w:r>
      <w:proofErr w:type="spellStart"/>
      <w:r>
        <w:rPr>
          <w:snapToGrid w:val="0"/>
        </w:rPr>
        <w:t>tofersen</w:t>
      </w:r>
      <w:proofErr w:type="spellEnd"/>
      <w:r>
        <w:rPr>
          <w:snapToGrid w:val="0"/>
        </w:rPr>
        <w:t xml:space="preserve"> </w:t>
      </w:r>
      <w:r w:rsidR="00174D3D">
        <w:rPr>
          <w:snapToGrid w:val="0"/>
        </w:rPr>
        <w:t>PSD</w:t>
      </w:r>
      <w:r>
        <w:rPr>
          <w:snapToGrid w:val="0"/>
        </w:rPr>
        <w:t>, November 2025)</w:t>
      </w:r>
      <w:r w:rsidRPr="00D0496B">
        <w:rPr>
          <w:snapToGrid w:val="0"/>
        </w:rPr>
        <w:t>.</w:t>
      </w:r>
      <w:bookmarkEnd w:id="19"/>
    </w:p>
    <w:p w14:paraId="14EB44BB" w14:textId="77777777" w:rsidR="00230850" w:rsidRPr="0098262F" w:rsidRDefault="00230850" w:rsidP="007A591A">
      <w:pPr>
        <w:pStyle w:val="4-SubsectionHeading"/>
      </w:pPr>
      <w:bookmarkStart w:id="20" w:name="_Toc22897645"/>
      <w:bookmarkStart w:id="21" w:name="_Toc208993659"/>
      <w:r w:rsidRPr="00230850">
        <w:t>Economic</w:t>
      </w:r>
      <w:r w:rsidRPr="0098262F">
        <w:t xml:space="preserve"> analysis</w:t>
      </w:r>
      <w:bookmarkEnd w:id="20"/>
      <w:bookmarkEnd w:id="21"/>
      <w:r w:rsidRPr="0098262F">
        <w:t xml:space="preserve"> </w:t>
      </w:r>
    </w:p>
    <w:p w14:paraId="1657E63B" w14:textId="3024D31E" w:rsidR="003E7396" w:rsidRPr="006F2E5C" w:rsidRDefault="00794F9E" w:rsidP="007A591A">
      <w:pPr>
        <w:pStyle w:val="3-BodyText"/>
      </w:pPr>
      <w:r w:rsidRPr="006F2E5C">
        <w:rPr>
          <w:snapToGrid w:val="0"/>
        </w:rPr>
        <w:t xml:space="preserve">The resubmission presented an updated economic model </w:t>
      </w:r>
      <w:r w:rsidR="00B8180D" w:rsidRPr="006F2E5C">
        <w:rPr>
          <w:snapToGrid w:val="0"/>
        </w:rPr>
        <w:t>which included the revised price</w:t>
      </w:r>
      <w:r w:rsidR="00117D6C" w:rsidRPr="006F2E5C">
        <w:rPr>
          <w:snapToGrid w:val="0"/>
        </w:rPr>
        <w:t>s</w:t>
      </w:r>
      <w:r w:rsidR="00B8180D" w:rsidRPr="006F2E5C">
        <w:rPr>
          <w:snapToGrid w:val="0"/>
        </w:rPr>
        <w:t xml:space="preserve"> of </w:t>
      </w:r>
      <w:proofErr w:type="spellStart"/>
      <w:r w:rsidR="00B8180D" w:rsidRPr="006F2E5C">
        <w:rPr>
          <w:snapToGrid w:val="0"/>
        </w:rPr>
        <w:t>tofersen</w:t>
      </w:r>
      <w:proofErr w:type="spellEnd"/>
      <w:r w:rsidR="00117D6C" w:rsidRPr="006F2E5C">
        <w:rPr>
          <w:snapToGrid w:val="0"/>
        </w:rPr>
        <w:t xml:space="preserve"> (see paragraph </w:t>
      </w:r>
      <w:r w:rsidR="00A87567" w:rsidRPr="006F2E5C">
        <w:rPr>
          <w:snapToGrid w:val="0"/>
        </w:rPr>
        <w:fldChar w:fldCharType="begin"/>
      </w:r>
      <w:r w:rsidR="00A87567" w:rsidRPr="006F2E5C">
        <w:rPr>
          <w:snapToGrid w:val="0"/>
        </w:rPr>
        <w:instrText xml:space="preserve"> REF _Ref220497342 \r \h </w:instrText>
      </w:r>
      <w:r w:rsidR="006F2E5C" w:rsidRPr="006F2E5C">
        <w:rPr>
          <w:snapToGrid w:val="0"/>
        </w:rPr>
        <w:instrText xml:space="preserve"> \* MERGEFORMAT </w:instrText>
      </w:r>
      <w:r w:rsidR="00A87567" w:rsidRPr="006F2E5C">
        <w:rPr>
          <w:snapToGrid w:val="0"/>
        </w:rPr>
      </w:r>
      <w:r w:rsidR="00A87567" w:rsidRPr="006F2E5C">
        <w:rPr>
          <w:snapToGrid w:val="0"/>
        </w:rPr>
        <w:fldChar w:fldCharType="separate"/>
      </w:r>
      <w:r w:rsidR="00210420">
        <w:rPr>
          <w:snapToGrid w:val="0"/>
        </w:rPr>
        <w:t>3.4</w:t>
      </w:r>
      <w:r w:rsidR="00A87567" w:rsidRPr="006F2E5C">
        <w:rPr>
          <w:snapToGrid w:val="0"/>
        </w:rPr>
        <w:fldChar w:fldCharType="end"/>
      </w:r>
      <w:r w:rsidR="0029783D" w:rsidRPr="006F2E5C">
        <w:rPr>
          <w:snapToGrid w:val="0"/>
        </w:rPr>
        <w:t xml:space="preserve"> and </w:t>
      </w:r>
      <w:r w:rsidR="00A87567" w:rsidRPr="006F2E5C">
        <w:rPr>
          <w:snapToGrid w:val="0"/>
        </w:rPr>
        <w:fldChar w:fldCharType="begin"/>
      </w:r>
      <w:r w:rsidR="00A87567" w:rsidRPr="006F2E5C">
        <w:rPr>
          <w:snapToGrid w:val="0"/>
        </w:rPr>
        <w:instrText xml:space="preserve"> REF _Ref220497373 \h </w:instrText>
      </w:r>
      <w:r w:rsidR="006F2E5C" w:rsidRPr="006F2E5C">
        <w:rPr>
          <w:snapToGrid w:val="0"/>
        </w:rPr>
        <w:instrText xml:space="preserve"> \* MERGEFORMAT </w:instrText>
      </w:r>
      <w:r w:rsidR="00A87567" w:rsidRPr="006F2E5C">
        <w:rPr>
          <w:snapToGrid w:val="0"/>
        </w:rPr>
      </w:r>
      <w:r w:rsidR="00A87567" w:rsidRPr="006F2E5C">
        <w:rPr>
          <w:snapToGrid w:val="0"/>
        </w:rPr>
        <w:fldChar w:fldCharType="separate"/>
      </w:r>
      <w:r w:rsidR="002E1A60" w:rsidRPr="006F2E5C">
        <w:t xml:space="preserve">Table </w:t>
      </w:r>
      <w:r w:rsidR="002E1A60" w:rsidRPr="006F2E5C">
        <w:rPr>
          <w:noProof/>
        </w:rPr>
        <w:t>5</w:t>
      </w:r>
      <w:r w:rsidR="00A87567" w:rsidRPr="006F2E5C">
        <w:rPr>
          <w:snapToGrid w:val="0"/>
        </w:rPr>
        <w:fldChar w:fldCharType="end"/>
      </w:r>
      <w:r w:rsidR="00952FEF" w:rsidRPr="006F2E5C">
        <w:rPr>
          <w:snapToGrid w:val="0"/>
        </w:rPr>
        <w:t>)</w:t>
      </w:r>
      <w:r w:rsidR="00A87567" w:rsidRPr="006F2E5C">
        <w:rPr>
          <w:snapToGrid w:val="0"/>
        </w:rPr>
        <w:t>.</w:t>
      </w:r>
      <w:r w:rsidR="005B35BE" w:rsidRPr="006F2E5C">
        <w:rPr>
          <w:snapToGrid w:val="0"/>
        </w:rPr>
        <w:t xml:space="preserve"> There were no other changes applied to the economic model in the resubmission.</w:t>
      </w:r>
    </w:p>
    <w:p w14:paraId="00D32A89" w14:textId="0A523A47" w:rsidR="001560B3" w:rsidRPr="00876544" w:rsidRDefault="00A87567" w:rsidP="007A591A">
      <w:pPr>
        <w:pStyle w:val="Caption"/>
        <w:jc w:val="left"/>
      </w:pPr>
      <w:bookmarkStart w:id="22" w:name="_Ref220497373"/>
      <w:bookmarkStart w:id="23" w:name="_Ref217405656"/>
      <w:bookmarkStart w:id="24" w:name="_Toc202523813"/>
      <w:bookmarkStart w:id="25" w:name="_Toc217402296"/>
      <w:r>
        <w:t xml:space="preserve">Table </w:t>
      </w:r>
      <w:fldSimple w:instr=" SEQ Table \* ARABIC ">
        <w:r w:rsidR="002E1A60">
          <w:rPr>
            <w:noProof/>
          </w:rPr>
          <w:t>5</w:t>
        </w:r>
      </w:fldSimple>
      <w:bookmarkEnd w:id="22"/>
      <w:r>
        <w:t xml:space="preserve">: </w:t>
      </w:r>
      <w:bookmarkEnd w:id="23"/>
      <w:bookmarkEnd w:id="24"/>
      <w:bookmarkEnd w:id="25"/>
      <w:r w:rsidR="001560B3">
        <w:t xml:space="preserve">Updated effective </w:t>
      </w:r>
      <w:r w:rsidR="001A14C8">
        <w:t>DPMQs of tofersen (assuming 50% of tofersen use would be in private hospitals)</w:t>
      </w:r>
      <w:r w:rsidR="001560B3" w:rsidRPr="00876544">
        <w:t xml:space="preserve"> </w:t>
      </w:r>
    </w:p>
    <w:tbl>
      <w:tblPr>
        <w:tblStyle w:val="TableGrid"/>
        <w:tblW w:w="5000" w:type="pct"/>
        <w:tblLook w:val="04A0" w:firstRow="1" w:lastRow="0" w:firstColumn="1" w:lastColumn="0" w:noHBand="0" w:noVBand="1"/>
        <w:tblCaption w:val="Table 5: Updated effective DPMQs of tofersen (assuming 50% of tofersen use would be in private hospitals) "/>
      </w:tblPr>
      <w:tblGrid>
        <w:gridCol w:w="2263"/>
        <w:gridCol w:w="1843"/>
        <w:gridCol w:w="1985"/>
        <w:gridCol w:w="1558"/>
        <w:gridCol w:w="1367"/>
      </w:tblGrid>
      <w:tr w:rsidR="001560B3" w:rsidRPr="00876544" w14:paraId="32BC3627" w14:textId="77777777" w:rsidTr="00C71D49">
        <w:trPr>
          <w:trHeight w:val="69"/>
        </w:trPr>
        <w:tc>
          <w:tcPr>
            <w:tcW w:w="1255" w:type="pct"/>
          </w:tcPr>
          <w:p w14:paraId="40136BCA" w14:textId="3A240EA8" w:rsidR="001560B3" w:rsidRPr="00DB3E6A" w:rsidRDefault="001560B3" w:rsidP="007A591A">
            <w:pPr>
              <w:jc w:val="left"/>
              <w:rPr>
                <w:rFonts w:ascii="Arial Narrow" w:hAnsi="Arial Narrow" w:cstheme="minorHAnsi"/>
                <w:b/>
                <w:bCs/>
                <w:sz w:val="20"/>
                <w:szCs w:val="20"/>
              </w:rPr>
            </w:pPr>
            <w:r w:rsidRPr="00DB3E6A">
              <w:rPr>
                <w:rFonts w:ascii="Arial Narrow" w:hAnsi="Arial Narrow" w:cstheme="minorHAnsi"/>
                <w:b/>
                <w:bCs/>
                <w:sz w:val="20"/>
                <w:szCs w:val="20"/>
              </w:rPr>
              <w:t>T</w:t>
            </w:r>
            <w:r w:rsidR="001A14C8" w:rsidRPr="00DB3E6A">
              <w:rPr>
                <w:rFonts w:ascii="Arial Narrow" w:hAnsi="Arial Narrow" w:cstheme="minorHAnsi"/>
                <w:b/>
                <w:bCs/>
                <w:sz w:val="20"/>
                <w:szCs w:val="20"/>
              </w:rPr>
              <w:t>reatment</w:t>
            </w:r>
            <w:r w:rsidRPr="00DB3E6A">
              <w:rPr>
                <w:rFonts w:ascii="Arial Narrow" w:hAnsi="Arial Narrow" w:cstheme="minorHAnsi"/>
                <w:b/>
                <w:bCs/>
                <w:sz w:val="20"/>
                <w:szCs w:val="20"/>
              </w:rPr>
              <w:t xml:space="preserve"> </w:t>
            </w:r>
            <w:r w:rsidR="001A14C8" w:rsidRPr="00DB3E6A">
              <w:rPr>
                <w:rFonts w:ascii="Arial Narrow" w:hAnsi="Arial Narrow" w:cstheme="minorHAnsi"/>
                <w:b/>
                <w:bCs/>
                <w:sz w:val="20"/>
                <w:szCs w:val="20"/>
              </w:rPr>
              <w:t>p</w:t>
            </w:r>
            <w:r w:rsidRPr="00DB3E6A">
              <w:rPr>
                <w:rFonts w:ascii="Arial Narrow" w:hAnsi="Arial Narrow" w:cstheme="minorHAnsi"/>
                <w:b/>
                <w:bCs/>
                <w:sz w:val="20"/>
                <w:szCs w:val="20"/>
              </w:rPr>
              <w:t>hase</w:t>
            </w:r>
          </w:p>
        </w:tc>
        <w:tc>
          <w:tcPr>
            <w:tcW w:w="1022" w:type="pct"/>
          </w:tcPr>
          <w:p w14:paraId="441AE9B1" w14:textId="77777777" w:rsidR="001560B3" w:rsidRPr="00DB3E6A" w:rsidRDefault="001560B3" w:rsidP="007A591A">
            <w:pPr>
              <w:jc w:val="left"/>
              <w:rPr>
                <w:rFonts w:ascii="Arial Narrow" w:hAnsi="Arial Narrow" w:cstheme="minorHAnsi"/>
                <w:b/>
                <w:bCs/>
                <w:sz w:val="20"/>
                <w:szCs w:val="20"/>
              </w:rPr>
            </w:pPr>
            <w:r w:rsidRPr="00DB3E6A">
              <w:rPr>
                <w:rFonts w:ascii="Arial Narrow" w:hAnsi="Arial Narrow" w:cstheme="minorHAnsi"/>
                <w:b/>
                <w:bCs/>
                <w:sz w:val="20"/>
                <w:szCs w:val="20"/>
              </w:rPr>
              <w:t>Description</w:t>
            </w:r>
          </w:p>
        </w:tc>
        <w:tc>
          <w:tcPr>
            <w:tcW w:w="1101" w:type="pct"/>
          </w:tcPr>
          <w:p w14:paraId="57841147" w14:textId="241E33F8" w:rsidR="001560B3" w:rsidRPr="00DB3E6A" w:rsidRDefault="001560B3" w:rsidP="007A591A">
            <w:pPr>
              <w:jc w:val="left"/>
              <w:rPr>
                <w:rFonts w:ascii="Arial Narrow" w:hAnsi="Arial Narrow" w:cstheme="minorHAnsi"/>
                <w:b/>
                <w:bCs/>
                <w:sz w:val="20"/>
                <w:szCs w:val="20"/>
              </w:rPr>
            </w:pPr>
            <w:r w:rsidRPr="00DB3E6A">
              <w:rPr>
                <w:rFonts w:ascii="Arial Narrow" w:hAnsi="Arial Narrow" w:cstheme="minorHAnsi"/>
                <w:b/>
                <w:bCs/>
                <w:sz w:val="20"/>
                <w:szCs w:val="20"/>
              </w:rPr>
              <w:t xml:space="preserve">Effective EMP per </w:t>
            </w:r>
            <w:r w:rsidR="001A14C8" w:rsidRPr="00DB3E6A">
              <w:rPr>
                <w:rFonts w:ascii="Arial Narrow" w:hAnsi="Arial Narrow" w:cstheme="minorHAnsi"/>
                <w:b/>
                <w:bCs/>
                <w:sz w:val="20"/>
                <w:szCs w:val="20"/>
              </w:rPr>
              <w:t>vial</w:t>
            </w:r>
          </w:p>
        </w:tc>
        <w:tc>
          <w:tcPr>
            <w:tcW w:w="864" w:type="pct"/>
          </w:tcPr>
          <w:p w14:paraId="0097B2CE" w14:textId="4D776309" w:rsidR="001560B3" w:rsidRPr="00DB3E6A" w:rsidRDefault="001560B3" w:rsidP="007A591A">
            <w:pPr>
              <w:jc w:val="left"/>
              <w:rPr>
                <w:rFonts w:ascii="Arial Narrow" w:hAnsi="Arial Narrow" w:cstheme="minorHAnsi"/>
                <w:b/>
                <w:bCs/>
                <w:sz w:val="20"/>
                <w:szCs w:val="20"/>
              </w:rPr>
            </w:pPr>
            <w:r w:rsidRPr="00DB3E6A">
              <w:rPr>
                <w:rFonts w:ascii="Arial Narrow" w:hAnsi="Arial Narrow" w:cstheme="minorHAnsi"/>
                <w:b/>
                <w:bCs/>
                <w:sz w:val="20"/>
                <w:szCs w:val="20"/>
              </w:rPr>
              <w:t>Effective DPMQ (weighted)</w:t>
            </w:r>
            <w:r w:rsidR="00E577B7" w:rsidRPr="00DB3E6A">
              <w:rPr>
                <w:rFonts w:ascii="Arial Narrow" w:hAnsi="Arial Narrow" w:cstheme="minorHAnsi"/>
                <w:b/>
                <w:bCs/>
                <w:sz w:val="20"/>
                <w:szCs w:val="20"/>
                <w:vertAlign w:val="superscript"/>
              </w:rPr>
              <w:t>a</w:t>
            </w:r>
          </w:p>
        </w:tc>
        <w:tc>
          <w:tcPr>
            <w:tcW w:w="758" w:type="pct"/>
          </w:tcPr>
          <w:p w14:paraId="56B32C6D" w14:textId="77777777" w:rsidR="001560B3" w:rsidRPr="00DB3E6A" w:rsidRDefault="001560B3" w:rsidP="007A591A">
            <w:pPr>
              <w:jc w:val="left"/>
              <w:rPr>
                <w:rFonts w:ascii="Arial Narrow" w:hAnsi="Arial Narrow" w:cstheme="minorHAnsi"/>
                <w:b/>
                <w:bCs/>
                <w:sz w:val="20"/>
                <w:szCs w:val="20"/>
              </w:rPr>
            </w:pPr>
            <w:r w:rsidRPr="00DB3E6A">
              <w:rPr>
                <w:rFonts w:ascii="Arial Narrow" w:hAnsi="Arial Narrow" w:cstheme="minorHAnsi"/>
                <w:b/>
                <w:bCs/>
                <w:sz w:val="20"/>
                <w:szCs w:val="20"/>
              </w:rPr>
              <w:t>Model cycles applied</w:t>
            </w:r>
          </w:p>
        </w:tc>
      </w:tr>
      <w:tr w:rsidR="001560B3" w:rsidRPr="00876544" w14:paraId="5DAFE928" w14:textId="77777777" w:rsidTr="00C71D49">
        <w:tc>
          <w:tcPr>
            <w:tcW w:w="1255" w:type="pct"/>
          </w:tcPr>
          <w:p w14:paraId="79765254" w14:textId="70D15435" w:rsidR="001560B3" w:rsidRPr="00DB3E6A" w:rsidRDefault="00DB3E6A" w:rsidP="007A591A">
            <w:pPr>
              <w:jc w:val="left"/>
              <w:rPr>
                <w:rFonts w:ascii="Arial Narrow" w:hAnsi="Arial Narrow" w:cstheme="minorHAnsi"/>
                <w:sz w:val="20"/>
                <w:szCs w:val="20"/>
              </w:rPr>
            </w:pPr>
            <w:r w:rsidRPr="00DB3E6A">
              <w:rPr>
                <w:rFonts w:ascii="Arial Narrow" w:hAnsi="Arial Narrow" w:cstheme="minorHAnsi"/>
                <w:sz w:val="20"/>
                <w:szCs w:val="20"/>
              </w:rPr>
              <w:t>Initiation phase</w:t>
            </w:r>
          </w:p>
        </w:tc>
        <w:tc>
          <w:tcPr>
            <w:tcW w:w="1022" w:type="pct"/>
          </w:tcPr>
          <w:p w14:paraId="4B414A64" w14:textId="77777777" w:rsidR="001560B3" w:rsidRPr="00DB3E6A" w:rsidRDefault="001560B3" w:rsidP="007A591A">
            <w:pPr>
              <w:jc w:val="left"/>
              <w:rPr>
                <w:rFonts w:ascii="Arial Narrow" w:hAnsi="Arial Narrow" w:cstheme="minorHAnsi"/>
                <w:sz w:val="20"/>
                <w:szCs w:val="20"/>
              </w:rPr>
            </w:pPr>
            <w:r w:rsidRPr="00DB3E6A">
              <w:rPr>
                <w:rFonts w:ascii="Arial Narrow" w:hAnsi="Arial Narrow" w:cstheme="minorHAnsi"/>
                <w:sz w:val="20"/>
                <w:szCs w:val="20"/>
              </w:rPr>
              <w:t>Tofersen 100 mg vial</w:t>
            </w:r>
          </w:p>
        </w:tc>
        <w:tc>
          <w:tcPr>
            <w:tcW w:w="1101" w:type="pct"/>
          </w:tcPr>
          <w:p w14:paraId="22CFAB22" w14:textId="6872C205" w:rsidR="001560B3" w:rsidRPr="00DB3E6A" w:rsidRDefault="001560B3" w:rsidP="007A591A">
            <w:pPr>
              <w:jc w:val="right"/>
              <w:rPr>
                <w:rFonts w:ascii="Arial Narrow" w:hAnsi="Arial Narrow" w:cstheme="minorHAnsi"/>
                <w:sz w:val="20"/>
                <w:szCs w:val="20"/>
              </w:rPr>
            </w:pPr>
            <w:r w:rsidRPr="00DB3E6A">
              <w:rPr>
                <w:rFonts w:ascii="Arial Narrow" w:hAnsi="Arial Narrow" w:cstheme="minorHAnsi"/>
                <w:sz w:val="20"/>
                <w:szCs w:val="20"/>
              </w:rPr>
              <w:t>$</w:t>
            </w:r>
            <w:r w:rsidR="00C10EC6" w:rsidRPr="00C10EC6">
              <w:rPr>
                <w:rFonts w:ascii="Arial Narrow" w:hAnsi="Arial Narrow" w:cstheme="minorHAnsi"/>
                <w:sz w:val="2"/>
                <w:szCs w:val="20"/>
                <w:highlight w:val="black"/>
              </w:rPr>
              <w:t>redacted content</w:t>
            </w:r>
          </w:p>
        </w:tc>
        <w:tc>
          <w:tcPr>
            <w:tcW w:w="864" w:type="pct"/>
          </w:tcPr>
          <w:p w14:paraId="13E4F1CC" w14:textId="72456A78" w:rsidR="001560B3" w:rsidRPr="00DB3E6A" w:rsidRDefault="001560B3" w:rsidP="007A591A">
            <w:pPr>
              <w:jc w:val="right"/>
              <w:rPr>
                <w:rFonts w:ascii="Arial Narrow" w:hAnsi="Arial Narrow" w:cstheme="minorHAnsi"/>
                <w:sz w:val="20"/>
                <w:szCs w:val="20"/>
              </w:rPr>
            </w:pPr>
            <w:r w:rsidRPr="00DB3E6A">
              <w:rPr>
                <w:rFonts w:ascii="Arial Narrow" w:hAnsi="Arial Narrow" w:cstheme="minorHAnsi"/>
                <w:sz w:val="20"/>
                <w:szCs w:val="20"/>
              </w:rPr>
              <w:t>$</w:t>
            </w:r>
            <w:r w:rsidR="00C10EC6" w:rsidRPr="00C10EC6">
              <w:rPr>
                <w:rFonts w:ascii="Arial Narrow" w:hAnsi="Arial Narrow" w:cstheme="minorHAnsi"/>
                <w:sz w:val="2"/>
                <w:szCs w:val="20"/>
                <w:highlight w:val="black"/>
              </w:rPr>
              <w:t>redacted content</w:t>
            </w:r>
          </w:p>
        </w:tc>
        <w:tc>
          <w:tcPr>
            <w:tcW w:w="758" w:type="pct"/>
          </w:tcPr>
          <w:p w14:paraId="511CECA9" w14:textId="4220A7DD" w:rsidR="001560B3" w:rsidRPr="00DB3E6A" w:rsidRDefault="001560B3" w:rsidP="007A591A">
            <w:pPr>
              <w:jc w:val="left"/>
              <w:rPr>
                <w:rFonts w:ascii="Arial Narrow" w:hAnsi="Arial Narrow" w:cstheme="minorHAnsi"/>
                <w:sz w:val="20"/>
                <w:szCs w:val="20"/>
              </w:rPr>
            </w:pPr>
            <w:r w:rsidRPr="00DB3E6A">
              <w:rPr>
                <w:rFonts w:ascii="Arial Narrow" w:hAnsi="Arial Narrow" w:cstheme="minorHAnsi"/>
                <w:sz w:val="20"/>
                <w:szCs w:val="20"/>
              </w:rPr>
              <w:t>1</w:t>
            </w:r>
            <w:r w:rsidR="007A591A">
              <w:rPr>
                <w:rFonts w:ascii="Arial Narrow" w:hAnsi="Arial Narrow" w:cstheme="minorHAnsi"/>
                <w:sz w:val="20"/>
                <w:szCs w:val="20"/>
              </w:rPr>
              <w:noBreakHyphen/>
            </w:r>
            <w:r w:rsidRPr="00DB3E6A">
              <w:rPr>
                <w:rFonts w:ascii="Arial Narrow" w:hAnsi="Arial Narrow" w:cstheme="minorHAnsi"/>
                <w:sz w:val="20"/>
                <w:szCs w:val="20"/>
              </w:rPr>
              <w:t>6</w:t>
            </w:r>
          </w:p>
        </w:tc>
      </w:tr>
      <w:tr w:rsidR="001560B3" w:rsidRPr="00876544" w14:paraId="4098CEF3" w14:textId="77777777" w:rsidTr="00C71D49">
        <w:tc>
          <w:tcPr>
            <w:tcW w:w="1255" w:type="pct"/>
          </w:tcPr>
          <w:p w14:paraId="40909499" w14:textId="4CD4F993" w:rsidR="001560B3" w:rsidRPr="00DB3E6A" w:rsidRDefault="00E577B7" w:rsidP="007A591A">
            <w:pPr>
              <w:jc w:val="left"/>
              <w:rPr>
                <w:rFonts w:ascii="Arial Narrow" w:hAnsi="Arial Narrow" w:cstheme="minorHAnsi"/>
                <w:sz w:val="20"/>
                <w:szCs w:val="20"/>
              </w:rPr>
            </w:pPr>
            <w:r w:rsidRPr="00DB3E6A">
              <w:rPr>
                <w:rFonts w:ascii="Arial Narrow" w:hAnsi="Arial Narrow" w:cstheme="minorHAnsi"/>
                <w:sz w:val="20"/>
                <w:szCs w:val="20"/>
              </w:rPr>
              <w:t>First continu</w:t>
            </w:r>
            <w:r w:rsidR="00DB3E6A" w:rsidRPr="00DB3E6A">
              <w:rPr>
                <w:rFonts w:ascii="Arial Narrow" w:hAnsi="Arial Narrow" w:cstheme="minorHAnsi"/>
                <w:sz w:val="20"/>
                <w:szCs w:val="20"/>
              </w:rPr>
              <w:t>ation phase</w:t>
            </w:r>
          </w:p>
        </w:tc>
        <w:tc>
          <w:tcPr>
            <w:tcW w:w="1022" w:type="pct"/>
          </w:tcPr>
          <w:p w14:paraId="05A18F19" w14:textId="77777777" w:rsidR="001560B3" w:rsidRPr="00DB3E6A" w:rsidRDefault="001560B3" w:rsidP="007A591A">
            <w:pPr>
              <w:jc w:val="left"/>
              <w:rPr>
                <w:rFonts w:ascii="Arial Narrow" w:hAnsi="Arial Narrow" w:cstheme="minorHAnsi"/>
                <w:sz w:val="20"/>
                <w:szCs w:val="20"/>
              </w:rPr>
            </w:pPr>
            <w:r w:rsidRPr="00DB3E6A">
              <w:rPr>
                <w:rFonts w:ascii="Arial Narrow" w:hAnsi="Arial Narrow" w:cstheme="minorHAnsi"/>
                <w:sz w:val="20"/>
                <w:szCs w:val="20"/>
              </w:rPr>
              <w:t>Tofersen 100 mg vial</w:t>
            </w:r>
          </w:p>
        </w:tc>
        <w:tc>
          <w:tcPr>
            <w:tcW w:w="1101" w:type="pct"/>
          </w:tcPr>
          <w:p w14:paraId="21FB5992" w14:textId="1B3A5AD3" w:rsidR="001560B3" w:rsidRPr="00DB3E6A" w:rsidRDefault="001560B3" w:rsidP="007A591A">
            <w:pPr>
              <w:jc w:val="right"/>
              <w:rPr>
                <w:rFonts w:ascii="Arial Narrow" w:hAnsi="Arial Narrow" w:cstheme="minorHAnsi"/>
                <w:sz w:val="20"/>
                <w:szCs w:val="20"/>
              </w:rPr>
            </w:pPr>
            <w:r w:rsidRPr="00DB3E6A">
              <w:rPr>
                <w:rFonts w:ascii="Arial Narrow" w:hAnsi="Arial Narrow" w:cstheme="minorHAnsi"/>
                <w:sz w:val="20"/>
                <w:szCs w:val="20"/>
              </w:rPr>
              <w:t>$</w:t>
            </w:r>
            <w:r w:rsidR="00C10EC6" w:rsidRPr="00C10EC6">
              <w:rPr>
                <w:rFonts w:ascii="Arial Narrow" w:hAnsi="Arial Narrow" w:cstheme="minorHAnsi"/>
                <w:sz w:val="2"/>
                <w:szCs w:val="20"/>
                <w:highlight w:val="black"/>
              </w:rPr>
              <w:t>redacted content</w:t>
            </w:r>
          </w:p>
        </w:tc>
        <w:tc>
          <w:tcPr>
            <w:tcW w:w="864" w:type="pct"/>
          </w:tcPr>
          <w:p w14:paraId="42A80550" w14:textId="2E0C8473" w:rsidR="001560B3" w:rsidRPr="00DB3E6A" w:rsidRDefault="001560B3" w:rsidP="007A591A">
            <w:pPr>
              <w:jc w:val="right"/>
              <w:rPr>
                <w:rFonts w:ascii="Arial Narrow" w:hAnsi="Arial Narrow" w:cstheme="minorHAnsi"/>
                <w:sz w:val="20"/>
                <w:szCs w:val="20"/>
              </w:rPr>
            </w:pPr>
            <w:r w:rsidRPr="00DB3E6A">
              <w:rPr>
                <w:rFonts w:ascii="Arial Narrow" w:hAnsi="Arial Narrow" w:cstheme="minorHAnsi"/>
                <w:sz w:val="20"/>
                <w:szCs w:val="20"/>
              </w:rPr>
              <w:t>$</w:t>
            </w:r>
            <w:r w:rsidR="00C10EC6" w:rsidRPr="00C10EC6">
              <w:rPr>
                <w:rFonts w:ascii="Arial Narrow" w:hAnsi="Arial Narrow" w:cstheme="minorHAnsi"/>
                <w:sz w:val="2"/>
                <w:szCs w:val="20"/>
                <w:highlight w:val="black"/>
              </w:rPr>
              <w:t>redacted content</w:t>
            </w:r>
          </w:p>
        </w:tc>
        <w:tc>
          <w:tcPr>
            <w:tcW w:w="758" w:type="pct"/>
          </w:tcPr>
          <w:p w14:paraId="42E0AEA5" w14:textId="6B552D62" w:rsidR="001560B3" w:rsidRPr="00DB3E6A" w:rsidRDefault="001560B3" w:rsidP="007A591A">
            <w:pPr>
              <w:jc w:val="left"/>
              <w:rPr>
                <w:rFonts w:ascii="Arial Narrow" w:hAnsi="Arial Narrow" w:cstheme="minorHAnsi"/>
                <w:sz w:val="20"/>
                <w:szCs w:val="20"/>
              </w:rPr>
            </w:pPr>
            <w:r w:rsidRPr="00DB3E6A">
              <w:rPr>
                <w:rFonts w:ascii="Arial Narrow" w:hAnsi="Arial Narrow" w:cstheme="minorHAnsi"/>
                <w:sz w:val="20"/>
                <w:szCs w:val="20"/>
              </w:rPr>
              <w:t>7</w:t>
            </w:r>
            <w:r w:rsidR="007A591A">
              <w:rPr>
                <w:rFonts w:ascii="Arial Narrow" w:hAnsi="Arial Narrow" w:cstheme="minorHAnsi"/>
                <w:sz w:val="20"/>
                <w:szCs w:val="20"/>
              </w:rPr>
              <w:noBreakHyphen/>
            </w:r>
            <w:r w:rsidRPr="00DB3E6A">
              <w:rPr>
                <w:rFonts w:ascii="Arial Narrow" w:hAnsi="Arial Narrow" w:cstheme="minorHAnsi"/>
                <w:sz w:val="20"/>
                <w:szCs w:val="20"/>
              </w:rPr>
              <w:t>13</w:t>
            </w:r>
          </w:p>
        </w:tc>
      </w:tr>
      <w:tr w:rsidR="001560B3" w:rsidRPr="00876544" w14:paraId="00310783" w14:textId="77777777" w:rsidTr="00C71D49">
        <w:tc>
          <w:tcPr>
            <w:tcW w:w="1255" w:type="pct"/>
          </w:tcPr>
          <w:p w14:paraId="41482668" w14:textId="49F5EB0C" w:rsidR="001560B3" w:rsidRPr="00DB3E6A" w:rsidRDefault="00DB3E6A" w:rsidP="007A591A">
            <w:pPr>
              <w:jc w:val="left"/>
              <w:rPr>
                <w:rFonts w:ascii="Arial Narrow" w:hAnsi="Arial Narrow" w:cstheme="minorHAnsi"/>
                <w:sz w:val="20"/>
                <w:szCs w:val="20"/>
              </w:rPr>
            </w:pPr>
            <w:r w:rsidRPr="00DB3E6A">
              <w:rPr>
                <w:rFonts w:ascii="Arial Narrow" w:hAnsi="Arial Narrow" w:cstheme="minorHAnsi"/>
                <w:sz w:val="20"/>
                <w:szCs w:val="20"/>
              </w:rPr>
              <w:t>Response phase</w:t>
            </w:r>
          </w:p>
        </w:tc>
        <w:tc>
          <w:tcPr>
            <w:tcW w:w="1022" w:type="pct"/>
          </w:tcPr>
          <w:p w14:paraId="07F62D5D" w14:textId="77777777" w:rsidR="001560B3" w:rsidRPr="00DB3E6A" w:rsidRDefault="001560B3" w:rsidP="007A591A">
            <w:pPr>
              <w:jc w:val="left"/>
              <w:rPr>
                <w:rFonts w:ascii="Arial Narrow" w:hAnsi="Arial Narrow" w:cstheme="minorHAnsi"/>
                <w:sz w:val="20"/>
                <w:szCs w:val="20"/>
              </w:rPr>
            </w:pPr>
            <w:r w:rsidRPr="00DB3E6A">
              <w:rPr>
                <w:rFonts w:ascii="Arial Narrow" w:hAnsi="Arial Narrow" w:cstheme="minorHAnsi"/>
                <w:sz w:val="20"/>
                <w:szCs w:val="20"/>
              </w:rPr>
              <w:t>Tofersen 100 mg vial</w:t>
            </w:r>
          </w:p>
        </w:tc>
        <w:tc>
          <w:tcPr>
            <w:tcW w:w="1101" w:type="pct"/>
          </w:tcPr>
          <w:p w14:paraId="0A370A80" w14:textId="4A4D288A" w:rsidR="001560B3" w:rsidRPr="00DB3E6A" w:rsidRDefault="001560B3" w:rsidP="007A591A">
            <w:pPr>
              <w:jc w:val="right"/>
              <w:rPr>
                <w:rFonts w:ascii="Arial Narrow" w:hAnsi="Arial Narrow" w:cstheme="minorHAnsi"/>
                <w:sz w:val="20"/>
                <w:szCs w:val="20"/>
              </w:rPr>
            </w:pPr>
            <w:r w:rsidRPr="00DB3E6A">
              <w:rPr>
                <w:rFonts w:ascii="Arial Narrow" w:hAnsi="Arial Narrow" w:cstheme="minorHAnsi"/>
                <w:sz w:val="20"/>
                <w:szCs w:val="20"/>
              </w:rPr>
              <w:t>$</w:t>
            </w:r>
            <w:r w:rsidR="00C10EC6" w:rsidRPr="00C10EC6">
              <w:rPr>
                <w:rFonts w:ascii="Arial Narrow" w:hAnsi="Arial Narrow" w:cstheme="minorHAnsi"/>
                <w:sz w:val="2"/>
                <w:szCs w:val="20"/>
                <w:highlight w:val="black"/>
              </w:rPr>
              <w:t>redacted content</w:t>
            </w:r>
          </w:p>
        </w:tc>
        <w:tc>
          <w:tcPr>
            <w:tcW w:w="864" w:type="pct"/>
          </w:tcPr>
          <w:p w14:paraId="7C9A8F70" w14:textId="17248282" w:rsidR="001560B3" w:rsidRPr="00DB3E6A" w:rsidRDefault="001560B3" w:rsidP="007A591A">
            <w:pPr>
              <w:jc w:val="right"/>
              <w:rPr>
                <w:rFonts w:ascii="Arial Narrow" w:hAnsi="Arial Narrow" w:cstheme="minorHAnsi"/>
                <w:sz w:val="20"/>
                <w:szCs w:val="20"/>
              </w:rPr>
            </w:pPr>
            <w:r w:rsidRPr="00DB3E6A">
              <w:rPr>
                <w:rFonts w:ascii="Arial Narrow" w:hAnsi="Arial Narrow" w:cstheme="minorHAnsi"/>
                <w:sz w:val="20"/>
                <w:szCs w:val="20"/>
              </w:rPr>
              <w:t>$</w:t>
            </w:r>
            <w:r w:rsidR="00C10EC6" w:rsidRPr="00C10EC6">
              <w:rPr>
                <w:rFonts w:ascii="Arial Narrow" w:hAnsi="Arial Narrow" w:cstheme="minorHAnsi"/>
                <w:sz w:val="2"/>
                <w:szCs w:val="20"/>
                <w:highlight w:val="black"/>
              </w:rPr>
              <w:t>redacted content</w:t>
            </w:r>
          </w:p>
        </w:tc>
        <w:tc>
          <w:tcPr>
            <w:tcW w:w="758" w:type="pct"/>
          </w:tcPr>
          <w:p w14:paraId="507DABB4" w14:textId="77777777" w:rsidR="001560B3" w:rsidRPr="00DB3E6A" w:rsidRDefault="001560B3" w:rsidP="007A591A">
            <w:pPr>
              <w:jc w:val="left"/>
              <w:rPr>
                <w:rFonts w:ascii="Arial Narrow" w:hAnsi="Arial Narrow" w:cstheme="minorHAnsi"/>
                <w:sz w:val="20"/>
                <w:szCs w:val="20"/>
              </w:rPr>
            </w:pPr>
            <w:r w:rsidRPr="00DB3E6A">
              <w:rPr>
                <w:rFonts w:ascii="Arial Narrow" w:hAnsi="Arial Narrow" w:cstheme="minorHAnsi"/>
                <w:sz w:val="20"/>
                <w:szCs w:val="20"/>
              </w:rPr>
              <w:t>14+</w:t>
            </w:r>
          </w:p>
        </w:tc>
      </w:tr>
    </w:tbl>
    <w:p w14:paraId="44A3D1B5" w14:textId="4A50A3F7" w:rsidR="00E577B7" w:rsidRDefault="00E577B7" w:rsidP="007A591A">
      <w:pPr>
        <w:pStyle w:val="TableFigureFooter"/>
        <w:jc w:val="left"/>
        <w:rPr>
          <w:lang w:eastAsia="en-GB"/>
        </w:rPr>
      </w:pPr>
      <w:r>
        <w:rPr>
          <w:lang w:eastAsia="en-GB"/>
        </w:rPr>
        <w:t>Source: Table 3.3, p53 of the March 2026 early re</w:t>
      </w:r>
      <w:r w:rsidR="007A591A">
        <w:rPr>
          <w:lang w:eastAsia="en-GB"/>
        </w:rPr>
        <w:noBreakHyphen/>
      </w:r>
      <w:r>
        <w:rPr>
          <w:lang w:eastAsia="en-GB"/>
        </w:rPr>
        <w:t>entry resubmission</w:t>
      </w:r>
      <w:r>
        <w:rPr>
          <w:lang w:eastAsia="en-GB"/>
        </w:rPr>
        <w:tab/>
      </w:r>
    </w:p>
    <w:p w14:paraId="73F9EE60" w14:textId="5F8A2FAB" w:rsidR="001560B3" w:rsidRPr="00876544" w:rsidRDefault="001560B3" w:rsidP="007A591A">
      <w:pPr>
        <w:pStyle w:val="TableFigureFooter"/>
        <w:spacing w:after="0"/>
        <w:jc w:val="left"/>
        <w:rPr>
          <w:lang w:eastAsia="en-GB"/>
        </w:rPr>
      </w:pPr>
      <w:r w:rsidRPr="00876544">
        <w:rPr>
          <w:lang w:eastAsia="en-GB"/>
        </w:rPr>
        <w:t>DPMQ</w:t>
      </w:r>
      <w:r w:rsidR="001A14C8">
        <w:rPr>
          <w:lang w:eastAsia="en-GB"/>
        </w:rPr>
        <w:t xml:space="preserve"> =</w:t>
      </w:r>
      <w:r w:rsidRPr="00876544">
        <w:rPr>
          <w:lang w:eastAsia="en-GB"/>
        </w:rPr>
        <w:t xml:space="preserve"> dispensed price per maximum quantity</w:t>
      </w:r>
      <w:r w:rsidR="001A14C8">
        <w:rPr>
          <w:lang w:eastAsia="en-GB"/>
        </w:rPr>
        <w:t xml:space="preserve">; </w:t>
      </w:r>
      <w:r w:rsidR="001A14C8" w:rsidRPr="00876544">
        <w:rPr>
          <w:lang w:eastAsia="en-GB"/>
        </w:rPr>
        <w:t>EMP</w:t>
      </w:r>
      <w:r w:rsidR="001A14C8">
        <w:rPr>
          <w:lang w:eastAsia="en-GB"/>
        </w:rPr>
        <w:t xml:space="preserve"> =</w:t>
      </w:r>
      <w:r w:rsidR="001A14C8" w:rsidRPr="00876544">
        <w:rPr>
          <w:lang w:eastAsia="en-GB"/>
        </w:rPr>
        <w:t xml:space="preserve"> ex</w:t>
      </w:r>
      <w:r w:rsidR="007A591A">
        <w:rPr>
          <w:lang w:eastAsia="en-GB"/>
        </w:rPr>
        <w:noBreakHyphen/>
      </w:r>
      <w:r w:rsidR="001A14C8" w:rsidRPr="00876544">
        <w:rPr>
          <w:lang w:eastAsia="en-GB"/>
        </w:rPr>
        <w:t>manufacturer price;</w:t>
      </w:r>
    </w:p>
    <w:p w14:paraId="37B7B06E" w14:textId="0064AFAC" w:rsidR="0029783D" w:rsidRPr="0029783D" w:rsidRDefault="00E577B7" w:rsidP="007A591A">
      <w:pPr>
        <w:pStyle w:val="3-BodyText"/>
        <w:numPr>
          <w:ilvl w:val="0"/>
          <w:numId w:val="0"/>
        </w:numPr>
        <w:jc w:val="left"/>
      </w:pPr>
      <w:r w:rsidRPr="00DB3E6A">
        <w:rPr>
          <w:rFonts w:ascii="Arial Narrow" w:eastAsia="Times New Roman" w:hAnsi="Arial Narrow" w:cs="Arial"/>
          <w:sz w:val="18"/>
          <w:szCs w:val="24"/>
          <w:lang w:eastAsia="en-GB"/>
        </w:rPr>
        <w:t xml:space="preserve">a 50% public/private weighting </w:t>
      </w:r>
      <w:r w:rsidR="00DB3E6A">
        <w:rPr>
          <w:rFonts w:ascii="Arial Narrow" w:eastAsia="Times New Roman" w:hAnsi="Arial Narrow" w:cs="Arial"/>
          <w:sz w:val="18"/>
          <w:szCs w:val="24"/>
          <w:lang w:eastAsia="en-GB"/>
        </w:rPr>
        <w:t xml:space="preserve">is </w:t>
      </w:r>
      <w:r w:rsidRPr="00DB3E6A">
        <w:rPr>
          <w:rFonts w:ascii="Arial Narrow" w:eastAsia="Times New Roman" w:hAnsi="Arial Narrow" w:cs="Arial"/>
          <w:sz w:val="18"/>
          <w:szCs w:val="24"/>
          <w:lang w:eastAsia="en-GB"/>
        </w:rPr>
        <w:t>unchanged from initial submission.</w:t>
      </w:r>
    </w:p>
    <w:p w14:paraId="63AD4C28" w14:textId="740C3BD7" w:rsidR="0029783D" w:rsidRPr="00F23E55" w:rsidRDefault="00B41BB5" w:rsidP="007A591A">
      <w:pPr>
        <w:pStyle w:val="3-BodyText"/>
      </w:pPr>
      <w:r>
        <w:rPr>
          <w:snapToGrid w:val="0"/>
        </w:rPr>
        <w:t xml:space="preserve">The </w:t>
      </w:r>
      <w:r w:rsidR="00F23E55">
        <w:rPr>
          <w:snapToGrid w:val="0"/>
        </w:rPr>
        <w:t>results for the re</w:t>
      </w:r>
      <w:r w:rsidR="00C411DB">
        <w:rPr>
          <w:snapToGrid w:val="0"/>
        </w:rPr>
        <w:t>vised economic evaluation</w:t>
      </w:r>
      <w:r w:rsidR="0031344F">
        <w:rPr>
          <w:snapToGrid w:val="0"/>
        </w:rPr>
        <w:t xml:space="preserve"> are presented in </w:t>
      </w:r>
      <w:r w:rsidR="00A87567">
        <w:rPr>
          <w:snapToGrid w:val="0"/>
        </w:rPr>
        <w:fldChar w:fldCharType="begin"/>
      </w:r>
      <w:r w:rsidR="00A87567">
        <w:rPr>
          <w:snapToGrid w:val="0"/>
        </w:rPr>
        <w:instrText xml:space="preserve"> REF _Ref220497401 \h </w:instrText>
      </w:r>
      <w:r w:rsidR="00A87567">
        <w:rPr>
          <w:snapToGrid w:val="0"/>
        </w:rPr>
      </w:r>
      <w:r w:rsidR="00A87567">
        <w:rPr>
          <w:snapToGrid w:val="0"/>
        </w:rPr>
        <w:fldChar w:fldCharType="separate"/>
      </w:r>
      <w:r w:rsidR="002E1A60">
        <w:t xml:space="preserve">Table </w:t>
      </w:r>
      <w:r w:rsidR="002E1A60">
        <w:rPr>
          <w:noProof/>
        </w:rPr>
        <w:t>6</w:t>
      </w:r>
      <w:r w:rsidR="00A87567">
        <w:rPr>
          <w:snapToGrid w:val="0"/>
        </w:rPr>
        <w:fldChar w:fldCharType="end"/>
      </w:r>
      <w:r w:rsidR="0031344F">
        <w:rPr>
          <w:snapToGrid w:val="0"/>
        </w:rPr>
        <w:t>.</w:t>
      </w:r>
    </w:p>
    <w:p w14:paraId="66445D04" w14:textId="6B06F6F0" w:rsidR="00F23E55" w:rsidRPr="00274839" w:rsidRDefault="00A87567" w:rsidP="007A591A">
      <w:pPr>
        <w:pStyle w:val="Caption"/>
        <w:jc w:val="left"/>
        <w:rPr>
          <w:rStyle w:val="CommentReference"/>
          <w:b w:val="0"/>
          <w:sz w:val="20"/>
          <w:szCs w:val="20"/>
        </w:rPr>
      </w:pPr>
      <w:bookmarkStart w:id="26" w:name="_Ref220497401"/>
      <w:r>
        <w:t xml:space="preserve">Table </w:t>
      </w:r>
      <w:fldSimple w:instr=" SEQ Table \* ARABIC ">
        <w:r w:rsidR="002E1A60">
          <w:rPr>
            <w:noProof/>
          </w:rPr>
          <w:t>6</w:t>
        </w:r>
      </w:fldSimple>
      <w:bookmarkEnd w:id="26"/>
      <w:r>
        <w:t xml:space="preserve">: </w:t>
      </w:r>
      <w:r w:rsidR="00F23E55" w:rsidRPr="00274839">
        <w:rPr>
          <w:rStyle w:val="CommentReference"/>
          <w:sz w:val="20"/>
          <w:szCs w:val="20"/>
        </w:rPr>
        <w:t xml:space="preserve">Results of the </w:t>
      </w:r>
      <w:r w:rsidR="00274839">
        <w:rPr>
          <w:rStyle w:val="CommentReference"/>
          <w:sz w:val="20"/>
          <w:szCs w:val="20"/>
        </w:rPr>
        <w:t xml:space="preserve">revised </w:t>
      </w:r>
      <w:r w:rsidR="00F23E55" w:rsidRPr="00274839">
        <w:rPr>
          <w:rStyle w:val="CommentReference"/>
          <w:sz w:val="20"/>
          <w:szCs w:val="20"/>
        </w:rPr>
        <w:t>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Results of the revised economic evaluation"/>
      </w:tblPr>
      <w:tblGrid>
        <w:gridCol w:w="4519"/>
        <w:gridCol w:w="1500"/>
        <w:gridCol w:w="1500"/>
        <w:gridCol w:w="1497"/>
      </w:tblGrid>
      <w:tr w:rsidR="00F23E55" w:rsidRPr="00AD7F85" w14:paraId="404D596D" w14:textId="77777777" w:rsidTr="00274839">
        <w:trPr>
          <w:tblHeader/>
        </w:trPr>
        <w:tc>
          <w:tcPr>
            <w:tcW w:w="2506" w:type="pct"/>
            <w:tcBorders>
              <w:bottom w:val="single" w:sz="4" w:space="0" w:color="auto"/>
            </w:tcBorders>
            <w:vAlign w:val="center"/>
          </w:tcPr>
          <w:p w14:paraId="67B161C1" w14:textId="31C19012" w:rsidR="00F23E55" w:rsidRPr="00AD7F85" w:rsidRDefault="00F23E55" w:rsidP="007A591A">
            <w:pPr>
              <w:pStyle w:val="In-tableHeading"/>
              <w:rPr>
                <w:lang w:val="en-AU"/>
              </w:rPr>
            </w:pPr>
          </w:p>
        </w:tc>
        <w:tc>
          <w:tcPr>
            <w:tcW w:w="832" w:type="pct"/>
            <w:tcBorders>
              <w:bottom w:val="single" w:sz="4" w:space="0" w:color="auto"/>
            </w:tcBorders>
            <w:vAlign w:val="center"/>
          </w:tcPr>
          <w:p w14:paraId="1B001A42" w14:textId="77777777" w:rsidR="00F23E55" w:rsidRPr="00AD7F85" w:rsidRDefault="00F23E55" w:rsidP="007A591A">
            <w:pPr>
              <w:pStyle w:val="In-tableHeading"/>
              <w:jc w:val="center"/>
              <w:rPr>
                <w:lang w:val="en-AU"/>
              </w:rPr>
            </w:pPr>
            <w:r w:rsidRPr="00AD7F85">
              <w:rPr>
                <w:lang w:val="en-AU"/>
              </w:rPr>
              <w:t>Tofersen</w:t>
            </w:r>
          </w:p>
        </w:tc>
        <w:tc>
          <w:tcPr>
            <w:tcW w:w="832" w:type="pct"/>
            <w:tcBorders>
              <w:bottom w:val="single" w:sz="4" w:space="0" w:color="auto"/>
            </w:tcBorders>
            <w:vAlign w:val="center"/>
          </w:tcPr>
          <w:p w14:paraId="6DFC1417" w14:textId="77777777" w:rsidR="00F23E55" w:rsidRPr="00AD7F85" w:rsidRDefault="00F23E55" w:rsidP="007A591A">
            <w:pPr>
              <w:pStyle w:val="In-tableHeading"/>
              <w:jc w:val="center"/>
              <w:rPr>
                <w:lang w:val="en-AU"/>
              </w:rPr>
            </w:pPr>
            <w:r w:rsidRPr="00AD7F85">
              <w:rPr>
                <w:lang w:val="en-AU"/>
              </w:rPr>
              <w:t>BSC</w:t>
            </w:r>
          </w:p>
        </w:tc>
        <w:tc>
          <w:tcPr>
            <w:tcW w:w="830" w:type="pct"/>
            <w:tcBorders>
              <w:bottom w:val="single" w:sz="4" w:space="0" w:color="auto"/>
            </w:tcBorders>
            <w:vAlign w:val="center"/>
          </w:tcPr>
          <w:p w14:paraId="7A9BA672" w14:textId="77777777" w:rsidR="00F23E55" w:rsidRPr="00AD7F85" w:rsidRDefault="00F23E55" w:rsidP="007A591A">
            <w:pPr>
              <w:pStyle w:val="In-tableHeading"/>
              <w:jc w:val="center"/>
              <w:rPr>
                <w:lang w:val="en-AU"/>
              </w:rPr>
            </w:pPr>
            <w:r w:rsidRPr="00AD7F85">
              <w:rPr>
                <w:lang w:val="en-AU"/>
              </w:rPr>
              <w:t>Increment</w:t>
            </w:r>
          </w:p>
        </w:tc>
      </w:tr>
      <w:tr w:rsidR="00C411DB" w:rsidRPr="00AD7F85" w14:paraId="469D04BB" w14:textId="77777777" w:rsidTr="00274839">
        <w:trPr>
          <w:tblHeader/>
        </w:trPr>
        <w:tc>
          <w:tcPr>
            <w:tcW w:w="2506" w:type="pct"/>
            <w:tcBorders>
              <w:bottom w:val="nil"/>
            </w:tcBorders>
            <w:vAlign w:val="center"/>
          </w:tcPr>
          <w:p w14:paraId="67905EA9" w14:textId="2EA623A0" w:rsidR="00C411DB" w:rsidRPr="00616709" w:rsidRDefault="00C411DB" w:rsidP="007A591A">
            <w:pPr>
              <w:pStyle w:val="In-tableHeading"/>
              <w:rPr>
                <w:b w:val="0"/>
                <w:bCs/>
                <w:lang w:val="en-AU"/>
              </w:rPr>
            </w:pPr>
            <w:r w:rsidRPr="00616709">
              <w:rPr>
                <w:b w:val="0"/>
                <w:bCs/>
                <w:lang w:val="en-AU"/>
              </w:rPr>
              <w:t>Costs</w:t>
            </w:r>
          </w:p>
        </w:tc>
        <w:tc>
          <w:tcPr>
            <w:tcW w:w="832" w:type="pct"/>
            <w:tcBorders>
              <w:bottom w:val="nil"/>
            </w:tcBorders>
            <w:vAlign w:val="center"/>
          </w:tcPr>
          <w:p w14:paraId="288C625F" w14:textId="5D4D30A9" w:rsidR="00C411DB" w:rsidRPr="00616709" w:rsidRDefault="00C411DB" w:rsidP="007A591A">
            <w:pPr>
              <w:pStyle w:val="In-tableHeading"/>
              <w:jc w:val="center"/>
              <w:rPr>
                <w:b w:val="0"/>
                <w:bCs/>
                <w:lang w:val="en-AU"/>
              </w:rPr>
            </w:pPr>
            <w:r w:rsidRPr="00616709">
              <w:rPr>
                <w:b w:val="0"/>
                <w:bCs/>
                <w:lang w:val="en-AU"/>
              </w:rPr>
              <w:t>$</w:t>
            </w:r>
            <w:r w:rsidR="00C10EC6" w:rsidRPr="00C10EC6">
              <w:rPr>
                <w:b w:val="0"/>
                <w:bCs/>
                <w:sz w:val="2"/>
                <w:highlight w:val="black"/>
                <w:lang w:val="en-AU"/>
              </w:rPr>
              <w:t>redacted content</w:t>
            </w:r>
          </w:p>
        </w:tc>
        <w:tc>
          <w:tcPr>
            <w:tcW w:w="832" w:type="pct"/>
            <w:tcBorders>
              <w:bottom w:val="nil"/>
            </w:tcBorders>
            <w:vAlign w:val="center"/>
          </w:tcPr>
          <w:p w14:paraId="2CA69C59" w14:textId="0BF843E4" w:rsidR="00C411DB" w:rsidRPr="00616709" w:rsidRDefault="00C411DB" w:rsidP="007A591A">
            <w:pPr>
              <w:pStyle w:val="In-tableHeading"/>
              <w:jc w:val="center"/>
              <w:rPr>
                <w:b w:val="0"/>
                <w:bCs/>
                <w:lang w:val="en-AU"/>
              </w:rPr>
            </w:pPr>
            <w:r w:rsidRPr="00616709">
              <w:rPr>
                <w:b w:val="0"/>
                <w:bCs/>
                <w:lang w:val="en-AU"/>
              </w:rPr>
              <w:t>$25,202</w:t>
            </w:r>
          </w:p>
        </w:tc>
        <w:tc>
          <w:tcPr>
            <w:tcW w:w="830" w:type="pct"/>
            <w:tcBorders>
              <w:bottom w:val="nil"/>
            </w:tcBorders>
            <w:vAlign w:val="center"/>
          </w:tcPr>
          <w:p w14:paraId="0EC8C0E7" w14:textId="330E3D0E" w:rsidR="00C411DB" w:rsidRPr="00616709" w:rsidRDefault="00C411DB" w:rsidP="007A591A">
            <w:pPr>
              <w:pStyle w:val="In-tableHeading"/>
              <w:jc w:val="center"/>
              <w:rPr>
                <w:b w:val="0"/>
                <w:bCs/>
                <w:lang w:val="en-AU"/>
              </w:rPr>
            </w:pPr>
            <w:r w:rsidRPr="00616709">
              <w:rPr>
                <w:b w:val="0"/>
                <w:bCs/>
                <w:lang w:val="en-AU"/>
              </w:rPr>
              <w:t>$</w:t>
            </w:r>
            <w:r w:rsidR="00C10EC6" w:rsidRPr="00C10EC6">
              <w:rPr>
                <w:b w:val="0"/>
                <w:bCs/>
                <w:sz w:val="2"/>
                <w:highlight w:val="black"/>
                <w:lang w:val="en-AU"/>
              </w:rPr>
              <w:t>redacted content</w:t>
            </w:r>
          </w:p>
        </w:tc>
      </w:tr>
      <w:tr w:rsidR="00C411DB" w:rsidRPr="00AD7F85" w14:paraId="2A6D22F1" w14:textId="77777777" w:rsidTr="00274839">
        <w:trPr>
          <w:tblHeader/>
        </w:trPr>
        <w:tc>
          <w:tcPr>
            <w:tcW w:w="2506" w:type="pct"/>
            <w:tcBorders>
              <w:top w:val="nil"/>
              <w:bottom w:val="nil"/>
            </w:tcBorders>
            <w:vAlign w:val="center"/>
          </w:tcPr>
          <w:p w14:paraId="0386049C" w14:textId="05E05198" w:rsidR="00C411DB" w:rsidRPr="00616709" w:rsidRDefault="00C411DB" w:rsidP="007A591A">
            <w:pPr>
              <w:pStyle w:val="In-tableHeading"/>
              <w:rPr>
                <w:b w:val="0"/>
                <w:bCs/>
                <w:lang w:val="en-AU"/>
              </w:rPr>
            </w:pPr>
            <w:r w:rsidRPr="00616709">
              <w:rPr>
                <w:b w:val="0"/>
                <w:bCs/>
                <w:lang w:val="en-AU"/>
              </w:rPr>
              <w:t>QALYs gained</w:t>
            </w:r>
          </w:p>
        </w:tc>
        <w:tc>
          <w:tcPr>
            <w:tcW w:w="832" w:type="pct"/>
            <w:tcBorders>
              <w:top w:val="nil"/>
              <w:bottom w:val="nil"/>
            </w:tcBorders>
            <w:vAlign w:val="center"/>
          </w:tcPr>
          <w:p w14:paraId="476B8D8B" w14:textId="0DC2523C" w:rsidR="00C411DB" w:rsidRPr="00616709" w:rsidRDefault="0013262C" w:rsidP="007A591A">
            <w:pPr>
              <w:pStyle w:val="In-tableHeading"/>
              <w:jc w:val="center"/>
              <w:rPr>
                <w:b w:val="0"/>
                <w:bCs/>
                <w:lang w:val="en-AU"/>
              </w:rPr>
            </w:pPr>
            <w:r w:rsidRPr="00616709">
              <w:rPr>
                <w:b w:val="0"/>
                <w:bCs/>
                <w:lang w:val="en-AU"/>
              </w:rPr>
              <w:t>1.39</w:t>
            </w:r>
          </w:p>
        </w:tc>
        <w:tc>
          <w:tcPr>
            <w:tcW w:w="832" w:type="pct"/>
            <w:tcBorders>
              <w:top w:val="nil"/>
              <w:bottom w:val="nil"/>
            </w:tcBorders>
            <w:vAlign w:val="center"/>
          </w:tcPr>
          <w:p w14:paraId="0421E22B" w14:textId="1C0B24AF" w:rsidR="00C411DB" w:rsidRPr="00616709" w:rsidRDefault="0013262C" w:rsidP="007A591A">
            <w:pPr>
              <w:pStyle w:val="In-tableHeading"/>
              <w:jc w:val="center"/>
              <w:rPr>
                <w:b w:val="0"/>
                <w:bCs/>
                <w:lang w:val="en-AU"/>
              </w:rPr>
            </w:pPr>
            <w:r w:rsidRPr="00616709">
              <w:rPr>
                <w:b w:val="0"/>
                <w:bCs/>
                <w:lang w:val="en-AU"/>
              </w:rPr>
              <w:t>0.69</w:t>
            </w:r>
          </w:p>
        </w:tc>
        <w:tc>
          <w:tcPr>
            <w:tcW w:w="830" w:type="pct"/>
            <w:tcBorders>
              <w:top w:val="nil"/>
              <w:bottom w:val="nil"/>
            </w:tcBorders>
            <w:vAlign w:val="center"/>
          </w:tcPr>
          <w:p w14:paraId="22EE48D7" w14:textId="603B24A7" w:rsidR="00C411DB" w:rsidRPr="00616709" w:rsidRDefault="0013262C" w:rsidP="007A591A">
            <w:pPr>
              <w:pStyle w:val="In-tableHeading"/>
              <w:jc w:val="center"/>
              <w:rPr>
                <w:b w:val="0"/>
                <w:bCs/>
                <w:lang w:val="en-AU"/>
              </w:rPr>
            </w:pPr>
            <w:r w:rsidRPr="00616709">
              <w:rPr>
                <w:b w:val="0"/>
                <w:bCs/>
                <w:lang w:val="en-AU"/>
              </w:rPr>
              <w:t>0.</w:t>
            </w:r>
            <w:r w:rsidR="00616709" w:rsidRPr="00616709">
              <w:rPr>
                <w:b w:val="0"/>
                <w:bCs/>
                <w:lang w:val="en-AU"/>
              </w:rPr>
              <w:t>70</w:t>
            </w:r>
          </w:p>
        </w:tc>
      </w:tr>
      <w:tr w:rsidR="00C411DB" w:rsidRPr="00AD7F85" w14:paraId="70691A1A" w14:textId="77777777" w:rsidTr="00D75064">
        <w:tc>
          <w:tcPr>
            <w:tcW w:w="2506" w:type="pct"/>
            <w:tcBorders>
              <w:top w:val="nil"/>
              <w:bottom w:val="single" w:sz="4" w:space="0" w:color="auto"/>
            </w:tcBorders>
          </w:tcPr>
          <w:p w14:paraId="0287390B" w14:textId="071C1DBE" w:rsidR="00C411DB" w:rsidRPr="00AD7F85" w:rsidRDefault="00C411DB" w:rsidP="007A591A">
            <w:pPr>
              <w:pStyle w:val="In-tableHeading"/>
              <w:rPr>
                <w:lang w:val="en-AU"/>
              </w:rPr>
            </w:pPr>
            <w:r>
              <w:rPr>
                <w:lang w:val="en-AU"/>
              </w:rPr>
              <w:t>Incremental cost/extra QALY gained</w:t>
            </w:r>
          </w:p>
        </w:tc>
        <w:tc>
          <w:tcPr>
            <w:tcW w:w="832" w:type="pct"/>
            <w:tcBorders>
              <w:top w:val="nil"/>
              <w:bottom w:val="single" w:sz="4" w:space="0" w:color="auto"/>
            </w:tcBorders>
          </w:tcPr>
          <w:p w14:paraId="18A404CF" w14:textId="77777777" w:rsidR="00C411DB" w:rsidRPr="00AD7F85" w:rsidRDefault="00C411DB" w:rsidP="007A591A">
            <w:pPr>
              <w:pStyle w:val="In-tableHeading"/>
              <w:rPr>
                <w:lang w:val="en-AU"/>
              </w:rPr>
            </w:pPr>
          </w:p>
        </w:tc>
        <w:tc>
          <w:tcPr>
            <w:tcW w:w="832" w:type="pct"/>
            <w:tcBorders>
              <w:top w:val="nil"/>
              <w:bottom w:val="single" w:sz="4" w:space="0" w:color="auto"/>
            </w:tcBorders>
          </w:tcPr>
          <w:p w14:paraId="67593A50" w14:textId="77777777" w:rsidR="00C411DB" w:rsidRPr="00AD7F85" w:rsidRDefault="00C411DB" w:rsidP="007A591A">
            <w:pPr>
              <w:pStyle w:val="In-tableHeading"/>
              <w:rPr>
                <w:lang w:val="en-AU"/>
              </w:rPr>
            </w:pPr>
          </w:p>
        </w:tc>
        <w:tc>
          <w:tcPr>
            <w:tcW w:w="830" w:type="pct"/>
            <w:tcBorders>
              <w:top w:val="nil"/>
              <w:bottom w:val="single" w:sz="4" w:space="0" w:color="auto"/>
            </w:tcBorders>
            <w:vAlign w:val="center"/>
          </w:tcPr>
          <w:p w14:paraId="651EF9FC" w14:textId="3F435880" w:rsidR="00C411DB" w:rsidRPr="00F27FE5" w:rsidRDefault="00616709" w:rsidP="007A591A">
            <w:pPr>
              <w:pStyle w:val="In-tableHeading"/>
              <w:jc w:val="center"/>
              <w:rPr>
                <w:vertAlign w:val="superscript"/>
                <w:lang w:val="en-AU"/>
              </w:rPr>
            </w:pPr>
            <w:r>
              <w:rPr>
                <w:lang w:val="en-AU"/>
              </w:rPr>
              <w:t>$</w:t>
            </w:r>
            <w:r w:rsidR="00C10EC6" w:rsidRPr="00C10EC6">
              <w:rPr>
                <w:sz w:val="2"/>
                <w:highlight w:val="black"/>
                <w:lang w:val="en-AU"/>
              </w:rPr>
              <w:t>redacted content</w:t>
            </w:r>
            <w:r w:rsidR="00B84930">
              <w:rPr>
                <w:vertAlign w:val="superscript"/>
                <w:lang w:val="en-AU"/>
              </w:rPr>
              <w:t>1</w:t>
            </w:r>
          </w:p>
        </w:tc>
      </w:tr>
      <w:tr w:rsidR="00274839" w:rsidRPr="00AD7F85" w14:paraId="11590807" w14:textId="77777777" w:rsidTr="004660E6">
        <w:tc>
          <w:tcPr>
            <w:tcW w:w="5000" w:type="pct"/>
            <w:gridSpan w:val="4"/>
            <w:tcBorders>
              <w:bottom w:val="single" w:sz="4" w:space="0" w:color="auto"/>
            </w:tcBorders>
            <w:shd w:val="clear" w:color="auto" w:fill="DBE5F1" w:themeFill="accent1" w:themeFillTint="33"/>
            <w:vAlign w:val="center"/>
          </w:tcPr>
          <w:p w14:paraId="560B7A20" w14:textId="046AC45D" w:rsidR="00274839" w:rsidRDefault="00274839" w:rsidP="007A591A">
            <w:pPr>
              <w:pStyle w:val="In-tableHeading"/>
              <w:rPr>
                <w:lang w:val="en-AU"/>
              </w:rPr>
            </w:pPr>
            <w:r>
              <w:rPr>
                <w:lang w:val="en-AU"/>
              </w:rPr>
              <w:t>November 2025 economic model</w:t>
            </w:r>
          </w:p>
        </w:tc>
      </w:tr>
      <w:tr w:rsidR="00F23E55" w:rsidRPr="00AD7F85" w14:paraId="0DD6E4C0" w14:textId="77777777" w:rsidTr="004660E6">
        <w:tc>
          <w:tcPr>
            <w:tcW w:w="2506" w:type="pct"/>
            <w:tcBorders>
              <w:top w:val="nil"/>
              <w:bottom w:val="nil"/>
            </w:tcBorders>
            <w:shd w:val="clear" w:color="auto" w:fill="DBE5F1" w:themeFill="accent1" w:themeFillTint="33"/>
            <w:vAlign w:val="center"/>
          </w:tcPr>
          <w:p w14:paraId="60789E3F" w14:textId="77777777" w:rsidR="00F23E55" w:rsidRPr="00AD7F85" w:rsidRDefault="00F23E55" w:rsidP="007A591A">
            <w:pPr>
              <w:pStyle w:val="TableText"/>
            </w:pPr>
            <w:r w:rsidRPr="00AD7F85">
              <w:t>Costs</w:t>
            </w:r>
          </w:p>
        </w:tc>
        <w:tc>
          <w:tcPr>
            <w:tcW w:w="832" w:type="pct"/>
            <w:tcBorders>
              <w:top w:val="nil"/>
              <w:bottom w:val="nil"/>
            </w:tcBorders>
            <w:shd w:val="clear" w:color="auto" w:fill="DBE5F1" w:themeFill="accent1" w:themeFillTint="33"/>
            <w:vAlign w:val="center"/>
          </w:tcPr>
          <w:p w14:paraId="0E5BD046" w14:textId="42859E1F" w:rsidR="00F23E55" w:rsidRPr="00AD7F85" w:rsidRDefault="00F23E55" w:rsidP="007A591A">
            <w:pPr>
              <w:pStyle w:val="TableText"/>
              <w:jc w:val="center"/>
            </w:pPr>
            <w:r w:rsidRPr="00AD7F85">
              <w:t>$</w:t>
            </w:r>
            <w:r w:rsidR="00C10EC6" w:rsidRPr="00C10EC6">
              <w:rPr>
                <w:sz w:val="2"/>
                <w:highlight w:val="black"/>
              </w:rPr>
              <w:t>redacted content</w:t>
            </w:r>
          </w:p>
        </w:tc>
        <w:tc>
          <w:tcPr>
            <w:tcW w:w="832" w:type="pct"/>
            <w:tcBorders>
              <w:top w:val="nil"/>
              <w:bottom w:val="nil"/>
            </w:tcBorders>
            <w:shd w:val="clear" w:color="auto" w:fill="DBE5F1" w:themeFill="accent1" w:themeFillTint="33"/>
            <w:vAlign w:val="center"/>
          </w:tcPr>
          <w:p w14:paraId="7351CACB" w14:textId="77777777" w:rsidR="00F23E55" w:rsidRPr="00AD7F85" w:rsidRDefault="00F23E55" w:rsidP="007A591A">
            <w:pPr>
              <w:pStyle w:val="TableText"/>
              <w:jc w:val="center"/>
            </w:pPr>
            <w:r w:rsidRPr="00AD7F85">
              <w:t>$33,901</w:t>
            </w:r>
          </w:p>
        </w:tc>
        <w:tc>
          <w:tcPr>
            <w:tcW w:w="830" w:type="pct"/>
            <w:tcBorders>
              <w:top w:val="nil"/>
              <w:bottom w:val="nil"/>
            </w:tcBorders>
            <w:shd w:val="clear" w:color="auto" w:fill="DBE5F1" w:themeFill="accent1" w:themeFillTint="33"/>
            <w:vAlign w:val="center"/>
          </w:tcPr>
          <w:p w14:paraId="23DDC4E2" w14:textId="4DDA50D7" w:rsidR="00F23E55" w:rsidRPr="00AD7F85" w:rsidRDefault="00F23E55" w:rsidP="007A591A">
            <w:pPr>
              <w:pStyle w:val="TableText"/>
              <w:jc w:val="center"/>
            </w:pPr>
            <w:r w:rsidRPr="00AD7F85">
              <w:t>$</w:t>
            </w:r>
            <w:r w:rsidR="00C10EC6" w:rsidRPr="00C10EC6">
              <w:rPr>
                <w:sz w:val="2"/>
                <w:highlight w:val="black"/>
              </w:rPr>
              <w:t>redacted content</w:t>
            </w:r>
          </w:p>
        </w:tc>
      </w:tr>
      <w:tr w:rsidR="00F23E55" w:rsidRPr="00AD7F85" w14:paraId="47247209" w14:textId="77777777" w:rsidTr="004660E6">
        <w:tc>
          <w:tcPr>
            <w:tcW w:w="2506" w:type="pct"/>
            <w:tcBorders>
              <w:top w:val="nil"/>
              <w:bottom w:val="nil"/>
            </w:tcBorders>
            <w:shd w:val="clear" w:color="auto" w:fill="DBE5F1" w:themeFill="accent1" w:themeFillTint="33"/>
            <w:vAlign w:val="center"/>
          </w:tcPr>
          <w:p w14:paraId="1DF0D41B" w14:textId="77777777" w:rsidR="00F23E55" w:rsidRPr="00AD7F85" w:rsidRDefault="00F23E55" w:rsidP="007A591A">
            <w:pPr>
              <w:pStyle w:val="TableText"/>
            </w:pPr>
            <w:r w:rsidRPr="00AD7F85">
              <w:t>QALYs</w:t>
            </w:r>
          </w:p>
        </w:tc>
        <w:tc>
          <w:tcPr>
            <w:tcW w:w="832" w:type="pct"/>
            <w:tcBorders>
              <w:top w:val="nil"/>
              <w:bottom w:val="nil"/>
            </w:tcBorders>
            <w:shd w:val="clear" w:color="auto" w:fill="DBE5F1" w:themeFill="accent1" w:themeFillTint="33"/>
            <w:vAlign w:val="center"/>
          </w:tcPr>
          <w:p w14:paraId="3B05CE60" w14:textId="77777777" w:rsidR="00F23E55" w:rsidRPr="00AD7F85" w:rsidRDefault="00F23E55" w:rsidP="007A591A">
            <w:pPr>
              <w:pStyle w:val="TableText"/>
              <w:jc w:val="center"/>
            </w:pPr>
            <w:r w:rsidRPr="00AD7F85">
              <w:t>1.39</w:t>
            </w:r>
          </w:p>
        </w:tc>
        <w:tc>
          <w:tcPr>
            <w:tcW w:w="832" w:type="pct"/>
            <w:tcBorders>
              <w:top w:val="nil"/>
              <w:bottom w:val="nil"/>
            </w:tcBorders>
            <w:shd w:val="clear" w:color="auto" w:fill="DBE5F1" w:themeFill="accent1" w:themeFillTint="33"/>
            <w:vAlign w:val="center"/>
          </w:tcPr>
          <w:p w14:paraId="68CB060D" w14:textId="77777777" w:rsidR="00F23E55" w:rsidRPr="00AD7F85" w:rsidRDefault="00F23E55" w:rsidP="007A591A">
            <w:pPr>
              <w:pStyle w:val="TableText"/>
              <w:jc w:val="center"/>
            </w:pPr>
            <w:r w:rsidRPr="00AD7F85">
              <w:t>0.69</w:t>
            </w:r>
          </w:p>
        </w:tc>
        <w:tc>
          <w:tcPr>
            <w:tcW w:w="830" w:type="pct"/>
            <w:tcBorders>
              <w:top w:val="nil"/>
              <w:bottom w:val="nil"/>
            </w:tcBorders>
            <w:shd w:val="clear" w:color="auto" w:fill="DBE5F1" w:themeFill="accent1" w:themeFillTint="33"/>
            <w:vAlign w:val="center"/>
          </w:tcPr>
          <w:p w14:paraId="4FB3FE02" w14:textId="77777777" w:rsidR="00F23E55" w:rsidRPr="00AD7F85" w:rsidRDefault="00F23E55" w:rsidP="007A591A">
            <w:pPr>
              <w:pStyle w:val="TableText"/>
              <w:jc w:val="center"/>
            </w:pPr>
            <w:r w:rsidRPr="00AD7F85">
              <w:t>0.70</w:t>
            </w:r>
          </w:p>
        </w:tc>
      </w:tr>
      <w:tr w:rsidR="00F23E55" w:rsidRPr="00AD7F85" w14:paraId="685DD6C1" w14:textId="77777777" w:rsidTr="004660E6">
        <w:tc>
          <w:tcPr>
            <w:tcW w:w="2506" w:type="pct"/>
            <w:tcBorders>
              <w:top w:val="nil"/>
              <w:bottom w:val="single" w:sz="4" w:space="0" w:color="auto"/>
            </w:tcBorders>
            <w:shd w:val="clear" w:color="auto" w:fill="DBE5F1" w:themeFill="accent1" w:themeFillTint="33"/>
            <w:vAlign w:val="center"/>
          </w:tcPr>
          <w:p w14:paraId="42D73DAE" w14:textId="77777777" w:rsidR="00F23E55" w:rsidRPr="00AD7F85" w:rsidRDefault="00F23E55" w:rsidP="007A591A">
            <w:pPr>
              <w:pStyle w:val="TableText"/>
              <w:rPr>
                <w:b/>
              </w:rPr>
            </w:pPr>
            <w:r w:rsidRPr="00AD7F85">
              <w:rPr>
                <w:b/>
              </w:rPr>
              <w:t>Incremental cost/extra QALY gained</w:t>
            </w:r>
          </w:p>
        </w:tc>
        <w:tc>
          <w:tcPr>
            <w:tcW w:w="832" w:type="pct"/>
            <w:tcBorders>
              <w:top w:val="nil"/>
              <w:bottom w:val="single" w:sz="4" w:space="0" w:color="auto"/>
            </w:tcBorders>
            <w:shd w:val="clear" w:color="auto" w:fill="DBE5F1" w:themeFill="accent1" w:themeFillTint="33"/>
            <w:vAlign w:val="center"/>
          </w:tcPr>
          <w:p w14:paraId="566623B0" w14:textId="77777777" w:rsidR="00F23E55" w:rsidRPr="00AD7F85" w:rsidRDefault="00F23E55" w:rsidP="007A591A">
            <w:pPr>
              <w:pStyle w:val="TableText"/>
              <w:jc w:val="center"/>
              <w:rPr>
                <w:b/>
              </w:rPr>
            </w:pPr>
          </w:p>
        </w:tc>
        <w:tc>
          <w:tcPr>
            <w:tcW w:w="832" w:type="pct"/>
            <w:tcBorders>
              <w:top w:val="nil"/>
              <w:bottom w:val="single" w:sz="4" w:space="0" w:color="auto"/>
            </w:tcBorders>
            <w:shd w:val="clear" w:color="auto" w:fill="DBE5F1" w:themeFill="accent1" w:themeFillTint="33"/>
            <w:vAlign w:val="center"/>
          </w:tcPr>
          <w:p w14:paraId="2773EADC" w14:textId="77777777" w:rsidR="00F23E55" w:rsidRPr="00AD7F85" w:rsidRDefault="00F23E55" w:rsidP="007A591A">
            <w:pPr>
              <w:pStyle w:val="TableText"/>
              <w:jc w:val="center"/>
              <w:rPr>
                <w:b/>
              </w:rPr>
            </w:pPr>
          </w:p>
        </w:tc>
        <w:tc>
          <w:tcPr>
            <w:tcW w:w="830" w:type="pct"/>
            <w:tcBorders>
              <w:top w:val="nil"/>
              <w:bottom w:val="single" w:sz="4" w:space="0" w:color="auto"/>
            </w:tcBorders>
            <w:shd w:val="clear" w:color="auto" w:fill="DBE5F1" w:themeFill="accent1" w:themeFillTint="33"/>
            <w:vAlign w:val="center"/>
          </w:tcPr>
          <w:p w14:paraId="2505BE2F" w14:textId="268F699C" w:rsidR="00F23E55" w:rsidRPr="00F27FE5" w:rsidRDefault="00F23E55" w:rsidP="007A591A">
            <w:pPr>
              <w:pStyle w:val="TableText"/>
              <w:jc w:val="center"/>
              <w:rPr>
                <w:b/>
                <w:vertAlign w:val="superscript"/>
              </w:rPr>
            </w:pPr>
            <w:r w:rsidRPr="00AD7F85">
              <w:rPr>
                <w:b/>
                <w:bCs w:val="0"/>
              </w:rPr>
              <w:t>$</w:t>
            </w:r>
            <w:r w:rsidR="00C10EC6" w:rsidRPr="00C10EC6">
              <w:rPr>
                <w:b/>
                <w:bCs w:val="0"/>
                <w:sz w:val="2"/>
                <w:highlight w:val="black"/>
              </w:rPr>
              <w:t>redacted content</w:t>
            </w:r>
            <w:r w:rsidR="00DD31DA">
              <w:rPr>
                <w:b/>
                <w:bCs w:val="0"/>
                <w:vertAlign w:val="superscript"/>
              </w:rPr>
              <w:t>2</w:t>
            </w:r>
          </w:p>
        </w:tc>
      </w:tr>
    </w:tbl>
    <w:p w14:paraId="7304A777" w14:textId="4B783B51" w:rsidR="00F23E55" w:rsidRPr="004A15BA" w:rsidRDefault="00F23E55" w:rsidP="007A591A">
      <w:pPr>
        <w:pStyle w:val="TableFigureFooter"/>
        <w:rPr>
          <w:rStyle w:val="CommentReference"/>
          <w:rFonts w:eastAsiaTheme="majorEastAsia"/>
          <w:b/>
          <w:sz w:val="18"/>
          <w:szCs w:val="18"/>
        </w:rPr>
      </w:pPr>
      <w:r w:rsidRPr="00927D6A">
        <w:rPr>
          <w:rStyle w:val="CommentReference"/>
          <w:rFonts w:eastAsiaTheme="majorEastAsia"/>
          <w:sz w:val="18"/>
          <w:szCs w:val="18"/>
        </w:rPr>
        <w:t>Source: Table</w:t>
      </w:r>
      <w:r w:rsidR="00323E03">
        <w:rPr>
          <w:rStyle w:val="CommentReference"/>
          <w:rFonts w:eastAsiaTheme="majorEastAsia"/>
          <w:sz w:val="18"/>
          <w:szCs w:val="18"/>
        </w:rPr>
        <w:t xml:space="preserve"> 10, p34 of the November 2025 minutes and Table </w:t>
      </w:r>
      <w:r w:rsidR="00977025">
        <w:rPr>
          <w:rStyle w:val="CommentReference"/>
          <w:rFonts w:eastAsiaTheme="majorEastAsia"/>
          <w:sz w:val="18"/>
          <w:szCs w:val="18"/>
        </w:rPr>
        <w:t>3.12, p 57 of the March 2026 early re</w:t>
      </w:r>
      <w:r w:rsidR="007A591A">
        <w:rPr>
          <w:rStyle w:val="CommentReference"/>
          <w:rFonts w:eastAsiaTheme="majorEastAsia"/>
          <w:sz w:val="18"/>
          <w:szCs w:val="18"/>
        </w:rPr>
        <w:noBreakHyphen/>
      </w:r>
      <w:r w:rsidR="00977025">
        <w:rPr>
          <w:rStyle w:val="CommentReference"/>
          <w:rFonts w:eastAsiaTheme="majorEastAsia"/>
          <w:sz w:val="18"/>
          <w:szCs w:val="18"/>
        </w:rPr>
        <w:t>entry resubmission</w:t>
      </w:r>
    </w:p>
    <w:p w14:paraId="7070425A" w14:textId="77777777" w:rsidR="00B42844" w:rsidRDefault="00F23E55" w:rsidP="00B42844">
      <w:pPr>
        <w:pStyle w:val="TableFigureFooter"/>
        <w:rPr>
          <w:rFonts w:cstheme="minorHAnsi"/>
          <w:bCs/>
          <w:i/>
          <w:iCs/>
          <w:szCs w:val="18"/>
        </w:rPr>
      </w:pPr>
      <w:r>
        <w:rPr>
          <w:rStyle w:val="CommentReference"/>
          <w:rFonts w:eastAsiaTheme="majorEastAsia"/>
          <w:sz w:val="18"/>
          <w:szCs w:val="18"/>
        </w:rPr>
        <w:t>BSC</w:t>
      </w:r>
      <w:r w:rsidR="00977025">
        <w:rPr>
          <w:rStyle w:val="CommentReference"/>
          <w:rFonts w:eastAsiaTheme="majorEastAsia"/>
          <w:sz w:val="18"/>
          <w:szCs w:val="18"/>
        </w:rPr>
        <w:t xml:space="preserve"> </w:t>
      </w:r>
      <w:r>
        <w:rPr>
          <w:rStyle w:val="CommentReference"/>
          <w:rFonts w:eastAsiaTheme="majorEastAsia"/>
          <w:sz w:val="18"/>
          <w:szCs w:val="18"/>
        </w:rPr>
        <w:t>=</w:t>
      </w:r>
      <w:r w:rsidR="00977025">
        <w:rPr>
          <w:rStyle w:val="CommentReference"/>
          <w:rFonts w:eastAsiaTheme="majorEastAsia"/>
          <w:sz w:val="18"/>
          <w:szCs w:val="18"/>
        </w:rPr>
        <w:t xml:space="preserve"> </w:t>
      </w:r>
      <w:r>
        <w:rPr>
          <w:rStyle w:val="CommentReference"/>
          <w:rFonts w:eastAsiaTheme="majorEastAsia"/>
          <w:sz w:val="18"/>
          <w:szCs w:val="18"/>
        </w:rPr>
        <w:t>best supportive care</w:t>
      </w:r>
      <w:r w:rsidR="00977025">
        <w:rPr>
          <w:rStyle w:val="CommentReference"/>
          <w:rFonts w:eastAsiaTheme="majorEastAsia"/>
          <w:sz w:val="18"/>
          <w:szCs w:val="18"/>
        </w:rPr>
        <w:t>;</w:t>
      </w:r>
      <w:r>
        <w:rPr>
          <w:rStyle w:val="CommentReference"/>
          <w:rFonts w:eastAsiaTheme="majorEastAsia"/>
          <w:sz w:val="18"/>
          <w:szCs w:val="18"/>
        </w:rPr>
        <w:t xml:space="preserve"> </w:t>
      </w:r>
      <w:r w:rsidRPr="00927D6A">
        <w:rPr>
          <w:rStyle w:val="CommentReference"/>
          <w:rFonts w:eastAsiaTheme="majorEastAsia"/>
          <w:sz w:val="18"/>
          <w:szCs w:val="18"/>
        </w:rPr>
        <w:t>QALY</w:t>
      </w:r>
      <w:r w:rsidR="00977025">
        <w:rPr>
          <w:rStyle w:val="CommentReference"/>
          <w:rFonts w:eastAsiaTheme="majorEastAsia"/>
          <w:sz w:val="18"/>
          <w:szCs w:val="18"/>
        </w:rPr>
        <w:t xml:space="preserve"> </w:t>
      </w:r>
      <w:r w:rsidRPr="00927D6A">
        <w:rPr>
          <w:rStyle w:val="CommentReference"/>
          <w:rFonts w:eastAsiaTheme="majorEastAsia"/>
          <w:sz w:val="18"/>
          <w:szCs w:val="18"/>
        </w:rPr>
        <w:t>= quality adjusted life year</w:t>
      </w:r>
    </w:p>
    <w:p w14:paraId="021A0FDD" w14:textId="16E5295B" w:rsidR="00B42844" w:rsidRPr="00B42844" w:rsidRDefault="00B42844" w:rsidP="00B42844">
      <w:pPr>
        <w:pStyle w:val="TableFigureFooter"/>
        <w:rPr>
          <w:rFonts w:eastAsiaTheme="majorEastAsia"/>
          <w:bCs/>
          <w:i/>
          <w:iCs/>
          <w:szCs w:val="18"/>
        </w:rPr>
      </w:pPr>
      <w:r w:rsidRPr="00B42844">
        <w:rPr>
          <w:rFonts w:eastAsiaTheme="majorEastAsia"/>
          <w:bCs/>
          <w:i/>
          <w:iCs/>
          <w:szCs w:val="18"/>
        </w:rPr>
        <w:t xml:space="preserve">The redacted values correspond to the following ranges: </w:t>
      </w:r>
    </w:p>
    <w:p w14:paraId="3CDF4D27" w14:textId="43B1018E" w:rsidR="00B42844" w:rsidRPr="00B84930" w:rsidRDefault="00B42844" w:rsidP="00B42844">
      <w:pPr>
        <w:pStyle w:val="TableFigureFooter"/>
        <w:rPr>
          <w:rFonts w:eastAsiaTheme="majorEastAsia"/>
          <w:bCs/>
          <w:i/>
          <w:szCs w:val="18"/>
        </w:rPr>
      </w:pPr>
      <w:r w:rsidRPr="00B42844">
        <w:rPr>
          <w:rFonts w:eastAsiaTheme="majorEastAsia"/>
          <w:i/>
          <w:szCs w:val="18"/>
          <w:vertAlign w:val="superscript"/>
        </w:rPr>
        <w:t>1</w:t>
      </w:r>
      <w:r w:rsidRPr="00B42844">
        <w:rPr>
          <w:rFonts w:eastAsiaTheme="majorEastAsia"/>
          <w:i/>
          <w:szCs w:val="18"/>
        </w:rPr>
        <w:t xml:space="preserve"> </w:t>
      </w:r>
      <w:r w:rsidR="00B84930" w:rsidRPr="00B84930">
        <w:rPr>
          <w:rFonts w:eastAsiaTheme="majorEastAsia"/>
          <w:bCs/>
          <w:i/>
          <w:szCs w:val="18"/>
        </w:rPr>
        <w:t>$755,000 to &lt; $855,000</w:t>
      </w:r>
    </w:p>
    <w:p w14:paraId="20C71ED2" w14:textId="77777777" w:rsidR="00DD31DA" w:rsidRPr="00DD31DA" w:rsidRDefault="00B42844" w:rsidP="00DD31DA">
      <w:pPr>
        <w:pStyle w:val="TableFigureFooter"/>
        <w:rPr>
          <w:rFonts w:eastAsiaTheme="majorEastAsia"/>
          <w:bCs/>
          <w:i/>
          <w:szCs w:val="18"/>
        </w:rPr>
      </w:pPr>
      <w:r w:rsidRPr="00B42844">
        <w:rPr>
          <w:rFonts w:eastAsiaTheme="majorEastAsia"/>
          <w:i/>
          <w:szCs w:val="18"/>
          <w:vertAlign w:val="superscript"/>
        </w:rPr>
        <w:t>2</w:t>
      </w:r>
      <w:r w:rsidRPr="00B42844">
        <w:rPr>
          <w:rFonts w:eastAsiaTheme="majorEastAsia"/>
          <w:i/>
          <w:szCs w:val="18"/>
        </w:rPr>
        <w:t xml:space="preserve"> </w:t>
      </w:r>
      <w:r w:rsidR="00DD31DA" w:rsidRPr="00DD31DA">
        <w:rPr>
          <w:rFonts w:eastAsiaTheme="majorEastAsia"/>
          <w:bCs/>
          <w:i/>
          <w:szCs w:val="18"/>
        </w:rPr>
        <w:t>$955,000 to &lt; $1,055,000</w:t>
      </w:r>
    </w:p>
    <w:p w14:paraId="5D9FB007" w14:textId="11F614D7" w:rsidR="00B42844" w:rsidRPr="00B42844" w:rsidRDefault="00B42844" w:rsidP="00B42844">
      <w:pPr>
        <w:pStyle w:val="TableFigureFooter"/>
        <w:rPr>
          <w:rFonts w:eastAsiaTheme="majorEastAsia"/>
          <w:i/>
          <w:szCs w:val="18"/>
        </w:rPr>
      </w:pPr>
    </w:p>
    <w:p w14:paraId="14997C04" w14:textId="5230EBBC" w:rsidR="00F23E55" w:rsidRPr="00927D6A" w:rsidRDefault="00F23E55" w:rsidP="007A591A">
      <w:pPr>
        <w:pStyle w:val="TableFigureFooter"/>
        <w:rPr>
          <w:rStyle w:val="CommentReference"/>
          <w:rFonts w:eastAsiaTheme="majorEastAsia"/>
          <w:b/>
          <w:sz w:val="18"/>
          <w:szCs w:val="18"/>
        </w:rPr>
      </w:pPr>
    </w:p>
    <w:p w14:paraId="1DAE3E42" w14:textId="4AFB6A89" w:rsidR="0054290D" w:rsidRDefault="0054290D" w:rsidP="007A591A">
      <w:pPr>
        <w:pStyle w:val="4-SubsectionHeading"/>
        <w:keepNext/>
        <w:keepLines/>
      </w:pPr>
      <w:bookmarkStart w:id="27" w:name="_Toc208993660"/>
      <w:r>
        <w:lastRenderedPageBreak/>
        <w:t xml:space="preserve">Tofersen </w:t>
      </w:r>
      <w:r w:rsidRPr="0098262F">
        <w:t>cost/patient/</w:t>
      </w:r>
      <w:bookmarkEnd w:id="27"/>
      <w:r w:rsidR="0010417A">
        <w:t>year</w:t>
      </w:r>
    </w:p>
    <w:p w14:paraId="40973342" w14:textId="5EE00B5C" w:rsidR="0054290D" w:rsidRPr="00A87567" w:rsidRDefault="00A87567" w:rsidP="007A591A">
      <w:pPr>
        <w:pStyle w:val="Caption"/>
        <w:rPr>
          <w:rStyle w:val="TableFigureHeadingChar"/>
          <w:b/>
          <w:bCs/>
        </w:rPr>
      </w:pPr>
      <w:bookmarkStart w:id="28" w:name="_Ref104805102"/>
      <w:r>
        <w:t xml:space="preserve">Table </w:t>
      </w:r>
      <w:fldSimple w:instr=" SEQ Table \* ARABIC ">
        <w:r w:rsidR="002E1A60">
          <w:rPr>
            <w:noProof/>
          </w:rPr>
          <w:t>7</w:t>
        </w:r>
      </w:fldSimple>
      <w:r>
        <w:t xml:space="preserve">: </w:t>
      </w:r>
      <w:bookmarkEnd w:id="28"/>
      <w:r>
        <w:rPr>
          <w:rStyle w:val="TableFigureHeadingChar"/>
          <w:b/>
          <w:bCs/>
        </w:rPr>
        <w:t>Cost of tofersen per patient per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Cost of tofersen per patient per year"/>
      </w:tblPr>
      <w:tblGrid>
        <w:gridCol w:w="2972"/>
        <w:gridCol w:w="2836"/>
        <w:gridCol w:w="3208"/>
      </w:tblGrid>
      <w:tr w:rsidR="009039FC" w:rsidRPr="0054290D" w14:paraId="67F9772B" w14:textId="77777777" w:rsidTr="005F11F1">
        <w:trPr>
          <w:cantSplit/>
          <w:tblHeader/>
          <w:jc w:val="center"/>
        </w:trPr>
        <w:tc>
          <w:tcPr>
            <w:tcW w:w="1648" w:type="pct"/>
            <w:vAlign w:val="center"/>
          </w:tcPr>
          <w:p w14:paraId="0396372F" w14:textId="77777777" w:rsidR="009039FC" w:rsidRPr="005C3E29" w:rsidRDefault="009039FC" w:rsidP="007A591A">
            <w:pPr>
              <w:pStyle w:val="In-tableHeading"/>
              <w:jc w:val="center"/>
              <w:rPr>
                <w:lang w:val="en-AU"/>
              </w:rPr>
            </w:pPr>
          </w:p>
        </w:tc>
        <w:tc>
          <w:tcPr>
            <w:tcW w:w="1573" w:type="pct"/>
            <w:vAlign w:val="center"/>
          </w:tcPr>
          <w:p w14:paraId="1E7E99E0" w14:textId="3559132B" w:rsidR="009039FC" w:rsidRPr="005C3E29" w:rsidRDefault="00357317" w:rsidP="007A591A">
            <w:pPr>
              <w:pStyle w:val="In-tableHeading"/>
              <w:jc w:val="center"/>
              <w:rPr>
                <w:lang w:val="en-AU"/>
              </w:rPr>
            </w:pPr>
            <w:r>
              <w:rPr>
                <w:lang w:val="en-AU"/>
              </w:rPr>
              <w:t>Economic m</w:t>
            </w:r>
            <w:r w:rsidR="009039FC" w:rsidRPr="005C3E29">
              <w:rPr>
                <w:lang w:val="en-AU"/>
              </w:rPr>
              <w:t>odel</w:t>
            </w:r>
            <w:r w:rsidR="00BA0C6F">
              <w:rPr>
                <w:vertAlign w:val="superscript"/>
              </w:rPr>
              <w:t xml:space="preserve"> a</w:t>
            </w:r>
          </w:p>
        </w:tc>
        <w:tc>
          <w:tcPr>
            <w:tcW w:w="1779" w:type="pct"/>
            <w:vAlign w:val="center"/>
          </w:tcPr>
          <w:p w14:paraId="79E1D6C7" w14:textId="77777777" w:rsidR="009039FC" w:rsidRPr="005C3E29" w:rsidRDefault="009039FC" w:rsidP="007A591A">
            <w:pPr>
              <w:pStyle w:val="In-tableHeading"/>
              <w:jc w:val="center"/>
              <w:rPr>
                <w:lang w:val="en-AU"/>
              </w:rPr>
            </w:pPr>
            <w:r w:rsidRPr="005C3E29">
              <w:rPr>
                <w:lang w:val="en-AU"/>
              </w:rPr>
              <w:t>Financial estimates</w:t>
            </w:r>
          </w:p>
        </w:tc>
      </w:tr>
      <w:tr w:rsidR="009039FC" w:rsidRPr="0054290D" w14:paraId="065F2ECA" w14:textId="77777777" w:rsidTr="005F11F1">
        <w:trPr>
          <w:cantSplit/>
          <w:jc w:val="center"/>
        </w:trPr>
        <w:tc>
          <w:tcPr>
            <w:tcW w:w="1648" w:type="pct"/>
            <w:vAlign w:val="center"/>
          </w:tcPr>
          <w:p w14:paraId="259AA317" w14:textId="07F6DA00" w:rsidR="009039FC" w:rsidRPr="005C3E29" w:rsidRDefault="009039FC" w:rsidP="007A591A">
            <w:pPr>
              <w:pStyle w:val="TableText"/>
            </w:pPr>
            <w:r w:rsidRPr="005C3E29">
              <w:t>Number of administrations – Year 1</w:t>
            </w:r>
            <w:r w:rsidR="00BC2CDE" w:rsidRPr="00DE2B3A">
              <w:rPr>
                <w:vertAlign w:val="superscript"/>
              </w:rPr>
              <w:t>b</w:t>
            </w:r>
          </w:p>
        </w:tc>
        <w:tc>
          <w:tcPr>
            <w:tcW w:w="1573" w:type="pct"/>
            <w:vAlign w:val="center"/>
          </w:tcPr>
          <w:p w14:paraId="2A137128" w14:textId="77777777" w:rsidR="009039FC" w:rsidRDefault="009039FC" w:rsidP="007A591A">
            <w:pPr>
              <w:pStyle w:val="TableText"/>
              <w:jc w:val="center"/>
              <w:rPr>
                <w:bCs w:val="0"/>
              </w:rPr>
            </w:pPr>
            <w:r w:rsidRPr="005C3E29">
              <w:rPr>
                <w:bCs w:val="0"/>
              </w:rPr>
              <w:t>Initiation phase: 6.57</w:t>
            </w:r>
            <w:r w:rsidRPr="005C3E29">
              <w:rPr>
                <w:bCs w:val="0"/>
              </w:rPr>
              <w:br/>
              <w:t>First continuation phase: 6.61</w:t>
            </w:r>
          </w:p>
          <w:p w14:paraId="49E4E689" w14:textId="69B86007" w:rsidR="000A53BB" w:rsidRPr="005C3E29" w:rsidRDefault="000A53BB" w:rsidP="007A591A">
            <w:pPr>
              <w:pStyle w:val="TableText"/>
              <w:jc w:val="center"/>
              <w:rPr>
                <w:bCs w:val="0"/>
              </w:rPr>
            </w:pPr>
            <w:r>
              <w:rPr>
                <w:bCs w:val="0"/>
              </w:rPr>
              <w:t xml:space="preserve">Total: </w:t>
            </w:r>
            <w:r w:rsidR="005A5EC2">
              <w:rPr>
                <w:bCs w:val="0"/>
              </w:rPr>
              <w:t>13.18</w:t>
            </w:r>
          </w:p>
        </w:tc>
        <w:tc>
          <w:tcPr>
            <w:tcW w:w="1779" w:type="pct"/>
            <w:vAlign w:val="center"/>
          </w:tcPr>
          <w:p w14:paraId="0D6B7C38" w14:textId="7BC7D5AE" w:rsidR="009039FC" w:rsidRDefault="00B77239" w:rsidP="007A591A">
            <w:pPr>
              <w:pStyle w:val="TableText"/>
              <w:jc w:val="center"/>
              <w:rPr>
                <w:bCs w:val="0"/>
              </w:rPr>
            </w:pPr>
            <w:r>
              <w:rPr>
                <w:bCs w:val="0"/>
              </w:rPr>
              <w:t xml:space="preserve">Initiation phase: </w:t>
            </w:r>
            <w:r w:rsidR="002B204B">
              <w:rPr>
                <w:bCs w:val="0"/>
              </w:rPr>
              <w:t>7.5</w:t>
            </w:r>
            <w:r w:rsidR="00F83F4C">
              <w:rPr>
                <w:bCs w:val="0"/>
              </w:rPr>
              <w:t>0</w:t>
            </w:r>
          </w:p>
          <w:p w14:paraId="69FD8809" w14:textId="77777777" w:rsidR="00503D09" w:rsidRDefault="00503D09" w:rsidP="007A591A">
            <w:pPr>
              <w:pStyle w:val="TableText"/>
              <w:jc w:val="center"/>
              <w:rPr>
                <w:bCs w:val="0"/>
              </w:rPr>
            </w:pPr>
            <w:r>
              <w:rPr>
                <w:bCs w:val="0"/>
              </w:rPr>
              <w:t>First continuation: 6.57</w:t>
            </w:r>
          </w:p>
          <w:p w14:paraId="6D6CEA23" w14:textId="690557FC" w:rsidR="005A5EC2" w:rsidRPr="005C3E29" w:rsidRDefault="005A5EC2" w:rsidP="007A591A">
            <w:pPr>
              <w:pStyle w:val="TableText"/>
              <w:jc w:val="center"/>
              <w:rPr>
                <w:bCs w:val="0"/>
              </w:rPr>
            </w:pPr>
            <w:r>
              <w:rPr>
                <w:bCs w:val="0"/>
              </w:rPr>
              <w:t>Total: 14.07</w:t>
            </w:r>
          </w:p>
        </w:tc>
      </w:tr>
      <w:tr w:rsidR="009039FC" w:rsidRPr="0054290D" w14:paraId="17EA1A72" w14:textId="77777777" w:rsidTr="005F11F1">
        <w:trPr>
          <w:cantSplit/>
          <w:jc w:val="center"/>
        </w:trPr>
        <w:tc>
          <w:tcPr>
            <w:tcW w:w="1648" w:type="pct"/>
            <w:vAlign w:val="center"/>
          </w:tcPr>
          <w:p w14:paraId="0C92A86B" w14:textId="2415ECD2" w:rsidR="009039FC" w:rsidRPr="005C3E29" w:rsidRDefault="009039FC" w:rsidP="007A591A">
            <w:pPr>
              <w:pStyle w:val="TableText"/>
            </w:pPr>
            <w:r w:rsidRPr="005C3E29">
              <w:t>Cost per patient – Year 1</w:t>
            </w:r>
            <w:r w:rsidR="00BC2CDE" w:rsidRPr="00DE2B3A">
              <w:rPr>
                <w:vertAlign w:val="superscript"/>
              </w:rPr>
              <w:t>c</w:t>
            </w:r>
          </w:p>
        </w:tc>
        <w:tc>
          <w:tcPr>
            <w:tcW w:w="1573" w:type="pct"/>
            <w:vAlign w:val="center"/>
          </w:tcPr>
          <w:p w14:paraId="0BB62C32" w14:textId="50E5313C" w:rsidR="009039FC" w:rsidRPr="005C3E29" w:rsidRDefault="009039FC" w:rsidP="007A591A">
            <w:pPr>
              <w:pStyle w:val="TableText"/>
              <w:jc w:val="center"/>
            </w:pPr>
            <w:r w:rsidRPr="005C3E29">
              <w:t>Initiation phase: $</w:t>
            </w:r>
            <w:r w:rsidR="00C10EC6" w:rsidRPr="00C10EC6">
              <w:rPr>
                <w:sz w:val="2"/>
                <w:highlight w:val="black"/>
              </w:rPr>
              <w:t>redacted content</w:t>
            </w:r>
          </w:p>
          <w:p w14:paraId="36E45ACD" w14:textId="77F694B2" w:rsidR="009039FC" w:rsidRPr="005C3E29" w:rsidRDefault="009039FC" w:rsidP="007A591A">
            <w:pPr>
              <w:pStyle w:val="TableText"/>
              <w:jc w:val="center"/>
            </w:pPr>
            <w:r w:rsidRPr="005C3E29">
              <w:t>First continuation phase: $</w:t>
            </w:r>
            <w:r w:rsidR="00C10EC6" w:rsidRPr="00C10EC6">
              <w:rPr>
                <w:sz w:val="2"/>
                <w:highlight w:val="black"/>
              </w:rPr>
              <w:t>redacted content</w:t>
            </w:r>
          </w:p>
          <w:p w14:paraId="3694B103" w14:textId="01126806" w:rsidR="009039FC" w:rsidRPr="005C3E29" w:rsidRDefault="009039FC" w:rsidP="007A591A">
            <w:pPr>
              <w:pStyle w:val="TableText"/>
              <w:jc w:val="center"/>
            </w:pPr>
            <w:r w:rsidRPr="005C3E29">
              <w:t>Total: $</w:t>
            </w:r>
            <w:r w:rsidR="00C10EC6" w:rsidRPr="00C10EC6">
              <w:rPr>
                <w:sz w:val="2"/>
                <w:highlight w:val="black"/>
              </w:rPr>
              <w:t>redacted content</w:t>
            </w:r>
          </w:p>
        </w:tc>
        <w:tc>
          <w:tcPr>
            <w:tcW w:w="1779" w:type="pct"/>
            <w:vAlign w:val="center"/>
          </w:tcPr>
          <w:p w14:paraId="349C0889" w14:textId="7A9AD51B" w:rsidR="009039FC" w:rsidRDefault="00A51004" w:rsidP="007A591A">
            <w:pPr>
              <w:pStyle w:val="TableText"/>
              <w:jc w:val="center"/>
            </w:pPr>
            <w:r>
              <w:t xml:space="preserve">Initiation phase: </w:t>
            </w:r>
            <w:r w:rsidR="0030246A">
              <w:t>$</w:t>
            </w:r>
            <w:r w:rsidR="00C10EC6" w:rsidRPr="00C10EC6">
              <w:rPr>
                <w:sz w:val="2"/>
                <w:highlight w:val="black"/>
              </w:rPr>
              <w:t>redacted content</w:t>
            </w:r>
          </w:p>
          <w:p w14:paraId="656939C9" w14:textId="74BF2A82" w:rsidR="0030246A" w:rsidRDefault="0030246A" w:rsidP="007A591A">
            <w:pPr>
              <w:pStyle w:val="TableText"/>
              <w:jc w:val="center"/>
            </w:pPr>
            <w:r>
              <w:t xml:space="preserve">First continuation phase: </w:t>
            </w:r>
            <w:r w:rsidR="00AE5F43">
              <w:t>$</w:t>
            </w:r>
            <w:r w:rsidR="00C10EC6" w:rsidRPr="00C10EC6">
              <w:rPr>
                <w:sz w:val="2"/>
                <w:highlight w:val="black"/>
              </w:rPr>
              <w:t>redacted content</w:t>
            </w:r>
          </w:p>
          <w:p w14:paraId="0157948A" w14:textId="68886AAD" w:rsidR="00AE5F43" w:rsidRPr="005C3E29" w:rsidRDefault="00AE5F43" w:rsidP="007A591A">
            <w:pPr>
              <w:pStyle w:val="TableText"/>
              <w:jc w:val="center"/>
            </w:pPr>
            <w:r>
              <w:t>Total: $</w:t>
            </w:r>
            <w:r w:rsidR="00C10EC6" w:rsidRPr="00C10EC6">
              <w:rPr>
                <w:sz w:val="2"/>
                <w:highlight w:val="black"/>
              </w:rPr>
              <w:t>redacted content</w:t>
            </w:r>
          </w:p>
        </w:tc>
      </w:tr>
      <w:tr w:rsidR="009039FC" w:rsidRPr="0054290D" w14:paraId="3785EC6D" w14:textId="77777777" w:rsidTr="005F11F1">
        <w:trPr>
          <w:cantSplit/>
          <w:jc w:val="center"/>
        </w:trPr>
        <w:tc>
          <w:tcPr>
            <w:tcW w:w="1648" w:type="pct"/>
            <w:vAlign w:val="center"/>
          </w:tcPr>
          <w:p w14:paraId="0B05569E" w14:textId="782AFE51" w:rsidR="009039FC" w:rsidRPr="005C3E29" w:rsidRDefault="009039FC" w:rsidP="007A591A">
            <w:pPr>
              <w:pStyle w:val="TableText"/>
            </w:pPr>
            <w:r w:rsidRPr="005C3E29">
              <w:t>Number of administrations – Year 2+</w:t>
            </w:r>
          </w:p>
        </w:tc>
        <w:tc>
          <w:tcPr>
            <w:tcW w:w="1573" w:type="pct"/>
            <w:vAlign w:val="center"/>
          </w:tcPr>
          <w:p w14:paraId="21046596" w14:textId="51EDEFF0" w:rsidR="009039FC" w:rsidRPr="00B106FA" w:rsidRDefault="009039FC" w:rsidP="007A591A">
            <w:pPr>
              <w:pStyle w:val="TableText"/>
              <w:jc w:val="center"/>
            </w:pPr>
            <w:r w:rsidRPr="005C3E29">
              <w:t>Response phase: 6.12</w:t>
            </w:r>
            <w:r w:rsidR="00B106FA">
              <w:t xml:space="preserve"> x 2 = 12.24</w:t>
            </w:r>
          </w:p>
        </w:tc>
        <w:tc>
          <w:tcPr>
            <w:tcW w:w="1779" w:type="pct"/>
            <w:vAlign w:val="center"/>
          </w:tcPr>
          <w:p w14:paraId="40B9EB55" w14:textId="301A9FFB" w:rsidR="009039FC" w:rsidRPr="005C3E29" w:rsidRDefault="00503D09" w:rsidP="007A591A">
            <w:pPr>
              <w:pStyle w:val="TableText"/>
              <w:jc w:val="center"/>
            </w:pPr>
            <w:r>
              <w:t xml:space="preserve">Response phase: </w:t>
            </w:r>
            <w:r w:rsidR="001235DC">
              <w:t>6.12</w:t>
            </w:r>
            <w:r w:rsidR="00FD3206">
              <w:t xml:space="preserve"> </w:t>
            </w:r>
            <w:r w:rsidR="001235DC">
              <w:t>x 2 = 12.24</w:t>
            </w:r>
          </w:p>
        </w:tc>
      </w:tr>
      <w:tr w:rsidR="009039FC" w:rsidRPr="00FA7838" w14:paraId="4E5B27F3" w14:textId="77777777" w:rsidTr="005F11F1">
        <w:trPr>
          <w:cantSplit/>
          <w:jc w:val="center"/>
        </w:trPr>
        <w:tc>
          <w:tcPr>
            <w:tcW w:w="1648" w:type="pct"/>
            <w:vAlign w:val="center"/>
          </w:tcPr>
          <w:p w14:paraId="27CBF58E" w14:textId="246B54F3" w:rsidR="009039FC" w:rsidRPr="00FA7838" w:rsidRDefault="009039FC" w:rsidP="007A591A">
            <w:pPr>
              <w:pStyle w:val="TableText"/>
            </w:pPr>
            <w:r w:rsidRPr="00FA7838">
              <w:t>Cost per patient – Year 2+</w:t>
            </w:r>
            <w:r w:rsidR="00BC2CDE" w:rsidRPr="00FA7838">
              <w:rPr>
                <w:vertAlign w:val="superscript"/>
              </w:rPr>
              <w:t>c</w:t>
            </w:r>
          </w:p>
        </w:tc>
        <w:tc>
          <w:tcPr>
            <w:tcW w:w="1573" w:type="pct"/>
            <w:vAlign w:val="center"/>
          </w:tcPr>
          <w:p w14:paraId="2173EF0E" w14:textId="1CAA4F52" w:rsidR="009039FC" w:rsidRPr="00FA7838" w:rsidRDefault="009039FC" w:rsidP="007A591A">
            <w:pPr>
              <w:pStyle w:val="TableText"/>
              <w:jc w:val="center"/>
            </w:pPr>
            <w:r w:rsidRPr="00FA7838">
              <w:t>$</w:t>
            </w:r>
            <w:r w:rsidR="00C10EC6" w:rsidRPr="00C10EC6">
              <w:rPr>
                <w:sz w:val="2"/>
                <w:highlight w:val="black"/>
              </w:rPr>
              <w:t xml:space="preserve">redacted </w:t>
            </w:r>
            <w:proofErr w:type="spellStart"/>
            <w:r w:rsidR="00C10EC6" w:rsidRPr="00C10EC6">
              <w:rPr>
                <w:sz w:val="2"/>
                <w:highlight w:val="black"/>
              </w:rPr>
              <w:t>content</w:t>
            </w:r>
            <w:r w:rsidR="00F216D7" w:rsidRPr="005725FA">
              <w:rPr>
                <w:vertAlign w:val="superscript"/>
              </w:rPr>
              <w:t>d</w:t>
            </w:r>
            <w:proofErr w:type="spellEnd"/>
          </w:p>
        </w:tc>
        <w:tc>
          <w:tcPr>
            <w:tcW w:w="1779" w:type="pct"/>
            <w:vAlign w:val="center"/>
          </w:tcPr>
          <w:p w14:paraId="77A6A028" w14:textId="5CB79957" w:rsidR="009039FC" w:rsidRPr="00FA7838" w:rsidRDefault="00654043" w:rsidP="007A591A">
            <w:pPr>
              <w:pStyle w:val="TableText"/>
              <w:jc w:val="center"/>
            </w:pPr>
            <w:r w:rsidRPr="00FA7838">
              <w:t>$</w:t>
            </w:r>
            <w:r w:rsidR="00C10EC6" w:rsidRPr="00C10EC6">
              <w:rPr>
                <w:sz w:val="2"/>
                <w:highlight w:val="black"/>
              </w:rPr>
              <w:t>redacted content</w:t>
            </w:r>
          </w:p>
        </w:tc>
      </w:tr>
      <w:tr w:rsidR="005C3E29" w:rsidRPr="005C3E29" w14:paraId="10D392AE" w14:textId="77777777" w:rsidTr="009039FC">
        <w:trPr>
          <w:cantSplit/>
          <w:jc w:val="center"/>
        </w:trPr>
        <w:tc>
          <w:tcPr>
            <w:tcW w:w="5000" w:type="pct"/>
            <w:gridSpan w:val="3"/>
            <w:shd w:val="clear" w:color="auto" w:fill="DBE5F1" w:themeFill="accent1" w:themeFillTint="33"/>
            <w:vAlign w:val="center"/>
          </w:tcPr>
          <w:p w14:paraId="167E92D4" w14:textId="3B9A9304" w:rsidR="005C3E29" w:rsidRPr="005C3E29" w:rsidRDefault="005C3E29" w:rsidP="007A591A">
            <w:pPr>
              <w:pStyle w:val="TableText"/>
              <w:rPr>
                <w:b/>
                <w:bCs w:val="0"/>
              </w:rPr>
            </w:pPr>
            <w:r w:rsidRPr="005C3E29">
              <w:rPr>
                <w:b/>
                <w:bCs w:val="0"/>
              </w:rPr>
              <w:t>November 2025 submission</w:t>
            </w:r>
          </w:p>
        </w:tc>
      </w:tr>
      <w:tr w:rsidR="009039FC" w:rsidRPr="0054290D" w14:paraId="4AD7034B" w14:textId="77777777" w:rsidTr="005F11F1">
        <w:trPr>
          <w:cantSplit/>
          <w:jc w:val="center"/>
        </w:trPr>
        <w:tc>
          <w:tcPr>
            <w:tcW w:w="1648" w:type="pct"/>
            <w:shd w:val="clear" w:color="auto" w:fill="DBE5F1" w:themeFill="accent1" w:themeFillTint="33"/>
            <w:vAlign w:val="center"/>
          </w:tcPr>
          <w:p w14:paraId="0AECBF73" w14:textId="1A7B2B56" w:rsidR="009039FC" w:rsidRPr="005C3E29" w:rsidRDefault="009039FC" w:rsidP="007A591A">
            <w:pPr>
              <w:pStyle w:val="TableText"/>
            </w:pPr>
            <w:r w:rsidRPr="005C3E29">
              <w:t>Cost per patient per year</w:t>
            </w:r>
          </w:p>
        </w:tc>
        <w:tc>
          <w:tcPr>
            <w:tcW w:w="1573" w:type="pct"/>
            <w:shd w:val="clear" w:color="auto" w:fill="DBE5F1" w:themeFill="accent1" w:themeFillTint="33"/>
            <w:vAlign w:val="center"/>
          </w:tcPr>
          <w:p w14:paraId="42CE6AE0" w14:textId="4DDCF659" w:rsidR="009039FC" w:rsidRPr="005C3E29" w:rsidRDefault="009039FC" w:rsidP="007A591A">
            <w:pPr>
              <w:pStyle w:val="TableText"/>
              <w:jc w:val="center"/>
            </w:pPr>
            <w:r w:rsidRPr="005C3E29">
              <w:t>$</w:t>
            </w:r>
            <w:r w:rsidR="00C10EC6" w:rsidRPr="00C10EC6">
              <w:rPr>
                <w:sz w:val="2"/>
                <w:highlight w:val="black"/>
              </w:rPr>
              <w:t>redacted content</w:t>
            </w:r>
          </w:p>
        </w:tc>
        <w:tc>
          <w:tcPr>
            <w:tcW w:w="1779" w:type="pct"/>
            <w:shd w:val="clear" w:color="auto" w:fill="DBE5F1" w:themeFill="accent1" w:themeFillTint="33"/>
            <w:vAlign w:val="center"/>
          </w:tcPr>
          <w:p w14:paraId="03E6DDC8" w14:textId="25AF55B3" w:rsidR="009039FC" w:rsidRPr="005C3E29" w:rsidRDefault="009039FC" w:rsidP="007A591A">
            <w:pPr>
              <w:pStyle w:val="TableText"/>
              <w:jc w:val="center"/>
            </w:pPr>
            <w:r>
              <w:t>$</w:t>
            </w:r>
            <w:r w:rsidR="00C10EC6" w:rsidRPr="00C10EC6">
              <w:rPr>
                <w:sz w:val="2"/>
                <w:highlight w:val="black"/>
              </w:rPr>
              <w:t>redacted content</w:t>
            </w:r>
          </w:p>
        </w:tc>
      </w:tr>
    </w:tbl>
    <w:p w14:paraId="1D445E09" w14:textId="34B0C73A" w:rsidR="00040AE5" w:rsidRPr="00A87567" w:rsidRDefault="0054290D" w:rsidP="007A591A">
      <w:pPr>
        <w:pStyle w:val="FooterTableFigure"/>
      </w:pPr>
      <w:r w:rsidRPr="00A87567">
        <w:t xml:space="preserve">Source: </w:t>
      </w:r>
      <w:r w:rsidR="00DF24C8" w:rsidRPr="00A87567">
        <w:t>Table 3.4, p53 of the March 2026 early re</w:t>
      </w:r>
      <w:r w:rsidR="007A591A">
        <w:noBreakHyphen/>
      </w:r>
      <w:r w:rsidR="00DF24C8" w:rsidRPr="00A87567">
        <w:t>entry resubmission</w:t>
      </w:r>
    </w:p>
    <w:p w14:paraId="1A187437" w14:textId="530B87A9" w:rsidR="0054290D" w:rsidRPr="00A87567" w:rsidRDefault="00040AE5" w:rsidP="007A591A">
      <w:pPr>
        <w:pStyle w:val="FooterTableFigure"/>
      </w:pPr>
      <w:r w:rsidRPr="00A87567">
        <w:t>DPMQ = dispensed price for maximum quantity</w:t>
      </w:r>
      <w:r w:rsidR="0054290D" w:rsidRPr="00A87567">
        <w:t xml:space="preserve"> </w:t>
      </w:r>
    </w:p>
    <w:p w14:paraId="72D8E68C" w14:textId="401984D7" w:rsidR="00A823AE" w:rsidRPr="001E6ECC" w:rsidRDefault="00D5651C" w:rsidP="007A591A">
      <w:pPr>
        <w:pStyle w:val="FooterTableFigure"/>
      </w:pPr>
      <w:proofErr w:type="spellStart"/>
      <w:r w:rsidRPr="001E6ECC">
        <w:t>a</w:t>
      </w:r>
      <w:proofErr w:type="spellEnd"/>
      <w:r w:rsidR="00A823AE" w:rsidRPr="001E6ECC">
        <w:t xml:space="preserve"> </w:t>
      </w:r>
      <w:r w:rsidR="00D2001C" w:rsidRPr="001E6ECC">
        <w:t>Estimated assuming approximately 6 months of treatment per treatment phase. Includes loading doses in the initiation phase</w:t>
      </w:r>
    </w:p>
    <w:p w14:paraId="7538C827" w14:textId="727F05AB" w:rsidR="00BC2CDE" w:rsidRPr="004A78FC" w:rsidRDefault="008A70DC" w:rsidP="007A591A">
      <w:pPr>
        <w:pStyle w:val="FooterTableFigure"/>
      </w:pPr>
      <w:r w:rsidRPr="004A78FC">
        <w:t>b</w:t>
      </w:r>
      <w:r w:rsidR="0054290D" w:rsidRPr="004A78FC">
        <w:t xml:space="preserve"> </w:t>
      </w:r>
      <w:r w:rsidR="00BC2CDE" w:rsidRPr="004A78FC">
        <w:t>Number of administrations include</w:t>
      </w:r>
      <w:r w:rsidR="00477AB1" w:rsidRPr="004A78FC">
        <w:t>s</w:t>
      </w:r>
      <w:r w:rsidR="00BC2CDE" w:rsidRPr="004A78FC">
        <w:t xml:space="preserve"> </w:t>
      </w:r>
      <w:r w:rsidR="00F92C65" w:rsidRPr="004A78FC">
        <w:t xml:space="preserve">compliance (93.8%) in both the </w:t>
      </w:r>
      <w:r w:rsidR="00E64A9C" w:rsidRPr="004A78FC">
        <w:t xml:space="preserve">economic model and financial estimates. </w:t>
      </w:r>
    </w:p>
    <w:p w14:paraId="5C4E35C1" w14:textId="7BA560C3" w:rsidR="00405505" w:rsidRPr="004A78FC" w:rsidRDefault="00BC2CDE" w:rsidP="007A591A">
      <w:pPr>
        <w:pStyle w:val="FooterTableFigure"/>
      </w:pPr>
      <w:r w:rsidRPr="001E6ECC">
        <w:t xml:space="preserve">c </w:t>
      </w:r>
      <w:r w:rsidR="00817082" w:rsidRPr="001E6ECC">
        <w:t xml:space="preserve">Assumed 50% public/private weighting and DPMQs as per </w:t>
      </w:r>
      <w:r w:rsidR="00A87567" w:rsidRPr="001E6ECC">
        <w:rPr>
          <w:highlight w:val="green"/>
        </w:rPr>
        <w:fldChar w:fldCharType="begin"/>
      </w:r>
      <w:r w:rsidR="00A87567" w:rsidRPr="001E6ECC">
        <w:instrText xml:space="preserve"> REF _Ref220497373 \h </w:instrText>
      </w:r>
      <w:r w:rsidR="001E6ECC" w:rsidRPr="004A78FC">
        <w:rPr>
          <w:highlight w:val="green"/>
        </w:rPr>
        <w:instrText xml:space="preserve"> \* MERGEFORMAT </w:instrText>
      </w:r>
      <w:r w:rsidR="00A87567" w:rsidRPr="001E6ECC">
        <w:rPr>
          <w:highlight w:val="green"/>
        </w:rPr>
      </w:r>
      <w:r w:rsidR="00A87567" w:rsidRPr="001E6ECC">
        <w:rPr>
          <w:highlight w:val="green"/>
        </w:rPr>
        <w:fldChar w:fldCharType="separate"/>
      </w:r>
      <w:r w:rsidR="002E1A60" w:rsidRPr="001E6ECC">
        <w:t xml:space="preserve">Table </w:t>
      </w:r>
      <w:r w:rsidR="002E1A60" w:rsidRPr="001E6ECC">
        <w:rPr>
          <w:noProof/>
        </w:rPr>
        <w:t>5</w:t>
      </w:r>
      <w:r w:rsidR="00A87567" w:rsidRPr="001E6ECC">
        <w:rPr>
          <w:highlight w:val="green"/>
        </w:rPr>
        <w:fldChar w:fldCharType="end"/>
      </w:r>
      <w:r w:rsidR="000C1C9F" w:rsidRPr="001E6ECC">
        <w:t xml:space="preserve"> </w:t>
      </w:r>
      <w:r w:rsidR="000C1C9F" w:rsidRPr="004A78FC">
        <w:t>to give a</w:t>
      </w:r>
      <w:r w:rsidR="00F64842" w:rsidRPr="004A78FC">
        <w:t xml:space="preserve"> weighted DMPQ of $</w:t>
      </w:r>
      <w:r w:rsidR="00C10EC6" w:rsidRPr="00C10EC6">
        <w:rPr>
          <w:sz w:val="2"/>
          <w:highlight w:val="black"/>
        </w:rPr>
        <w:t>redacted content</w:t>
      </w:r>
      <w:r w:rsidR="001C3783" w:rsidRPr="004A78FC">
        <w:t xml:space="preserve"> (economic model) and $</w:t>
      </w:r>
      <w:r w:rsidR="00C10EC6" w:rsidRPr="00C10EC6">
        <w:rPr>
          <w:sz w:val="2"/>
          <w:highlight w:val="black"/>
        </w:rPr>
        <w:t>redacted content</w:t>
      </w:r>
      <w:r w:rsidR="001C3783" w:rsidRPr="004A78FC">
        <w:t xml:space="preserve"> (financial estimates)</w:t>
      </w:r>
      <w:r w:rsidR="00B02B79" w:rsidRPr="004A78FC">
        <w:t xml:space="preserve"> for the initiation and response phase and </w:t>
      </w:r>
      <w:r w:rsidR="003412FD" w:rsidRPr="004A78FC">
        <w:t>$</w:t>
      </w:r>
      <w:r w:rsidR="00C10EC6" w:rsidRPr="00C10EC6">
        <w:rPr>
          <w:sz w:val="2"/>
          <w:highlight w:val="black"/>
        </w:rPr>
        <w:t>redacted content</w:t>
      </w:r>
      <w:r w:rsidR="00ED50B2" w:rsidRPr="004A78FC">
        <w:t xml:space="preserve"> (economic model) and </w:t>
      </w:r>
      <w:r w:rsidR="009028D5" w:rsidRPr="004A78FC">
        <w:t>$</w:t>
      </w:r>
      <w:r w:rsidR="00C10EC6" w:rsidRPr="00C10EC6">
        <w:rPr>
          <w:sz w:val="2"/>
          <w:highlight w:val="black"/>
        </w:rPr>
        <w:t>redacted content</w:t>
      </w:r>
      <w:r w:rsidR="009028D5" w:rsidRPr="004A78FC">
        <w:t xml:space="preserve"> (financial estimates)</w:t>
      </w:r>
      <w:r w:rsidR="000C1C9F" w:rsidRPr="004A78FC">
        <w:t>. D</w:t>
      </w:r>
      <w:r w:rsidR="000252D2" w:rsidRPr="004A78FC">
        <w:t>ifferences are due to dispensing fees applied in the model (</w:t>
      </w:r>
      <w:r w:rsidR="00447A51" w:rsidRPr="004A78FC">
        <w:t>$8.8</w:t>
      </w:r>
      <w:r w:rsidR="00B25402" w:rsidRPr="004A78FC">
        <w:t>8) and financial estimates ($8.67)</w:t>
      </w:r>
      <w:r w:rsidR="009028D5" w:rsidRPr="004A78FC">
        <w:t>.</w:t>
      </w:r>
    </w:p>
    <w:p w14:paraId="04A48018" w14:textId="3A43F657" w:rsidR="009039FC" w:rsidRPr="004A78FC" w:rsidRDefault="00F216D7" w:rsidP="007A591A">
      <w:pPr>
        <w:pStyle w:val="FooterTableFigure"/>
      </w:pPr>
      <w:r w:rsidRPr="004A78FC">
        <w:t>d Corrected from Table 3.4 to exclude riluzole costs.</w:t>
      </w:r>
    </w:p>
    <w:p w14:paraId="23723A27" w14:textId="4540A97A" w:rsidR="00357317" w:rsidRPr="006F2E5C" w:rsidRDefault="00357317" w:rsidP="007A591A">
      <w:pPr>
        <w:pStyle w:val="3-BodyText"/>
      </w:pPr>
      <w:bookmarkStart w:id="29" w:name="_Ref222908145"/>
      <w:r w:rsidRPr="006F2E5C">
        <w:t xml:space="preserve">Differences between the model and financial cost per patient per year are due to </w:t>
      </w:r>
      <w:r w:rsidR="00595984" w:rsidRPr="006F2E5C">
        <w:t xml:space="preserve">differences in the number of administrations in </w:t>
      </w:r>
      <w:r w:rsidR="00410FAE" w:rsidRPr="006F2E5C">
        <w:t xml:space="preserve">Year </w:t>
      </w:r>
      <w:r w:rsidR="00595984" w:rsidRPr="006F2E5C">
        <w:t>1</w:t>
      </w:r>
      <w:r w:rsidR="002E1BA2" w:rsidRPr="006F2E5C">
        <w:t>.</w:t>
      </w:r>
      <w:r w:rsidR="00CC3364" w:rsidRPr="006F2E5C">
        <w:t xml:space="preserve"> </w:t>
      </w:r>
      <w:r w:rsidR="004B48E4" w:rsidRPr="006F2E5C">
        <w:t xml:space="preserve">The number of administrations </w:t>
      </w:r>
      <w:r w:rsidR="00D844FB" w:rsidRPr="006F2E5C">
        <w:t>for the initiation phase</w:t>
      </w:r>
      <w:r w:rsidR="004B48E4" w:rsidRPr="006F2E5C">
        <w:t xml:space="preserve"> in the financial estimates appear</w:t>
      </w:r>
      <w:r w:rsidR="00D844FB" w:rsidRPr="006F2E5C">
        <w:t>s</w:t>
      </w:r>
      <w:r w:rsidR="004B48E4" w:rsidRPr="006F2E5C">
        <w:t xml:space="preserve"> overestimated</w:t>
      </w:r>
      <w:r w:rsidR="00C57656" w:rsidRPr="006F2E5C">
        <w:t xml:space="preserve"> as it would be expected that the</w:t>
      </w:r>
      <w:r w:rsidR="00101775" w:rsidRPr="006F2E5C">
        <w:t xml:space="preserve"> total number of administrations </w:t>
      </w:r>
      <w:r w:rsidR="00D03F72" w:rsidRPr="006F2E5C">
        <w:t xml:space="preserve">per year would be 14.04 </w:t>
      </w:r>
      <w:r w:rsidR="00101775" w:rsidRPr="006F2E5C">
        <w:t>(including one additional loading dose</w:t>
      </w:r>
      <w:r w:rsidR="00F9429D" w:rsidRPr="006F2E5C">
        <w:t xml:space="preserve"> at day 14</w:t>
      </w:r>
      <w:r w:rsidR="00907871" w:rsidRPr="006F2E5C">
        <w:t>; ((365.25/28) + 1)</w:t>
      </w:r>
      <w:r w:rsidR="00D03F72" w:rsidRPr="006F2E5C">
        <w:t xml:space="preserve">). With compliance </w:t>
      </w:r>
      <w:r w:rsidR="004B2484" w:rsidRPr="006F2E5C">
        <w:t xml:space="preserve">applied </w:t>
      </w:r>
      <w:r w:rsidR="00D03F72" w:rsidRPr="006F2E5C">
        <w:t xml:space="preserve">this would be </w:t>
      </w:r>
      <w:r w:rsidR="00BC74CB" w:rsidRPr="006F2E5C">
        <w:t>13.</w:t>
      </w:r>
      <w:r w:rsidR="0099172B" w:rsidRPr="006F2E5C">
        <w:t>17 ((</w:t>
      </w:r>
      <w:r w:rsidR="008A3D34" w:rsidRPr="006F2E5C">
        <w:t>365.25/28</w:t>
      </w:r>
      <w:r w:rsidR="002B2576" w:rsidRPr="006F2E5C">
        <w:t xml:space="preserve"> </w:t>
      </w:r>
      <w:r w:rsidR="0099172B" w:rsidRPr="006F2E5C">
        <w:t>+1)</w:t>
      </w:r>
      <w:r w:rsidR="00F9429D" w:rsidRPr="006F2E5C">
        <w:t xml:space="preserve"> </w:t>
      </w:r>
      <w:r w:rsidR="0099172B" w:rsidRPr="006F2E5C">
        <w:t>x</w:t>
      </w:r>
      <w:r w:rsidR="00F9429D" w:rsidRPr="006F2E5C">
        <w:t xml:space="preserve"> </w:t>
      </w:r>
      <w:r w:rsidR="004B2484" w:rsidRPr="006F2E5C">
        <w:t>93.8%)</w:t>
      </w:r>
      <w:r w:rsidR="00D844FB" w:rsidRPr="006F2E5C">
        <w:t xml:space="preserve">. </w:t>
      </w:r>
      <w:r w:rsidR="009028D5" w:rsidRPr="006F2E5C">
        <w:t xml:space="preserve">There were also </w:t>
      </w:r>
      <w:r w:rsidR="00D364D8" w:rsidRPr="006F2E5C">
        <w:t xml:space="preserve">slight differences </w:t>
      </w:r>
      <w:r w:rsidR="00D7090B" w:rsidRPr="006F2E5C">
        <w:t>in the DPMQs</w:t>
      </w:r>
      <w:r w:rsidR="000E598B" w:rsidRPr="006F2E5C">
        <w:t xml:space="preserve"> applied in the economic evaluation and financial estimates</w:t>
      </w:r>
      <w:r w:rsidR="00CC3364" w:rsidRPr="006F2E5C">
        <w:t xml:space="preserve"> as mark</w:t>
      </w:r>
      <w:r w:rsidR="007A591A">
        <w:noBreakHyphen/>
      </w:r>
      <w:r w:rsidR="00CC3364" w:rsidRPr="006F2E5C">
        <w:t xml:space="preserve">ups were updated in the </w:t>
      </w:r>
      <w:r w:rsidR="00A92A89" w:rsidRPr="006F2E5C">
        <w:t xml:space="preserve">financial estimates but not the economic </w:t>
      </w:r>
      <w:r w:rsidR="000E598B" w:rsidRPr="006F2E5C">
        <w:t>evaluation</w:t>
      </w:r>
      <w:r w:rsidR="00E3501F" w:rsidRPr="006F2E5C">
        <w:t>.</w:t>
      </w:r>
      <w:bookmarkEnd w:id="29"/>
      <w:r w:rsidR="00E3501F" w:rsidRPr="006F2E5C">
        <w:t xml:space="preserve"> </w:t>
      </w:r>
      <w:r w:rsidR="003F3780">
        <w:t>The pre</w:t>
      </w:r>
      <w:r w:rsidR="007A591A">
        <w:noBreakHyphen/>
      </w:r>
      <w:r w:rsidR="003F3780">
        <w:t xml:space="preserve">PBAC response stated that </w:t>
      </w:r>
      <w:r w:rsidR="00243959">
        <w:t xml:space="preserve">the number of administrations/vials in the first year is 15, but also noted that </w:t>
      </w:r>
      <w:r w:rsidR="006D650B">
        <w:t xml:space="preserve">this would include treatment coverage to 1 year + 28 days. </w:t>
      </w:r>
      <w:r w:rsidR="00C052B5">
        <w:t>The pre</w:t>
      </w:r>
      <w:r w:rsidR="007A591A">
        <w:noBreakHyphen/>
      </w:r>
      <w:r w:rsidR="00C052B5">
        <w:t>PBAC response noted that the difference in approaches is marginal and has limited impact on the overall expen</w:t>
      </w:r>
      <w:r w:rsidR="00DA66E9">
        <w:t>diture.</w:t>
      </w:r>
    </w:p>
    <w:p w14:paraId="03C28E50" w14:textId="77777777" w:rsidR="000C61EB" w:rsidRPr="0098262F" w:rsidRDefault="000C61EB" w:rsidP="007A591A">
      <w:pPr>
        <w:pStyle w:val="4-SubsectionHeading"/>
      </w:pPr>
      <w:bookmarkStart w:id="30" w:name="_Toc208993661"/>
      <w:bookmarkStart w:id="31" w:name="_Toc22897648"/>
      <w:r w:rsidRPr="0098262F">
        <w:t>Estimated PBS usage &amp; financial implications</w:t>
      </w:r>
      <w:bookmarkEnd w:id="30"/>
    </w:p>
    <w:bookmarkEnd w:id="31"/>
    <w:p w14:paraId="59DA3860" w14:textId="3812C743" w:rsidR="000C61EB" w:rsidRPr="00C66452" w:rsidRDefault="00092761" w:rsidP="007A591A">
      <w:pPr>
        <w:pStyle w:val="3-BodyText"/>
        <w:rPr>
          <w:i/>
          <w:iCs/>
        </w:rPr>
      </w:pPr>
      <w:r>
        <w:t xml:space="preserve">The November 2025 </w:t>
      </w:r>
      <w:r w:rsidR="00455C27">
        <w:t>submission presented a prevalence model which did not appropriately account for</w:t>
      </w:r>
      <w:r w:rsidR="00CF6AA0">
        <w:t xml:space="preserve"> newly diagnosed patie</w:t>
      </w:r>
      <w:r w:rsidR="00F05562">
        <w:t>n</w:t>
      </w:r>
      <w:r w:rsidR="00CF6AA0">
        <w:t>ts.</w:t>
      </w:r>
      <w:r w:rsidR="00455C27">
        <w:t xml:space="preserve"> </w:t>
      </w:r>
      <w:r w:rsidR="00F05562">
        <w:t xml:space="preserve">The March 2026 resubmission has presented a </w:t>
      </w:r>
      <w:r w:rsidR="006073CF">
        <w:t>mixed incidence/prevalence model</w:t>
      </w:r>
      <w:r w:rsidR="00F05562">
        <w:t>.</w:t>
      </w:r>
    </w:p>
    <w:p w14:paraId="20557551" w14:textId="226E649D" w:rsidR="00C66452" w:rsidRDefault="00E40056" w:rsidP="007A591A">
      <w:pPr>
        <w:pStyle w:val="3-BodyText"/>
      </w:pPr>
      <w:r>
        <w:fldChar w:fldCharType="begin"/>
      </w:r>
      <w:r>
        <w:instrText xml:space="preserve"> REF _Ref220497530 \h </w:instrText>
      </w:r>
      <w:r>
        <w:fldChar w:fldCharType="separate"/>
      </w:r>
      <w:r w:rsidR="002E1A60">
        <w:t xml:space="preserve">Table </w:t>
      </w:r>
      <w:r w:rsidR="002E1A60">
        <w:rPr>
          <w:noProof/>
        </w:rPr>
        <w:t>8</w:t>
      </w:r>
      <w:r>
        <w:fldChar w:fldCharType="end"/>
      </w:r>
      <w:r w:rsidR="00C66452" w:rsidRPr="0098262F">
        <w:t xml:space="preserve"> </w:t>
      </w:r>
      <w:r w:rsidR="00C66452" w:rsidRPr="00640DD0">
        <w:t xml:space="preserve">summarises the parameters and data sources applied in the </w:t>
      </w:r>
      <w:r w:rsidR="00C66452">
        <w:t xml:space="preserve">revised </w:t>
      </w:r>
      <w:r w:rsidR="00C66452" w:rsidRPr="00640DD0">
        <w:t>financial analysis.</w:t>
      </w:r>
      <w:r w:rsidR="00C66452">
        <w:t xml:space="preserve"> </w:t>
      </w:r>
    </w:p>
    <w:p w14:paraId="5B51A18C" w14:textId="77777777" w:rsidR="00852488" w:rsidRDefault="00852488" w:rsidP="007A591A">
      <w:pPr>
        <w:jc w:val="left"/>
        <w:rPr>
          <w:rFonts w:ascii="Arial Narrow" w:hAnsi="Arial Narrow" w:cs="Arial"/>
          <w:b/>
          <w:bCs/>
          <w:sz w:val="20"/>
          <w:szCs w:val="18"/>
        </w:rPr>
      </w:pPr>
      <w:bookmarkStart w:id="32" w:name="_Ref220497530"/>
      <w:r>
        <w:br w:type="page"/>
      </w:r>
    </w:p>
    <w:p w14:paraId="745802E5" w14:textId="7DD123A6" w:rsidR="008F5AEF" w:rsidRDefault="008F5AEF" w:rsidP="007A591A">
      <w:pPr>
        <w:pStyle w:val="Caption"/>
      </w:pPr>
      <w:r>
        <w:lastRenderedPageBreak/>
        <w:t xml:space="preserve">Table </w:t>
      </w:r>
      <w:fldSimple w:instr=" SEQ Table \* ARABIC ">
        <w:r w:rsidR="002E1A60">
          <w:rPr>
            <w:noProof/>
          </w:rPr>
          <w:t>8</w:t>
        </w:r>
      </w:fldSimple>
      <w:bookmarkEnd w:id="32"/>
      <w:r>
        <w:t xml:space="preserve">: </w:t>
      </w:r>
      <w:r w:rsidR="00E40056">
        <w:t>Key inputs for utilisation and financial impact estimates</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Key inputs for utilisation and financial impact estimates"/>
      </w:tblPr>
      <w:tblGrid>
        <w:gridCol w:w="2400"/>
        <w:gridCol w:w="3402"/>
        <w:gridCol w:w="3333"/>
      </w:tblGrid>
      <w:tr w:rsidR="00D81C21" w:rsidRPr="006F2E5C" w14:paraId="690093DF" w14:textId="77777777" w:rsidTr="00D75064">
        <w:trPr>
          <w:cantSplit/>
          <w:trHeight w:val="42"/>
          <w:tblHeader/>
        </w:trPr>
        <w:tc>
          <w:tcPr>
            <w:tcW w:w="2400" w:type="dxa"/>
            <w:shd w:val="clear" w:color="auto" w:fill="FFFFFF" w:themeFill="background1"/>
            <w:vAlign w:val="center"/>
            <w:hideMark/>
          </w:tcPr>
          <w:p w14:paraId="4E95DD88" w14:textId="77777777" w:rsidR="00D81C21" w:rsidRPr="006F2E5C" w:rsidRDefault="00D81C21" w:rsidP="007A591A">
            <w:pPr>
              <w:pStyle w:val="PBACTableText"/>
              <w:spacing w:before="0" w:after="0"/>
              <w:rPr>
                <w:b/>
                <w:bCs/>
                <w:lang w:eastAsia="en-AU"/>
              </w:rPr>
            </w:pPr>
            <w:r w:rsidRPr="006F2E5C">
              <w:rPr>
                <w:b/>
                <w:bCs/>
                <w:lang w:eastAsia="en-AU"/>
              </w:rPr>
              <w:t>Input</w:t>
            </w:r>
          </w:p>
        </w:tc>
        <w:tc>
          <w:tcPr>
            <w:tcW w:w="3402" w:type="dxa"/>
            <w:shd w:val="clear" w:color="auto" w:fill="FFFFFF" w:themeFill="background1"/>
            <w:noWrap/>
            <w:hideMark/>
          </w:tcPr>
          <w:p w14:paraId="666087FD" w14:textId="7776CAAA" w:rsidR="00D81C21" w:rsidRPr="006F2E5C" w:rsidRDefault="00D81C21" w:rsidP="007A591A">
            <w:pPr>
              <w:pStyle w:val="PBACTableText"/>
              <w:spacing w:before="0" w:after="0"/>
              <w:rPr>
                <w:b/>
                <w:bCs/>
                <w:lang w:eastAsia="en-AU"/>
              </w:rPr>
            </w:pPr>
            <w:r w:rsidRPr="006F2E5C">
              <w:rPr>
                <w:b/>
                <w:bCs/>
                <w:lang w:eastAsia="en-AU"/>
              </w:rPr>
              <w:t>Value</w:t>
            </w:r>
            <w:r w:rsidR="0020030C" w:rsidRPr="006F2E5C">
              <w:rPr>
                <w:b/>
                <w:bCs/>
                <w:lang w:eastAsia="en-AU"/>
              </w:rPr>
              <w:t xml:space="preserve"> and source</w:t>
            </w:r>
          </w:p>
        </w:tc>
        <w:tc>
          <w:tcPr>
            <w:tcW w:w="3333" w:type="dxa"/>
            <w:shd w:val="clear" w:color="auto" w:fill="FFFFFF" w:themeFill="background1"/>
            <w:noWrap/>
            <w:hideMark/>
          </w:tcPr>
          <w:p w14:paraId="204DF018" w14:textId="21524BEF" w:rsidR="00D81C21" w:rsidRPr="006F2E5C" w:rsidRDefault="001D65D6" w:rsidP="007A591A">
            <w:pPr>
              <w:pStyle w:val="PBACTableText"/>
              <w:spacing w:before="0" w:after="0"/>
              <w:rPr>
                <w:b/>
                <w:bCs/>
                <w:lang w:eastAsia="en-AU"/>
              </w:rPr>
            </w:pPr>
            <w:r w:rsidRPr="006F2E5C">
              <w:rPr>
                <w:b/>
                <w:bCs/>
                <w:lang w:eastAsia="en-AU"/>
              </w:rPr>
              <w:t>Comment</w:t>
            </w:r>
          </w:p>
        </w:tc>
      </w:tr>
      <w:tr w:rsidR="00D81C21" w:rsidRPr="006F2E5C" w14:paraId="097BAA20" w14:textId="77777777" w:rsidTr="00D75064">
        <w:trPr>
          <w:cantSplit/>
          <w:trHeight w:val="173"/>
        </w:trPr>
        <w:tc>
          <w:tcPr>
            <w:tcW w:w="2400" w:type="dxa"/>
            <w:vAlign w:val="center"/>
          </w:tcPr>
          <w:p w14:paraId="5635B2F8" w14:textId="77777777" w:rsidR="00D81C21" w:rsidRPr="006F2E5C" w:rsidRDefault="00D81C21" w:rsidP="007A591A">
            <w:pPr>
              <w:pStyle w:val="PBACTableText"/>
              <w:spacing w:before="0" w:after="0"/>
              <w:rPr>
                <w:lang w:eastAsia="en-AU"/>
              </w:rPr>
            </w:pPr>
            <w:r w:rsidRPr="006F2E5C">
              <w:rPr>
                <w:lang w:eastAsia="en-AU"/>
              </w:rPr>
              <w:t>Australian population</w:t>
            </w:r>
          </w:p>
        </w:tc>
        <w:tc>
          <w:tcPr>
            <w:tcW w:w="3402" w:type="dxa"/>
          </w:tcPr>
          <w:p w14:paraId="3FE82722" w14:textId="77777777" w:rsidR="00D81C21" w:rsidRPr="006F2E5C" w:rsidRDefault="00D81C21" w:rsidP="007A591A">
            <w:pPr>
              <w:pStyle w:val="PBACTableText"/>
              <w:spacing w:before="0" w:after="0"/>
              <w:rPr>
                <w:lang w:eastAsia="en-AU"/>
              </w:rPr>
            </w:pPr>
            <w:r w:rsidRPr="006F2E5C">
              <w:rPr>
                <w:lang w:eastAsia="en-AU"/>
              </w:rPr>
              <w:t xml:space="preserve">28,372,315 in </w:t>
            </w:r>
            <w:r w:rsidR="0020030C" w:rsidRPr="006F2E5C">
              <w:rPr>
                <w:lang w:eastAsia="en-AU"/>
              </w:rPr>
              <w:t>Y</w:t>
            </w:r>
            <w:r w:rsidRPr="006F2E5C">
              <w:rPr>
                <w:lang w:eastAsia="en-AU"/>
              </w:rPr>
              <w:t xml:space="preserve">ear 1 (2026) to 30,314,335 in </w:t>
            </w:r>
            <w:r w:rsidR="0020030C" w:rsidRPr="006F2E5C">
              <w:rPr>
                <w:lang w:eastAsia="en-AU"/>
              </w:rPr>
              <w:t>Y</w:t>
            </w:r>
            <w:r w:rsidRPr="006F2E5C">
              <w:rPr>
                <w:lang w:eastAsia="en-AU"/>
              </w:rPr>
              <w:t>ear 6 (2031)</w:t>
            </w:r>
          </w:p>
          <w:p w14:paraId="651FAF94" w14:textId="7A8ABE7A" w:rsidR="001D65D6" w:rsidRPr="006F2E5C" w:rsidRDefault="00AA76D4" w:rsidP="007A591A">
            <w:pPr>
              <w:pStyle w:val="PBACTableText"/>
              <w:spacing w:before="0" w:after="0"/>
              <w:rPr>
                <w:lang w:eastAsia="en-AU"/>
              </w:rPr>
            </w:pPr>
            <w:r w:rsidRPr="006F2E5C">
              <w:rPr>
                <w:lang w:eastAsia="en-AU"/>
              </w:rPr>
              <w:t>(</w:t>
            </w:r>
            <w:r w:rsidR="001D65D6" w:rsidRPr="006F2E5C">
              <w:rPr>
                <w:lang w:eastAsia="en-AU"/>
              </w:rPr>
              <w:t>ABS, Series B</w:t>
            </w:r>
            <w:r w:rsidRPr="006F2E5C">
              <w:rPr>
                <w:lang w:eastAsia="en-AU"/>
              </w:rPr>
              <w:t>)</w:t>
            </w:r>
          </w:p>
        </w:tc>
        <w:tc>
          <w:tcPr>
            <w:tcW w:w="3333" w:type="dxa"/>
            <w:noWrap/>
          </w:tcPr>
          <w:p w14:paraId="0B9FB8A8" w14:textId="14E31A8D" w:rsidR="00D81C21" w:rsidRPr="006F2E5C" w:rsidRDefault="001D65D6" w:rsidP="007A591A">
            <w:pPr>
              <w:pStyle w:val="PBACTableText"/>
              <w:spacing w:before="0" w:after="0"/>
              <w:rPr>
                <w:lang w:eastAsia="en-AU"/>
              </w:rPr>
            </w:pPr>
            <w:r w:rsidRPr="006F2E5C">
              <w:rPr>
                <w:lang w:eastAsia="en-AU"/>
              </w:rPr>
              <w:t>Unchanged</w:t>
            </w:r>
            <w:r w:rsidR="008B0022" w:rsidRPr="006F2E5C">
              <w:rPr>
                <w:lang w:eastAsia="en-AU"/>
              </w:rPr>
              <w:t>.</w:t>
            </w:r>
          </w:p>
        </w:tc>
      </w:tr>
      <w:tr w:rsidR="00D81C21" w:rsidRPr="006F2E5C" w14:paraId="2E30B7FC" w14:textId="77777777" w:rsidTr="00D75064">
        <w:trPr>
          <w:cantSplit/>
          <w:trHeight w:val="275"/>
        </w:trPr>
        <w:tc>
          <w:tcPr>
            <w:tcW w:w="2400" w:type="dxa"/>
            <w:vAlign w:val="center"/>
          </w:tcPr>
          <w:p w14:paraId="683A3DBA" w14:textId="77777777" w:rsidR="00D81C21" w:rsidRPr="006F2E5C" w:rsidRDefault="00D81C21" w:rsidP="007A591A">
            <w:pPr>
              <w:pStyle w:val="PBACTableText"/>
              <w:spacing w:before="0" w:after="0"/>
              <w:rPr>
                <w:lang w:eastAsia="en-AU"/>
              </w:rPr>
            </w:pPr>
            <w:r w:rsidRPr="006F2E5C">
              <w:rPr>
                <w:lang w:eastAsia="en-AU"/>
              </w:rPr>
              <w:t>ALS incidence</w:t>
            </w:r>
          </w:p>
        </w:tc>
        <w:tc>
          <w:tcPr>
            <w:tcW w:w="3402" w:type="dxa"/>
          </w:tcPr>
          <w:p w14:paraId="34F790F4" w14:textId="77777777" w:rsidR="00D81C21" w:rsidRPr="006F2E5C" w:rsidRDefault="00D81C21" w:rsidP="007A591A">
            <w:pPr>
              <w:pStyle w:val="PBACTableText"/>
              <w:spacing w:before="0" w:after="0"/>
              <w:rPr>
                <w:lang w:eastAsia="en-AU"/>
              </w:rPr>
            </w:pPr>
            <w:r w:rsidRPr="006F2E5C">
              <w:rPr>
                <w:lang w:eastAsia="en-AU"/>
              </w:rPr>
              <w:t>2.9 per 100,000</w:t>
            </w:r>
          </w:p>
          <w:p w14:paraId="1D5EF9F0" w14:textId="02EFEA95" w:rsidR="001D65D6" w:rsidRPr="006F2E5C" w:rsidRDefault="00AA76D4" w:rsidP="007A591A">
            <w:pPr>
              <w:pStyle w:val="PBACTableText"/>
              <w:spacing w:before="0" w:after="0"/>
              <w:rPr>
                <w:lang w:eastAsia="en-AU"/>
              </w:rPr>
            </w:pPr>
            <w:r w:rsidRPr="006F2E5C">
              <w:rPr>
                <w:lang w:eastAsia="en-AU"/>
              </w:rPr>
              <w:t>(</w:t>
            </w:r>
            <w:r w:rsidR="001D65D6" w:rsidRPr="006F2E5C">
              <w:rPr>
                <w:lang w:eastAsia="en-AU"/>
              </w:rPr>
              <w:t>Vucic 2020)</w:t>
            </w:r>
          </w:p>
        </w:tc>
        <w:tc>
          <w:tcPr>
            <w:tcW w:w="3333" w:type="dxa"/>
            <w:noWrap/>
          </w:tcPr>
          <w:p w14:paraId="5FA73F35" w14:textId="6037F9B9" w:rsidR="00D81C21" w:rsidRPr="006F2E5C" w:rsidRDefault="00116699" w:rsidP="007A591A">
            <w:pPr>
              <w:pStyle w:val="PBACTableText"/>
              <w:spacing w:before="0" w:after="0"/>
              <w:rPr>
                <w:lang w:eastAsia="en-AU"/>
              </w:rPr>
            </w:pPr>
            <w:r w:rsidRPr="006F2E5C">
              <w:rPr>
                <w:lang w:eastAsia="en-AU"/>
              </w:rPr>
              <w:t>New.</w:t>
            </w:r>
            <w:r w:rsidR="008B0022" w:rsidRPr="006F2E5C">
              <w:rPr>
                <w:lang w:eastAsia="en-AU"/>
              </w:rPr>
              <w:t xml:space="preserve"> Based on advice in the November 2025 submission.</w:t>
            </w:r>
          </w:p>
        </w:tc>
      </w:tr>
      <w:tr w:rsidR="00D81C21" w:rsidRPr="006F2E5C" w14:paraId="660D24FF" w14:textId="77777777" w:rsidTr="00D75064">
        <w:trPr>
          <w:cantSplit/>
          <w:trHeight w:val="275"/>
        </w:trPr>
        <w:tc>
          <w:tcPr>
            <w:tcW w:w="2400" w:type="dxa"/>
            <w:vAlign w:val="center"/>
          </w:tcPr>
          <w:p w14:paraId="1E0F0F52" w14:textId="77777777" w:rsidR="00D81C21" w:rsidRPr="006F2E5C" w:rsidRDefault="00D81C21" w:rsidP="007A591A">
            <w:pPr>
              <w:pStyle w:val="PBACTableText"/>
              <w:spacing w:before="0" w:after="0"/>
              <w:rPr>
                <w:lang w:eastAsia="en-AU"/>
              </w:rPr>
            </w:pPr>
            <w:r w:rsidRPr="006F2E5C">
              <w:rPr>
                <w:lang w:eastAsia="en-AU"/>
              </w:rPr>
              <w:t>ALS prevalence</w:t>
            </w:r>
          </w:p>
        </w:tc>
        <w:tc>
          <w:tcPr>
            <w:tcW w:w="3402" w:type="dxa"/>
          </w:tcPr>
          <w:p w14:paraId="531C188E" w14:textId="77777777" w:rsidR="00D81C21" w:rsidRPr="006F2E5C" w:rsidRDefault="00D81C21" w:rsidP="007A591A">
            <w:pPr>
              <w:pStyle w:val="PBACTableText"/>
              <w:spacing w:before="0" w:after="0"/>
              <w:rPr>
                <w:lang w:eastAsia="en-AU"/>
              </w:rPr>
            </w:pPr>
            <w:r w:rsidRPr="006F2E5C">
              <w:rPr>
                <w:lang w:eastAsia="en-AU"/>
              </w:rPr>
              <w:t>6.22 per 100,000</w:t>
            </w:r>
          </w:p>
          <w:p w14:paraId="42CB8F49" w14:textId="7CDEC3D4" w:rsidR="00D0585A" w:rsidRPr="006F2E5C" w:rsidRDefault="00AA76D4" w:rsidP="007A591A">
            <w:pPr>
              <w:pStyle w:val="PBACTableText"/>
              <w:spacing w:before="0" w:after="0"/>
              <w:rPr>
                <w:lang w:eastAsia="en-AU"/>
              </w:rPr>
            </w:pPr>
            <w:r w:rsidRPr="006F2E5C">
              <w:rPr>
                <w:lang w:eastAsia="en-AU"/>
              </w:rPr>
              <w:t>(</w:t>
            </w:r>
            <w:r w:rsidR="00D0585A" w:rsidRPr="006F2E5C">
              <w:rPr>
                <w:lang w:eastAsia="en-AU"/>
              </w:rPr>
              <w:t xml:space="preserve">Meta analysis: </w:t>
            </w:r>
            <w:hyperlink w:anchor="_ENREF_7" w:tooltip="Brown, 2021 #128" w:history="1">
              <w:r w:rsidR="00D0585A" w:rsidRPr="006F2E5C">
                <w:rPr>
                  <w:lang w:val="de-DE" w:eastAsia="en-AU"/>
                </w:rPr>
                <w:fldChar w:fldCharType="begin"/>
              </w:r>
              <w:r w:rsidR="00D0585A" w:rsidRPr="006F2E5C">
                <w:rPr>
                  <w:lang w:eastAsia="en-AU"/>
                </w:rPr>
                <w:instrText xml:space="preserve"> ADDIN EN.CITE &lt;EndNote&gt;&lt;Cite AuthorYear="1"&gt;&lt;Author&gt;Brown&lt;/Author&gt;&lt;Year&gt;2021&lt;/Year&gt;&lt;RecNum&gt;128&lt;/RecNum&gt;&lt;DisplayText&gt;Brown et al. (2021)&lt;/DisplayText&gt;&lt;record&gt;&lt;rec-number&gt;128&lt;/rec-number&gt;&lt;foreign-keys&gt;&lt;key app="EN" db-id="vvxez5t5dxatp9e2zpr52wzuxvpf0p2tftx0" timestamp="1716435339"&gt;128&lt;/key&gt;&lt;/foreign-keys&gt;&lt;ref-type name="Journal Article"&gt;17&lt;/ref-type&gt;&lt;contributors&gt;&lt;authors&gt;&lt;author&gt;Brown, C. A.&lt;/author&gt;&lt;author&gt;Lally, C.&lt;/author&gt;&lt;author&gt;Kupelian, V.&lt;/author&gt;&lt;author&gt;Flanders, W. D.&lt;/author&gt;&lt;/authors&gt;&lt;/contributors&gt;&lt;auth-address&gt;Epidemiologic Research and Methods LLC, Atlanta, Georgia, USA.&amp;#xD;Department of Epidemiology, Rollins School of Public Health, Atlanta, Georgia, USA.&amp;#xD;Biogen, Cambridge, Massachusetts, USA.&lt;/auth-address&gt;&lt;titles&gt;&lt;title&gt;Estimated Prevalence and Incidence of Amyotrophic Lateral Sclerosis and SOD1 and C9orf72 Genetic Variants&lt;/title&gt;&lt;secondary-title&gt;Neuroepidemiology&lt;/secondary-title&gt;&lt;/titles&gt;&lt;periodical&gt;&lt;full-title&gt;Neuroepidemiology&lt;/full-title&gt;&lt;/periodical&gt;&lt;pages&gt;342-353&lt;/pages&gt;&lt;volume&gt;55&lt;/volume&gt;&lt;number&gt;5&lt;/number&gt;&lt;edition&gt;20210709&lt;/edition&gt;&lt;keywords&gt;&lt;keyword&gt;*Amyotrophic Lateral Sclerosis/epidemiology/genetics&lt;/keyword&gt;&lt;keyword&gt;C9orf72 Protein/genetics&lt;/keyword&gt;&lt;keyword&gt;Humans&lt;/keyword&gt;&lt;keyword&gt;Incidence&lt;/keyword&gt;&lt;keyword&gt;Prevalence&lt;/keyword&gt;&lt;keyword&gt;Superoxide Dismutase&lt;/keyword&gt;&lt;keyword&gt;Superoxide Dismutase-1/genetics&lt;/keyword&gt;&lt;keyword&gt;Amyotrophic lateral sclerosis&lt;/keyword&gt;&lt;keyword&gt;Epidemiology&lt;/keyword&gt;&lt;keyword&gt;Genetics&lt;/keyword&gt;&lt;/keywords&gt;&lt;dates&gt;&lt;year&gt;2021&lt;/year&gt;&lt;/dates&gt;&lt;isbn&gt;0251-5350&lt;/isbn&gt;&lt;accession-num&gt;34247168&lt;/accession-num&gt;&lt;urls&gt;&lt;/urls&gt;&lt;electronic-resource-num&gt;10.1159/000516752&lt;/electronic-resource-num&gt;&lt;remote-database-provider&gt;NLM&lt;/remote-database-provider&gt;&lt;language&gt;eng&lt;/language&gt;&lt;/record&gt;&lt;/Cite&gt;&lt;/EndNote&gt;</w:instrText>
              </w:r>
              <w:r w:rsidR="00D0585A" w:rsidRPr="006F2E5C">
                <w:rPr>
                  <w:lang w:val="de-DE" w:eastAsia="en-AU"/>
                </w:rPr>
                <w:fldChar w:fldCharType="separate"/>
              </w:r>
              <w:r w:rsidR="00D0585A" w:rsidRPr="006F2E5C">
                <w:rPr>
                  <w:lang w:eastAsia="en-AU"/>
                </w:rPr>
                <w:t xml:space="preserve">Brown </w:t>
              </w:r>
              <w:r w:rsidR="00D0585A" w:rsidRPr="006F2E5C">
                <w:rPr>
                  <w:noProof/>
                  <w:lang w:val="de-DE" w:eastAsia="en-AU"/>
                </w:rPr>
                <w:t>2021)</w:t>
              </w:r>
              <w:r w:rsidR="00D0585A" w:rsidRPr="006F2E5C">
                <w:rPr>
                  <w:lang w:val="de-DE" w:eastAsia="en-AU"/>
                </w:rPr>
                <w:fldChar w:fldCharType="end"/>
              </w:r>
            </w:hyperlink>
          </w:p>
        </w:tc>
        <w:tc>
          <w:tcPr>
            <w:tcW w:w="3333" w:type="dxa"/>
            <w:noWrap/>
          </w:tcPr>
          <w:p w14:paraId="1644BCD6" w14:textId="5B40C9C0" w:rsidR="00D81C21" w:rsidRPr="006F2E5C" w:rsidRDefault="00D0585A" w:rsidP="007A591A">
            <w:pPr>
              <w:pStyle w:val="PBACTableText"/>
              <w:spacing w:before="0" w:after="0"/>
              <w:rPr>
                <w:lang w:val="de-DE" w:eastAsia="en-AU"/>
              </w:rPr>
            </w:pPr>
            <w:r w:rsidRPr="006F2E5C">
              <w:rPr>
                <w:lang w:eastAsia="en-AU"/>
              </w:rPr>
              <w:t>Unchanged</w:t>
            </w:r>
            <w:r w:rsidR="00116699" w:rsidRPr="006F2E5C">
              <w:rPr>
                <w:lang w:eastAsia="en-AU"/>
              </w:rPr>
              <w:t xml:space="preserve">. </w:t>
            </w:r>
          </w:p>
        </w:tc>
      </w:tr>
      <w:tr w:rsidR="00D81C21" w:rsidRPr="006F2E5C" w14:paraId="0BCAFED6" w14:textId="77777777" w:rsidTr="00D75064">
        <w:trPr>
          <w:cantSplit/>
          <w:trHeight w:val="275"/>
        </w:trPr>
        <w:tc>
          <w:tcPr>
            <w:tcW w:w="2400" w:type="dxa"/>
            <w:vAlign w:val="center"/>
          </w:tcPr>
          <w:p w14:paraId="215140E0" w14:textId="77777777" w:rsidR="00D81C21" w:rsidRPr="006F2E5C" w:rsidRDefault="00D81C21" w:rsidP="007A591A">
            <w:pPr>
              <w:pStyle w:val="PBACTableText"/>
              <w:spacing w:before="0" w:after="0"/>
              <w:rPr>
                <w:lang w:eastAsia="en-AU"/>
              </w:rPr>
            </w:pPr>
            <w:r w:rsidRPr="006F2E5C">
              <w:rPr>
                <w:lang w:eastAsia="en-AU"/>
              </w:rPr>
              <w:t>SOD1 proportion</w:t>
            </w:r>
          </w:p>
        </w:tc>
        <w:tc>
          <w:tcPr>
            <w:tcW w:w="3402" w:type="dxa"/>
          </w:tcPr>
          <w:p w14:paraId="079209B2" w14:textId="77777777" w:rsidR="00D81C21" w:rsidRPr="006F2E5C" w:rsidRDefault="00D81C21" w:rsidP="007A591A">
            <w:pPr>
              <w:pStyle w:val="PBACTableText"/>
              <w:spacing w:before="0" w:after="0"/>
              <w:rPr>
                <w:lang w:eastAsia="en-AU"/>
              </w:rPr>
            </w:pPr>
            <w:r w:rsidRPr="006F2E5C">
              <w:rPr>
                <w:lang w:eastAsia="en-AU"/>
              </w:rPr>
              <w:t>4.2%</w:t>
            </w:r>
          </w:p>
          <w:p w14:paraId="45329CFA" w14:textId="27A3ED45" w:rsidR="00D0585A" w:rsidRPr="006F2E5C" w:rsidRDefault="00AA76D4" w:rsidP="007A591A">
            <w:pPr>
              <w:pStyle w:val="PBACTableText"/>
              <w:spacing w:before="0" w:after="0"/>
              <w:rPr>
                <w:lang w:eastAsia="en-AU"/>
              </w:rPr>
            </w:pPr>
            <w:r w:rsidRPr="006F2E5C">
              <w:t>(</w:t>
            </w:r>
            <w:r w:rsidR="00D0585A" w:rsidRPr="006F2E5C">
              <w:t>Average % of relevant countries (Australia, Europe, New Zealand, UK, World) –</w:t>
            </w:r>
            <w:r w:rsidR="007A591A">
              <w:t xml:space="preserve"> </w:t>
            </w:r>
            <w:hyperlink w:anchor="_ENREF_4" w:tooltip="Battistini, 2010 #1775" w:history="1">
              <w:r w:rsidR="00D0585A" w:rsidRPr="006F2E5C">
                <w:rPr>
                  <w:lang w:val="de-DE"/>
                </w:rPr>
                <w:fldChar w:fldCharType="begin"/>
              </w:r>
              <w:r w:rsidR="00D0585A" w:rsidRPr="006F2E5C">
                <w:instrText xml:space="preserve"> ADDIN EN.CITE &lt;EndNote&gt;&lt;Cite AuthorYear="1"&gt;&lt;Author&gt;Battistini&lt;/Author&gt;&lt;Year&gt;2010&lt;/Year&gt;&lt;RecNum&gt;1775&lt;/RecNum&gt;&lt;DisplayText&gt;Battistini et al. (2010)&lt;/DisplayText&gt;&lt;record&gt;&lt;rec-number&gt;1775&lt;/rec-number&gt;&lt;foreign-keys&gt;&lt;key app="EN" db-id="vvxez5t5dxatp9e2zpr52wzuxvpf0p2tftx0" timestamp="1743379698"&gt;1775&lt;/key&gt;&lt;/foreign-keys&gt;&lt;ref-type name="Journal Article"&gt;17&lt;/ref-type&gt;&lt;contributors&gt;&lt;authors&gt;&lt;author&gt;Battistini, S.&lt;/author&gt;&lt;author&gt;Benigni, M.&lt;/author&gt;&lt;author&gt;Ricci, C.&lt;/author&gt;&lt;author&gt;Rossi, A.&lt;/author&gt;&lt;/authors&gt;&lt;/contributors&gt;&lt;auth-address&gt;S. Battistini, Department of Neuroscience, University of Siena, Viale Bracci, 2, 53100 Siena, Italy&lt;/auth-address&gt;&lt;titles&gt;&lt;title&gt;SOD1 mutations in amyotrophic lateral sclerosis&lt;/title&gt;&lt;secondary-title&gt;European Neurological Journal&lt;/secondary-title&gt;&lt;/titles&gt;&lt;periodical&gt;&lt;full-title&gt;European Neurological Journal&lt;/full-title&gt;&lt;/periodical&gt;&lt;volume&gt;4&lt;/volume&gt;&lt;number&gt;2&lt;/number&gt;&lt;keywords&gt;&lt;keyword&gt;copper zinc superoxide dismutase&lt;/keyword&gt;&lt;keyword&gt;amyotrophic lateral sclerosis&lt;/keyword&gt;&lt;keyword&gt;disease model&lt;/keyword&gt;&lt;keyword&gt;enzyme activity&lt;/keyword&gt;&lt;keyword&gt;enzyme structure&lt;/keyword&gt;&lt;keyword&gt;founder effect&lt;/keyword&gt;&lt;keyword&gt;gene frequency&lt;/keyword&gt;&lt;keyword&gt;genetic association&lt;/keyword&gt;&lt;keyword&gt;genetic risk&lt;/keyword&gt;&lt;keyword&gt;genotype phenotype correlation&lt;/keyword&gt;&lt;keyword&gt;human&lt;/keyword&gt;&lt;keyword&gt;molecular pathology&lt;/keyword&gt;&lt;keyword&gt;motor neuron disease&lt;/keyword&gt;&lt;keyword&gt;mutational analysis&lt;/keyword&gt;&lt;keyword&gt;nonhuman&lt;/keyword&gt;&lt;keyword&gt;protein aggregation&lt;/keyword&gt;&lt;keyword&gt;review&lt;/keyword&gt;&lt;keyword&gt;SOD1 gene&lt;/keyword&gt;&lt;keyword&gt;structure analysis&lt;/keyword&gt;&lt;/keywords&gt;&lt;dates&gt;&lt;year&gt;2010&lt;/year&gt;&lt;/dates&gt;&lt;isbn&gt;2041-8000&lt;/isbn&gt;&lt;work-type&gt;Review&lt;/work-type&gt;&lt;urls&gt;&lt;related-urls&gt;&lt;url&gt;https://www.embase.com/search/results?subaction=viewrecord&amp;amp;id=L370152753&amp;amp;from=export&lt;/url&gt;&lt;/related-urls&gt;&lt;/urls&gt;&lt;remote-database-name&gt;Embase&lt;/remote-database-name&gt;&lt;language&gt;English&lt;/language&gt;&lt;/record&gt;&lt;/Cite&gt;&lt;/EndNote&gt;</w:instrText>
              </w:r>
              <w:r w:rsidR="00D0585A" w:rsidRPr="006F2E5C">
                <w:rPr>
                  <w:lang w:val="de-DE"/>
                </w:rPr>
                <w:fldChar w:fldCharType="separate"/>
              </w:r>
              <w:r w:rsidR="00D0585A" w:rsidRPr="006F2E5C">
                <w:rPr>
                  <w:noProof/>
                </w:rPr>
                <w:t>Battistini 2010</w:t>
              </w:r>
              <w:r w:rsidR="00D0585A" w:rsidRPr="006F2E5C">
                <w:rPr>
                  <w:lang w:val="de-DE"/>
                </w:rPr>
                <w:fldChar w:fldCharType="end"/>
              </w:r>
            </w:hyperlink>
            <w:r w:rsidR="00D0585A" w:rsidRPr="006F2E5C">
              <w:t xml:space="preserve">; </w:t>
            </w:r>
            <w:r w:rsidR="00D0585A" w:rsidRPr="006F2E5C">
              <w:fldChar w:fldCharType="begin">
                <w:fldData xml:space="preserve">PEVuZE5vdGU+PENpdGUgQXV0aG9yWWVhcj0iMSI+PEF1dGhvcj5Ccm93bjwvQXV0aG9yPjxZZWFy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</w:fldData>
              </w:fldChar>
            </w:r>
            <w:r w:rsidR="00D0585A" w:rsidRPr="006F2E5C">
              <w:instrText xml:space="preserve"> ADDIN EN.CITE </w:instrText>
            </w:r>
            <w:r w:rsidR="00D0585A" w:rsidRPr="006F2E5C">
              <w:fldChar w:fldCharType="begin">
                <w:fldData xml:space="preserve">PEVuZE5vdGU+PENpdGUgQXV0aG9yWWVhcj0iMSI+PEF1dGhvcj5Ccm93bjwvQXV0aG9yPjxZZWFy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</w:fldData>
              </w:fldChar>
            </w:r>
            <w:r w:rsidR="00D0585A" w:rsidRPr="006F2E5C">
              <w:instrText xml:space="preserve"> ADDIN EN.CITE.DATA </w:instrText>
            </w:r>
            <w:r w:rsidR="00D0585A" w:rsidRPr="006F2E5C">
              <w:fldChar w:fldCharType="end"/>
            </w:r>
            <w:r w:rsidR="00D0585A" w:rsidRPr="006F2E5C">
              <w:fldChar w:fldCharType="separate"/>
            </w:r>
            <w:hyperlink w:anchor="_ENREF_7" w:tooltip="Brown, 2021 #128" w:history="1">
              <w:r w:rsidR="00D0585A" w:rsidRPr="006F2E5C">
                <w:rPr>
                  <w:noProof/>
                </w:rPr>
                <w:t>Brown 2021</w:t>
              </w:r>
            </w:hyperlink>
            <w:r w:rsidR="00D0585A" w:rsidRPr="006F2E5C">
              <w:rPr>
                <w:noProof/>
              </w:rPr>
              <w:t xml:space="preserve">; </w:t>
            </w:r>
            <w:hyperlink w:anchor="_ENREF_17" w:tooltip="Gromicho, 2018 #1786" w:history="1">
              <w:r w:rsidR="00D0585A" w:rsidRPr="006F2E5C">
                <w:rPr>
                  <w:noProof/>
                </w:rPr>
                <w:t>Gromicho 2018</w:t>
              </w:r>
            </w:hyperlink>
            <w:r w:rsidR="00D0585A" w:rsidRPr="006F2E5C">
              <w:fldChar w:fldCharType="end"/>
            </w:r>
            <w:r w:rsidR="00D0585A" w:rsidRPr="006F2E5C">
              <w:t xml:space="preserve">; </w:t>
            </w:r>
            <w:hyperlink w:anchor="_ENREF_26" w:tooltip="McCann, 2017 #1818" w:history="1">
              <w:r w:rsidR="00D0585A" w:rsidRPr="006F2E5C">
                <w:rPr>
                  <w:lang w:val="de-DE"/>
                </w:rPr>
                <w:fldChar w:fldCharType="begin"/>
              </w:r>
              <w:r w:rsidR="00D0585A" w:rsidRPr="006F2E5C">
                <w:instrText xml:space="preserve"> ADDIN EN.CITE &lt;EndNote&gt;&lt;Cite AuthorYear="1"&gt;&lt;Author&gt;McCann&lt;/Author&gt;&lt;Year&gt;2017&lt;/Year&gt;&lt;RecNum&gt;1818&lt;/RecNum&gt;&lt;DisplayText&gt;McCann et al. (2017)&lt;/DisplayText&gt;&lt;record&gt;&lt;rec-number&gt;1818&lt;/rec-number&gt;&lt;foreign-keys&gt;&lt;key app="EN" db-id="vvxez5t5dxatp9e2zpr52wzuxvpf0p2tftx0" timestamp="1743742618"&gt;1818&lt;/key&gt;&lt;/foreign-keys&gt;&lt;ref-type name="Journal Article"&gt;17&lt;/ref-type&gt;&lt;contributors&gt;&lt;authors&gt;&lt;author&gt;McCann, E. P.&lt;/author&gt;&lt;author&gt;Williams, K. L.&lt;/author&gt;&lt;author&gt;Fifita, J. A.&lt;/author&gt;&lt;author&gt;Tarr, I. S.&lt;/author&gt;&lt;author&gt;O&amp;apos;Connor, J.&lt;/author&gt;&lt;author&gt;Rowe, D. B.&lt;/author&gt;&lt;author&gt;Nicholson, G. A.&lt;/author&gt;&lt;author&gt;Blair, I. P.&lt;/author&gt;&lt;/authors&gt;&lt;/contributors&gt;&lt;titles&gt;&lt;title&gt;The genotype–phenotype landscape of familial amyotrophic lateral sclerosis in Australia&lt;/title&gt;&lt;secondary-title&gt;Clinical Genetics&lt;/sec</w:instrText>
              </w:r>
              <w:r w:rsidR="00D0585A" w:rsidRPr="006F2E5C">
                <w:rPr>
                  <w:lang w:val="de-DE"/>
                </w:rPr>
                <w:instrText>ondary-title&gt;&lt;/titles&gt;&lt;periodical&gt;&lt;full-title&gt;Clinical Genetics&lt;/full-title&gt;&lt;/periodical&gt;&lt;pages&gt;259-266&lt;/pages&gt;&lt;volume&gt;92&lt;/volume&gt;&lt;number&gt;3&lt;/number&gt;&lt;keywords&gt;&lt;keyword&gt;amyotrophic lateral sclerosis&lt;/keyword&gt;&lt;keyword&gt;correlation&lt;/keyword&gt;&lt;keyword&gt;genotype&lt;/keyword&gt;&lt;keyword&gt;mutation&lt;/keyword&gt;&lt;keyword&gt;phenotype&lt;/keyword&gt;&lt;/keywords&gt;&lt;dates&gt;&lt;year&gt;2017&lt;/year&gt;&lt;pub-dates&gt;&lt;date&gt;2017/09/01&lt;/date&gt;&lt;/pub-dates&gt;&lt;/dates&gt;&lt;publisher&gt;John Wiley &amp;amp; Sons, Ltd&lt;/publisher&gt;&lt;isbn&gt;0009-9163&lt;/isbn&gt;&lt;urls&gt;&lt;related-urls&gt;&lt;url&gt;https://doi.org/10.1111/cge.12973&lt;/url&gt;&lt;/related-urls&gt;&lt;/urls&gt;&lt;electronic-resource-num&gt;https://doi.org/10.1111/cge.12973&lt;/electronic-resource-num&gt;&lt;access-date&gt;2024/12/11&lt;/access-date&gt;&lt;/record&gt;&lt;/Cite&gt;&lt;/EndNote&gt;</w:instrText>
              </w:r>
              <w:r w:rsidR="00D0585A" w:rsidRPr="006F2E5C">
                <w:rPr>
                  <w:lang w:val="de-DE"/>
                </w:rPr>
                <w:fldChar w:fldCharType="separate"/>
              </w:r>
              <w:r w:rsidR="00D0585A" w:rsidRPr="006F2E5C">
                <w:rPr>
                  <w:noProof/>
                  <w:lang w:val="de-DE"/>
                </w:rPr>
                <w:t>McCann 2017</w:t>
              </w:r>
              <w:r w:rsidR="00D0585A" w:rsidRPr="006F2E5C">
                <w:rPr>
                  <w:lang w:val="de-DE"/>
                </w:rPr>
                <w:fldChar w:fldCharType="end"/>
              </w:r>
            </w:hyperlink>
            <w:r w:rsidR="00D0585A" w:rsidRPr="006F2E5C">
              <w:rPr>
                <w:lang w:val="de-DE"/>
              </w:rPr>
              <w:t xml:space="preserve">; </w:t>
            </w:r>
            <w:r w:rsidR="00D0585A">
              <w:fldChar w:fldCharType="begin"/>
            </w:r>
            <w:r w:rsidR="00D0585A">
              <w:instrText>HYPERLINK \l "_ENREF_32" \o "Mrkela, 2024 #1797"</w:instrText>
            </w:r>
            <w:r w:rsidR="00D0585A">
              <w:fldChar w:fldCharType="separate"/>
            </w:r>
            <w:r w:rsidR="00D0585A" w:rsidRPr="006F2E5C">
              <w:rPr>
                <w:lang w:val="de-DE"/>
              </w:rPr>
              <w:fldChar w:fldCharType="begin">
                <w:fldData xml:space="preserve">PEVuZE5vdGU+PENpdGUgQXV0aG9yWWVhcj0iMSI+PEF1dGhvcj5NcmtlbGE8L0F1dGhvcj48WWVh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</w:fldData>
              </w:fldChar>
            </w:r>
            <w:r w:rsidR="00D0585A" w:rsidRPr="006F2E5C">
              <w:rPr>
                <w:lang w:val="de-DE"/>
              </w:rPr>
              <w:instrText xml:space="preserve"> ADDIN EN.CITE </w:instrText>
            </w:r>
            <w:r w:rsidR="00D0585A" w:rsidRPr="006F2E5C">
              <w:rPr>
                <w:lang w:val="de-DE"/>
              </w:rPr>
              <w:fldChar w:fldCharType="begin">
                <w:fldData xml:space="preserve">PEVuZE5vdGU+PENpdGUgQXV0aG9yWWVhcj0iMSI+PEF1dGhvcj5NcmtlbGE8L0F1dGhvcj48WWVh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</w:fldData>
              </w:fldChar>
            </w:r>
            <w:r w:rsidR="00D0585A" w:rsidRPr="006F2E5C">
              <w:rPr>
                <w:lang w:val="de-DE"/>
              </w:rPr>
              <w:instrText xml:space="preserve"> ADDIN EN.CITE.DATA </w:instrText>
            </w:r>
            <w:r w:rsidR="00D0585A" w:rsidRPr="006F2E5C">
              <w:rPr>
                <w:lang w:val="de-DE"/>
              </w:rPr>
            </w:r>
            <w:r w:rsidR="00D0585A" w:rsidRPr="006F2E5C">
              <w:rPr>
                <w:lang w:val="de-DE"/>
              </w:rPr>
              <w:fldChar w:fldCharType="end"/>
            </w:r>
            <w:r w:rsidR="00D0585A" w:rsidRPr="006F2E5C">
              <w:rPr>
                <w:lang w:val="de-DE"/>
              </w:rPr>
            </w:r>
            <w:r w:rsidR="00D0585A" w:rsidRPr="006F2E5C">
              <w:rPr>
                <w:lang w:val="de-DE"/>
              </w:rPr>
              <w:fldChar w:fldCharType="separate"/>
            </w:r>
            <w:r w:rsidR="00D0585A" w:rsidRPr="006F2E5C">
              <w:rPr>
                <w:noProof/>
                <w:lang w:val="de-DE"/>
              </w:rPr>
              <w:t>Mrkela 2024</w:t>
            </w:r>
            <w:r w:rsidR="00D0585A" w:rsidRPr="006F2E5C">
              <w:rPr>
                <w:lang w:val="de-DE"/>
              </w:rPr>
              <w:fldChar w:fldCharType="end"/>
            </w:r>
            <w:r w:rsidR="00D0585A">
              <w:fldChar w:fldCharType="end"/>
            </w:r>
            <w:r w:rsidR="00D0585A" w:rsidRPr="006F2E5C">
              <w:rPr>
                <w:lang w:val="de-DE"/>
              </w:rPr>
              <w:t xml:space="preserve">; </w:t>
            </w:r>
            <w:hyperlink w:anchor="_ENREF_43" w:tooltip="Van Es, 2010 #1806" w:history="1">
              <w:r w:rsidR="00D0585A" w:rsidRPr="006F2E5C">
                <w:rPr>
                  <w:lang w:val="de-DE"/>
                </w:rPr>
                <w:fldChar w:fldCharType="begin">
                  <w:fldData xml:space="preserve">PEVuZE5vdGU+PENpdGUgQXV0aG9yWWVhcj0iMSI+PEF1dGhvcj5WYW4gRXM8L0F1dGhvcj48WWVh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</w:fldData>
                </w:fldChar>
              </w:r>
              <w:r w:rsidR="00D0585A" w:rsidRPr="006F2E5C">
                <w:rPr>
                  <w:lang w:val="de-DE"/>
                </w:rPr>
                <w:instrText xml:space="preserve"> ADDIN EN.CITE </w:instrText>
              </w:r>
              <w:r w:rsidR="00D0585A" w:rsidRPr="006F2E5C">
                <w:rPr>
                  <w:lang w:val="de-DE"/>
                </w:rPr>
                <w:fldChar w:fldCharType="begin">
                  <w:fldData xml:space="preserve">PEVuZE5vdGU+PENpdGUgQXV0aG9yWWVhcj0iMSI+PEF1dGhvcj5WYW4gRXM8L0F1dGhvcj48WWVh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</w:fldData>
                </w:fldChar>
              </w:r>
              <w:r w:rsidR="00D0585A" w:rsidRPr="006F2E5C">
                <w:rPr>
                  <w:lang w:val="de-DE"/>
                </w:rPr>
                <w:instrText xml:space="preserve"> ADDIN EN.CITE.DATA </w:instrText>
              </w:r>
              <w:r w:rsidR="00D0585A" w:rsidRPr="006F2E5C">
                <w:rPr>
                  <w:lang w:val="de-DE"/>
                </w:rPr>
              </w:r>
              <w:r w:rsidR="00D0585A" w:rsidRPr="006F2E5C">
                <w:rPr>
                  <w:lang w:val="de-DE"/>
                </w:rPr>
                <w:fldChar w:fldCharType="end"/>
              </w:r>
              <w:r w:rsidR="00D0585A" w:rsidRPr="006F2E5C">
                <w:rPr>
                  <w:lang w:val="de-DE"/>
                </w:rPr>
              </w:r>
              <w:r w:rsidR="00D0585A" w:rsidRPr="006F2E5C">
                <w:rPr>
                  <w:lang w:val="de-DE"/>
                </w:rPr>
                <w:fldChar w:fldCharType="separate"/>
              </w:r>
              <w:r w:rsidR="00D0585A" w:rsidRPr="006F2E5C">
                <w:rPr>
                  <w:noProof/>
                  <w:lang w:val="de-DE"/>
                </w:rPr>
                <w:t>Van Es 2010</w:t>
              </w:r>
              <w:r w:rsidR="00D0585A" w:rsidRPr="006F2E5C">
                <w:rPr>
                  <w:lang w:val="de-DE"/>
                </w:rPr>
                <w:fldChar w:fldCharType="end"/>
              </w:r>
            </w:hyperlink>
            <w:r w:rsidR="00D0585A" w:rsidRPr="006F2E5C">
              <w:rPr>
                <w:lang w:val="de-DE"/>
              </w:rPr>
              <w:t xml:space="preserve">; </w:t>
            </w:r>
            <w:hyperlink w:anchor="_ENREF_50" w:tooltip="Zou, 2017 #126" w:history="1">
              <w:r w:rsidR="00D0585A" w:rsidRPr="006F2E5C">
                <w:rPr>
                  <w:lang w:val="de-DE"/>
                </w:rPr>
                <w:fldChar w:fldCharType="begin"/>
              </w:r>
              <w:r w:rsidR="00D0585A" w:rsidRPr="006F2E5C">
                <w:rPr>
                  <w:lang w:val="de-DE"/>
                </w:rPr>
                <w:instrText xml:space="preserve"> ADDIN EN.CITE &lt;EndNote&gt;&lt;Cite AuthorYear="1"&gt;&lt;Author&gt;Zou&lt;/Author&gt;&lt;Year&gt;2017&lt;/Year&gt;&lt;RecNum&gt;126&lt;/RecNum&gt;&lt;DisplayText&gt;Zou et al. (2017)&lt;/DisplayText&gt;&lt;record&gt;&lt;rec-number&gt;126&lt;/rec-number&gt;&lt;foreign-keys&gt;&lt;key app="EN" db-id="vvxez5t5dxatp9e2zpr52wzuxvpf0p2tftx0" timestamp="1716424541"&gt;126&lt;/key&gt;&lt;/foreign-keys&gt;&lt;ref-type name="Journal Article"&gt;17&lt;/ref-type&gt;&lt;contributors&gt;&lt;authors&gt;&lt;author&gt;Zou, Z. Y.&lt;/author&gt;&lt;author&gt;Zhou, Z. R.&lt;/author&gt;&lt;author&gt;Che, C. H.&lt;/author&gt;&lt;author&gt;Liu, C. Y.&lt;/author&gt;&lt;author&gt;He, R. L.&lt;/author&gt;&lt;author&gt;Huang, H. P.&lt;/author&gt;&lt;/authors&gt;&lt;/contributors&gt;&lt;auth-address&gt;Department of Neurology, Fujian Medical University Union Hospital, Fuzhou, China.&amp;#xD;Department of Radiation Oncology, Fudan University Shanghai Cancer Center, Shanghai, China.&amp;#xD;Department of Oncology, Shanghai Medical College, Fudan University, Shanghai, China.&lt;/auth-address&gt;&lt;titles&gt;&lt;title&gt;Genetic epidemiology of amyotrophic lateral sclerosis: a systematic review and meta-analysis&lt;/title&gt;&lt;secondary-title&gt;J Neurol Neurosurg Psychiatry&lt;/secondary-title&gt;&lt;/titles&gt;&lt;periodical&gt;&lt;full-title&gt;J Neurol Neurosurg Psychiatry&lt;/full-title&gt;&lt;/periodical&gt;&lt;pages&gt;540-549&lt;/pages&gt;&lt;volume&gt;88&lt;/volume&gt;&lt;number&gt;7&lt;/number&gt;&lt;edition&gt;20170105&lt;/edition&gt;&lt;keywords&gt;&lt;keyword&gt;Amyotrophic Lateral Sclerosis/*genetics&lt;/keyword&gt;&lt;keyword&gt;Asian People/genetics&lt;/keyword&gt;&lt;keyword&gt;DNA-Binding Proteins/genetics&lt;/keyword&gt;&lt;keyword&gt;Genetic Predisposition to Disease&lt;/keyword&gt;&lt;keyword&gt;Humans&lt;/keyword&gt;&lt;keyword&gt;*Molecular Epidemiology&lt;/keyword&gt;&lt;keyword&gt;Mutation/*genetics&lt;/keyword&gt;&lt;keyword&gt;White People/genetics&lt;/keyword&gt;&lt;/keywords&gt;&lt;dates&gt;&lt;year&gt;2017&lt;/year&gt;&lt;pub-dates&gt;&lt;date&gt;Jul&lt;/date&gt;&lt;/pub-dates&gt;&lt;/dates&gt;&lt;isbn&gt;0022-3050&lt;/isbn&gt;&lt;accession-num&gt;28057713&lt;/accession-num&gt;&lt;urls&gt;&lt;/urls&gt;&lt;custom1&gt;Competing interests: None declared.&lt;/custom1&gt;&lt;electronic-resource-num&gt;10.1136/jnnp-2016-315018&lt;/electronic-resource-num&gt;&lt;remote-database-provider&gt;NLM&lt;/remote-database-provider&gt;&lt;language&gt;eng&lt;/language&gt;&lt;/record&gt;&lt;/Cite&gt;&lt;/EndNote&gt;</w:instrText>
              </w:r>
              <w:r w:rsidR="00D0585A" w:rsidRPr="006F2E5C">
                <w:rPr>
                  <w:lang w:val="de-DE"/>
                </w:rPr>
                <w:fldChar w:fldCharType="separate"/>
              </w:r>
              <w:r w:rsidR="00D0585A" w:rsidRPr="006F2E5C">
                <w:rPr>
                  <w:noProof/>
                  <w:lang w:val="de-DE"/>
                </w:rPr>
                <w:t>Zou 2017)</w:t>
              </w:r>
              <w:r w:rsidR="00D0585A" w:rsidRPr="006F2E5C">
                <w:rPr>
                  <w:lang w:val="de-DE"/>
                </w:rPr>
                <w:fldChar w:fldCharType="end"/>
              </w:r>
            </w:hyperlink>
          </w:p>
        </w:tc>
        <w:tc>
          <w:tcPr>
            <w:tcW w:w="3333" w:type="dxa"/>
            <w:noWrap/>
          </w:tcPr>
          <w:p w14:paraId="41BD0739" w14:textId="2255E6A8" w:rsidR="00D81C21" w:rsidRPr="006F2E5C" w:rsidRDefault="00602FF4" w:rsidP="007A591A">
            <w:pPr>
              <w:pStyle w:val="PBACTableText"/>
              <w:spacing w:before="0" w:after="0"/>
              <w:rPr>
                <w:lang w:eastAsia="en-AU"/>
              </w:rPr>
            </w:pPr>
            <w:r w:rsidRPr="006F2E5C">
              <w:rPr>
                <w:lang w:eastAsia="en-AU"/>
              </w:rPr>
              <w:t>Unchanged</w:t>
            </w:r>
            <w:r w:rsidR="003F447E" w:rsidRPr="006F2E5C">
              <w:rPr>
                <w:lang w:eastAsia="en-AU"/>
              </w:rPr>
              <w:t xml:space="preserve">. The DUSC previously noted that the estimates were highly sensitive to the </w:t>
            </w:r>
            <w:r w:rsidR="008B0022" w:rsidRPr="006F2E5C">
              <w:rPr>
                <w:lang w:eastAsia="en-AU"/>
              </w:rPr>
              <w:t>proportion and that there was substantial geographic heterogeneity in this proportion.</w:t>
            </w:r>
          </w:p>
        </w:tc>
      </w:tr>
      <w:tr w:rsidR="00D81C21" w:rsidRPr="006F2E5C" w14:paraId="070ED346" w14:textId="77777777" w:rsidTr="00D75064">
        <w:trPr>
          <w:cantSplit/>
          <w:trHeight w:val="275"/>
        </w:trPr>
        <w:tc>
          <w:tcPr>
            <w:tcW w:w="2400" w:type="dxa"/>
            <w:vAlign w:val="center"/>
          </w:tcPr>
          <w:p w14:paraId="059F0527" w14:textId="77777777" w:rsidR="00D81C21" w:rsidRPr="006F2E5C" w:rsidRDefault="00D81C21" w:rsidP="007A591A">
            <w:pPr>
              <w:pStyle w:val="PBACTableText"/>
              <w:spacing w:before="0" w:after="0"/>
              <w:rPr>
                <w:lang w:eastAsia="en-AU"/>
              </w:rPr>
            </w:pPr>
            <w:r w:rsidRPr="006F2E5C">
              <w:rPr>
                <w:lang w:eastAsia="en-AU"/>
              </w:rPr>
              <w:t>Grandfathered patients</w:t>
            </w:r>
          </w:p>
        </w:tc>
        <w:tc>
          <w:tcPr>
            <w:tcW w:w="3402" w:type="dxa"/>
          </w:tcPr>
          <w:p w14:paraId="3264E079" w14:textId="0C45994B" w:rsidR="00D81C21" w:rsidRPr="006F2E5C" w:rsidRDefault="00C10EC6" w:rsidP="007A591A">
            <w:pPr>
              <w:pStyle w:val="PBACTableText"/>
              <w:spacing w:before="0" w:after="0"/>
              <w:rPr>
                <w:lang w:eastAsia="en-AU"/>
              </w:rPr>
            </w:pPr>
            <w:r w:rsidRPr="00C10EC6">
              <w:rPr>
                <w:sz w:val="2"/>
                <w:highlight w:val="black"/>
                <w:lang w:eastAsia="en-AU"/>
              </w:rPr>
              <w:t>redacted content</w:t>
            </w:r>
            <w:r w:rsidR="005D7BB0">
              <w:rPr>
                <w:vertAlign w:val="superscript"/>
                <w:lang w:eastAsia="en-AU"/>
              </w:rPr>
              <w:t>1</w:t>
            </w:r>
            <w:r w:rsidR="00D81C21" w:rsidRPr="006F2E5C">
              <w:rPr>
                <w:lang w:eastAsia="en-AU"/>
              </w:rPr>
              <w:t xml:space="preserve"> in Year 1</w:t>
            </w:r>
          </w:p>
          <w:p w14:paraId="40955F7E" w14:textId="20B24876" w:rsidR="00602FF4" w:rsidRPr="006F2E5C" w:rsidRDefault="00AA76D4" w:rsidP="007A591A">
            <w:pPr>
              <w:pStyle w:val="PBACTableText"/>
              <w:spacing w:before="0" w:after="0"/>
              <w:rPr>
                <w:lang w:eastAsia="en-AU"/>
              </w:rPr>
            </w:pPr>
            <w:r w:rsidRPr="006F2E5C">
              <w:t>(</w:t>
            </w:r>
            <w:r w:rsidR="00602FF4" w:rsidRPr="006F2E5C">
              <w:t>Biogen early access program</w:t>
            </w:r>
            <w:r w:rsidRPr="006F2E5C">
              <w:t>)</w:t>
            </w:r>
          </w:p>
        </w:tc>
        <w:tc>
          <w:tcPr>
            <w:tcW w:w="3333" w:type="dxa"/>
            <w:noWrap/>
          </w:tcPr>
          <w:p w14:paraId="3D7D32B3" w14:textId="5E7426B1" w:rsidR="00D81C21" w:rsidRPr="006F2E5C" w:rsidRDefault="00602FF4" w:rsidP="007A591A">
            <w:pPr>
              <w:pStyle w:val="PBACTableText"/>
              <w:spacing w:before="0" w:after="0"/>
            </w:pPr>
            <w:r w:rsidRPr="006F2E5C">
              <w:t>Unchanged</w:t>
            </w:r>
            <w:r w:rsidR="008B0022" w:rsidRPr="006F2E5C">
              <w:t>.</w:t>
            </w:r>
            <w:r w:rsidRPr="006F2E5C">
              <w:t xml:space="preserve"> </w:t>
            </w:r>
          </w:p>
        </w:tc>
      </w:tr>
      <w:tr w:rsidR="00D81C21" w:rsidRPr="006F2E5C" w14:paraId="387CAA3B" w14:textId="77777777" w:rsidTr="00D75064">
        <w:trPr>
          <w:cantSplit/>
          <w:trHeight w:val="275"/>
        </w:trPr>
        <w:tc>
          <w:tcPr>
            <w:tcW w:w="2400" w:type="dxa"/>
            <w:vAlign w:val="center"/>
          </w:tcPr>
          <w:p w14:paraId="5ECBDA87" w14:textId="64B3E1A3" w:rsidR="00D81C21" w:rsidRPr="006F2E5C" w:rsidRDefault="00D81C21" w:rsidP="007A591A">
            <w:pPr>
              <w:pStyle w:val="PBACTableText"/>
              <w:spacing w:before="0" w:after="0"/>
              <w:rPr>
                <w:lang w:eastAsia="en-AU"/>
              </w:rPr>
            </w:pPr>
            <w:r w:rsidRPr="006F2E5C">
              <w:rPr>
                <w:lang w:eastAsia="en-AU"/>
              </w:rPr>
              <w:t>Uptake</w:t>
            </w:r>
            <w:r w:rsidR="00671A6A" w:rsidRPr="006F2E5C">
              <w:rPr>
                <w:lang w:eastAsia="en-AU"/>
              </w:rPr>
              <w:t xml:space="preserve"> </w:t>
            </w:r>
          </w:p>
        </w:tc>
        <w:tc>
          <w:tcPr>
            <w:tcW w:w="3402" w:type="dxa"/>
          </w:tcPr>
          <w:p w14:paraId="643019A9" w14:textId="2CD57337" w:rsidR="00152554" w:rsidRPr="006F2E5C" w:rsidRDefault="00152554" w:rsidP="007A591A">
            <w:pPr>
              <w:pStyle w:val="PBACTableText"/>
              <w:spacing w:before="0" w:after="0"/>
              <w:rPr>
                <w:lang w:eastAsia="en-AU"/>
              </w:rPr>
            </w:pPr>
            <w:r w:rsidRPr="006F2E5C">
              <w:rPr>
                <w:lang w:eastAsia="en-AU"/>
              </w:rPr>
              <w:t xml:space="preserve">Year 1: </w:t>
            </w:r>
            <w:r w:rsidR="00C10EC6" w:rsidRPr="00C10EC6">
              <w:rPr>
                <w:sz w:val="2"/>
                <w:highlight w:val="black"/>
                <w:lang w:eastAsia="en-AU"/>
              </w:rPr>
              <w:t>redacted content</w:t>
            </w:r>
            <w:r w:rsidR="00D81C21" w:rsidRPr="006F2E5C">
              <w:rPr>
                <w:lang w:eastAsia="en-AU"/>
              </w:rPr>
              <w:t>%</w:t>
            </w:r>
          </w:p>
          <w:p w14:paraId="00F0AFBC" w14:textId="288A5DCD" w:rsidR="00C5161D" w:rsidRPr="006F2E5C" w:rsidRDefault="00152554" w:rsidP="007A591A">
            <w:pPr>
              <w:pStyle w:val="PBACTableText"/>
              <w:spacing w:before="0" w:after="0"/>
              <w:rPr>
                <w:lang w:eastAsia="en-AU"/>
              </w:rPr>
            </w:pPr>
            <w:r w:rsidRPr="006F2E5C">
              <w:rPr>
                <w:lang w:eastAsia="en-AU"/>
              </w:rPr>
              <w:t xml:space="preserve">Year 2: </w:t>
            </w:r>
            <w:r w:rsidR="00C10EC6" w:rsidRPr="00C10EC6">
              <w:rPr>
                <w:sz w:val="2"/>
                <w:highlight w:val="black"/>
                <w:lang w:eastAsia="en-AU"/>
              </w:rPr>
              <w:t>redacted content</w:t>
            </w:r>
            <w:r w:rsidR="00C5161D" w:rsidRPr="006F2E5C">
              <w:rPr>
                <w:lang w:eastAsia="en-AU"/>
              </w:rPr>
              <w:t>%</w:t>
            </w:r>
          </w:p>
          <w:p w14:paraId="47C7622A" w14:textId="4CEB2001" w:rsidR="00C5161D" w:rsidRPr="006F2E5C" w:rsidRDefault="00C5161D" w:rsidP="007A591A">
            <w:pPr>
              <w:pStyle w:val="PBACTableText"/>
              <w:spacing w:before="0" w:after="0"/>
              <w:rPr>
                <w:lang w:eastAsia="en-AU"/>
              </w:rPr>
            </w:pPr>
            <w:r w:rsidRPr="006F2E5C">
              <w:rPr>
                <w:lang w:eastAsia="en-AU"/>
              </w:rPr>
              <w:t xml:space="preserve">Year 3: </w:t>
            </w:r>
            <w:r w:rsidR="00C10EC6" w:rsidRPr="00C10EC6">
              <w:rPr>
                <w:sz w:val="2"/>
                <w:highlight w:val="black"/>
                <w:lang w:eastAsia="en-AU"/>
              </w:rPr>
              <w:t>redacted content</w:t>
            </w:r>
            <w:r w:rsidRPr="006F2E5C">
              <w:rPr>
                <w:lang w:eastAsia="en-AU"/>
              </w:rPr>
              <w:t>%</w:t>
            </w:r>
          </w:p>
          <w:p w14:paraId="3CF067BD" w14:textId="3AA77E6E" w:rsidR="00C5161D" w:rsidRPr="006F2E5C" w:rsidRDefault="00C5161D" w:rsidP="007A591A">
            <w:pPr>
              <w:pStyle w:val="PBACTableText"/>
              <w:spacing w:before="0" w:after="0"/>
              <w:rPr>
                <w:lang w:eastAsia="en-AU"/>
              </w:rPr>
            </w:pPr>
            <w:r w:rsidRPr="006F2E5C">
              <w:rPr>
                <w:lang w:eastAsia="en-AU"/>
              </w:rPr>
              <w:t xml:space="preserve">Year 4: </w:t>
            </w:r>
            <w:r w:rsidR="00C10EC6" w:rsidRPr="00C10EC6">
              <w:rPr>
                <w:sz w:val="2"/>
                <w:highlight w:val="black"/>
                <w:lang w:eastAsia="en-AU"/>
              </w:rPr>
              <w:t>redacted content</w:t>
            </w:r>
            <w:r w:rsidRPr="006F2E5C">
              <w:rPr>
                <w:lang w:eastAsia="en-AU"/>
              </w:rPr>
              <w:t>%</w:t>
            </w:r>
          </w:p>
          <w:p w14:paraId="5B3A68BE" w14:textId="06BFDBBC" w:rsidR="00C5161D" w:rsidRPr="006F2E5C" w:rsidRDefault="00C5161D" w:rsidP="007A591A">
            <w:pPr>
              <w:pStyle w:val="PBACTableText"/>
              <w:spacing w:before="0" w:after="0"/>
              <w:rPr>
                <w:lang w:eastAsia="en-AU"/>
              </w:rPr>
            </w:pPr>
            <w:r w:rsidRPr="006F2E5C">
              <w:rPr>
                <w:lang w:eastAsia="en-AU"/>
              </w:rPr>
              <w:t xml:space="preserve">Year 5: </w:t>
            </w:r>
            <w:r w:rsidR="00C10EC6" w:rsidRPr="00C10EC6">
              <w:rPr>
                <w:sz w:val="2"/>
                <w:highlight w:val="black"/>
                <w:lang w:eastAsia="en-AU"/>
              </w:rPr>
              <w:t>redacted content</w:t>
            </w:r>
            <w:r w:rsidRPr="006F2E5C">
              <w:rPr>
                <w:lang w:eastAsia="en-AU"/>
              </w:rPr>
              <w:t>%</w:t>
            </w:r>
          </w:p>
          <w:p w14:paraId="7FE8490D" w14:textId="6138AA8C" w:rsidR="00D81C21" w:rsidRPr="006F2E5C" w:rsidRDefault="00C5161D" w:rsidP="007A591A">
            <w:pPr>
              <w:pStyle w:val="PBACTableText"/>
              <w:spacing w:before="0" w:after="0"/>
              <w:rPr>
                <w:lang w:eastAsia="en-AU"/>
              </w:rPr>
            </w:pPr>
            <w:r w:rsidRPr="006F2E5C">
              <w:rPr>
                <w:lang w:eastAsia="en-AU"/>
              </w:rPr>
              <w:t>Year 6:</w:t>
            </w:r>
            <w:r w:rsidR="00D81C21" w:rsidRPr="006F2E5C">
              <w:rPr>
                <w:lang w:eastAsia="en-AU"/>
              </w:rPr>
              <w:t xml:space="preserve"> </w:t>
            </w:r>
            <w:r w:rsidR="00C10EC6" w:rsidRPr="00C10EC6">
              <w:rPr>
                <w:sz w:val="2"/>
                <w:highlight w:val="black"/>
                <w:lang w:eastAsia="en-AU"/>
              </w:rPr>
              <w:t>redacted content</w:t>
            </w:r>
            <w:r w:rsidR="00D81C21" w:rsidRPr="006F2E5C">
              <w:rPr>
                <w:lang w:eastAsia="en-AU"/>
              </w:rPr>
              <w:t xml:space="preserve">% </w:t>
            </w:r>
          </w:p>
          <w:p w14:paraId="4D8B4C6D" w14:textId="70C012FD" w:rsidR="00AA76D4" w:rsidRPr="006F2E5C" w:rsidRDefault="00AA76D4" w:rsidP="007A591A">
            <w:pPr>
              <w:pStyle w:val="PBACTableText"/>
              <w:spacing w:before="0" w:after="0"/>
              <w:rPr>
                <w:lang w:eastAsia="en-AU"/>
              </w:rPr>
            </w:pPr>
            <w:r w:rsidRPr="006F2E5C">
              <w:rPr>
                <w:lang w:eastAsia="en-AU"/>
              </w:rPr>
              <w:t>(Assumption)</w:t>
            </w:r>
          </w:p>
        </w:tc>
        <w:tc>
          <w:tcPr>
            <w:tcW w:w="3333" w:type="dxa"/>
            <w:noWrap/>
          </w:tcPr>
          <w:p w14:paraId="77D938CE" w14:textId="02BF35D7" w:rsidR="006A51E0" w:rsidRPr="006F2E5C" w:rsidRDefault="00143ACA" w:rsidP="007A591A">
            <w:pPr>
              <w:pStyle w:val="PBACTableText"/>
              <w:spacing w:before="0" w:after="0"/>
              <w:rPr>
                <w:lang w:eastAsia="en-AU"/>
              </w:rPr>
            </w:pPr>
            <w:r w:rsidRPr="006F2E5C">
              <w:rPr>
                <w:lang w:eastAsia="en-AU"/>
              </w:rPr>
              <w:t>Updated from November 2025 (</w:t>
            </w:r>
            <w:r w:rsidR="00C10EC6" w:rsidRPr="00C10EC6">
              <w:rPr>
                <w:sz w:val="2"/>
                <w:highlight w:val="black"/>
                <w:lang w:eastAsia="en-AU"/>
              </w:rPr>
              <w:t>redacted content</w:t>
            </w:r>
            <w:r w:rsidRPr="006F2E5C">
              <w:rPr>
                <w:lang w:eastAsia="en-AU"/>
              </w:rPr>
              <w:t xml:space="preserve">% </w:t>
            </w:r>
            <w:r w:rsidR="00870194" w:rsidRPr="006F2E5C">
              <w:rPr>
                <w:lang w:eastAsia="en-AU"/>
              </w:rPr>
              <w:t xml:space="preserve">in Year 1 to </w:t>
            </w:r>
            <w:r w:rsidR="00C10EC6" w:rsidRPr="00C10EC6">
              <w:rPr>
                <w:sz w:val="2"/>
                <w:highlight w:val="black"/>
                <w:lang w:eastAsia="en-AU"/>
              </w:rPr>
              <w:t>redacted content</w:t>
            </w:r>
            <w:r w:rsidR="00870194" w:rsidRPr="006F2E5C">
              <w:rPr>
                <w:lang w:eastAsia="en-AU"/>
              </w:rPr>
              <w:t>% in Year 6</w:t>
            </w:r>
            <w:r w:rsidRPr="006F2E5C">
              <w:rPr>
                <w:lang w:eastAsia="en-AU"/>
              </w:rPr>
              <w:t>)</w:t>
            </w:r>
            <w:r w:rsidR="008B0022" w:rsidRPr="006F2E5C">
              <w:rPr>
                <w:lang w:eastAsia="en-AU"/>
              </w:rPr>
              <w:t>.</w:t>
            </w:r>
            <w:r w:rsidR="00AC6B06" w:rsidRPr="006F2E5C">
              <w:rPr>
                <w:lang w:eastAsia="en-AU"/>
              </w:rPr>
              <w:t xml:space="preserve"> </w:t>
            </w:r>
            <w:r w:rsidR="00C5161D" w:rsidRPr="006F2E5C">
              <w:rPr>
                <w:lang w:eastAsia="en-AU"/>
              </w:rPr>
              <w:t xml:space="preserve">The resubmission stated that </w:t>
            </w:r>
            <w:r w:rsidR="006A51E0" w:rsidRPr="006F2E5C">
              <w:rPr>
                <w:lang w:eastAsia="en-AU"/>
              </w:rPr>
              <w:t>there was anticipated demand from patients and clinicians.</w:t>
            </w:r>
          </w:p>
          <w:p w14:paraId="73FFD433" w14:textId="015BF008" w:rsidR="00D81C21" w:rsidRPr="006F2E5C" w:rsidRDefault="0067196F" w:rsidP="007A591A">
            <w:pPr>
              <w:pStyle w:val="PBACTableText"/>
              <w:spacing w:before="0" w:after="0"/>
              <w:rPr>
                <w:lang w:eastAsia="en-AU"/>
              </w:rPr>
            </w:pPr>
            <w:r w:rsidRPr="006F2E5C">
              <w:rPr>
                <w:lang w:eastAsia="en-AU"/>
              </w:rPr>
              <w:t xml:space="preserve">The PBAC </w:t>
            </w:r>
            <w:r w:rsidR="00555BBB">
              <w:rPr>
                <w:lang w:eastAsia="en-AU"/>
              </w:rPr>
              <w:t>maintained</w:t>
            </w:r>
            <w:r w:rsidR="00F76A30">
              <w:rPr>
                <w:lang w:eastAsia="en-AU"/>
              </w:rPr>
              <w:t xml:space="preserve"> </w:t>
            </w:r>
            <w:r w:rsidRPr="006F2E5C">
              <w:rPr>
                <w:lang w:eastAsia="en-AU"/>
              </w:rPr>
              <w:t xml:space="preserve">that </w:t>
            </w:r>
            <w:r w:rsidR="00A27472" w:rsidRPr="006F2E5C">
              <w:rPr>
                <w:lang w:eastAsia="en-AU"/>
              </w:rPr>
              <w:t>some patients will elect not to receive treatment</w:t>
            </w:r>
            <w:r w:rsidR="00124AEA" w:rsidRPr="006F2E5C">
              <w:rPr>
                <w:lang w:eastAsia="en-AU"/>
              </w:rPr>
              <w:t xml:space="preserve"> due to ongoing lumbar punctures</w:t>
            </w:r>
            <w:r w:rsidR="000C0C2A" w:rsidRPr="006F2E5C">
              <w:rPr>
                <w:lang w:eastAsia="en-AU"/>
              </w:rPr>
              <w:t xml:space="preserve"> and may be limited by geographical access to treatment centres</w:t>
            </w:r>
            <w:r w:rsidR="00A27472" w:rsidRPr="006F2E5C">
              <w:rPr>
                <w:lang w:eastAsia="en-AU"/>
              </w:rPr>
              <w:t>.</w:t>
            </w:r>
            <w:r w:rsidR="00F76A30">
              <w:rPr>
                <w:lang w:eastAsia="en-AU"/>
              </w:rPr>
              <w:t xml:space="preserve"> The PBAC considered that a maximum uptake of </w:t>
            </w:r>
            <w:r w:rsidR="00C10EC6" w:rsidRPr="00C10EC6">
              <w:rPr>
                <w:sz w:val="2"/>
                <w:highlight w:val="black"/>
                <w:lang w:eastAsia="en-AU"/>
              </w:rPr>
              <w:t>redacted content</w:t>
            </w:r>
            <w:r w:rsidR="00F76A30">
              <w:rPr>
                <w:lang w:eastAsia="en-AU"/>
              </w:rPr>
              <w:t>% should be applied.</w:t>
            </w:r>
          </w:p>
        </w:tc>
      </w:tr>
      <w:tr w:rsidR="00D81C21" w:rsidRPr="006F2E5C" w14:paraId="6ABA6FF2" w14:textId="77777777" w:rsidTr="00D75064">
        <w:trPr>
          <w:cantSplit/>
          <w:trHeight w:val="275"/>
        </w:trPr>
        <w:tc>
          <w:tcPr>
            <w:tcW w:w="2400" w:type="dxa"/>
            <w:vAlign w:val="center"/>
          </w:tcPr>
          <w:p w14:paraId="219B5D19" w14:textId="0967C8D3" w:rsidR="00D81C21" w:rsidRPr="006F2E5C" w:rsidRDefault="00D81C21" w:rsidP="007A591A">
            <w:pPr>
              <w:pStyle w:val="PBACTableText"/>
              <w:spacing w:before="0" w:after="0"/>
              <w:rPr>
                <w:lang w:eastAsia="en-AU"/>
              </w:rPr>
            </w:pPr>
            <w:r w:rsidRPr="006F2E5C">
              <w:rPr>
                <w:lang w:eastAsia="en-AU"/>
              </w:rPr>
              <w:t>Continuation</w:t>
            </w:r>
            <w:r w:rsidR="00081D26" w:rsidRPr="006F2E5C">
              <w:rPr>
                <w:lang w:eastAsia="en-AU"/>
              </w:rPr>
              <w:t xml:space="preserve"> rate</w:t>
            </w:r>
          </w:p>
        </w:tc>
        <w:tc>
          <w:tcPr>
            <w:tcW w:w="3402" w:type="dxa"/>
          </w:tcPr>
          <w:p w14:paraId="7C89B0A3" w14:textId="03016461" w:rsidR="008D7A88" w:rsidRPr="006F2E5C" w:rsidRDefault="008D7A88" w:rsidP="007A591A">
            <w:pPr>
              <w:pStyle w:val="PBACTableText"/>
              <w:spacing w:before="0" w:after="0"/>
              <w:rPr>
                <w:lang w:eastAsia="en-AU"/>
              </w:rPr>
            </w:pPr>
            <w:r w:rsidRPr="006F2E5C">
              <w:rPr>
                <w:lang w:eastAsia="en-AU"/>
              </w:rPr>
              <w:t xml:space="preserve">Year 1: </w:t>
            </w:r>
            <w:r w:rsidR="00C10EC6" w:rsidRPr="00C10EC6">
              <w:rPr>
                <w:sz w:val="2"/>
                <w:highlight w:val="black"/>
                <w:lang w:eastAsia="en-AU"/>
              </w:rPr>
              <w:t>redacted content</w:t>
            </w:r>
            <w:r w:rsidR="00D81C21" w:rsidRPr="006F2E5C">
              <w:rPr>
                <w:lang w:eastAsia="en-AU"/>
              </w:rPr>
              <w:t xml:space="preserve">% </w:t>
            </w:r>
          </w:p>
          <w:p w14:paraId="46DA2D94" w14:textId="7D8D31E7" w:rsidR="008D7A88" w:rsidRPr="006F2E5C" w:rsidRDefault="008D7A88" w:rsidP="007A591A">
            <w:pPr>
              <w:pStyle w:val="PBACTableText"/>
              <w:spacing w:before="0" w:after="0"/>
              <w:rPr>
                <w:lang w:eastAsia="en-AU"/>
              </w:rPr>
            </w:pPr>
            <w:r w:rsidRPr="006F2E5C">
              <w:rPr>
                <w:lang w:eastAsia="en-AU"/>
              </w:rPr>
              <w:t xml:space="preserve">Year 2: </w:t>
            </w:r>
            <w:r w:rsidR="00C10EC6" w:rsidRPr="00C10EC6">
              <w:rPr>
                <w:sz w:val="2"/>
                <w:highlight w:val="black"/>
                <w:lang w:eastAsia="en-AU"/>
              </w:rPr>
              <w:t>redacted content</w:t>
            </w:r>
            <w:r w:rsidRPr="006F2E5C">
              <w:rPr>
                <w:lang w:eastAsia="en-AU"/>
              </w:rPr>
              <w:t>%</w:t>
            </w:r>
          </w:p>
          <w:p w14:paraId="5808791E" w14:textId="6B2569AA" w:rsidR="008D7A88" w:rsidRPr="006F2E5C" w:rsidRDefault="008D7A88" w:rsidP="007A591A">
            <w:pPr>
              <w:pStyle w:val="PBACTableText"/>
              <w:spacing w:before="0" w:after="0"/>
              <w:rPr>
                <w:lang w:eastAsia="en-AU"/>
              </w:rPr>
            </w:pPr>
            <w:r w:rsidRPr="006F2E5C">
              <w:rPr>
                <w:lang w:eastAsia="en-AU"/>
              </w:rPr>
              <w:t xml:space="preserve">Year 3: </w:t>
            </w:r>
            <w:r w:rsidR="00C10EC6" w:rsidRPr="00C10EC6">
              <w:rPr>
                <w:sz w:val="2"/>
                <w:highlight w:val="black"/>
                <w:lang w:eastAsia="en-AU"/>
              </w:rPr>
              <w:t>redacted content</w:t>
            </w:r>
            <w:r w:rsidRPr="006F2E5C">
              <w:rPr>
                <w:lang w:eastAsia="en-AU"/>
              </w:rPr>
              <w:t>%</w:t>
            </w:r>
          </w:p>
          <w:p w14:paraId="3363DF45" w14:textId="4123566D" w:rsidR="008D7A88" w:rsidRPr="006F2E5C" w:rsidRDefault="008D7A88" w:rsidP="007A591A">
            <w:pPr>
              <w:pStyle w:val="PBACTableText"/>
              <w:spacing w:before="0" w:after="0"/>
              <w:rPr>
                <w:lang w:eastAsia="en-AU"/>
              </w:rPr>
            </w:pPr>
            <w:r w:rsidRPr="006F2E5C">
              <w:rPr>
                <w:lang w:eastAsia="en-AU"/>
              </w:rPr>
              <w:t xml:space="preserve">Year 4: </w:t>
            </w:r>
            <w:r w:rsidR="00C10EC6" w:rsidRPr="00C10EC6">
              <w:rPr>
                <w:sz w:val="2"/>
                <w:highlight w:val="black"/>
                <w:lang w:eastAsia="en-AU"/>
              </w:rPr>
              <w:t>redacted content</w:t>
            </w:r>
            <w:r w:rsidR="00623639" w:rsidRPr="006F2E5C">
              <w:rPr>
                <w:lang w:eastAsia="en-AU"/>
              </w:rPr>
              <w:t>%</w:t>
            </w:r>
          </w:p>
          <w:p w14:paraId="35D4203F" w14:textId="2EB1D614" w:rsidR="00623639" w:rsidRPr="006F2E5C" w:rsidRDefault="00623639" w:rsidP="007A591A">
            <w:pPr>
              <w:pStyle w:val="PBACTableText"/>
              <w:spacing w:before="0" w:after="0"/>
              <w:rPr>
                <w:lang w:eastAsia="en-AU"/>
              </w:rPr>
            </w:pPr>
            <w:r w:rsidRPr="006F2E5C">
              <w:rPr>
                <w:lang w:eastAsia="en-AU"/>
              </w:rPr>
              <w:t xml:space="preserve">Year 5: </w:t>
            </w:r>
            <w:r w:rsidR="00C10EC6" w:rsidRPr="00C10EC6">
              <w:rPr>
                <w:sz w:val="2"/>
                <w:highlight w:val="black"/>
                <w:lang w:eastAsia="en-AU"/>
              </w:rPr>
              <w:t>redacted content</w:t>
            </w:r>
            <w:r w:rsidRPr="006F2E5C">
              <w:rPr>
                <w:lang w:eastAsia="en-AU"/>
              </w:rPr>
              <w:t>%</w:t>
            </w:r>
          </w:p>
          <w:p w14:paraId="067D4348" w14:textId="644F4A87" w:rsidR="00623639" w:rsidRPr="006F2E5C" w:rsidRDefault="00623639" w:rsidP="007A591A">
            <w:pPr>
              <w:pStyle w:val="PBACTableText"/>
              <w:spacing w:before="0" w:after="0"/>
              <w:rPr>
                <w:lang w:eastAsia="en-AU"/>
              </w:rPr>
            </w:pPr>
            <w:r w:rsidRPr="006F2E5C">
              <w:rPr>
                <w:lang w:eastAsia="en-AU"/>
              </w:rPr>
              <w:t xml:space="preserve">Year 6: </w:t>
            </w:r>
            <w:r w:rsidR="00C10EC6" w:rsidRPr="00C10EC6">
              <w:rPr>
                <w:sz w:val="2"/>
                <w:highlight w:val="black"/>
                <w:lang w:eastAsia="en-AU"/>
              </w:rPr>
              <w:t>redacted content</w:t>
            </w:r>
            <w:r w:rsidRPr="006F2E5C">
              <w:rPr>
                <w:lang w:eastAsia="en-AU"/>
              </w:rPr>
              <w:t>%</w:t>
            </w:r>
          </w:p>
          <w:p w14:paraId="604F3C61" w14:textId="494A6A3B" w:rsidR="00081D26" w:rsidRPr="006F2E5C" w:rsidRDefault="00AA76D4" w:rsidP="007A591A">
            <w:pPr>
              <w:pStyle w:val="PBACTableText"/>
              <w:spacing w:before="0" w:after="0"/>
            </w:pPr>
            <w:r w:rsidRPr="006F2E5C">
              <w:rPr>
                <w:lang w:eastAsia="en-AU"/>
              </w:rPr>
              <w:t>(</w:t>
            </w:r>
            <w:r w:rsidR="00081D26" w:rsidRPr="006F2E5C">
              <w:rPr>
                <w:lang w:eastAsia="en-AU"/>
              </w:rPr>
              <w:t>Economic model, 'Markov Trace' sheet)</w:t>
            </w:r>
          </w:p>
        </w:tc>
        <w:tc>
          <w:tcPr>
            <w:tcW w:w="3333" w:type="dxa"/>
            <w:noWrap/>
          </w:tcPr>
          <w:p w14:paraId="6AA7E395" w14:textId="6449E887" w:rsidR="00D81C21" w:rsidRPr="006F2E5C" w:rsidRDefault="00AC6B06" w:rsidP="007A591A">
            <w:pPr>
              <w:pStyle w:val="PBACTableText"/>
              <w:spacing w:before="0" w:after="0"/>
              <w:rPr>
                <w:lang w:eastAsia="en-AU"/>
              </w:rPr>
            </w:pPr>
            <w:r w:rsidRPr="006F2E5C">
              <w:rPr>
                <w:lang w:eastAsia="en-AU"/>
              </w:rPr>
              <w:t>Updated</w:t>
            </w:r>
            <w:r w:rsidR="00081D26" w:rsidRPr="006F2E5C">
              <w:rPr>
                <w:lang w:eastAsia="en-AU"/>
              </w:rPr>
              <w:t xml:space="preserve"> from November 2025 (</w:t>
            </w:r>
            <w:r w:rsidR="00C10EC6" w:rsidRPr="00C10EC6">
              <w:rPr>
                <w:sz w:val="2"/>
                <w:highlight w:val="black"/>
                <w:lang w:eastAsia="en-AU"/>
              </w:rPr>
              <w:t>redacted content</w:t>
            </w:r>
            <w:r w:rsidR="00081D26" w:rsidRPr="006F2E5C">
              <w:rPr>
                <w:lang w:eastAsia="en-AU"/>
              </w:rPr>
              <w:t>% applied at the end of each year)</w:t>
            </w:r>
            <w:r w:rsidRPr="006F2E5C">
              <w:rPr>
                <w:lang w:eastAsia="en-AU"/>
              </w:rPr>
              <w:t>.</w:t>
            </w:r>
            <w:r w:rsidR="0060180E" w:rsidRPr="006F2E5C">
              <w:rPr>
                <w:lang w:eastAsia="en-AU"/>
              </w:rPr>
              <w:t xml:space="preserve"> The resubmission aligned </w:t>
            </w:r>
            <w:r w:rsidR="008D7A88" w:rsidRPr="006F2E5C">
              <w:rPr>
                <w:lang w:eastAsia="en-AU"/>
              </w:rPr>
              <w:t>the continuation rates with the economic model</w:t>
            </w:r>
            <w:r w:rsidR="00623639" w:rsidRPr="006F2E5C">
              <w:rPr>
                <w:lang w:eastAsia="en-AU"/>
              </w:rPr>
              <w:t>.</w:t>
            </w:r>
          </w:p>
          <w:p w14:paraId="5ACC4D32" w14:textId="4D75674D" w:rsidR="00AC6B06" w:rsidRPr="006F2E5C" w:rsidRDefault="00424C14" w:rsidP="007A591A">
            <w:pPr>
              <w:pStyle w:val="PBACTableText"/>
              <w:spacing w:before="0" w:after="0"/>
              <w:rPr>
                <w:lang w:eastAsia="en-AU"/>
              </w:rPr>
            </w:pPr>
            <w:r w:rsidRPr="006F2E5C">
              <w:rPr>
                <w:lang w:eastAsia="en-AU"/>
              </w:rPr>
              <w:t>The DUSC previously considered that the continuation rate may be overestimated</w:t>
            </w:r>
            <w:r w:rsidR="00AC21A6" w:rsidRPr="006F2E5C">
              <w:rPr>
                <w:lang w:eastAsia="en-AU"/>
              </w:rPr>
              <w:t xml:space="preserve"> and may be affected by voluntary assisted dying.</w:t>
            </w:r>
            <w:r w:rsidR="00D042EF" w:rsidRPr="006F2E5C">
              <w:rPr>
                <w:lang w:eastAsia="en-AU"/>
              </w:rPr>
              <w:t xml:space="preserve"> The PBAC </w:t>
            </w:r>
            <w:r w:rsidR="00F76A30">
              <w:rPr>
                <w:lang w:eastAsia="en-AU"/>
              </w:rPr>
              <w:t xml:space="preserve">previously </w:t>
            </w:r>
            <w:r w:rsidR="00D042EF" w:rsidRPr="006F2E5C">
              <w:rPr>
                <w:lang w:eastAsia="en-AU"/>
              </w:rPr>
              <w:t>noted that this may be affected by response to treatment.</w:t>
            </w:r>
          </w:p>
        </w:tc>
      </w:tr>
      <w:tr w:rsidR="00D81C21" w:rsidRPr="006F2E5C" w14:paraId="23234AE9" w14:textId="77777777" w:rsidTr="00D75064">
        <w:trPr>
          <w:cantSplit/>
          <w:trHeight w:val="275"/>
        </w:trPr>
        <w:tc>
          <w:tcPr>
            <w:tcW w:w="2400" w:type="dxa"/>
            <w:vAlign w:val="center"/>
          </w:tcPr>
          <w:p w14:paraId="0D658FA0" w14:textId="77777777" w:rsidR="00D81C21" w:rsidRPr="006F2E5C" w:rsidRDefault="00D81C21" w:rsidP="007A591A">
            <w:pPr>
              <w:pStyle w:val="PBACTableText"/>
              <w:spacing w:before="0" w:after="0"/>
              <w:rPr>
                <w:lang w:eastAsia="en-AU"/>
              </w:rPr>
            </w:pPr>
            <w:r w:rsidRPr="006F2E5C">
              <w:rPr>
                <w:lang w:eastAsia="en-AU"/>
              </w:rPr>
              <w:t>Compliance</w:t>
            </w:r>
          </w:p>
        </w:tc>
        <w:tc>
          <w:tcPr>
            <w:tcW w:w="3402" w:type="dxa"/>
          </w:tcPr>
          <w:p w14:paraId="4CF9189B" w14:textId="77777777" w:rsidR="00D81C21" w:rsidRPr="006F2E5C" w:rsidRDefault="00D81C21" w:rsidP="007A591A">
            <w:pPr>
              <w:pStyle w:val="PBACTableText"/>
              <w:spacing w:before="0" w:after="0"/>
            </w:pPr>
            <w:r w:rsidRPr="006F2E5C">
              <w:t>93.8%</w:t>
            </w:r>
          </w:p>
          <w:p w14:paraId="0C43B882" w14:textId="095EFE1E" w:rsidR="00081D26" w:rsidRPr="006F2E5C" w:rsidRDefault="00AA76D4" w:rsidP="007A591A">
            <w:pPr>
              <w:pStyle w:val="PBACTableText"/>
              <w:spacing w:before="0" w:after="0"/>
              <w:rPr>
                <w:lang w:eastAsia="en-AU"/>
              </w:rPr>
            </w:pPr>
            <w:r w:rsidRPr="006F2E5C">
              <w:rPr>
                <w:lang w:eastAsia="en-AU"/>
              </w:rPr>
              <w:t>(</w:t>
            </w:r>
            <w:r w:rsidR="00081D26" w:rsidRPr="006F2E5C">
              <w:rPr>
                <w:lang w:eastAsia="en-AU"/>
              </w:rPr>
              <w:t>VALOR Part C trial</w:t>
            </w:r>
            <w:r w:rsidRPr="006F2E5C">
              <w:rPr>
                <w:lang w:eastAsia="en-AU"/>
              </w:rPr>
              <w:t>)</w:t>
            </w:r>
          </w:p>
        </w:tc>
        <w:tc>
          <w:tcPr>
            <w:tcW w:w="3333" w:type="dxa"/>
            <w:noWrap/>
          </w:tcPr>
          <w:p w14:paraId="3E60AF02" w14:textId="77777777" w:rsidR="00AB6908" w:rsidRPr="006F2E5C" w:rsidRDefault="00081D26" w:rsidP="007A591A">
            <w:pPr>
              <w:pStyle w:val="PBACTableText"/>
              <w:spacing w:before="0" w:after="0"/>
              <w:rPr>
                <w:lang w:eastAsia="en-AU"/>
              </w:rPr>
            </w:pPr>
            <w:r w:rsidRPr="006F2E5C">
              <w:rPr>
                <w:lang w:eastAsia="en-AU"/>
              </w:rPr>
              <w:t>Unchanged</w:t>
            </w:r>
            <w:r w:rsidR="00AC21A6" w:rsidRPr="006F2E5C">
              <w:rPr>
                <w:lang w:eastAsia="en-AU"/>
              </w:rPr>
              <w:t>.</w:t>
            </w:r>
            <w:r w:rsidR="000C0C2A" w:rsidRPr="006F2E5C">
              <w:rPr>
                <w:lang w:eastAsia="en-AU"/>
              </w:rPr>
              <w:t xml:space="preserve"> </w:t>
            </w:r>
            <w:r w:rsidR="00AB6908" w:rsidRPr="006F2E5C">
              <w:rPr>
                <w:lang w:eastAsia="en-AU"/>
              </w:rPr>
              <w:t>Aligned with the economic model.</w:t>
            </w:r>
          </w:p>
          <w:p w14:paraId="1D09FC5D" w14:textId="06CAC430" w:rsidR="00D81C21" w:rsidRPr="006F2E5C" w:rsidRDefault="000C0C2A" w:rsidP="007A591A">
            <w:pPr>
              <w:pStyle w:val="PBACTableText"/>
              <w:spacing w:before="0" w:after="0"/>
              <w:rPr>
                <w:lang w:eastAsia="en-AU"/>
              </w:rPr>
            </w:pPr>
            <w:r w:rsidRPr="006F2E5C">
              <w:rPr>
                <w:lang w:eastAsia="en-AU"/>
              </w:rPr>
              <w:t xml:space="preserve">The PBAC </w:t>
            </w:r>
            <w:r w:rsidR="00F76A30">
              <w:rPr>
                <w:lang w:eastAsia="en-AU"/>
              </w:rPr>
              <w:t xml:space="preserve">previously </w:t>
            </w:r>
            <w:r w:rsidRPr="006F2E5C">
              <w:rPr>
                <w:lang w:eastAsia="en-AU"/>
              </w:rPr>
              <w:t xml:space="preserve">noted that this </w:t>
            </w:r>
            <w:r w:rsidR="00AB6908" w:rsidRPr="006F2E5C">
              <w:rPr>
                <w:lang w:eastAsia="en-AU"/>
              </w:rPr>
              <w:t xml:space="preserve">rate </w:t>
            </w:r>
            <w:r w:rsidRPr="006F2E5C">
              <w:rPr>
                <w:lang w:eastAsia="en-AU"/>
              </w:rPr>
              <w:t xml:space="preserve">may be </w:t>
            </w:r>
            <w:r w:rsidR="00D042EF" w:rsidRPr="006F2E5C">
              <w:rPr>
                <w:lang w:eastAsia="en-AU"/>
              </w:rPr>
              <w:t>affected by response to treatment.</w:t>
            </w:r>
          </w:p>
        </w:tc>
      </w:tr>
      <w:tr w:rsidR="00D81C21" w:rsidRPr="006F2E5C" w14:paraId="795B2584" w14:textId="77777777" w:rsidTr="00D75064">
        <w:trPr>
          <w:cantSplit/>
          <w:trHeight w:val="275"/>
        </w:trPr>
        <w:tc>
          <w:tcPr>
            <w:tcW w:w="2400" w:type="dxa"/>
            <w:vAlign w:val="center"/>
          </w:tcPr>
          <w:p w14:paraId="1BFD9F4B" w14:textId="77777777" w:rsidR="00D81C21" w:rsidRPr="006F2E5C" w:rsidRDefault="00D81C21" w:rsidP="007A591A">
            <w:pPr>
              <w:pStyle w:val="PBACTableText"/>
              <w:spacing w:before="0" w:after="0"/>
              <w:rPr>
                <w:lang w:eastAsia="en-AU"/>
              </w:rPr>
            </w:pPr>
            <w:r w:rsidRPr="006F2E5C">
              <w:rPr>
                <w:lang w:eastAsia="en-AU"/>
              </w:rPr>
              <w:t>Beneficiary type</w:t>
            </w:r>
          </w:p>
        </w:tc>
        <w:tc>
          <w:tcPr>
            <w:tcW w:w="3402" w:type="dxa"/>
          </w:tcPr>
          <w:p w14:paraId="6BD4C122" w14:textId="77777777" w:rsidR="00D81C21" w:rsidRPr="006F2E5C" w:rsidRDefault="00D81C21" w:rsidP="007A591A">
            <w:pPr>
              <w:pStyle w:val="PBACTableText"/>
              <w:spacing w:before="0" w:after="0"/>
              <w:rPr>
                <w:lang w:eastAsia="en-AU"/>
              </w:rPr>
            </w:pPr>
            <w:r w:rsidRPr="006F2E5C">
              <w:rPr>
                <w:lang w:eastAsia="en-AU"/>
              </w:rPr>
              <w:t>99% PBS and 1% RPBS;</w:t>
            </w:r>
          </w:p>
          <w:p w14:paraId="08DD5CA5" w14:textId="1CD7C326" w:rsidR="00AA76D4" w:rsidRPr="006F2E5C" w:rsidRDefault="00AA76D4" w:rsidP="007A591A">
            <w:pPr>
              <w:pStyle w:val="PBACTableText"/>
              <w:spacing w:before="0" w:after="0"/>
              <w:rPr>
                <w:lang w:eastAsia="en-AU"/>
              </w:rPr>
            </w:pPr>
            <w:r w:rsidRPr="006F2E5C">
              <w:rPr>
                <w:lang w:eastAsia="en-AU"/>
              </w:rPr>
              <w:t xml:space="preserve">(PBS item reports of </w:t>
            </w:r>
            <w:r w:rsidRPr="006F2E5C">
              <w:t>riluzole and edaravone combined</w:t>
            </w:r>
            <w:r w:rsidRPr="006F2E5C">
              <w:rPr>
                <w:lang w:eastAsia="en-AU"/>
              </w:rPr>
              <w:t xml:space="preserve"> from October 2024 to September 2025)</w:t>
            </w:r>
          </w:p>
          <w:p w14:paraId="57C848A1" w14:textId="77777777" w:rsidR="00D81C21" w:rsidRPr="006F2E5C" w:rsidRDefault="00D81C21" w:rsidP="007A591A">
            <w:pPr>
              <w:pStyle w:val="PBACTableText"/>
              <w:spacing w:before="0" w:after="0"/>
              <w:rPr>
                <w:lang w:eastAsia="en-AU"/>
              </w:rPr>
            </w:pPr>
          </w:p>
          <w:p w14:paraId="2D86D199" w14:textId="77777777" w:rsidR="00D81C21" w:rsidRPr="006F2E5C" w:rsidRDefault="00D81C21" w:rsidP="007A591A">
            <w:pPr>
              <w:pStyle w:val="PBACTableText"/>
              <w:spacing w:before="0" w:after="0"/>
              <w:rPr>
                <w:lang w:eastAsia="en-AU"/>
              </w:rPr>
            </w:pPr>
            <w:r w:rsidRPr="006F2E5C">
              <w:rPr>
                <w:lang w:eastAsia="en-AU"/>
              </w:rPr>
              <w:t>50% / 50% split for public / private hospital</w:t>
            </w:r>
          </w:p>
          <w:p w14:paraId="39973A61" w14:textId="7D6BC656" w:rsidR="00AA76D4" w:rsidRPr="006F2E5C" w:rsidRDefault="00AA76D4" w:rsidP="007A591A">
            <w:pPr>
              <w:pStyle w:val="PBACTableText"/>
              <w:spacing w:before="0" w:after="0"/>
              <w:rPr>
                <w:lang w:eastAsia="en-AU"/>
              </w:rPr>
            </w:pPr>
            <w:r w:rsidRPr="006F2E5C">
              <w:rPr>
                <w:lang w:eastAsia="en-AU"/>
              </w:rPr>
              <w:t>(Assumption)</w:t>
            </w:r>
          </w:p>
        </w:tc>
        <w:tc>
          <w:tcPr>
            <w:tcW w:w="3333" w:type="dxa"/>
            <w:noWrap/>
          </w:tcPr>
          <w:p w14:paraId="0C2EEE4A" w14:textId="3A1A3236" w:rsidR="00D81C21" w:rsidRPr="006F2E5C" w:rsidRDefault="00AA76D4" w:rsidP="007A591A">
            <w:pPr>
              <w:pStyle w:val="PBACTableText"/>
              <w:spacing w:before="0" w:after="0"/>
              <w:rPr>
                <w:lang w:eastAsia="en-AU"/>
              </w:rPr>
            </w:pPr>
            <w:r w:rsidRPr="006F2E5C">
              <w:rPr>
                <w:lang w:eastAsia="en-AU"/>
              </w:rPr>
              <w:t xml:space="preserve">Updated, </w:t>
            </w:r>
            <w:r w:rsidR="00D30704" w:rsidRPr="006F2E5C">
              <w:rPr>
                <w:lang w:eastAsia="en-AU"/>
              </w:rPr>
              <w:t>based on DUSC advi</w:t>
            </w:r>
            <w:r w:rsidR="00B43220" w:rsidRPr="006F2E5C">
              <w:rPr>
                <w:lang w:eastAsia="en-AU"/>
              </w:rPr>
              <w:t>c</w:t>
            </w:r>
            <w:r w:rsidR="00D30704" w:rsidRPr="006F2E5C">
              <w:rPr>
                <w:lang w:eastAsia="en-AU"/>
              </w:rPr>
              <w:t>e. W</w:t>
            </w:r>
            <w:r w:rsidRPr="006F2E5C">
              <w:rPr>
                <w:lang w:eastAsia="en-AU"/>
              </w:rPr>
              <w:t>as 100% PBS in November 2025.</w:t>
            </w:r>
          </w:p>
          <w:p w14:paraId="4269A52E" w14:textId="77777777" w:rsidR="00AA76D4" w:rsidRPr="006F2E5C" w:rsidRDefault="00AA76D4" w:rsidP="007A591A">
            <w:pPr>
              <w:pStyle w:val="PBACTableText"/>
              <w:spacing w:before="0" w:after="0"/>
              <w:rPr>
                <w:lang w:eastAsia="en-AU"/>
              </w:rPr>
            </w:pPr>
          </w:p>
          <w:p w14:paraId="6A081497" w14:textId="77777777" w:rsidR="00AA76D4" w:rsidRDefault="00AA76D4" w:rsidP="007A591A">
            <w:pPr>
              <w:pStyle w:val="PBACTableText"/>
              <w:spacing w:before="0" w:after="0"/>
              <w:rPr>
                <w:lang w:eastAsia="en-AU"/>
              </w:rPr>
            </w:pPr>
          </w:p>
          <w:p w14:paraId="6DD6FA1D" w14:textId="77777777" w:rsidR="00F76A30" w:rsidRPr="006F2E5C" w:rsidRDefault="00F76A30" w:rsidP="007A591A">
            <w:pPr>
              <w:pStyle w:val="PBACTableText"/>
              <w:spacing w:before="0" w:after="0"/>
              <w:rPr>
                <w:lang w:eastAsia="en-AU"/>
              </w:rPr>
            </w:pPr>
          </w:p>
          <w:p w14:paraId="17BAEE78" w14:textId="0941B2DD" w:rsidR="00AA76D4" w:rsidRPr="006F2E5C" w:rsidRDefault="00AA76D4" w:rsidP="007A591A">
            <w:pPr>
              <w:pStyle w:val="PBACTableText"/>
              <w:spacing w:before="0" w:after="0"/>
              <w:rPr>
                <w:lang w:eastAsia="en-AU"/>
              </w:rPr>
            </w:pPr>
            <w:r w:rsidRPr="006F2E5C">
              <w:rPr>
                <w:lang w:eastAsia="en-AU"/>
              </w:rPr>
              <w:t>Unchanged</w:t>
            </w:r>
            <w:r w:rsidR="005D0AEB" w:rsidRPr="006F2E5C">
              <w:rPr>
                <w:lang w:eastAsia="en-AU"/>
              </w:rPr>
              <w:t>.</w:t>
            </w:r>
          </w:p>
        </w:tc>
      </w:tr>
      <w:tr w:rsidR="00D81C21" w:rsidRPr="006F2E5C" w14:paraId="62ACDC9B" w14:textId="77777777" w:rsidTr="00D75064">
        <w:trPr>
          <w:cantSplit/>
          <w:trHeight w:val="275"/>
        </w:trPr>
        <w:tc>
          <w:tcPr>
            <w:tcW w:w="2400" w:type="dxa"/>
            <w:vAlign w:val="center"/>
          </w:tcPr>
          <w:p w14:paraId="38BB3470" w14:textId="77777777" w:rsidR="00D81C21" w:rsidRPr="006F2E5C" w:rsidRDefault="00D81C21" w:rsidP="007A591A">
            <w:pPr>
              <w:pStyle w:val="PBACTableText"/>
              <w:spacing w:before="0" w:after="0"/>
              <w:rPr>
                <w:lang w:eastAsia="en-AU"/>
              </w:rPr>
            </w:pPr>
            <w:r w:rsidRPr="006F2E5C">
              <w:rPr>
                <w:lang w:eastAsia="en-AU"/>
              </w:rPr>
              <w:t xml:space="preserve">Administration and adverse events </w:t>
            </w:r>
          </w:p>
        </w:tc>
        <w:tc>
          <w:tcPr>
            <w:tcW w:w="3402" w:type="dxa"/>
          </w:tcPr>
          <w:p w14:paraId="00D76D5B" w14:textId="6DE9493B" w:rsidR="00D81C21" w:rsidRPr="006F2E5C" w:rsidRDefault="00AA76D4" w:rsidP="007A591A">
            <w:pPr>
              <w:pStyle w:val="PBACTableText"/>
              <w:spacing w:before="0" w:after="0"/>
              <w:rPr>
                <w:lang w:eastAsia="en-AU"/>
              </w:rPr>
            </w:pPr>
            <w:r w:rsidRPr="006F2E5C">
              <w:rPr>
                <w:lang w:eastAsia="en-AU"/>
              </w:rPr>
              <w:t xml:space="preserve">Administration: </w:t>
            </w:r>
            <w:r w:rsidR="00D81C21" w:rsidRPr="006F2E5C">
              <w:rPr>
                <w:lang w:eastAsia="en-AU"/>
              </w:rPr>
              <w:t>MBS item 18216</w:t>
            </w:r>
            <w:r w:rsidRPr="006F2E5C">
              <w:rPr>
                <w:lang w:eastAsia="en-AU"/>
              </w:rPr>
              <w:br/>
              <w:t>Adverse events: MBS item</w:t>
            </w:r>
            <w:r w:rsidR="00D81C21" w:rsidRPr="006F2E5C">
              <w:rPr>
                <w:lang w:eastAsia="en-AU"/>
              </w:rPr>
              <w:t xml:space="preserve"> 105</w:t>
            </w:r>
          </w:p>
        </w:tc>
        <w:tc>
          <w:tcPr>
            <w:tcW w:w="3333" w:type="dxa"/>
            <w:noWrap/>
          </w:tcPr>
          <w:p w14:paraId="638AE62B" w14:textId="158BC642" w:rsidR="00D81C21" w:rsidRPr="006F2E5C" w:rsidRDefault="003D2862" w:rsidP="007A591A">
            <w:pPr>
              <w:pStyle w:val="PBACTableText"/>
              <w:spacing w:before="0" w:after="0"/>
              <w:rPr>
                <w:lang w:eastAsia="en-AU"/>
              </w:rPr>
            </w:pPr>
            <w:r w:rsidRPr="006F2E5C">
              <w:rPr>
                <w:lang w:eastAsia="en-AU"/>
              </w:rPr>
              <w:t>Unchanged.</w:t>
            </w:r>
          </w:p>
        </w:tc>
      </w:tr>
    </w:tbl>
    <w:p w14:paraId="2C873E86" w14:textId="4AC0E17E" w:rsidR="00C66452" w:rsidRDefault="005D0AEB" w:rsidP="007A591A">
      <w:pPr>
        <w:pStyle w:val="TableFigureFooter"/>
      </w:pPr>
      <w:r>
        <w:t>Sou</w:t>
      </w:r>
      <w:r w:rsidR="0002236A">
        <w:t>r</w:t>
      </w:r>
      <w:r>
        <w:t xml:space="preserve">ce: Table </w:t>
      </w:r>
      <w:r w:rsidR="00AA55A4">
        <w:t>4.1, p59 of the March 2026 early re</w:t>
      </w:r>
      <w:r w:rsidR="007A591A">
        <w:noBreakHyphen/>
      </w:r>
      <w:r w:rsidR="00AA55A4">
        <w:t>entry resubmission and Table 12, p</w:t>
      </w:r>
      <w:r w:rsidR="0002236A">
        <w:t>37 of the November 2025 minutes</w:t>
      </w:r>
      <w:r w:rsidR="00AA55A4">
        <w:t xml:space="preserve"> </w:t>
      </w:r>
    </w:p>
    <w:p w14:paraId="4AB010DB" w14:textId="148B2AB0" w:rsidR="0002236A" w:rsidRDefault="0002236A" w:rsidP="007A591A">
      <w:pPr>
        <w:pStyle w:val="TableFigureFooter"/>
      </w:pPr>
      <w:r>
        <w:lastRenderedPageBreak/>
        <w:t>ABS = Australian Bureau of Statistics</w:t>
      </w:r>
      <w:r w:rsidR="00F461FD">
        <w:t xml:space="preserve">; ALS = </w:t>
      </w:r>
      <w:r w:rsidR="00902717">
        <w:t>amyotrophic lateral sclerosis; MBS = Medic</w:t>
      </w:r>
      <w:r w:rsidR="00D1706E">
        <w:t>are</w:t>
      </w:r>
      <w:r w:rsidR="00902717">
        <w:t xml:space="preserve"> Benefits Schedule; SOD1 = superoxide dismutase 1</w:t>
      </w:r>
    </w:p>
    <w:p w14:paraId="31EEC8E7" w14:textId="77777777" w:rsidR="005D7BB0" w:rsidRPr="005D7BB0" w:rsidRDefault="005D7BB0" w:rsidP="005D7BB0">
      <w:pPr>
        <w:pStyle w:val="TableFigureFooter"/>
        <w:rPr>
          <w:bCs/>
          <w:i/>
          <w:iCs/>
        </w:rPr>
      </w:pPr>
      <w:r w:rsidRPr="005D7BB0">
        <w:rPr>
          <w:bCs/>
          <w:i/>
          <w:iCs/>
        </w:rPr>
        <w:t xml:space="preserve">The redacted values correspond to the following ranges: </w:t>
      </w:r>
    </w:p>
    <w:p w14:paraId="309E1378" w14:textId="77777777" w:rsidR="005D7BB0" w:rsidRPr="005D7BB0" w:rsidRDefault="005D7BB0" w:rsidP="005D7BB0">
      <w:pPr>
        <w:pStyle w:val="TableFigureFooter"/>
        <w:rPr>
          <w:i/>
        </w:rPr>
      </w:pPr>
      <w:r w:rsidRPr="005D7BB0">
        <w:rPr>
          <w:i/>
          <w:vertAlign w:val="superscript"/>
        </w:rPr>
        <w:t>1</w:t>
      </w:r>
      <w:r w:rsidRPr="005D7BB0">
        <w:rPr>
          <w:i/>
        </w:rPr>
        <w:t xml:space="preserve"> &lt; 500</w:t>
      </w:r>
    </w:p>
    <w:p w14:paraId="5D89D1CC" w14:textId="77777777" w:rsidR="005D7BB0" w:rsidRPr="0098262F" w:rsidRDefault="005D7BB0" w:rsidP="007A591A">
      <w:pPr>
        <w:pStyle w:val="TableFigureFooter"/>
      </w:pPr>
    </w:p>
    <w:p w14:paraId="485BF3EC" w14:textId="0523D169" w:rsidR="009671C8" w:rsidRDefault="00E40056" w:rsidP="007A591A">
      <w:pPr>
        <w:pStyle w:val="Caption"/>
        <w:rPr>
          <w:rStyle w:val="CommentReference"/>
          <w:rFonts w:eastAsiaTheme="majorEastAsia"/>
          <w:b w:val="0"/>
          <w:szCs w:val="24"/>
        </w:rPr>
      </w:pPr>
      <w:bookmarkStart w:id="33" w:name="_Ref220497816"/>
      <w:r>
        <w:t xml:space="preserve">Table </w:t>
      </w:r>
      <w:fldSimple w:instr=" SEQ Table \* ARABIC ">
        <w:r w:rsidR="002E1A60">
          <w:rPr>
            <w:noProof/>
          </w:rPr>
          <w:t>9</w:t>
        </w:r>
      </w:fldSimple>
      <w:bookmarkEnd w:id="33"/>
      <w:r>
        <w:t xml:space="preserve">: </w:t>
      </w:r>
      <w:r w:rsidR="009671C8" w:rsidRPr="00E40056">
        <w:rPr>
          <w:rStyle w:val="TableFigureHeadingChar"/>
          <w:b/>
          <w:bCs/>
        </w:rPr>
        <w:t>Estimated use and financial implications</w:t>
      </w:r>
      <w:r>
        <w:rPr>
          <w:rStyle w:val="TableFigureHeadingChar"/>
          <w:b/>
          <w:bCs/>
        </w:rPr>
        <w:t xml:space="preserve"> of listing tofersen on the PBS/RPBS</w:t>
      </w:r>
    </w:p>
    <w:tbl>
      <w:tblPr>
        <w:tblStyle w:val="ASDTable2"/>
        <w:tblW w:w="8995" w:type="dxa"/>
        <w:tblLayout w:type="fixed"/>
        <w:tblCellMar>
          <w:left w:w="28" w:type="dxa"/>
          <w:right w:w="28" w:type="dxa"/>
        </w:tblCellMar>
        <w:tblLook w:val="04A0" w:firstRow="1" w:lastRow="0" w:firstColumn="1" w:lastColumn="0" w:noHBand="0" w:noVBand="1"/>
        <w:tblCaption w:val="Table 9: Estimated use and financial implications of listing tofersen on the PBS/RPBS"/>
      </w:tblPr>
      <w:tblGrid>
        <w:gridCol w:w="2515"/>
        <w:gridCol w:w="1080"/>
        <w:gridCol w:w="1080"/>
        <w:gridCol w:w="1080"/>
        <w:gridCol w:w="1080"/>
        <w:gridCol w:w="1080"/>
        <w:gridCol w:w="1080"/>
      </w:tblGrid>
      <w:tr w:rsidR="009671C8" w:rsidRPr="00CD27C7" w14:paraId="1627F88B" w14:textId="77777777" w:rsidTr="00D95D7C">
        <w:trPr>
          <w:cantSplit/>
          <w:tblHeader/>
        </w:trPr>
        <w:tc>
          <w:tcPr>
            <w:tcW w:w="2515" w:type="dxa"/>
            <w:vAlign w:val="center"/>
          </w:tcPr>
          <w:p w14:paraId="0AA97343" w14:textId="77777777" w:rsidR="009671C8" w:rsidRPr="00CD27C7" w:rsidRDefault="009671C8" w:rsidP="007A591A">
            <w:pPr>
              <w:pStyle w:val="In-tableHeading"/>
              <w:jc w:val="center"/>
              <w:rPr>
                <w:szCs w:val="20"/>
              </w:rPr>
            </w:pPr>
          </w:p>
        </w:tc>
        <w:tc>
          <w:tcPr>
            <w:tcW w:w="1080" w:type="dxa"/>
          </w:tcPr>
          <w:p w14:paraId="21B7929B" w14:textId="77777777" w:rsidR="009671C8" w:rsidRPr="00CD27C7" w:rsidRDefault="009671C8" w:rsidP="007A591A">
            <w:pPr>
              <w:pStyle w:val="In-tableHeading"/>
              <w:jc w:val="center"/>
              <w:rPr>
                <w:szCs w:val="20"/>
              </w:rPr>
            </w:pPr>
            <w:r w:rsidRPr="00CD27C7">
              <w:rPr>
                <w:szCs w:val="20"/>
              </w:rPr>
              <w:t>2026</w:t>
            </w:r>
          </w:p>
        </w:tc>
        <w:tc>
          <w:tcPr>
            <w:tcW w:w="1080" w:type="dxa"/>
          </w:tcPr>
          <w:p w14:paraId="1A7FFFCE" w14:textId="77777777" w:rsidR="009671C8" w:rsidRPr="00CD27C7" w:rsidRDefault="009671C8" w:rsidP="007A591A">
            <w:pPr>
              <w:pStyle w:val="In-tableHeading"/>
              <w:jc w:val="center"/>
              <w:rPr>
                <w:szCs w:val="20"/>
              </w:rPr>
            </w:pPr>
            <w:r w:rsidRPr="00CD27C7">
              <w:rPr>
                <w:szCs w:val="20"/>
              </w:rPr>
              <w:t>2027</w:t>
            </w:r>
          </w:p>
        </w:tc>
        <w:tc>
          <w:tcPr>
            <w:tcW w:w="1080" w:type="dxa"/>
          </w:tcPr>
          <w:p w14:paraId="3B853DDB" w14:textId="77777777" w:rsidR="009671C8" w:rsidRPr="00CD27C7" w:rsidRDefault="009671C8" w:rsidP="007A591A">
            <w:pPr>
              <w:pStyle w:val="In-tableHeading"/>
              <w:jc w:val="center"/>
              <w:rPr>
                <w:szCs w:val="20"/>
              </w:rPr>
            </w:pPr>
            <w:r w:rsidRPr="00CD27C7">
              <w:rPr>
                <w:szCs w:val="20"/>
              </w:rPr>
              <w:t>2028</w:t>
            </w:r>
          </w:p>
        </w:tc>
        <w:tc>
          <w:tcPr>
            <w:tcW w:w="1080" w:type="dxa"/>
          </w:tcPr>
          <w:p w14:paraId="01A2C0FF" w14:textId="77777777" w:rsidR="009671C8" w:rsidRPr="00CD27C7" w:rsidRDefault="009671C8" w:rsidP="007A591A">
            <w:pPr>
              <w:pStyle w:val="In-tableHeading"/>
              <w:jc w:val="center"/>
              <w:rPr>
                <w:szCs w:val="20"/>
              </w:rPr>
            </w:pPr>
            <w:r w:rsidRPr="00CD27C7">
              <w:rPr>
                <w:szCs w:val="20"/>
              </w:rPr>
              <w:t>2029</w:t>
            </w:r>
          </w:p>
        </w:tc>
        <w:tc>
          <w:tcPr>
            <w:tcW w:w="1080" w:type="dxa"/>
          </w:tcPr>
          <w:p w14:paraId="5BD2A038" w14:textId="77777777" w:rsidR="009671C8" w:rsidRPr="00CD27C7" w:rsidRDefault="009671C8" w:rsidP="007A591A">
            <w:pPr>
              <w:pStyle w:val="In-tableHeading"/>
              <w:jc w:val="center"/>
              <w:rPr>
                <w:szCs w:val="20"/>
              </w:rPr>
            </w:pPr>
            <w:r w:rsidRPr="00CD27C7">
              <w:rPr>
                <w:szCs w:val="20"/>
              </w:rPr>
              <w:t>2030</w:t>
            </w:r>
          </w:p>
        </w:tc>
        <w:tc>
          <w:tcPr>
            <w:tcW w:w="1080" w:type="dxa"/>
          </w:tcPr>
          <w:p w14:paraId="3A597D48" w14:textId="77777777" w:rsidR="009671C8" w:rsidRPr="00CD27C7" w:rsidRDefault="009671C8" w:rsidP="007A591A">
            <w:pPr>
              <w:pStyle w:val="In-tableHeading"/>
              <w:jc w:val="center"/>
              <w:rPr>
                <w:szCs w:val="20"/>
              </w:rPr>
            </w:pPr>
            <w:r w:rsidRPr="00CD27C7">
              <w:rPr>
                <w:szCs w:val="20"/>
              </w:rPr>
              <w:t>2031</w:t>
            </w:r>
          </w:p>
        </w:tc>
      </w:tr>
      <w:tr w:rsidR="009671C8" w:rsidRPr="00CD27C7" w14:paraId="610917F0" w14:textId="77777777">
        <w:trPr>
          <w:cantSplit/>
        </w:trPr>
        <w:tc>
          <w:tcPr>
            <w:tcW w:w="8995" w:type="dxa"/>
            <w:gridSpan w:val="7"/>
            <w:tcBorders>
              <w:bottom w:val="single" w:sz="4" w:space="0" w:color="auto"/>
            </w:tcBorders>
            <w:vAlign w:val="center"/>
          </w:tcPr>
          <w:p w14:paraId="1676A79E" w14:textId="77777777" w:rsidR="009671C8" w:rsidRPr="00CD27C7" w:rsidRDefault="009671C8" w:rsidP="007A591A">
            <w:pPr>
              <w:pStyle w:val="TableText"/>
              <w:keepNext w:val="0"/>
              <w:rPr>
                <w:b/>
                <w:szCs w:val="20"/>
              </w:rPr>
            </w:pPr>
            <w:r w:rsidRPr="00CD27C7">
              <w:rPr>
                <w:b/>
                <w:szCs w:val="20"/>
              </w:rPr>
              <w:t>Estimation of number of treated patients</w:t>
            </w:r>
          </w:p>
        </w:tc>
      </w:tr>
      <w:tr w:rsidR="009671C8" w:rsidRPr="00CD27C7" w14:paraId="2532E9F2" w14:textId="77777777">
        <w:tc>
          <w:tcPr>
            <w:tcW w:w="2515" w:type="dxa"/>
            <w:vAlign w:val="center"/>
          </w:tcPr>
          <w:p w14:paraId="3DACDF7A" w14:textId="1F0D1312" w:rsidR="009671C8" w:rsidRPr="00CD27C7" w:rsidDel="00E722D4" w:rsidRDefault="00956A3B" w:rsidP="007A591A">
            <w:pPr>
              <w:pStyle w:val="TableText"/>
              <w:keepNext w:val="0"/>
              <w:rPr>
                <w:szCs w:val="20"/>
              </w:rPr>
            </w:pPr>
            <w:r>
              <w:rPr>
                <w:szCs w:val="20"/>
              </w:rPr>
              <w:t>Incident patients with SOD1</w:t>
            </w:r>
          </w:p>
        </w:tc>
        <w:tc>
          <w:tcPr>
            <w:tcW w:w="1080" w:type="dxa"/>
          </w:tcPr>
          <w:p w14:paraId="2C061F77" w14:textId="45C4D869" w:rsidR="009671C8" w:rsidRPr="00D45BE9" w:rsidRDefault="00C10EC6" w:rsidP="007A591A">
            <w:pPr>
              <w:pStyle w:val="TableText"/>
              <w:keepNext w:val="0"/>
              <w:jc w:val="center"/>
              <w:rPr>
                <w:szCs w:val="20"/>
                <w:vertAlign w:val="superscript"/>
              </w:rPr>
            </w:pPr>
            <w:r w:rsidRPr="00C10EC6">
              <w:rPr>
                <w:sz w:val="2"/>
                <w:szCs w:val="20"/>
                <w:highlight w:val="black"/>
              </w:rPr>
              <w:t>redacted content</w:t>
            </w:r>
            <w:r w:rsidR="006D37E2">
              <w:rPr>
                <w:szCs w:val="20"/>
                <w:vertAlign w:val="superscript"/>
              </w:rPr>
              <w:t>1</w:t>
            </w:r>
          </w:p>
        </w:tc>
        <w:tc>
          <w:tcPr>
            <w:tcW w:w="1080" w:type="dxa"/>
          </w:tcPr>
          <w:p w14:paraId="01F1F166" w14:textId="76D7D849" w:rsidR="009671C8" w:rsidRPr="00814A5E" w:rsidRDefault="00C10EC6" w:rsidP="007A591A">
            <w:pPr>
              <w:pStyle w:val="TableText"/>
              <w:keepNext w:val="0"/>
              <w:jc w:val="center"/>
              <w:rPr>
                <w:szCs w:val="20"/>
                <w:vertAlign w:val="superscript"/>
              </w:rPr>
            </w:pPr>
            <w:r w:rsidRPr="00C10EC6">
              <w:rPr>
                <w:sz w:val="2"/>
                <w:szCs w:val="20"/>
                <w:highlight w:val="black"/>
              </w:rPr>
              <w:t>redacted content</w:t>
            </w:r>
            <w:r w:rsidR="006D37E2">
              <w:rPr>
                <w:szCs w:val="20"/>
                <w:vertAlign w:val="superscript"/>
              </w:rPr>
              <w:t>1</w:t>
            </w:r>
          </w:p>
        </w:tc>
        <w:tc>
          <w:tcPr>
            <w:tcW w:w="1080" w:type="dxa"/>
          </w:tcPr>
          <w:p w14:paraId="39C68F60" w14:textId="5279B23B" w:rsidR="009671C8" w:rsidRPr="00814A5E" w:rsidRDefault="00C10EC6" w:rsidP="007A591A">
            <w:pPr>
              <w:pStyle w:val="TableText"/>
              <w:keepNext w:val="0"/>
              <w:jc w:val="center"/>
              <w:rPr>
                <w:szCs w:val="20"/>
                <w:vertAlign w:val="superscript"/>
              </w:rPr>
            </w:pPr>
            <w:r w:rsidRPr="00C10EC6">
              <w:rPr>
                <w:sz w:val="2"/>
                <w:szCs w:val="20"/>
                <w:highlight w:val="black"/>
              </w:rPr>
              <w:t>redacted content</w:t>
            </w:r>
            <w:r w:rsidR="006D37E2">
              <w:rPr>
                <w:szCs w:val="20"/>
                <w:vertAlign w:val="superscript"/>
              </w:rPr>
              <w:t>1</w:t>
            </w:r>
          </w:p>
        </w:tc>
        <w:tc>
          <w:tcPr>
            <w:tcW w:w="1080" w:type="dxa"/>
          </w:tcPr>
          <w:p w14:paraId="11772DFF" w14:textId="14CD603B" w:rsidR="009671C8" w:rsidRPr="00814A5E" w:rsidRDefault="00C10EC6" w:rsidP="007A591A">
            <w:pPr>
              <w:pStyle w:val="TableText"/>
              <w:keepNext w:val="0"/>
              <w:jc w:val="center"/>
              <w:rPr>
                <w:szCs w:val="20"/>
                <w:vertAlign w:val="superscript"/>
              </w:rPr>
            </w:pPr>
            <w:r w:rsidRPr="00C10EC6">
              <w:rPr>
                <w:sz w:val="2"/>
                <w:szCs w:val="20"/>
                <w:highlight w:val="black"/>
              </w:rPr>
              <w:t>redacted content</w:t>
            </w:r>
            <w:r w:rsidR="006D37E2">
              <w:rPr>
                <w:szCs w:val="20"/>
                <w:vertAlign w:val="superscript"/>
              </w:rPr>
              <w:t>1</w:t>
            </w:r>
          </w:p>
        </w:tc>
        <w:tc>
          <w:tcPr>
            <w:tcW w:w="1080" w:type="dxa"/>
          </w:tcPr>
          <w:p w14:paraId="242C4B22" w14:textId="3A9F12CF" w:rsidR="009671C8" w:rsidRPr="00814A5E" w:rsidRDefault="00C10EC6" w:rsidP="007A591A">
            <w:pPr>
              <w:pStyle w:val="TableText"/>
              <w:keepNext w:val="0"/>
              <w:jc w:val="center"/>
              <w:rPr>
                <w:szCs w:val="20"/>
                <w:vertAlign w:val="superscript"/>
              </w:rPr>
            </w:pPr>
            <w:r w:rsidRPr="00C10EC6">
              <w:rPr>
                <w:sz w:val="2"/>
                <w:szCs w:val="20"/>
                <w:highlight w:val="black"/>
              </w:rPr>
              <w:t>redacted content</w:t>
            </w:r>
            <w:r w:rsidR="006D37E2">
              <w:rPr>
                <w:szCs w:val="20"/>
                <w:vertAlign w:val="superscript"/>
              </w:rPr>
              <w:t>1</w:t>
            </w:r>
          </w:p>
        </w:tc>
        <w:tc>
          <w:tcPr>
            <w:tcW w:w="1080" w:type="dxa"/>
          </w:tcPr>
          <w:p w14:paraId="524B135E" w14:textId="5EFD3C32" w:rsidR="009671C8" w:rsidRPr="00D45BE9" w:rsidRDefault="00C10EC6" w:rsidP="007A591A">
            <w:pPr>
              <w:pStyle w:val="TableText"/>
              <w:keepNext w:val="0"/>
              <w:jc w:val="center"/>
              <w:rPr>
                <w:szCs w:val="20"/>
                <w:highlight w:val="darkGray"/>
                <w:vertAlign w:val="superscript"/>
              </w:rPr>
            </w:pPr>
            <w:r w:rsidRPr="00C10EC6">
              <w:rPr>
                <w:sz w:val="2"/>
                <w:szCs w:val="20"/>
                <w:highlight w:val="black"/>
              </w:rPr>
              <w:t>redacted content</w:t>
            </w:r>
            <w:r w:rsidR="006D37E2" w:rsidRPr="00F27FE5">
              <w:rPr>
                <w:szCs w:val="20"/>
                <w:vertAlign w:val="superscript"/>
              </w:rPr>
              <w:t>1</w:t>
            </w:r>
          </w:p>
        </w:tc>
      </w:tr>
      <w:tr w:rsidR="009671C8" w:rsidRPr="00CD27C7" w14:paraId="2D2D8C64" w14:textId="77777777">
        <w:tc>
          <w:tcPr>
            <w:tcW w:w="2515" w:type="dxa"/>
            <w:vAlign w:val="center"/>
          </w:tcPr>
          <w:p w14:paraId="2D45B8DD" w14:textId="14DCAC39" w:rsidR="009671C8" w:rsidRPr="00CD27C7" w:rsidRDefault="00CE5824" w:rsidP="007A591A">
            <w:pPr>
              <w:pStyle w:val="TableText"/>
              <w:keepNext w:val="0"/>
              <w:rPr>
                <w:szCs w:val="20"/>
              </w:rPr>
            </w:pPr>
            <w:r>
              <w:rPr>
                <w:szCs w:val="20"/>
              </w:rPr>
              <w:t>Prevalent patients with SOD1</w:t>
            </w:r>
          </w:p>
        </w:tc>
        <w:tc>
          <w:tcPr>
            <w:tcW w:w="1080" w:type="dxa"/>
          </w:tcPr>
          <w:p w14:paraId="66D1C8DB" w14:textId="474A4D63" w:rsidR="009671C8" w:rsidRPr="00814A5E"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tcPr>
          <w:p w14:paraId="191359D8" w14:textId="23FA99B0" w:rsidR="009671C8" w:rsidRPr="00CD27C7" w:rsidRDefault="007A591A" w:rsidP="007A591A">
            <w:pPr>
              <w:pStyle w:val="TableText"/>
              <w:keepNext w:val="0"/>
              <w:jc w:val="center"/>
              <w:rPr>
                <w:szCs w:val="20"/>
              </w:rPr>
            </w:pPr>
            <w:r>
              <w:rPr>
                <w:szCs w:val="20"/>
              </w:rPr>
              <w:noBreakHyphen/>
            </w:r>
          </w:p>
        </w:tc>
        <w:tc>
          <w:tcPr>
            <w:tcW w:w="1080" w:type="dxa"/>
          </w:tcPr>
          <w:p w14:paraId="166A769B" w14:textId="33D402C3" w:rsidR="009671C8" w:rsidRPr="00CD27C7" w:rsidRDefault="007A591A" w:rsidP="007A591A">
            <w:pPr>
              <w:pStyle w:val="TableText"/>
              <w:keepNext w:val="0"/>
              <w:jc w:val="center"/>
              <w:rPr>
                <w:szCs w:val="20"/>
              </w:rPr>
            </w:pPr>
            <w:r>
              <w:rPr>
                <w:szCs w:val="20"/>
              </w:rPr>
              <w:noBreakHyphen/>
            </w:r>
          </w:p>
        </w:tc>
        <w:tc>
          <w:tcPr>
            <w:tcW w:w="1080" w:type="dxa"/>
          </w:tcPr>
          <w:p w14:paraId="0D54E88F" w14:textId="68FA6FB2" w:rsidR="009671C8" w:rsidRPr="00CD27C7" w:rsidRDefault="007A591A" w:rsidP="007A591A">
            <w:pPr>
              <w:pStyle w:val="TableText"/>
              <w:keepNext w:val="0"/>
              <w:jc w:val="center"/>
              <w:rPr>
                <w:szCs w:val="20"/>
              </w:rPr>
            </w:pPr>
            <w:r>
              <w:rPr>
                <w:szCs w:val="20"/>
              </w:rPr>
              <w:noBreakHyphen/>
            </w:r>
          </w:p>
        </w:tc>
        <w:tc>
          <w:tcPr>
            <w:tcW w:w="1080" w:type="dxa"/>
          </w:tcPr>
          <w:p w14:paraId="0D6A7E09" w14:textId="7CFBC198" w:rsidR="009671C8" w:rsidRPr="00CD27C7" w:rsidRDefault="007A591A" w:rsidP="007A591A">
            <w:pPr>
              <w:pStyle w:val="TableText"/>
              <w:keepNext w:val="0"/>
              <w:jc w:val="center"/>
              <w:rPr>
                <w:szCs w:val="20"/>
              </w:rPr>
            </w:pPr>
            <w:r>
              <w:rPr>
                <w:szCs w:val="20"/>
              </w:rPr>
              <w:noBreakHyphen/>
            </w:r>
          </w:p>
        </w:tc>
        <w:tc>
          <w:tcPr>
            <w:tcW w:w="1080" w:type="dxa"/>
          </w:tcPr>
          <w:p w14:paraId="4971C8B4" w14:textId="44049E09" w:rsidR="009671C8" w:rsidRPr="00CD27C7" w:rsidRDefault="007A591A" w:rsidP="007A591A">
            <w:pPr>
              <w:pStyle w:val="TableText"/>
              <w:keepNext w:val="0"/>
              <w:jc w:val="center"/>
              <w:rPr>
                <w:szCs w:val="20"/>
              </w:rPr>
            </w:pPr>
            <w:r>
              <w:rPr>
                <w:szCs w:val="20"/>
              </w:rPr>
              <w:noBreakHyphen/>
            </w:r>
          </w:p>
        </w:tc>
      </w:tr>
      <w:tr w:rsidR="009671C8" w:rsidRPr="00CD27C7" w14:paraId="7F3B9C3B" w14:textId="77777777">
        <w:tc>
          <w:tcPr>
            <w:tcW w:w="2515" w:type="dxa"/>
            <w:vAlign w:val="center"/>
          </w:tcPr>
          <w:p w14:paraId="476F9A7D" w14:textId="7A4F671C" w:rsidR="009671C8" w:rsidRPr="00CD27C7" w:rsidRDefault="00557473" w:rsidP="007A591A">
            <w:pPr>
              <w:pStyle w:val="TableText"/>
              <w:keepNext w:val="0"/>
              <w:rPr>
                <w:szCs w:val="20"/>
              </w:rPr>
            </w:pPr>
            <w:r>
              <w:rPr>
                <w:szCs w:val="20"/>
              </w:rPr>
              <w:t>Total eligible patients</w:t>
            </w:r>
          </w:p>
        </w:tc>
        <w:tc>
          <w:tcPr>
            <w:tcW w:w="1080" w:type="dxa"/>
          </w:tcPr>
          <w:p w14:paraId="1F86962A" w14:textId="54AEF7AD"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tcPr>
          <w:p w14:paraId="093B7A31" w14:textId="2BA6F6C2"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tcPr>
          <w:p w14:paraId="49CB4E5E" w14:textId="44A98743"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tcPr>
          <w:p w14:paraId="178A3834" w14:textId="2566CDD7"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tcPr>
          <w:p w14:paraId="2C9AE461" w14:textId="5C0492B0"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tcPr>
          <w:p w14:paraId="4D382DA3" w14:textId="58B9B588"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r>
      <w:tr w:rsidR="00557473" w:rsidRPr="00CD27C7" w14:paraId="2AE2B1D2" w14:textId="77777777">
        <w:tc>
          <w:tcPr>
            <w:tcW w:w="2515" w:type="dxa"/>
            <w:vAlign w:val="center"/>
          </w:tcPr>
          <w:p w14:paraId="64249ED6" w14:textId="665738A2" w:rsidR="00557473" w:rsidRPr="00CD27C7" w:rsidRDefault="001177B2" w:rsidP="007A591A">
            <w:pPr>
              <w:pStyle w:val="TableText"/>
              <w:keepNext w:val="0"/>
              <w:rPr>
                <w:szCs w:val="20"/>
              </w:rPr>
            </w:pPr>
            <w:r>
              <w:rPr>
                <w:szCs w:val="20"/>
              </w:rPr>
              <w:t>Uptake rate</w:t>
            </w:r>
          </w:p>
        </w:tc>
        <w:tc>
          <w:tcPr>
            <w:tcW w:w="1080" w:type="dxa"/>
          </w:tcPr>
          <w:p w14:paraId="6BEE6656" w14:textId="37182F01" w:rsidR="00557473" w:rsidRPr="00CD27C7" w:rsidRDefault="00C10EC6" w:rsidP="007A591A">
            <w:pPr>
              <w:pStyle w:val="TableText"/>
              <w:keepNext w:val="0"/>
              <w:jc w:val="center"/>
              <w:rPr>
                <w:szCs w:val="20"/>
              </w:rPr>
            </w:pPr>
            <w:r w:rsidRPr="00C10EC6">
              <w:rPr>
                <w:sz w:val="2"/>
                <w:szCs w:val="20"/>
                <w:highlight w:val="black"/>
              </w:rPr>
              <w:t>redacted content</w:t>
            </w:r>
            <w:r w:rsidR="001177B2">
              <w:rPr>
                <w:szCs w:val="20"/>
              </w:rPr>
              <w:t>%</w:t>
            </w:r>
          </w:p>
        </w:tc>
        <w:tc>
          <w:tcPr>
            <w:tcW w:w="1080" w:type="dxa"/>
          </w:tcPr>
          <w:p w14:paraId="33D8CEFB" w14:textId="0935D24F" w:rsidR="00557473" w:rsidRPr="00CD27C7" w:rsidRDefault="00C10EC6" w:rsidP="007A591A">
            <w:pPr>
              <w:pStyle w:val="TableText"/>
              <w:keepNext w:val="0"/>
              <w:jc w:val="center"/>
              <w:rPr>
                <w:szCs w:val="20"/>
              </w:rPr>
            </w:pPr>
            <w:r w:rsidRPr="00C10EC6">
              <w:rPr>
                <w:sz w:val="2"/>
                <w:szCs w:val="20"/>
                <w:highlight w:val="black"/>
              </w:rPr>
              <w:t>redacted content</w:t>
            </w:r>
            <w:r w:rsidR="001177B2">
              <w:rPr>
                <w:szCs w:val="20"/>
              </w:rPr>
              <w:t>%</w:t>
            </w:r>
          </w:p>
        </w:tc>
        <w:tc>
          <w:tcPr>
            <w:tcW w:w="1080" w:type="dxa"/>
          </w:tcPr>
          <w:p w14:paraId="1F892FA7" w14:textId="3E1E8480" w:rsidR="00557473" w:rsidRPr="00CD27C7" w:rsidRDefault="00C10EC6" w:rsidP="007A591A">
            <w:pPr>
              <w:pStyle w:val="TableText"/>
              <w:keepNext w:val="0"/>
              <w:jc w:val="center"/>
              <w:rPr>
                <w:szCs w:val="20"/>
              </w:rPr>
            </w:pPr>
            <w:r w:rsidRPr="00C10EC6">
              <w:rPr>
                <w:sz w:val="2"/>
                <w:szCs w:val="20"/>
                <w:highlight w:val="black"/>
              </w:rPr>
              <w:t>redacted content</w:t>
            </w:r>
            <w:r w:rsidR="001177B2">
              <w:rPr>
                <w:szCs w:val="20"/>
              </w:rPr>
              <w:t>%</w:t>
            </w:r>
          </w:p>
        </w:tc>
        <w:tc>
          <w:tcPr>
            <w:tcW w:w="1080" w:type="dxa"/>
          </w:tcPr>
          <w:p w14:paraId="6CF5E38B" w14:textId="00EBE08E" w:rsidR="00557473" w:rsidRPr="00CD27C7" w:rsidRDefault="00C10EC6" w:rsidP="007A591A">
            <w:pPr>
              <w:pStyle w:val="TableText"/>
              <w:keepNext w:val="0"/>
              <w:jc w:val="center"/>
              <w:rPr>
                <w:szCs w:val="20"/>
              </w:rPr>
            </w:pPr>
            <w:r w:rsidRPr="00C10EC6">
              <w:rPr>
                <w:sz w:val="2"/>
                <w:szCs w:val="20"/>
                <w:highlight w:val="black"/>
              </w:rPr>
              <w:t>redacted content</w:t>
            </w:r>
            <w:r w:rsidR="001177B2">
              <w:rPr>
                <w:szCs w:val="20"/>
              </w:rPr>
              <w:t>%</w:t>
            </w:r>
          </w:p>
        </w:tc>
        <w:tc>
          <w:tcPr>
            <w:tcW w:w="1080" w:type="dxa"/>
          </w:tcPr>
          <w:p w14:paraId="30274F72" w14:textId="018C6BD9" w:rsidR="00557473" w:rsidRPr="00CD27C7" w:rsidRDefault="00C10EC6" w:rsidP="007A591A">
            <w:pPr>
              <w:pStyle w:val="TableText"/>
              <w:keepNext w:val="0"/>
              <w:jc w:val="center"/>
              <w:rPr>
                <w:szCs w:val="20"/>
              </w:rPr>
            </w:pPr>
            <w:r w:rsidRPr="00C10EC6">
              <w:rPr>
                <w:sz w:val="2"/>
                <w:szCs w:val="20"/>
                <w:highlight w:val="black"/>
              </w:rPr>
              <w:t>redacted content</w:t>
            </w:r>
            <w:r w:rsidR="001177B2">
              <w:rPr>
                <w:szCs w:val="20"/>
              </w:rPr>
              <w:t>%</w:t>
            </w:r>
          </w:p>
        </w:tc>
        <w:tc>
          <w:tcPr>
            <w:tcW w:w="1080" w:type="dxa"/>
          </w:tcPr>
          <w:p w14:paraId="6F1F9D4E" w14:textId="6900B8C4" w:rsidR="00557473" w:rsidRPr="00CD27C7" w:rsidRDefault="00C10EC6" w:rsidP="007A591A">
            <w:pPr>
              <w:pStyle w:val="TableText"/>
              <w:keepNext w:val="0"/>
              <w:jc w:val="center"/>
              <w:rPr>
                <w:szCs w:val="20"/>
              </w:rPr>
            </w:pPr>
            <w:r w:rsidRPr="00C10EC6">
              <w:rPr>
                <w:sz w:val="2"/>
                <w:szCs w:val="20"/>
                <w:highlight w:val="black"/>
              </w:rPr>
              <w:t>redacted content</w:t>
            </w:r>
            <w:r w:rsidR="001177B2">
              <w:rPr>
                <w:szCs w:val="20"/>
              </w:rPr>
              <w:t>%</w:t>
            </w:r>
          </w:p>
        </w:tc>
      </w:tr>
      <w:tr w:rsidR="009671C8" w:rsidRPr="00CD27C7" w14:paraId="22D5B837" w14:textId="77777777" w:rsidTr="001B5026">
        <w:tc>
          <w:tcPr>
            <w:tcW w:w="2515" w:type="dxa"/>
            <w:vAlign w:val="center"/>
          </w:tcPr>
          <w:p w14:paraId="2CE5715B" w14:textId="77777777" w:rsidR="009671C8" w:rsidRPr="00CD27C7" w:rsidRDefault="009671C8" w:rsidP="007A591A">
            <w:pPr>
              <w:pStyle w:val="TableText"/>
              <w:keepNext w:val="0"/>
              <w:rPr>
                <w:szCs w:val="20"/>
              </w:rPr>
            </w:pPr>
            <w:r w:rsidRPr="00CD27C7">
              <w:rPr>
                <w:szCs w:val="20"/>
              </w:rPr>
              <w:t>Grandfathered population on treatment</w:t>
            </w:r>
          </w:p>
        </w:tc>
        <w:tc>
          <w:tcPr>
            <w:tcW w:w="1080" w:type="dxa"/>
            <w:vAlign w:val="center"/>
          </w:tcPr>
          <w:p w14:paraId="793A7584" w14:textId="02053DF5"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vAlign w:val="center"/>
          </w:tcPr>
          <w:p w14:paraId="52BB3167" w14:textId="3B488D68" w:rsidR="009671C8" w:rsidRPr="00CD27C7" w:rsidRDefault="007A591A" w:rsidP="007A591A">
            <w:pPr>
              <w:pStyle w:val="TableText"/>
              <w:keepNext w:val="0"/>
              <w:jc w:val="center"/>
              <w:rPr>
                <w:szCs w:val="20"/>
              </w:rPr>
            </w:pPr>
            <w:r>
              <w:rPr>
                <w:szCs w:val="20"/>
              </w:rPr>
              <w:noBreakHyphen/>
            </w:r>
          </w:p>
        </w:tc>
        <w:tc>
          <w:tcPr>
            <w:tcW w:w="1080" w:type="dxa"/>
            <w:vAlign w:val="center"/>
          </w:tcPr>
          <w:p w14:paraId="72631E59" w14:textId="7C67574A" w:rsidR="009671C8" w:rsidRPr="00CD27C7" w:rsidRDefault="007A591A" w:rsidP="007A591A">
            <w:pPr>
              <w:pStyle w:val="TableText"/>
              <w:keepNext w:val="0"/>
              <w:jc w:val="center"/>
              <w:rPr>
                <w:szCs w:val="20"/>
              </w:rPr>
            </w:pPr>
            <w:r>
              <w:rPr>
                <w:szCs w:val="20"/>
              </w:rPr>
              <w:noBreakHyphen/>
            </w:r>
          </w:p>
        </w:tc>
        <w:tc>
          <w:tcPr>
            <w:tcW w:w="1080" w:type="dxa"/>
            <w:vAlign w:val="center"/>
          </w:tcPr>
          <w:p w14:paraId="5F9025AE" w14:textId="683120CF" w:rsidR="009671C8" w:rsidRPr="00CD27C7" w:rsidRDefault="007A591A" w:rsidP="007A591A">
            <w:pPr>
              <w:pStyle w:val="TableText"/>
              <w:keepNext w:val="0"/>
              <w:jc w:val="center"/>
              <w:rPr>
                <w:szCs w:val="20"/>
              </w:rPr>
            </w:pPr>
            <w:r>
              <w:rPr>
                <w:szCs w:val="20"/>
              </w:rPr>
              <w:noBreakHyphen/>
            </w:r>
          </w:p>
        </w:tc>
        <w:tc>
          <w:tcPr>
            <w:tcW w:w="1080" w:type="dxa"/>
            <w:vAlign w:val="center"/>
          </w:tcPr>
          <w:p w14:paraId="38026D09" w14:textId="71FC80C6" w:rsidR="009671C8" w:rsidRPr="00CD27C7" w:rsidRDefault="007A591A" w:rsidP="007A591A">
            <w:pPr>
              <w:pStyle w:val="TableText"/>
              <w:keepNext w:val="0"/>
              <w:jc w:val="center"/>
              <w:rPr>
                <w:szCs w:val="20"/>
              </w:rPr>
            </w:pPr>
            <w:r>
              <w:rPr>
                <w:szCs w:val="20"/>
              </w:rPr>
              <w:noBreakHyphen/>
            </w:r>
          </w:p>
        </w:tc>
        <w:tc>
          <w:tcPr>
            <w:tcW w:w="1080" w:type="dxa"/>
            <w:vAlign w:val="center"/>
          </w:tcPr>
          <w:p w14:paraId="501DD087" w14:textId="3784D56A" w:rsidR="009671C8" w:rsidRPr="00CD27C7" w:rsidRDefault="007A591A" w:rsidP="007A591A">
            <w:pPr>
              <w:pStyle w:val="TableText"/>
              <w:keepNext w:val="0"/>
              <w:jc w:val="center"/>
              <w:rPr>
                <w:szCs w:val="20"/>
              </w:rPr>
            </w:pPr>
            <w:r>
              <w:rPr>
                <w:szCs w:val="20"/>
              </w:rPr>
              <w:noBreakHyphen/>
            </w:r>
          </w:p>
        </w:tc>
      </w:tr>
      <w:tr w:rsidR="009671C8" w:rsidRPr="00CD27C7" w14:paraId="034BAC75" w14:textId="77777777" w:rsidTr="001B5026">
        <w:trPr>
          <w:trHeight w:val="230"/>
        </w:trPr>
        <w:tc>
          <w:tcPr>
            <w:tcW w:w="2515" w:type="dxa"/>
            <w:vAlign w:val="center"/>
          </w:tcPr>
          <w:p w14:paraId="7C08E267" w14:textId="41BD84BA" w:rsidR="009671C8" w:rsidRPr="00CD27C7" w:rsidRDefault="009671C8" w:rsidP="007A591A">
            <w:pPr>
              <w:pStyle w:val="TableText"/>
              <w:keepNext w:val="0"/>
              <w:rPr>
                <w:b/>
                <w:szCs w:val="20"/>
              </w:rPr>
            </w:pPr>
            <w:r w:rsidRPr="00CD27C7">
              <w:rPr>
                <w:b/>
                <w:szCs w:val="20"/>
              </w:rPr>
              <w:t xml:space="preserve">Total patients </w:t>
            </w:r>
            <w:r w:rsidR="00283A89">
              <w:rPr>
                <w:b/>
                <w:szCs w:val="20"/>
              </w:rPr>
              <w:t>initiating tofersen</w:t>
            </w:r>
          </w:p>
        </w:tc>
        <w:tc>
          <w:tcPr>
            <w:tcW w:w="1080" w:type="dxa"/>
            <w:vAlign w:val="center"/>
          </w:tcPr>
          <w:p w14:paraId="7BE2941B" w14:textId="48A14B1C"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vAlign w:val="center"/>
          </w:tcPr>
          <w:p w14:paraId="3E58D867" w14:textId="0654976C" w:rsidR="009671C8" w:rsidRPr="00F27FE5"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vAlign w:val="center"/>
          </w:tcPr>
          <w:p w14:paraId="7172C659" w14:textId="54EF2B94" w:rsidR="009671C8"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vAlign w:val="center"/>
          </w:tcPr>
          <w:p w14:paraId="5B3049DA" w14:textId="03974127" w:rsidR="009671C8"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vAlign w:val="center"/>
          </w:tcPr>
          <w:p w14:paraId="668E2468" w14:textId="2F5F7B4D" w:rsidR="009671C8"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vAlign w:val="center"/>
          </w:tcPr>
          <w:p w14:paraId="76179F6A" w14:textId="054FD4F2" w:rsidR="009671C8"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r>
      <w:tr w:rsidR="0031275E" w:rsidRPr="00CD27C7" w14:paraId="0E83CD2E" w14:textId="77777777" w:rsidTr="001B5026">
        <w:trPr>
          <w:trHeight w:val="230"/>
        </w:trPr>
        <w:tc>
          <w:tcPr>
            <w:tcW w:w="2515" w:type="dxa"/>
            <w:vAlign w:val="center"/>
          </w:tcPr>
          <w:p w14:paraId="343A5B4A" w14:textId="48049BD1" w:rsidR="0031275E" w:rsidRPr="00CD27C7" w:rsidRDefault="0031275E" w:rsidP="007A591A">
            <w:pPr>
              <w:pStyle w:val="TableText"/>
              <w:keepNext w:val="0"/>
              <w:rPr>
                <w:szCs w:val="20"/>
              </w:rPr>
            </w:pPr>
            <w:r w:rsidRPr="00CD27C7">
              <w:rPr>
                <w:b/>
                <w:szCs w:val="20"/>
              </w:rPr>
              <w:t>Estimated number of tofersen scripts (PBS/RPBS)</w:t>
            </w:r>
          </w:p>
        </w:tc>
        <w:tc>
          <w:tcPr>
            <w:tcW w:w="1080" w:type="dxa"/>
            <w:vAlign w:val="center"/>
          </w:tcPr>
          <w:p w14:paraId="3DCCF5FB" w14:textId="09E8E42C" w:rsidR="0031275E"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vAlign w:val="center"/>
          </w:tcPr>
          <w:p w14:paraId="7B057EB0" w14:textId="24886B7D" w:rsidR="0031275E"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vAlign w:val="center"/>
          </w:tcPr>
          <w:p w14:paraId="1CDA2458" w14:textId="5B144E9E" w:rsidR="0031275E"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vAlign w:val="center"/>
          </w:tcPr>
          <w:p w14:paraId="77B107ED" w14:textId="192259D9" w:rsidR="0031275E"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vAlign w:val="center"/>
          </w:tcPr>
          <w:p w14:paraId="5D8A05A2" w14:textId="3109CFC9" w:rsidR="0031275E"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vAlign w:val="center"/>
          </w:tcPr>
          <w:p w14:paraId="1306FF7B" w14:textId="068E51B9" w:rsidR="0031275E"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r>
      <w:tr w:rsidR="0031275E" w:rsidRPr="00CD27C7" w14:paraId="3F23801B" w14:textId="77777777">
        <w:trPr>
          <w:trHeight w:val="230"/>
        </w:trPr>
        <w:tc>
          <w:tcPr>
            <w:tcW w:w="8995" w:type="dxa"/>
            <w:gridSpan w:val="7"/>
            <w:vAlign w:val="center"/>
          </w:tcPr>
          <w:p w14:paraId="166BC2F9" w14:textId="77777777" w:rsidR="0031275E" w:rsidRPr="00CD27C7" w:rsidRDefault="0031275E" w:rsidP="007A591A">
            <w:pPr>
              <w:pStyle w:val="TableText"/>
              <w:keepNext w:val="0"/>
              <w:rPr>
                <w:b/>
                <w:szCs w:val="20"/>
              </w:rPr>
            </w:pPr>
            <w:r w:rsidRPr="00CD27C7">
              <w:rPr>
                <w:b/>
                <w:szCs w:val="20"/>
              </w:rPr>
              <w:t>Estimated effective cost of tofersen to PBS/RPBS</w:t>
            </w:r>
          </w:p>
        </w:tc>
      </w:tr>
      <w:tr w:rsidR="000E3FA8" w:rsidRPr="00CD27C7" w14:paraId="113BA7F3" w14:textId="77777777">
        <w:trPr>
          <w:trHeight w:val="230"/>
        </w:trPr>
        <w:tc>
          <w:tcPr>
            <w:tcW w:w="2515" w:type="dxa"/>
            <w:vAlign w:val="center"/>
          </w:tcPr>
          <w:p w14:paraId="4FF667BF" w14:textId="77777777" w:rsidR="000E3FA8" w:rsidRPr="00CD27C7" w:rsidRDefault="000E3FA8" w:rsidP="007A591A">
            <w:pPr>
              <w:pStyle w:val="TableText"/>
              <w:keepNext w:val="0"/>
              <w:rPr>
                <w:szCs w:val="20"/>
              </w:rPr>
            </w:pPr>
            <w:r w:rsidRPr="00CD27C7">
              <w:rPr>
                <w:szCs w:val="20"/>
              </w:rPr>
              <w:t>Total cost of tofersen</w:t>
            </w:r>
          </w:p>
        </w:tc>
        <w:tc>
          <w:tcPr>
            <w:tcW w:w="1080" w:type="dxa"/>
            <w:vAlign w:val="center"/>
          </w:tcPr>
          <w:p w14:paraId="3AF6DF5B" w14:textId="2043566B" w:rsidR="000E3FA8" w:rsidRPr="00300B62" w:rsidRDefault="000E3FA8" w:rsidP="007A591A">
            <w:pPr>
              <w:pStyle w:val="TableText"/>
              <w:keepNext w:val="0"/>
              <w:jc w:val="center"/>
              <w:rPr>
                <w:szCs w:val="20"/>
                <w:vertAlign w:val="superscript"/>
              </w:rPr>
            </w:pPr>
            <w:r w:rsidRPr="00915706">
              <w:rPr>
                <w:rFonts w:cs="Arial"/>
              </w:rPr>
              <w:t>$</w:t>
            </w:r>
            <w:r w:rsidR="00C10EC6" w:rsidRPr="00C10EC6">
              <w:rPr>
                <w:rFonts w:cs="Arial"/>
                <w:sz w:val="2"/>
                <w:highlight w:val="black"/>
              </w:rPr>
              <w:t>redacted content</w:t>
            </w:r>
            <w:r w:rsidR="00CF6074">
              <w:rPr>
                <w:rFonts w:cs="Arial"/>
                <w:vertAlign w:val="superscript"/>
              </w:rPr>
              <w:t>3</w:t>
            </w:r>
          </w:p>
        </w:tc>
        <w:tc>
          <w:tcPr>
            <w:tcW w:w="1080" w:type="dxa"/>
            <w:vAlign w:val="center"/>
          </w:tcPr>
          <w:p w14:paraId="2BE37F26" w14:textId="728C036D" w:rsidR="000E3FA8" w:rsidRPr="00300B62" w:rsidRDefault="000E3FA8" w:rsidP="007A591A">
            <w:pPr>
              <w:pStyle w:val="TableText"/>
              <w:keepNext w:val="0"/>
              <w:jc w:val="center"/>
              <w:rPr>
                <w:szCs w:val="20"/>
                <w:vertAlign w:val="superscript"/>
              </w:rPr>
            </w:pPr>
            <w:r w:rsidRPr="00915706">
              <w:rPr>
                <w:rFonts w:cs="Arial"/>
              </w:rPr>
              <w:t>$</w:t>
            </w:r>
            <w:r w:rsidR="00C10EC6" w:rsidRPr="00C10EC6">
              <w:rPr>
                <w:rFonts w:cs="Arial"/>
                <w:sz w:val="2"/>
                <w:highlight w:val="black"/>
              </w:rPr>
              <w:t>redacted content</w:t>
            </w:r>
            <w:r w:rsidR="00CF6074">
              <w:rPr>
                <w:rFonts w:cs="Arial"/>
                <w:vertAlign w:val="superscript"/>
              </w:rPr>
              <w:t>3</w:t>
            </w:r>
          </w:p>
        </w:tc>
        <w:tc>
          <w:tcPr>
            <w:tcW w:w="1080" w:type="dxa"/>
            <w:vAlign w:val="center"/>
          </w:tcPr>
          <w:p w14:paraId="5191AD85" w14:textId="589CDCFB" w:rsidR="000E3FA8" w:rsidRPr="00300B62" w:rsidRDefault="000E3FA8" w:rsidP="007A591A">
            <w:pPr>
              <w:pStyle w:val="TableText"/>
              <w:keepNext w:val="0"/>
              <w:jc w:val="center"/>
              <w:rPr>
                <w:szCs w:val="20"/>
                <w:highlight w:val="darkGray"/>
                <w:vertAlign w:val="superscript"/>
              </w:rPr>
            </w:pPr>
            <w:r w:rsidRPr="00B07764">
              <w:rPr>
                <w:rFonts w:cs="Arial"/>
              </w:rPr>
              <w:t>$</w:t>
            </w:r>
            <w:r w:rsidR="00C10EC6" w:rsidRPr="00C10EC6">
              <w:rPr>
                <w:rFonts w:cs="Arial"/>
                <w:sz w:val="2"/>
                <w:highlight w:val="black"/>
              </w:rPr>
              <w:t>redacted content</w:t>
            </w:r>
            <w:r w:rsidR="00CF6074" w:rsidRPr="00300B62">
              <w:rPr>
                <w:rFonts w:cs="Arial"/>
                <w:vertAlign w:val="superscript"/>
              </w:rPr>
              <w:t>3</w:t>
            </w:r>
          </w:p>
        </w:tc>
        <w:tc>
          <w:tcPr>
            <w:tcW w:w="1080" w:type="dxa"/>
            <w:vAlign w:val="center"/>
          </w:tcPr>
          <w:p w14:paraId="5CBAA38D" w14:textId="0011D547" w:rsidR="000E3FA8" w:rsidRPr="00300B62" w:rsidRDefault="000E3FA8" w:rsidP="007A591A">
            <w:pPr>
              <w:pStyle w:val="TableText"/>
              <w:keepNext w:val="0"/>
              <w:jc w:val="center"/>
              <w:rPr>
                <w:szCs w:val="20"/>
                <w:vertAlign w:val="superscript"/>
              </w:rPr>
            </w:pPr>
            <w:r w:rsidRPr="00915706">
              <w:rPr>
                <w:rFonts w:cs="Arial"/>
              </w:rPr>
              <w:t>$</w:t>
            </w:r>
            <w:r w:rsidR="00C10EC6" w:rsidRPr="00C10EC6">
              <w:rPr>
                <w:rFonts w:cs="Arial"/>
                <w:sz w:val="2"/>
                <w:highlight w:val="black"/>
              </w:rPr>
              <w:t>redacted content</w:t>
            </w:r>
            <w:r w:rsidR="00CF6074">
              <w:rPr>
                <w:rFonts w:cs="Arial"/>
                <w:vertAlign w:val="superscript"/>
              </w:rPr>
              <w:t>3</w:t>
            </w:r>
          </w:p>
        </w:tc>
        <w:tc>
          <w:tcPr>
            <w:tcW w:w="1080" w:type="dxa"/>
            <w:vAlign w:val="center"/>
          </w:tcPr>
          <w:p w14:paraId="7F214910" w14:textId="0A615BE7" w:rsidR="000E3FA8" w:rsidRPr="00300B62" w:rsidRDefault="000E3FA8" w:rsidP="007A591A">
            <w:pPr>
              <w:pStyle w:val="TableText"/>
              <w:keepNext w:val="0"/>
              <w:jc w:val="center"/>
              <w:rPr>
                <w:szCs w:val="20"/>
                <w:vertAlign w:val="superscript"/>
              </w:rPr>
            </w:pPr>
            <w:r w:rsidRPr="00915706">
              <w:rPr>
                <w:rFonts w:cs="Arial"/>
              </w:rPr>
              <w:t>$</w:t>
            </w:r>
            <w:r w:rsidR="00C10EC6" w:rsidRPr="00C10EC6">
              <w:rPr>
                <w:rFonts w:cs="Arial"/>
                <w:sz w:val="2"/>
                <w:highlight w:val="black"/>
              </w:rPr>
              <w:t>redacted content</w:t>
            </w:r>
            <w:r w:rsidR="00CF6074">
              <w:rPr>
                <w:rFonts w:cs="Arial"/>
                <w:vertAlign w:val="superscript"/>
              </w:rPr>
              <w:t>3</w:t>
            </w:r>
          </w:p>
        </w:tc>
        <w:tc>
          <w:tcPr>
            <w:tcW w:w="1080" w:type="dxa"/>
            <w:vAlign w:val="center"/>
          </w:tcPr>
          <w:p w14:paraId="3AFCD9C8" w14:textId="6C621AD4" w:rsidR="000E3FA8" w:rsidRPr="00300B62" w:rsidRDefault="000E3FA8" w:rsidP="007A591A">
            <w:pPr>
              <w:pStyle w:val="TableText"/>
              <w:keepNext w:val="0"/>
              <w:jc w:val="center"/>
              <w:rPr>
                <w:szCs w:val="20"/>
                <w:vertAlign w:val="superscript"/>
              </w:rPr>
            </w:pPr>
            <w:r w:rsidRPr="00915706">
              <w:rPr>
                <w:rFonts w:cs="Arial"/>
              </w:rPr>
              <w:t>$</w:t>
            </w:r>
            <w:r w:rsidR="00C10EC6" w:rsidRPr="00C10EC6">
              <w:rPr>
                <w:rFonts w:cs="Arial"/>
                <w:sz w:val="2"/>
                <w:highlight w:val="black"/>
              </w:rPr>
              <w:t>redacted content</w:t>
            </w:r>
            <w:r w:rsidR="00CF6074">
              <w:rPr>
                <w:rFonts w:cs="Arial"/>
                <w:vertAlign w:val="superscript"/>
              </w:rPr>
              <w:t>3</w:t>
            </w:r>
          </w:p>
        </w:tc>
      </w:tr>
      <w:tr w:rsidR="000E3FA8" w:rsidRPr="00CD27C7" w14:paraId="3205289A" w14:textId="77777777">
        <w:trPr>
          <w:trHeight w:val="230"/>
        </w:trPr>
        <w:tc>
          <w:tcPr>
            <w:tcW w:w="2515" w:type="dxa"/>
            <w:vAlign w:val="center"/>
          </w:tcPr>
          <w:p w14:paraId="38A6C409" w14:textId="77777777" w:rsidR="000E3FA8" w:rsidRPr="00CD27C7" w:rsidRDefault="000E3FA8" w:rsidP="007A591A">
            <w:pPr>
              <w:pStyle w:val="TableText"/>
              <w:keepNext w:val="0"/>
              <w:rPr>
                <w:szCs w:val="20"/>
              </w:rPr>
            </w:pPr>
            <w:r w:rsidRPr="00CD27C7">
              <w:rPr>
                <w:szCs w:val="20"/>
              </w:rPr>
              <w:t>PBS copayments</w:t>
            </w:r>
          </w:p>
        </w:tc>
        <w:tc>
          <w:tcPr>
            <w:tcW w:w="1080" w:type="dxa"/>
            <w:vAlign w:val="center"/>
          </w:tcPr>
          <w:p w14:paraId="70BB4DEE" w14:textId="08205B83" w:rsidR="000E3FA8" w:rsidRPr="00300B62" w:rsidRDefault="007A591A" w:rsidP="007A591A">
            <w:pPr>
              <w:pStyle w:val="TableText"/>
              <w:keepNext w:val="0"/>
              <w:jc w:val="center"/>
              <w:rPr>
                <w:szCs w:val="20"/>
                <w:vertAlign w:val="superscript"/>
              </w:rPr>
            </w:pPr>
            <w:r>
              <w:rPr>
                <w:rFonts w:cs="Arial"/>
              </w:rPr>
              <w:noBreakHyphen/>
            </w:r>
            <w:r w:rsidR="000E3FA8" w:rsidRPr="00915706">
              <w:rPr>
                <w:rFonts w:cs="Arial"/>
              </w:rPr>
              <w:t>$</w:t>
            </w:r>
            <w:r w:rsidR="00C10EC6" w:rsidRPr="00C10EC6">
              <w:rPr>
                <w:rFonts w:cs="Arial"/>
                <w:sz w:val="2"/>
                <w:highlight w:val="black"/>
              </w:rPr>
              <w:t>redacted content</w:t>
            </w:r>
            <w:r w:rsidR="00DF78C2">
              <w:rPr>
                <w:rFonts w:cs="Arial"/>
                <w:vertAlign w:val="superscript"/>
              </w:rPr>
              <w:t>4</w:t>
            </w:r>
          </w:p>
        </w:tc>
        <w:tc>
          <w:tcPr>
            <w:tcW w:w="1080" w:type="dxa"/>
            <w:vAlign w:val="center"/>
          </w:tcPr>
          <w:p w14:paraId="5CA99A4C" w14:textId="6E55B713" w:rsidR="000E3FA8" w:rsidRPr="00300B62" w:rsidRDefault="007A591A" w:rsidP="007A591A">
            <w:pPr>
              <w:pStyle w:val="TableText"/>
              <w:keepNext w:val="0"/>
              <w:jc w:val="center"/>
              <w:rPr>
                <w:szCs w:val="20"/>
                <w:vertAlign w:val="superscript"/>
              </w:rPr>
            </w:pPr>
            <w:r>
              <w:rPr>
                <w:rFonts w:cs="Arial"/>
              </w:rPr>
              <w:noBreakHyphen/>
            </w:r>
            <w:r w:rsidR="000E3FA8" w:rsidRPr="00915706">
              <w:rPr>
                <w:rFonts w:cs="Arial"/>
              </w:rPr>
              <w:t>$</w:t>
            </w:r>
            <w:r w:rsidR="00C10EC6" w:rsidRPr="00C10EC6">
              <w:rPr>
                <w:rFonts w:cs="Arial"/>
                <w:sz w:val="2"/>
                <w:highlight w:val="black"/>
              </w:rPr>
              <w:t>redacted content</w:t>
            </w:r>
            <w:r w:rsidR="00DF78C2">
              <w:rPr>
                <w:rFonts w:cs="Arial"/>
                <w:vertAlign w:val="superscript"/>
              </w:rPr>
              <w:t>4</w:t>
            </w:r>
          </w:p>
        </w:tc>
        <w:tc>
          <w:tcPr>
            <w:tcW w:w="1080" w:type="dxa"/>
            <w:vAlign w:val="center"/>
          </w:tcPr>
          <w:p w14:paraId="719132BE" w14:textId="3B0351E8" w:rsidR="000E3FA8" w:rsidRPr="00300B62" w:rsidRDefault="007A591A" w:rsidP="007A591A">
            <w:pPr>
              <w:pStyle w:val="TableText"/>
              <w:keepNext w:val="0"/>
              <w:jc w:val="center"/>
              <w:rPr>
                <w:szCs w:val="20"/>
                <w:vertAlign w:val="superscript"/>
              </w:rPr>
            </w:pPr>
            <w:r>
              <w:rPr>
                <w:rFonts w:cs="Arial"/>
              </w:rPr>
              <w:noBreakHyphen/>
            </w:r>
            <w:r w:rsidR="000E3FA8" w:rsidRPr="00915706">
              <w:rPr>
                <w:rFonts w:cs="Arial"/>
              </w:rPr>
              <w:t>$</w:t>
            </w:r>
            <w:r w:rsidR="00C10EC6" w:rsidRPr="00C10EC6">
              <w:rPr>
                <w:rFonts w:cs="Arial"/>
                <w:sz w:val="2"/>
                <w:highlight w:val="black"/>
              </w:rPr>
              <w:t>redacted content</w:t>
            </w:r>
            <w:r w:rsidR="00DF78C2">
              <w:rPr>
                <w:rFonts w:cs="Arial"/>
                <w:vertAlign w:val="superscript"/>
              </w:rPr>
              <w:t>4</w:t>
            </w:r>
          </w:p>
        </w:tc>
        <w:tc>
          <w:tcPr>
            <w:tcW w:w="1080" w:type="dxa"/>
            <w:vAlign w:val="center"/>
          </w:tcPr>
          <w:p w14:paraId="6A549AC2" w14:textId="421A2E60" w:rsidR="000E3FA8" w:rsidRPr="00300B62" w:rsidRDefault="007A591A" w:rsidP="007A591A">
            <w:pPr>
              <w:pStyle w:val="TableText"/>
              <w:keepNext w:val="0"/>
              <w:jc w:val="center"/>
              <w:rPr>
                <w:szCs w:val="20"/>
                <w:vertAlign w:val="superscript"/>
              </w:rPr>
            </w:pPr>
            <w:r>
              <w:rPr>
                <w:rFonts w:cs="Arial"/>
              </w:rPr>
              <w:noBreakHyphen/>
            </w:r>
            <w:r w:rsidR="000E3FA8" w:rsidRPr="00915706">
              <w:rPr>
                <w:rFonts w:cs="Arial"/>
              </w:rPr>
              <w:t>$</w:t>
            </w:r>
            <w:r w:rsidR="00C10EC6" w:rsidRPr="00C10EC6">
              <w:rPr>
                <w:rFonts w:cs="Arial"/>
                <w:sz w:val="2"/>
                <w:highlight w:val="black"/>
              </w:rPr>
              <w:t>redacted content</w:t>
            </w:r>
            <w:r w:rsidR="00DF78C2">
              <w:rPr>
                <w:rFonts w:cs="Arial"/>
                <w:vertAlign w:val="superscript"/>
              </w:rPr>
              <w:t>4</w:t>
            </w:r>
          </w:p>
        </w:tc>
        <w:tc>
          <w:tcPr>
            <w:tcW w:w="1080" w:type="dxa"/>
            <w:vAlign w:val="center"/>
          </w:tcPr>
          <w:p w14:paraId="4AC1E881" w14:textId="0D2574E3" w:rsidR="000E3FA8" w:rsidRPr="00300B62" w:rsidRDefault="007A591A" w:rsidP="007A591A">
            <w:pPr>
              <w:pStyle w:val="TableText"/>
              <w:keepNext w:val="0"/>
              <w:jc w:val="center"/>
              <w:rPr>
                <w:szCs w:val="20"/>
                <w:vertAlign w:val="superscript"/>
              </w:rPr>
            </w:pPr>
            <w:r>
              <w:rPr>
                <w:rFonts w:cs="Arial"/>
              </w:rPr>
              <w:noBreakHyphen/>
            </w:r>
            <w:r w:rsidR="000E3FA8" w:rsidRPr="00915706">
              <w:rPr>
                <w:rFonts w:cs="Arial"/>
              </w:rPr>
              <w:t>$</w:t>
            </w:r>
            <w:r w:rsidR="00C10EC6" w:rsidRPr="00C10EC6">
              <w:rPr>
                <w:rFonts w:cs="Arial"/>
                <w:sz w:val="2"/>
                <w:highlight w:val="black"/>
              </w:rPr>
              <w:t>redacted content</w:t>
            </w:r>
            <w:r w:rsidR="00DF78C2">
              <w:rPr>
                <w:rFonts w:cs="Arial"/>
                <w:vertAlign w:val="superscript"/>
              </w:rPr>
              <w:t>4</w:t>
            </w:r>
          </w:p>
        </w:tc>
        <w:tc>
          <w:tcPr>
            <w:tcW w:w="1080" w:type="dxa"/>
            <w:vAlign w:val="center"/>
          </w:tcPr>
          <w:p w14:paraId="0C018983" w14:textId="6F45AAE3" w:rsidR="000E3FA8" w:rsidRPr="00300B62" w:rsidRDefault="007A591A" w:rsidP="007A591A">
            <w:pPr>
              <w:pStyle w:val="TableText"/>
              <w:keepNext w:val="0"/>
              <w:jc w:val="center"/>
              <w:rPr>
                <w:szCs w:val="20"/>
                <w:vertAlign w:val="superscript"/>
              </w:rPr>
            </w:pPr>
            <w:r>
              <w:rPr>
                <w:rFonts w:cs="Arial"/>
              </w:rPr>
              <w:noBreakHyphen/>
            </w:r>
            <w:r w:rsidR="000E3FA8" w:rsidRPr="00915706">
              <w:rPr>
                <w:rFonts w:cs="Arial"/>
              </w:rPr>
              <w:t>$</w:t>
            </w:r>
            <w:r w:rsidR="00C10EC6" w:rsidRPr="00C10EC6">
              <w:rPr>
                <w:rFonts w:cs="Arial"/>
                <w:sz w:val="2"/>
                <w:highlight w:val="black"/>
              </w:rPr>
              <w:t>redacted content</w:t>
            </w:r>
            <w:r w:rsidR="00DF78C2">
              <w:rPr>
                <w:rFonts w:cs="Arial"/>
                <w:vertAlign w:val="superscript"/>
              </w:rPr>
              <w:t>4</w:t>
            </w:r>
          </w:p>
        </w:tc>
      </w:tr>
      <w:tr w:rsidR="000E3FA8" w:rsidRPr="00CD27C7" w14:paraId="468DA5E5" w14:textId="77777777">
        <w:trPr>
          <w:trHeight w:val="230"/>
        </w:trPr>
        <w:tc>
          <w:tcPr>
            <w:tcW w:w="2515" w:type="dxa"/>
            <w:vAlign w:val="center"/>
          </w:tcPr>
          <w:p w14:paraId="0AF376C3" w14:textId="77777777" w:rsidR="000E3FA8" w:rsidRPr="00CD27C7" w:rsidRDefault="000E3FA8" w:rsidP="007A591A">
            <w:pPr>
              <w:pStyle w:val="TableText"/>
              <w:keepNext w:val="0"/>
              <w:rPr>
                <w:b/>
                <w:bCs w:val="0"/>
                <w:szCs w:val="20"/>
              </w:rPr>
            </w:pPr>
            <w:r w:rsidRPr="00CD27C7">
              <w:rPr>
                <w:b/>
                <w:bCs w:val="0"/>
                <w:szCs w:val="20"/>
              </w:rPr>
              <w:t>Net cost to PBS/RPBS (excluding copayments)</w:t>
            </w:r>
          </w:p>
        </w:tc>
        <w:tc>
          <w:tcPr>
            <w:tcW w:w="1080" w:type="dxa"/>
            <w:vAlign w:val="center"/>
          </w:tcPr>
          <w:p w14:paraId="391FD003" w14:textId="143BCB95" w:rsidR="000E3FA8" w:rsidRPr="00300B62" w:rsidRDefault="000E3FA8" w:rsidP="007A591A">
            <w:pPr>
              <w:pStyle w:val="Tabletext0"/>
              <w:jc w:val="center"/>
              <w:rPr>
                <w:b/>
                <w:szCs w:val="20"/>
                <w:highlight w:val="yellow"/>
                <w:vertAlign w:val="superscript"/>
              </w:rPr>
            </w:pPr>
            <w:r w:rsidRPr="00915706">
              <w:rPr>
                <w:rFonts w:cs="Arial"/>
              </w:rPr>
              <w:t>$</w:t>
            </w:r>
            <w:r w:rsidR="00C10EC6" w:rsidRPr="00C10EC6">
              <w:rPr>
                <w:rFonts w:cs="Arial"/>
                <w:sz w:val="2"/>
                <w:highlight w:val="black"/>
              </w:rPr>
              <w:t>redacted content</w:t>
            </w:r>
            <w:r w:rsidR="00CF6074" w:rsidRPr="00300B62">
              <w:rPr>
                <w:rFonts w:cs="Arial"/>
                <w:vertAlign w:val="superscript"/>
              </w:rPr>
              <w:t>3</w:t>
            </w:r>
          </w:p>
        </w:tc>
        <w:tc>
          <w:tcPr>
            <w:tcW w:w="1080" w:type="dxa"/>
            <w:vAlign w:val="center"/>
          </w:tcPr>
          <w:p w14:paraId="147BCD46" w14:textId="29793A4C" w:rsidR="000E3FA8" w:rsidRPr="00300B62" w:rsidRDefault="000E3FA8" w:rsidP="007A591A">
            <w:pPr>
              <w:pStyle w:val="Tabletext0"/>
              <w:jc w:val="center"/>
              <w:rPr>
                <w:b/>
                <w:szCs w:val="20"/>
                <w:highlight w:val="yellow"/>
                <w:vertAlign w:val="superscript"/>
              </w:rPr>
            </w:pPr>
            <w:r w:rsidRPr="00915706">
              <w:rPr>
                <w:rFonts w:cs="Arial"/>
              </w:rPr>
              <w:t>$</w:t>
            </w:r>
            <w:r w:rsidR="00C10EC6" w:rsidRPr="00C10EC6">
              <w:rPr>
                <w:rFonts w:cs="Arial"/>
                <w:sz w:val="2"/>
                <w:highlight w:val="black"/>
              </w:rPr>
              <w:t>redacted content</w:t>
            </w:r>
            <w:r w:rsidR="00CF6074" w:rsidRPr="00300B62">
              <w:rPr>
                <w:rFonts w:cs="Arial"/>
                <w:vertAlign w:val="superscript"/>
              </w:rPr>
              <w:t>3</w:t>
            </w:r>
          </w:p>
        </w:tc>
        <w:tc>
          <w:tcPr>
            <w:tcW w:w="1080" w:type="dxa"/>
            <w:vAlign w:val="center"/>
          </w:tcPr>
          <w:p w14:paraId="6C7EA329" w14:textId="6014F64E" w:rsidR="000E3FA8" w:rsidRPr="00300B62" w:rsidRDefault="000E3FA8" w:rsidP="007A591A">
            <w:pPr>
              <w:pStyle w:val="Tabletext0"/>
              <w:jc w:val="center"/>
              <w:rPr>
                <w:b/>
                <w:szCs w:val="20"/>
                <w:highlight w:val="yellow"/>
                <w:vertAlign w:val="superscript"/>
              </w:rPr>
            </w:pPr>
            <w:r w:rsidRPr="00915706">
              <w:rPr>
                <w:rFonts w:cs="Arial"/>
              </w:rPr>
              <w:t>$</w:t>
            </w:r>
            <w:r w:rsidR="00C10EC6" w:rsidRPr="00C10EC6">
              <w:rPr>
                <w:rFonts w:cs="Arial"/>
                <w:sz w:val="2"/>
                <w:highlight w:val="black"/>
              </w:rPr>
              <w:t>redacted content</w:t>
            </w:r>
            <w:r w:rsidR="00CF6074" w:rsidRPr="00300B62">
              <w:rPr>
                <w:rFonts w:cs="Arial"/>
                <w:vertAlign w:val="superscript"/>
              </w:rPr>
              <w:t>3</w:t>
            </w:r>
          </w:p>
        </w:tc>
        <w:tc>
          <w:tcPr>
            <w:tcW w:w="1080" w:type="dxa"/>
            <w:vAlign w:val="center"/>
          </w:tcPr>
          <w:p w14:paraId="51464697" w14:textId="0C5EAE95" w:rsidR="000E3FA8" w:rsidRPr="00300B62" w:rsidRDefault="000E3FA8" w:rsidP="007A591A">
            <w:pPr>
              <w:pStyle w:val="Tabletext0"/>
              <w:jc w:val="center"/>
              <w:rPr>
                <w:b/>
                <w:szCs w:val="20"/>
                <w:highlight w:val="yellow"/>
                <w:vertAlign w:val="superscript"/>
              </w:rPr>
            </w:pPr>
            <w:r w:rsidRPr="00915706">
              <w:rPr>
                <w:rFonts w:cs="Arial"/>
              </w:rPr>
              <w:t>$</w:t>
            </w:r>
            <w:r w:rsidR="00C10EC6" w:rsidRPr="00C10EC6">
              <w:rPr>
                <w:rFonts w:cs="Arial"/>
                <w:sz w:val="2"/>
                <w:highlight w:val="black"/>
              </w:rPr>
              <w:t>redacted content</w:t>
            </w:r>
            <w:r w:rsidR="00CF6074" w:rsidRPr="00300B62">
              <w:rPr>
                <w:rFonts w:cs="Arial"/>
                <w:vertAlign w:val="superscript"/>
              </w:rPr>
              <w:t>3</w:t>
            </w:r>
          </w:p>
        </w:tc>
        <w:tc>
          <w:tcPr>
            <w:tcW w:w="1080" w:type="dxa"/>
            <w:vAlign w:val="center"/>
          </w:tcPr>
          <w:p w14:paraId="100F01E0" w14:textId="198BCB49" w:rsidR="000E3FA8" w:rsidRPr="00300B62" w:rsidRDefault="000E3FA8" w:rsidP="007A591A">
            <w:pPr>
              <w:pStyle w:val="Tabletext0"/>
              <w:jc w:val="center"/>
              <w:rPr>
                <w:b/>
                <w:szCs w:val="20"/>
                <w:highlight w:val="yellow"/>
                <w:vertAlign w:val="superscript"/>
              </w:rPr>
            </w:pPr>
            <w:r w:rsidRPr="00915706">
              <w:rPr>
                <w:rFonts w:cs="Arial"/>
              </w:rPr>
              <w:t>$</w:t>
            </w:r>
            <w:r w:rsidR="00C10EC6" w:rsidRPr="00C10EC6">
              <w:rPr>
                <w:rFonts w:cs="Arial"/>
                <w:sz w:val="2"/>
                <w:highlight w:val="black"/>
              </w:rPr>
              <w:t>redacted content</w:t>
            </w:r>
            <w:r w:rsidR="00CF6074" w:rsidRPr="00300B62">
              <w:rPr>
                <w:rFonts w:cs="Arial"/>
                <w:vertAlign w:val="superscript"/>
              </w:rPr>
              <w:t>3</w:t>
            </w:r>
          </w:p>
        </w:tc>
        <w:tc>
          <w:tcPr>
            <w:tcW w:w="1080" w:type="dxa"/>
            <w:vAlign w:val="center"/>
          </w:tcPr>
          <w:p w14:paraId="2AC79AE2" w14:textId="2D3806D6" w:rsidR="000E3FA8" w:rsidRPr="00300B62" w:rsidRDefault="000E3FA8" w:rsidP="007A591A">
            <w:pPr>
              <w:pStyle w:val="Tabletext0"/>
              <w:jc w:val="center"/>
              <w:rPr>
                <w:b/>
                <w:szCs w:val="20"/>
                <w:highlight w:val="yellow"/>
                <w:vertAlign w:val="superscript"/>
              </w:rPr>
            </w:pPr>
            <w:r w:rsidRPr="00915706">
              <w:rPr>
                <w:rFonts w:cs="Arial"/>
              </w:rPr>
              <w:t>$</w:t>
            </w:r>
            <w:r w:rsidR="00C10EC6" w:rsidRPr="00C10EC6">
              <w:rPr>
                <w:rFonts w:cs="Arial"/>
                <w:sz w:val="2"/>
                <w:highlight w:val="black"/>
              </w:rPr>
              <w:t>redacted content</w:t>
            </w:r>
            <w:r w:rsidR="00CF6074" w:rsidRPr="00300B62">
              <w:rPr>
                <w:rFonts w:cs="Arial"/>
                <w:vertAlign w:val="superscript"/>
              </w:rPr>
              <w:t>3</w:t>
            </w:r>
          </w:p>
        </w:tc>
      </w:tr>
      <w:tr w:rsidR="00505970" w:rsidRPr="00CD27C7" w14:paraId="3F67CD66" w14:textId="77777777">
        <w:trPr>
          <w:trHeight w:val="230"/>
        </w:trPr>
        <w:tc>
          <w:tcPr>
            <w:tcW w:w="2515" w:type="dxa"/>
            <w:vAlign w:val="center"/>
          </w:tcPr>
          <w:p w14:paraId="0889EBD9" w14:textId="77777777" w:rsidR="00505970" w:rsidRPr="00CD27C7" w:rsidRDefault="00505970" w:rsidP="007A591A">
            <w:pPr>
              <w:pStyle w:val="TableText"/>
              <w:keepNext w:val="0"/>
              <w:rPr>
                <w:szCs w:val="20"/>
              </w:rPr>
            </w:pPr>
            <w:r w:rsidRPr="00CD27C7">
              <w:rPr>
                <w:szCs w:val="20"/>
              </w:rPr>
              <w:t>Total cost to MBS</w:t>
            </w:r>
          </w:p>
        </w:tc>
        <w:tc>
          <w:tcPr>
            <w:tcW w:w="1080" w:type="dxa"/>
          </w:tcPr>
          <w:p w14:paraId="2E299E47" w14:textId="7B4E6B7B" w:rsidR="00505970" w:rsidRPr="00300B62" w:rsidRDefault="00505970" w:rsidP="007A591A">
            <w:pPr>
              <w:pStyle w:val="Tabletext0"/>
              <w:jc w:val="center"/>
              <w:rPr>
                <w:szCs w:val="20"/>
                <w:vertAlign w:val="superscript"/>
              </w:rPr>
            </w:pPr>
            <w:r w:rsidRPr="00915706">
              <w:t>$</w:t>
            </w:r>
            <w:r w:rsidR="00C10EC6" w:rsidRPr="00C10EC6">
              <w:rPr>
                <w:sz w:val="2"/>
                <w:highlight w:val="black"/>
              </w:rPr>
              <w:t>redacted content</w:t>
            </w:r>
            <w:r w:rsidR="003B6A72">
              <w:rPr>
                <w:vertAlign w:val="superscript"/>
              </w:rPr>
              <w:t>5</w:t>
            </w:r>
          </w:p>
        </w:tc>
        <w:tc>
          <w:tcPr>
            <w:tcW w:w="1080" w:type="dxa"/>
          </w:tcPr>
          <w:p w14:paraId="0DA9D759" w14:textId="299BB95B" w:rsidR="00505970" w:rsidRPr="00300B62" w:rsidRDefault="00505970" w:rsidP="007A591A">
            <w:pPr>
              <w:pStyle w:val="Tabletext0"/>
              <w:jc w:val="center"/>
              <w:rPr>
                <w:szCs w:val="20"/>
                <w:vertAlign w:val="superscript"/>
              </w:rPr>
            </w:pPr>
            <w:r w:rsidRPr="00915706">
              <w:t>$</w:t>
            </w:r>
            <w:r w:rsidR="00C10EC6" w:rsidRPr="00C10EC6">
              <w:rPr>
                <w:sz w:val="2"/>
                <w:highlight w:val="black"/>
              </w:rPr>
              <w:t>redacted content</w:t>
            </w:r>
            <w:r w:rsidR="003B6A72">
              <w:rPr>
                <w:vertAlign w:val="superscript"/>
              </w:rPr>
              <w:t>5</w:t>
            </w:r>
          </w:p>
        </w:tc>
        <w:tc>
          <w:tcPr>
            <w:tcW w:w="1080" w:type="dxa"/>
          </w:tcPr>
          <w:p w14:paraId="47B724BC" w14:textId="090A5905" w:rsidR="00505970" w:rsidRPr="00300B62" w:rsidRDefault="00505970" w:rsidP="007A591A">
            <w:pPr>
              <w:pStyle w:val="Tabletext0"/>
              <w:jc w:val="center"/>
              <w:rPr>
                <w:szCs w:val="20"/>
                <w:vertAlign w:val="superscript"/>
              </w:rPr>
            </w:pPr>
            <w:r w:rsidRPr="00915706">
              <w:t>$</w:t>
            </w:r>
            <w:r w:rsidR="00C10EC6" w:rsidRPr="00C10EC6">
              <w:rPr>
                <w:sz w:val="2"/>
                <w:highlight w:val="black"/>
              </w:rPr>
              <w:t>redacted content</w:t>
            </w:r>
            <w:r w:rsidR="003B6A72">
              <w:rPr>
                <w:vertAlign w:val="superscript"/>
              </w:rPr>
              <w:t>5</w:t>
            </w:r>
          </w:p>
        </w:tc>
        <w:tc>
          <w:tcPr>
            <w:tcW w:w="1080" w:type="dxa"/>
          </w:tcPr>
          <w:p w14:paraId="58090B00" w14:textId="11381E8D" w:rsidR="00505970" w:rsidRPr="00300B62" w:rsidRDefault="00505970" w:rsidP="007A591A">
            <w:pPr>
              <w:pStyle w:val="Tabletext0"/>
              <w:jc w:val="center"/>
              <w:rPr>
                <w:szCs w:val="20"/>
                <w:vertAlign w:val="superscript"/>
              </w:rPr>
            </w:pPr>
            <w:r w:rsidRPr="00915706">
              <w:t>$</w:t>
            </w:r>
            <w:r w:rsidR="00C10EC6" w:rsidRPr="00C10EC6">
              <w:rPr>
                <w:sz w:val="2"/>
                <w:highlight w:val="black"/>
              </w:rPr>
              <w:t>redacted content</w:t>
            </w:r>
            <w:r w:rsidR="003B6A72">
              <w:rPr>
                <w:vertAlign w:val="superscript"/>
              </w:rPr>
              <w:t>5</w:t>
            </w:r>
          </w:p>
        </w:tc>
        <w:tc>
          <w:tcPr>
            <w:tcW w:w="1080" w:type="dxa"/>
          </w:tcPr>
          <w:p w14:paraId="6DF7DC82" w14:textId="530220F9" w:rsidR="00505970" w:rsidRPr="00300B62" w:rsidRDefault="00505970" w:rsidP="007A591A">
            <w:pPr>
              <w:pStyle w:val="Tabletext0"/>
              <w:jc w:val="center"/>
              <w:rPr>
                <w:szCs w:val="20"/>
                <w:vertAlign w:val="superscript"/>
              </w:rPr>
            </w:pPr>
            <w:r w:rsidRPr="00915706">
              <w:t>$</w:t>
            </w:r>
            <w:r w:rsidR="00C10EC6" w:rsidRPr="00C10EC6">
              <w:rPr>
                <w:sz w:val="2"/>
                <w:highlight w:val="black"/>
              </w:rPr>
              <w:t>redacted content</w:t>
            </w:r>
            <w:r w:rsidR="003B6A72">
              <w:rPr>
                <w:vertAlign w:val="superscript"/>
              </w:rPr>
              <w:t>5</w:t>
            </w:r>
          </w:p>
        </w:tc>
        <w:tc>
          <w:tcPr>
            <w:tcW w:w="1080" w:type="dxa"/>
          </w:tcPr>
          <w:p w14:paraId="58D35B70" w14:textId="0C825B2A" w:rsidR="00505970" w:rsidRPr="00300B62" w:rsidRDefault="00505970" w:rsidP="007A591A">
            <w:pPr>
              <w:pStyle w:val="Tabletext0"/>
              <w:jc w:val="center"/>
              <w:rPr>
                <w:szCs w:val="20"/>
                <w:vertAlign w:val="superscript"/>
              </w:rPr>
            </w:pPr>
            <w:r w:rsidRPr="00915706">
              <w:t>$</w:t>
            </w:r>
            <w:r w:rsidR="00C10EC6" w:rsidRPr="00C10EC6">
              <w:rPr>
                <w:sz w:val="2"/>
                <w:highlight w:val="black"/>
              </w:rPr>
              <w:t>redacted content</w:t>
            </w:r>
            <w:r w:rsidR="003B6A72">
              <w:rPr>
                <w:vertAlign w:val="superscript"/>
              </w:rPr>
              <w:t>5</w:t>
            </w:r>
          </w:p>
        </w:tc>
      </w:tr>
      <w:tr w:rsidR="000B3D91" w:rsidRPr="00CD27C7" w14:paraId="4717214C" w14:textId="77777777">
        <w:trPr>
          <w:trHeight w:val="230"/>
        </w:trPr>
        <w:tc>
          <w:tcPr>
            <w:tcW w:w="2515" w:type="dxa"/>
            <w:vAlign w:val="center"/>
          </w:tcPr>
          <w:p w14:paraId="0C3FA99C" w14:textId="77777777" w:rsidR="000B3D91" w:rsidRPr="00CD27C7" w:rsidRDefault="000B3D91" w:rsidP="007A591A">
            <w:pPr>
              <w:pStyle w:val="TableText"/>
              <w:keepNext w:val="0"/>
              <w:rPr>
                <w:b/>
                <w:bCs w:val="0"/>
                <w:szCs w:val="20"/>
              </w:rPr>
            </w:pPr>
            <w:r w:rsidRPr="00CD27C7">
              <w:rPr>
                <w:b/>
                <w:bCs w:val="0"/>
                <w:szCs w:val="20"/>
              </w:rPr>
              <w:t>Net cost to PBS/RPBS/MBS</w:t>
            </w:r>
          </w:p>
        </w:tc>
        <w:tc>
          <w:tcPr>
            <w:tcW w:w="1080" w:type="dxa"/>
          </w:tcPr>
          <w:p w14:paraId="015A7A33" w14:textId="38822901" w:rsidR="000B3D91" w:rsidRPr="00300B62" w:rsidRDefault="000B3D91" w:rsidP="007A591A">
            <w:pPr>
              <w:pStyle w:val="Tabletext0"/>
              <w:jc w:val="center"/>
              <w:rPr>
                <w:b/>
                <w:bCs/>
                <w:szCs w:val="20"/>
                <w:vertAlign w:val="superscript"/>
              </w:rPr>
            </w:pPr>
            <w:r w:rsidRPr="000B3D91">
              <w:rPr>
                <w:b/>
                <w:bCs/>
              </w:rPr>
              <w:t>$</w:t>
            </w:r>
            <w:r w:rsidR="00C10EC6" w:rsidRPr="00C10EC6">
              <w:rPr>
                <w:b/>
                <w:bCs/>
                <w:sz w:val="2"/>
                <w:highlight w:val="black"/>
              </w:rPr>
              <w:t>redacted content</w:t>
            </w:r>
            <w:r w:rsidR="00CF6074">
              <w:rPr>
                <w:b/>
                <w:bCs/>
                <w:vertAlign w:val="superscript"/>
              </w:rPr>
              <w:t>3</w:t>
            </w:r>
          </w:p>
        </w:tc>
        <w:tc>
          <w:tcPr>
            <w:tcW w:w="1080" w:type="dxa"/>
          </w:tcPr>
          <w:p w14:paraId="070EB6AB" w14:textId="66C3F5E9" w:rsidR="000B3D91" w:rsidRPr="00300B62" w:rsidRDefault="000B3D91" w:rsidP="007A591A">
            <w:pPr>
              <w:pStyle w:val="Tabletext0"/>
              <w:jc w:val="center"/>
              <w:rPr>
                <w:b/>
                <w:bCs/>
                <w:szCs w:val="20"/>
                <w:vertAlign w:val="superscript"/>
              </w:rPr>
            </w:pPr>
            <w:r w:rsidRPr="000B3D91">
              <w:rPr>
                <w:b/>
                <w:bCs/>
              </w:rPr>
              <w:t>$</w:t>
            </w:r>
            <w:r w:rsidR="00C10EC6" w:rsidRPr="00C10EC6">
              <w:rPr>
                <w:b/>
                <w:bCs/>
                <w:sz w:val="2"/>
                <w:highlight w:val="black"/>
              </w:rPr>
              <w:t>redacted content</w:t>
            </w:r>
            <w:r w:rsidR="00CF6074">
              <w:rPr>
                <w:b/>
                <w:bCs/>
                <w:vertAlign w:val="superscript"/>
              </w:rPr>
              <w:t>3</w:t>
            </w:r>
          </w:p>
        </w:tc>
        <w:tc>
          <w:tcPr>
            <w:tcW w:w="1080" w:type="dxa"/>
          </w:tcPr>
          <w:p w14:paraId="5A82842E" w14:textId="3C395618" w:rsidR="000B3D91" w:rsidRPr="00300B62" w:rsidRDefault="000B3D91" w:rsidP="007A591A">
            <w:pPr>
              <w:pStyle w:val="Tabletext0"/>
              <w:jc w:val="center"/>
              <w:rPr>
                <w:b/>
                <w:bCs/>
                <w:szCs w:val="20"/>
                <w:vertAlign w:val="superscript"/>
              </w:rPr>
            </w:pPr>
            <w:r w:rsidRPr="000B3D91">
              <w:rPr>
                <w:b/>
                <w:bCs/>
              </w:rPr>
              <w:t>$</w:t>
            </w:r>
            <w:r w:rsidR="00C10EC6" w:rsidRPr="00C10EC6">
              <w:rPr>
                <w:b/>
                <w:bCs/>
                <w:sz w:val="2"/>
                <w:highlight w:val="black"/>
              </w:rPr>
              <w:t>redacted content</w:t>
            </w:r>
            <w:r w:rsidR="00CF6074">
              <w:rPr>
                <w:b/>
                <w:bCs/>
                <w:vertAlign w:val="superscript"/>
              </w:rPr>
              <w:t>3</w:t>
            </w:r>
          </w:p>
        </w:tc>
        <w:tc>
          <w:tcPr>
            <w:tcW w:w="1080" w:type="dxa"/>
          </w:tcPr>
          <w:p w14:paraId="5C15B7AE" w14:textId="28E06BBE" w:rsidR="000B3D91" w:rsidRPr="00300B62" w:rsidRDefault="000B3D91" w:rsidP="007A591A">
            <w:pPr>
              <w:pStyle w:val="Tabletext0"/>
              <w:jc w:val="center"/>
              <w:rPr>
                <w:b/>
                <w:bCs/>
                <w:szCs w:val="20"/>
                <w:vertAlign w:val="superscript"/>
              </w:rPr>
            </w:pPr>
            <w:r w:rsidRPr="000B3D91">
              <w:rPr>
                <w:b/>
                <w:bCs/>
              </w:rPr>
              <w:t>$</w:t>
            </w:r>
            <w:r w:rsidR="00C10EC6" w:rsidRPr="00C10EC6">
              <w:rPr>
                <w:b/>
                <w:bCs/>
                <w:sz w:val="2"/>
                <w:highlight w:val="black"/>
              </w:rPr>
              <w:t>redacted content</w:t>
            </w:r>
            <w:r w:rsidR="00CF6074">
              <w:rPr>
                <w:b/>
                <w:bCs/>
                <w:vertAlign w:val="superscript"/>
              </w:rPr>
              <w:t>3</w:t>
            </w:r>
          </w:p>
        </w:tc>
        <w:tc>
          <w:tcPr>
            <w:tcW w:w="1080" w:type="dxa"/>
          </w:tcPr>
          <w:p w14:paraId="483483FF" w14:textId="3636CC7A" w:rsidR="000B3D91" w:rsidRPr="00300B62" w:rsidRDefault="000B3D91" w:rsidP="007A591A">
            <w:pPr>
              <w:pStyle w:val="Tabletext0"/>
              <w:jc w:val="center"/>
              <w:rPr>
                <w:b/>
                <w:bCs/>
                <w:szCs w:val="20"/>
                <w:vertAlign w:val="superscript"/>
              </w:rPr>
            </w:pPr>
            <w:r w:rsidRPr="000B3D91">
              <w:rPr>
                <w:b/>
                <w:bCs/>
              </w:rPr>
              <w:t>$</w:t>
            </w:r>
            <w:r w:rsidR="00C10EC6" w:rsidRPr="00C10EC6">
              <w:rPr>
                <w:b/>
                <w:bCs/>
                <w:sz w:val="2"/>
                <w:highlight w:val="black"/>
              </w:rPr>
              <w:t>redacted content</w:t>
            </w:r>
            <w:r w:rsidR="00CF6074">
              <w:rPr>
                <w:b/>
                <w:bCs/>
                <w:vertAlign w:val="superscript"/>
              </w:rPr>
              <w:t>3</w:t>
            </w:r>
          </w:p>
        </w:tc>
        <w:tc>
          <w:tcPr>
            <w:tcW w:w="1080" w:type="dxa"/>
          </w:tcPr>
          <w:p w14:paraId="21B8BC28" w14:textId="4D5E4496" w:rsidR="000B3D91" w:rsidRPr="00300B62" w:rsidRDefault="000B3D91" w:rsidP="007A591A">
            <w:pPr>
              <w:pStyle w:val="Tabletext0"/>
              <w:jc w:val="center"/>
              <w:rPr>
                <w:b/>
                <w:bCs/>
                <w:szCs w:val="20"/>
                <w:vertAlign w:val="superscript"/>
              </w:rPr>
            </w:pPr>
            <w:r w:rsidRPr="000B3D91">
              <w:rPr>
                <w:b/>
                <w:bCs/>
              </w:rPr>
              <w:t>$</w:t>
            </w:r>
            <w:r w:rsidR="00C10EC6" w:rsidRPr="00C10EC6">
              <w:rPr>
                <w:b/>
                <w:bCs/>
                <w:sz w:val="2"/>
                <w:highlight w:val="black"/>
              </w:rPr>
              <w:t>redacted content</w:t>
            </w:r>
            <w:r w:rsidR="00CF6074">
              <w:rPr>
                <w:b/>
                <w:bCs/>
                <w:vertAlign w:val="superscript"/>
              </w:rPr>
              <w:t>3</w:t>
            </w:r>
          </w:p>
        </w:tc>
      </w:tr>
      <w:tr w:rsidR="000B3D91" w:rsidRPr="00CD27C7" w14:paraId="1ACF3885" w14:textId="77777777" w:rsidTr="000D2322">
        <w:trPr>
          <w:trHeight w:val="230"/>
        </w:trPr>
        <w:tc>
          <w:tcPr>
            <w:tcW w:w="8995" w:type="dxa"/>
            <w:gridSpan w:val="7"/>
            <w:shd w:val="clear" w:color="auto" w:fill="DBE5F1" w:themeFill="accent1" w:themeFillTint="33"/>
            <w:vAlign w:val="center"/>
          </w:tcPr>
          <w:p w14:paraId="7C711F6B" w14:textId="5412CC2D" w:rsidR="000B3D91" w:rsidRPr="000B3D91" w:rsidRDefault="000B3D91" w:rsidP="007A591A">
            <w:pPr>
              <w:pStyle w:val="Tabletext0"/>
              <w:rPr>
                <w:b/>
                <w:bCs/>
              </w:rPr>
            </w:pPr>
            <w:r>
              <w:rPr>
                <w:b/>
                <w:bCs/>
              </w:rPr>
              <w:t>November 2025 submission</w:t>
            </w:r>
          </w:p>
        </w:tc>
      </w:tr>
      <w:tr w:rsidR="000B3D91" w:rsidRPr="00CD27C7" w14:paraId="0D2C9CE3" w14:textId="77777777" w:rsidTr="000D2322">
        <w:trPr>
          <w:cantSplit/>
        </w:trPr>
        <w:tc>
          <w:tcPr>
            <w:tcW w:w="8995" w:type="dxa"/>
            <w:gridSpan w:val="7"/>
            <w:tcBorders>
              <w:bottom w:val="single" w:sz="4" w:space="0" w:color="auto"/>
            </w:tcBorders>
            <w:shd w:val="clear" w:color="auto" w:fill="DBE5F1" w:themeFill="accent1" w:themeFillTint="33"/>
            <w:vAlign w:val="center"/>
          </w:tcPr>
          <w:p w14:paraId="053CEBBE" w14:textId="77777777" w:rsidR="000B3D91" w:rsidRPr="00CD27C7" w:rsidRDefault="000B3D91" w:rsidP="007A591A">
            <w:pPr>
              <w:pStyle w:val="TableText"/>
              <w:keepNext w:val="0"/>
              <w:rPr>
                <w:b/>
                <w:szCs w:val="20"/>
              </w:rPr>
            </w:pPr>
            <w:r w:rsidRPr="00CD27C7">
              <w:rPr>
                <w:b/>
                <w:szCs w:val="20"/>
              </w:rPr>
              <w:t>Estimation of number of treated patients</w:t>
            </w:r>
          </w:p>
        </w:tc>
      </w:tr>
      <w:tr w:rsidR="000B3D91" w:rsidRPr="00CD27C7" w14:paraId="763B7985" w14:textId="77777777" w:rsidTr="001B5026">
        <w:trPr>
          <w:trHeight w:val="230"/>
        </w:trPr>
        <w:tc>
          <w:tcPr>
            <w:tcW w:w="2515" w:type="dxa"/>
            <w:shd w:val="clear" w:color="auto" w:fill="DBE5F1" w:themeFill="accent1" w:themeFillTint="33"/>
            <w:vAlign w:val="center"/>
          </w:tcPr>
          <w:p w14:paraId="58F6FB23" w14:textId="77777777" w:rsidR="000B3D91" w:rsidRPr="00CD27C7" w:rsidRDefault="000B3D91" w:rsidP="007A591A">
            <w:pPr>
              <w:pStyle w:val="TableText"/>
              <w:keepNext w:val="0"/>
              <w:rPr>
                <w:b/>
                <w:szCs w:val="20"/>
              </w:rPr>
            </w:pPr>
            <w:r w:rsidRPr="00CD27C7">
              <w:rPr>
                <w:b/>
                <w:szCs w:val="20"/>
              </w:rPr>
              <w:t xml:space="preserve">Total patients </w:t>
            </w:r>
            <w:r>
              <w:rPr>
                <w:b/>
                <w:szCs w:val="20"/>
              </w:rPr>
              <w:t>initiating tofersen</w:t>
            </w:r>
          </w:p>
        </w:tc>
        <w:tc>
          <w:tcPr>
            <w:tcW w:w="1080" w:type="dxa"/>
            <w:shd w:val="clear" w:color="auto" w:fill="DBE5F1" w:themeFill="accent1" w:themeFillTint="33"/>
            <w:vAlign w:val="center"/>
          </w:tcPr>
          <w:p w14:paraId="160D5532" w14:textId="46990DD4" w:rsidR="000B3D91"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shd w:val="clear" w:color="auto" w:fill="DBE5F1" w:themeFill="accent1" w:themeFillTint="33"/>
            <w:vAlign w:val="center"/>
          </w:tcPr>
          <w:p w14:paraId="188A0CB9" w14:textId="3B7868C3" w:rsidR="000B3D91"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shd w:val="clear" w:color="auto" w:fill="DBE5F1" w:themeFill="accent1" w:themeFillTint="33"/>
            <w:vAlign w:val="center"/>
          </w:tcPr>
          <w:p w14:paraId="0316D979" w14:textId="67530C89" w:rsidR="000B3D91"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shd w:val="clear" w:color="auto" w:fill="DBE5F1" w:themeFill="accent1" w:themeFillTint="33"/>
            <w:vAlign w:val="center"/>
          </w:tcPr>
          <w:p w14:paraId="1EA19648" w14:textId="50FF8138" w:rsidR="000B3D91"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shd w:val="clear" w:color="auto" w:fill="DBE5F1" w:themeFill="accent1" w:themeFillTint="33"/>
            <w:vAlign w:val="center"/>
          </w:tcPr>
          <w:p w14:paraId="380EF8CA" w14:textId="1482189C" w:rsidR="000B3D91"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c>
          <w:tcPr>
            <w:tcW w:w="1080" w:type="dxa"/>
            <w:shd w:val="clear" w:color="auto" w:fill="DBE5F1" w:themeFill="accent1" w:themeFillTint="33"/>
            <w:vAlign w:val="center"/>
          </w:tcPr>
          <w:p w14:paraId="316B2371" w14:textId="608C9944" w:rsidR="000B3D91" w:rsidRPr="00300B62" w:rsidRDefault="00C10EC6" w:rsidP="007A591A">
            <w:pPr>
              <w:pStyle w:val="TableText"/>
              <w:keepNext w:val="0"/>
              <w:jc w:val="center"/>
              <w:rPr>
                <w:szCs w:val="20"/>
                <w:vertAlign w:val="superscript"/>
              </w:rPr>
            </w:pPr>
            <w:r w:rsidRPr="00C10EC6">
              <w:rPr>
                <w:sz w:val="2"/>
                <w:szCs w:val="20"/>
                <w:highlight w:val="black"/>
              </w:rPr>
              <w:t>redacted content</w:t>
            </w:r>
            <w:r w:rsidR="001B3DFC">
              <w:rPr>
                <w:szCs w:val="20"/>
                <w:vertAlign w:val="superscript"/>
              </w:rPr>
              <w:t>1</w:t>
            </w:r>
          </w:p>
        </w:tc>
      </w:tr>
      <w:tr w:rsidR="000B3D91" w:rsidRPr="00CD27C7" w14:paraId="73DF0627" w14:textId="77777777" w:rsidTr="001B5026">
        <w:trPr>
          <w:trHeight w:val="230"/>
        </w:trPr>
        <w:tc>
          <w:tcPr>
            <w:tcW w:w="2515" w:type="dxa"/>
            <w:shd w:val="clear" w:color="auto" w:fill="DBE5F1" w:themeFill="accent1" w:themeFillTint="33"/>
            <w:vAlign w:val="center"/>
          </w:tcPr>
          <w:p w14:paraId="62B1CA7E" w14:textId="77777777" w:rsidR="000B3D91" w:rsidRPr="00CD27C7" w:rsidRDefault="000B3D91" w:rsidP="007A591A">
            <w:pPr>
              <w:pStyle w:val="TableText"/>
              <w:keepNext w:val="0"/>
              <w:rPr>
                <w:szCs w:val="20"/>
              </w:rPr>
            </w:pPr>
            <w:r w:rsidRPr="00CD27C7">
              <w:rPr>
                <w:b/>
                <w:szCs w:val="20"/>
              </w:rPr>
              <w:t>Estimated number of tofersen scripts (PBS/RPBS)</w:t>
            </w:r>
          </w:p>
        </w:tc>
        <w:tc>
          <w:tcPr>
            <w:tcW w:w="1080" w:type="dxa"/>
            <w:shd w:val="clear" w:color="auto" w:fill="DBE5F1" w:themeFill="accent1" w:themeFillTint="33"/>
            <w:vAlign w:val="center"/>
          </w:tcPr>
          <w:p w14:paraId="59B22242" w14:textId="251DF214" w:rsidR="000B3D91"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shd w:val="clear" w:color="auto" w:fill="DBE5F1" w:themeFill="accent1" w:themeFillTint="33"/>
            <w:vAlign w:val="center"/>
          </w:tcPr>
          <w:p w14:paraId="21D919B1" w14:textId="13C367B2" w:rsidR="000B3D91"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shd w:val="clear" w:color="auto" w:fill="DBE5F1" w:themeFill="accent1" w:themeFillTint="33"/>
            <w:vAlign w:val="center"/>
          </w:tcPr>
          <w:p w14:paraId="20BB5B5E" w14:textId="741F12D4" w:rsidR="000B3D91"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shd w:val="clear" w:color="auto" w:fill="DBE5F1" w:themeFill="accent1" w:themeFillTint="33"/>
            <w:vAlign w:val="center"/>
          </w:tcPr>
          <w:p w14:paraId="4EACE43D" w14:textId="2A2EEA20" w:rsidR="000B3D91"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shd w:val="clear" w:color="auto" w:fill="DBE5F1" w:themeFill="accent1" w:themeFillTint="33"/>
            <w:vAlign w:val="center"/>
          </w:tcPr>
          <w:p w14:paraId="59BCCFC0" w14:textId="66C86FF6" w:rsidR="000B3D91"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c>
          <w:tcPr>
            <w:tcW w:w="1080" w:type="dxa"/>
            <w:shd w:val="clear" w:color="auto" w:fill="DBE5F1" w:themeFill="accent1" w:themeFillTint="33"/>
            <w:vAlign w:val="center"/>
          </w:tcPr>
          <w:p w14:paraId="3B7ADF8D" w14:textId="5DCB2BF7" w:rsidR="000B3D91" w:rsidRPr="00300B62" w:rsidRDefault="00C10EC6" w:rsidP="007A591A">
            <w:pPr>
              <w:pStyle w:val="TableText"/>
              <w:keepNext w:val="0"/>
              <w:jc w:val="center"/>
              <w:rPr>
                <w:i/>
                <w:iCs/>
                <w:szCs w:val="20"/>
                <w:vertAlign w:val="superscript"/>
              </w:rPr>
            </w:pPr>
            <w:r w:rsidRPr="00C10EC6">
              <w:rPr>
                <w:sz w:val="2"/>
                <w:szCs w:val="20"/>
                <w:highlight w:val="black"/>
              </w:rPr>
              <w:t>redacted content</w:t>
            </w:r>
            <w:r w:rsidR="00410080">
              <w:rPr>
                <w:szCs w:val="20"/>
                <w:vertAlign w:val="superscript"/>
              </w:rPr>
              <w:t>2</w:t>
            </w:r>
          </w:p>
        </w:tc>
      </w:tr>
      <w:tr w:rsidR="000B3D91" w:rsidRPr="00CD27C7" w14:paraId="552083C7" w14:textId="77777777" w:rsidTr="000D2322">
        <w:trPr>
          <w:trHeight w:val="230"/>
        </w:trPr>
        <w:tc>
          <w:tcPr>
            <w:tcW w:w="8995" w:type="dxa"/>
            <w:gridSpan w:val="7"/>
            <w:shd w:val="clear" w:color="auto" w:fill="DBE5F1" w:themeFill="accent1" w:themeFillTint="33"/>
            <w:vAlign w:val="center"/>
          </w:tcPr>
          <w:p w14:paraId="4DFBEF84" w14:textId="77777777" w:rsidR="000B3D91" w:rsidRPr="00CD27C7" w:rsidRDefault="000B3D91" w:rsidP="007A591A">
            <w:pPr>
              <w:pStyle w:val="TableText"/>
              <w:keepNext w:val="0"/>
              <w:rPr>
                <w:b/>
                <w:szCs w:val="20"/>
              </w:rPr>
            </w:pPr>
            <w:r w:rsidRPr="00CD27C7">
              <w:rPr>
                <w:b/>
                <w:szCs w:val="20"/>
              </w:rPr>
              <w:t>Estimated effective cost of tofersen to PBS/RPBS</w:t>
            </w:r>
          </w:p>
        </w:tc>
      </w:tr>
      <w:tr w:rsidR="00EF0A1F" w:rsidRPr="00CD27C7" w14:paraId="1AA71B84" w14:textId="77777777" w:rsidTr="001B5026">
        <w:trPr>
          <w:trHeight w:val="230"/>
        </w:trPr>
        <w:tc>
          <w:tcPr>
            <w:tcW w:w="2515" w:type="dxa"/>
            <w:shd w:val="clear" w:color="auto" w:fill="DBE5F1" w:themeFill="accent1" w:themeFillTint="33"/>
            <w:vAlign w:val="center"/>
          </w:tcPr>
          <w:p w14:paraId="4CB9DD05" w14:textId="77777777" w:rsidR="00EF0A1F" w:rsidRPr="00CD27C7" w:rsidRDefault="00EF0A1F" w:rsidP="007A591A">
            <w:pPr>
              <w:pStyle w:val="TableText"/>
              <w:keepNext w:val="0"/>
              <w:rPr>
                <w:b/>
                <w:bCs w:val="0"/>
                <w:szCs w:val="20"/>
              </w:rPr>
            </w:pPr>
            <w:r w:rsidRPr="00CD27C7">
              <w:rPr>
                <w:b/>
                <w:bCs w:val="0"/>
                <w:szCs w:val="20"/>
              </w:rPr>
              <w:t>Net cost to PBS/RPBS (excluding copayments)</w:t>
            </w:r>
          </w:p>
        </w:tc>
        <w:tc>
          <w:tcPr>
            <w:tcW w:w="1080" w:type="dxa"/>
            <w:shd w:val="clear" w:color="auto" w:fill="DBE5F1" w:themeFill="accent1" w:themeFillTint="33"/>
            <w:vAlign w:val="center"/>
          </w:tcPr>
          <w:p w14:paraId="1160EAE7" w14:textId="1CCA4DC6" w:rsidR="00EF0A1F" w:rsidRPr="00300B62" w:rsidRDefault="00EF0A1F" w:rsidP="007A591A">
            <w:pPr>
              <w:pStyle w:val="Tabletext0"/>
              <w:jc w:val="center"/>
              <w:rPr>
                <w:b/>
                <w:szCs w:val="20"/>
                <w:highlight w:val="yellow"/>
                <w:vertAlign w:val="superscript"/>
              </w:rPr>
            </w:pPr>
            <w:r w:rsidRPr="00CD27C7">
              <w:rPr>
                <w:b/>
                <w:szCs w:val="20"/>
              </w:rPr>
              <w:t>$</w:t>
            </w:r>
            <w:r w:rsidR="00C10EC6" w:rsidRPr="00C10EC6">
              <w:rPr>
                <w:b/>
                <w:sz w:val="2"/>
                <w:szCs w:val="20"/>
                <w:highlight w:val="black"/>
              </w:rPr>
              <w:t>redacted content</w:t>
            </w:r>
            <w:r w:rsidR="00CF6074" w:rsidRPr="00300B62">
              <w:rPr>
                <w:b/>
                <w:szCs w:val="20"/>
                <w:vertAlign w:val="superscript"/>
              </w:rPr>
              <w:t>3</w:t>
            </w:r>
          </w:p>
        </w:tc>
        <w:tc>
          <w:tcPr>
            <w:tcW w:w="1080" w:type="dxa"/>
            <w:shd w:val="clear" w:color="auto" w:fill="DBE5F1" w:themeFill="accent1" w:themeFillTint="33"/>
            <w:vAlign w:val="center"/>
          </w:tcPr>
          <w:p w14:paraId="4E204A7A" w14:textId="2BCEC504" w:rsidR="00EF0A1F" w:rsidRPr="00300B62" w:rsidRDefault="00EF0A1F" w:rsidP="007A591A">
            <w:pPr>
              <w:pStyle w:val="Tabletext0"/>
              <w:jc w:val="center"/>
              <w:rPr>
                <w:b/>
                <w:szCs w:val="20"/>
                <w:highlight w:val="yellow"/>
                <w:vertAlign w:val="superscript"/>
              </w:rPr>
            </w:pPr>
            <w:r w:rsidRPr="00CD27C7">
              <w:rPr>
                <w:b/>
                <w:szCs w:val="20"/>
              </w:rPr>
              <w:t>$</w:t>
            </w:r>
            <w:r w:rsidR="00C10EC6" w:rsidRPr="00C10EC6">
              <w:rPr>
                <w:b/>
                <w:sz w:val="2"/>
                <w:szCs w:val="20"/>
                <w:highlight w:val="black"/>
              </w:rPr>
              <w:t>redacted content</w:t>
            </w:r>
            <w:r w:rsidR="00CF6074" w:rsidRPr="00300B62">
              <w:rPr>
                <w:b/>
                <w:szCs w:val="20"/>
                <w:vertAlign w:val="superscript"/>
              </w:rPr>
              <w:t>3</w:t>
            </w:r>
          </w:p>
        </w:tc>
        <w:tc>
          <w:tcPr>
            <w:tcW w:w="1080" w:type="dxa"/>
            <w:shd w:val="clear" w:color="auto" w:fill="DBE5F1" w:themeFill="accent1" w:themeFillTint="33"/>
            <w:vAlign w:val="center"/>
          </w:tcPr>
          <w:p w14:paraId="47D60AC1" w14:textId="7394BCE9" w:rsidR="00EF0A1F" w:rsidRPr="00300B62" w:rsidRDefault="00EF0A1F" w:rsidP="007A591A">
            <w:pPr>
              <w:pStyle w:val="Tabletext0"/>
              <w:jc w:val="center"/>
              <w:rPr>
                <w:b/>
                <w:szCs w:val="20"/>
                <w:highlight w:val="yellow"/>
                <w:vertAlign w:val="superscript"/>
              </w:rPr>
            </w:pPr>
            <w:r w:rsidRPr="00CD27C7">
              <w:rPr>
                <w:b/>
                <w:szCs w:val="20"/>
              </w:rPr>
              <w:t>$</w:t>
            </w:r>
            <w:r w:rsidR="00C10EC6" w:rsidRPr="00C10EC6">
              <w:rPr>
                <w:b/>
                <w:sz w:val="2"/>
                <w:szCs w:val="20"/>
                <w:highlight w:val="black"/>
              </w:rPr>
              <w:t>redacted content</w:t>
            </w:r>
            <w:r w:rsidR="00CF6074" w:rsidRPr="00300B62">
              <w:rPr>
                <w:b/>
                <w:szCs w:val="20"/>
                <w:vertAlign w:val="superscript"/>
              </w:rPr>
              <w:t>3</w:t>
            </w:r>
          </w:p>
        </w:tc>
        <w:tc>
          <w:tcPr>
            <w:tcW w:w="1080" w:type="dxa"/>
            <w:shd w:val="clear" w:color="auto" w:fill="DBE5F1" w:themeFill="accent1" w:themeFillTint="33"/>
            <w:vAlign w:val="center"/>
          </w:tcPr>
          <w:p w14:paraId="79675F2F" w14:textId="687AF04F" w:rsidR="00EF0A1F" w:rsidRPr="00300B62" w:rsidRDefault="00EF0A1F" w:rsidP="007A591A">
            <w:pPr>
              <w:pStyle w:val="Tabletext0"/>
              <w:jc w:val="center"/>
              <w:rPr>
                <w:b/>
                <w:szCs w:val="20"/>
                <w:highlight w:val="yellow"/>
                <w:vertAlign w:val="superscript"/>
              </w:rPr>
            </w:pPr>
            <w:r w:rsidRPr="00CD27C7">
              <w:rPr>
                <w:b/>
                <w:szCs w:val="20"/>
              </w:rPr>
              <w:t>$</w:t>
            </w:r>
            <w:r w:rsidR="00C10EC6" w:rsidRPr="00C10EC6">
              <w:rPr>
                <w:b/>
                <w:sz w:val="2"/>
                <w:szCs w:val="20"/>
                <w:highlight w:val="black"/>
              </w:rPr>
              <w:t>redacted content</w:t>
            </w:r>
            <w:r w:rsidR="00CF6074" w:rsidRPr="00300B62">
              <w:rPr>
                <w:b/>
                <w:szCs w:val="20"/>
                <w:vertAlign w:val="superscript"/>
              </w:rPr>
              <w:t>3</w:t>
            </w:r>
          </w:p>
        </w:tc>
        <w:tc>
          <w:tcPr>
            <w:tcW w:w="1080" w:type="dxa"/>
            <w:shd w:val="clear" w:color="auto" w:fill="DBE5F1" w:themeFill="accent1" w:themeFillTint="33"/>
            <w:vAlign w:val="center"/>
          </w:tcPr>
          <w:p w14:paraId="0DBB7C72" w14:textId="796B7A3E" w:rsidR="00EF0A1F" w:rsidRPr="00300B62" w:rsidRDefault="00EF0A1F" w:rsidP="007A591A">
            <w:pPr>
              <w:pStyle w:val="Tabletext0"/>
              <w:jc w:val="center"/>
              <w:rPr>
                <w:b/>
                <w:szCs w:val="20"/>
                <w:highlight w:val="yellow"/>
                <w:vertAlign w:val="superscript"/>
              </w:rPr>
            </w:pPr>
            <w:r w:rsidRPr="00CD27C7">
              <w:rPr>
                <w:b/>
                <w:szCs w:val="20"/>
              </w:rPr>
              <w:t>$</w:t>
            </w:r>
            <w:r w:rsidR="00C10EC6" w:rsidRPr="00C10EC6">
              <w:rPr>
                <w:b/>
                <w:sz w:val="2"/>
                <w:szCs w:val="20"/>
                <w:highlight w:val="black"/>
              </w:rPr>
              <w:t>redacted content</w:t>
            </w:r>
            <w:r w:rsidR="00CF6074" w:rsidRPr="00300B62">
              <w:rPr>
                <w:b/>
                <w:szCs w:val="20"/>
                <w:vertAlign w:val="superscript"/>
              </w:rPr>
              <w:t>3</w:t>
            </w:r>
          </w:p>
        </w:tc>
        <w:tc>
          <w:tcPr>
            <w:tcW w:w="1080" w:type="dxa"/>
            <w:shd w:val="clear" w:color="auto" w:fill="DBE5F1" w:themeFill="accent1" w:themeFillTint="33"/>
            <w:vAlign w:val="center"/>
          </w:tcPr>
          <w:p w14:paraId="6CA1EA51" w14:textId="7211E703" w:rsidR="00EF0A1F" w:rsidRPr="00300B62" w:rsidRDefault="00EF0A1F" w:rsidP="007A591A">
            <w:pPr>
              <w:pStyle w:val="Tabletext0"/>
              <w:jc w:val="center"/>
              <w:rPr>
                <w:b/>
                <w:szCs w:val="20"/>
                <w:highlight w:val="yellow"/>
                <w:vertAlign w:val="superscript"/>
              </w:rPr>
            </w:pPr>
            <w:r w:rsidRPr="00CD27C7">
              <w:rPr>
                <w:b/>
                <w:szCs w:val="20"/>
              </w:rPr>
              <w:t>$</w:t>
            </w:r>
            <w:r w:rsidR="00C10EC6" w:rsidRPr="00C10EC6">
              <w:rPr>
                <w:b/>
                <w:sz w:val="2"/>
                <w:szCs w:val="20"/>
                <w:highlight w:val="black"/>
              </w:rPr>
              <w:t>redacted content</w:t>
            </w:r>
            <w:r w:rsidR="00CF6074" w:rsidRPr="00300B62">
              <w:rPr>
                <w:b/>
                <w:szCs w:val="20"/>
                <w:vertAlign w:val="superscript"/>
              </w:rPr>
              <w:t>3</w:t>
            </w:r>
          </w:p>
        </w:tc>
      </w:tr>
      <w:tr w:rsidR="000D2322" w:rsidRPr="00CD27C7" w14:paraId="73E517F8" w14:textId="77777777" w:rsidTr="000D2322">
        <w:trPr>
          <w:trHeight w:val="230"/>
        </w:trPr>
        <w:tc>
          <w:tcPr>
            <w:tcW w:w="2515" w:type="dxa"/>
            <w:shd w:val="clear" w:color="auto" w:fill="DBE5F1" w:themeFill="accent1" w:themeFillTint="33"/>
            <w:vAlign w:val="center"/>
          </w:tcPr>
          <w:p w14:paraId="17D7549F" w14:textId="77777777" w:rsidR="000D2322" w:rsidRPr="00CD27C7" w:rsidRDefault="000D2322" w:rsidP="007A591A">
            <w:pPr>
              <w:pStyle w:val="TableText"/>
              <w:keepNext w:val="0"/>
              <w:rPr>
                <w:szCs w:val="20"/>
              </w:rPr>
            </w:pPr>
            <w:r w:rsidRPr="00CD27C7">
              <w:rPr>
                <w:szCs w:val="20"/>
              </w:rPr>
              <w:t>Total cost to MBS</w:t>
            </w:r>
          </w:p>
        </w:tc>
        <w:tc>
          <w:tcPr>
            <w:tcW w:w="1080" w:type="dxa"/>
            <w:shd w:val="clear" w:color="auto" w:fill="DBE5F1" w:themeFill="accent1" w:themeFillTint="33"/>
          </w:tcPr>
          <w:p w14:paraId="3AD61E0C" w14:textId="0CD769E5" w:rsidR="000D2322" w:rsidRPr="00300B62" w:rsidRDefault="000D2322" w:rsidP="007A591A">
            <w:pPr>
              <w:pStyle w:val="Tabletext0"/>
              <w:jc w:val="center"/>
              <w:rPr>
                <w:szCs w:val="20"/>
                <w:vertAlign w:val="superscript"/>
              </w:rPr>
            </w:pPr>
            <w:r w:rsidRPr="00CD27C7">
              <w:rPr>
                <w:szCs w:val="20"/>
              </w:rPr>
              <w:t>$</w:t>
            </w:r>
            <w:r w:rsidR="00C10EC6" w:rsidRPr="00C10EC6">
              <w:rPr>
                <w:sz w:val="2"/>
                <w:szCs w:val="20"/>
                <w:highlight w:val="black"/>
              </w:rPr>
              <w:t>redacted content</w:t>
            </w:r>
            <w:r w:rsidR="003B6A72">
              <w:rPr>
                <w:szCs w:val="20"/>
                <w:vertAlign w:val="superscript"/>
              </w:rPr>
              <w:t>5</w:t>
            </w:r>
          </w:p>
        </w:tc>
        <w:tc>
          <w:tcPr>
            <w:tcW w:w="1080" w:type="dxa"/>
            <w:shd w:val="clear" w:color="auto" w:fill="DBE5F1" w:themeFill="accent1" w:themeFillTint="33"/>
          </w:tcPr>
          <w:p w14:paraId="434B745F" w14:textId="68710E33" w:rsidR="000D2322" w:rsidRPr="00300B62" w:rsidRDefault="000D2322" w:rsidP="007A591A">
            <w:pPr>
              <w:pStyle w:val="Tabletext0"/>
              <w:jc w:val="center"/>
              <w:rPr>
                <w:szCs w:val="20"/>
                <w:vertAlign w:val="superscript"/>
              </w:rPr>
            </w:pPr>
            <w:r w:rsidRPr="00CD27C7">
              <w:rPr>
                <w:szCs w:val="20"/>
              </w:rPr>
              <w:t>$</w:t>
            </w:r>
            <w:r w:rsidR="00C10EC6" w:rsidRPr="00C10EC6">
              <w:rPr>
                <w:sz w:val="2"/>
                <w:szCs w:val="20"/>
                <w:highlight w:val="black"/>
              </w:rPr>
              <w:t>redacted content</w:t>
            </w:r>
            <w:r w:rsidR="003B6A72">
              <w:rPr>
                <w:szCs w:val="20"/>
                <w:vertAlign w:val="superscript"/>
              </w:rPr>
              <w:t>5</w:t>
            </w:r>
          </w:p>
        </w:tc>
        <w:tc>
          <w:tcPr>
            <w:tcW w:w="1080" w:type="dxa"/>
            <w:shd w:val="clear" w:color="auto" w:fill="DBE5F1" w:themeFill="accent1" w:themeFillTint="33"/>
          </w:tcPr>
          <w:p w14:paraId="40BC3B53" w14:textId="68D5EF3D" w:rsidR="000D2322" w:rsidRPr="00300B62" w:rsidRDefault="000D2322" w:rsidP="007A591A">
            <w:pPr>
              <w:pStyle w:val="Tabletext0"/>
              <w:jc w:val="center"/>
              <w:rPr>
                <w:szCs w:val="20"/>
                <w:vertAlign w:val="superscript"/>
              </w:rPr>
            </w:pPr>
            <w:r w:rsidRPr="00CD27C7">
              <w:rPr>
                <w:szCs w:val="20"/>
              </w:rPr>
              <w:t>$</w:t>
            </w:r>
            <w:r w:rsidR="00C10EC6" w:rsidRPr="00C10EC6">
              <w:rPr>
                <w:sz w:val="2"/>
                <w:szCs w:val="20"/>
                <w:highlight w:val="black"/>
              </w:rPr>
              <w:t>redacted content</w:t>
            </w:r>
            <w:r w:rsidR="003B6A72">
              <w:rPr>
                <w:szCs w:val="20"/>
                <w:vertAlign w:val="superscript"/>
              </w:rPr>
              <w:t>5</w:t>
            </w:r>
          </w:p>
        </w:tc>
        <w:tc>
          <w:tcPr>
            <w:tcW w:w="1080" w:type="dxa"/>
            <w:shd w:val="clear" w:color="auto" w:fill="DBE5F1" w:themeFill="accent1" w:themeFillTint="33"/>
          </w:tcPr>
          <w:p w14:paraId="103CBEB0" w14:textId="4996CE3F" w:rsidR="000D2322" w:rsidRPr="00300B62" w:rsidRDefault="000D2322" w:rsidP="007A591A">
            <w:pPr>
              <w:pStyle w:val="Tabletext0"/>
              <w:jc w:val="center"/>
              <w:rPr>
                <w:szCs w:val="20"/>
                <w:vertAlign w:val="superscript"/>
              </w:rPr>
            </w:pPr>
            <w:r w:rsidRPr="00CD27C7">
              <w:rPr>
                <w:szCs w:val="20"/>
              </w:rPr>
              <w:t>$</w:t>
            </w:r>
            <w:r w:rsidR="00C10EC6" w:rsidRPr="00C10EC6">
              <w:rPr>
                <w:sz w:val="2"/>
                <w:szCs w:val="20"/>
                <w:highlight w:val="black"/>
              </w:rPr>
              <w:t>redacted content</w:t>
            </w:r>
            <w:r w:rsidR="003B6A72">
              <w:rPr>
                <w:szCs w:val="20"/>
                <w:vertAlign w:val="superscript"/>
              </w:rPr>
              <w:t>5</w:t>
            </w:r>
          </w:p>
        </w:tc>
        <w:tc>
          <w:tcPr>
            <w:tcW w:w="1080" w:type="dxa"/>
            <w:shd w:val="clear" w:color="auto" w:fill="DBE5F1" w:themeFill="accent1" w:themeFillTint="33"/>
          </w:tcPr>
          <w:p w14:paraId="056C301F" w14:textId="12BAFA3A" w:rsidR="000D2322" w:rsidRPr="00300B62" w:rsidRDefault="000D2322" w:rsidP="007A591A">
            <w:pPr>
              <w:pStyle w:val="Tabletext0"/>
              <w:jc w:val="center"/>
              <w:rPr>
                <w:szCs w:val="20"/>
                <w:vertAlign w:val="superscript"/>
              </w:rPr>
            </w:pPr>
            <w:r w:rsidRPr="00CD27C7">
              <w:rPr>
                <w:szCs w:val="20"/>
              </w:rPr>
              <w:t>$</w:t>
            </w:r>
            <w:r w:rsidR="00C10EC6" w:rsidRPr="00C10EC6">
              <w:rPr>
                <w:sz w:val="2"/>
                <w:szCs w:val="20"/>
                <w:highlight w:val="black"/>
              </w:rPr>
              <w:t>redacted content</w:t>
            </w:r>
            <w:r w:rsidR="003B6A72">
              <w:rPr>
                <w:szCs w:val="20"/>
                <w:vertAlign w:val="superscript"/>
              </w:rPr>
              <w:t>5</w:t>
            </w:r>
          </w:p>
        </w:tc>
        <w:tc>
          <w:tcPr>
            <w:tcW w:w="1080" w:type="dxa"/>
            <w:shd w:val="clear" w:color="auto" w:fill="DBE5F1" w:themeFill="accent1" w:themeFillTint="33"/>
          </w:tcPr>
          <w:p w14:paraId="227EC1FF" w14:textId="635BF353" w:rsidR="000D2322" w:rsidRPr="00300B62" w:rsidRDefault="000D2322" w:rsidP="007A591A">
            <w:pPr>
              <w:pStyle w:val="Tabletext0"/>
              <w:jc w:val="center"/>
              <w:rPr>
                <w:szCs w:val="20"/>
                <w:vertAlign w:val="superscript"/>
              </w:rPr>
            </w:pPr>
            <w:r w:rsidRPr="00CD27C7">
              <w:rPr>
                <w:szCs w:val="20"/>
              </w:rPr>
              <w:t>$</w:t>
            </w:r>
            <w:r w:rsidR="00C10EC6" w:rsidRPr="00C10EC6">
              <w:rPr>
                <w:sz w:val="2"/>
                <w:szCs w:val="20"/>
                <w:highlight w:val="black"/>
              </w:rPr>
              <w:t>redacted content</w:t>
            </w:r>
            <w:r w:rsidR="003B6A72">
              <w:rPr>
                <w:szCs w:val="20"/>
                <w:vertAlign w:val="superscript"/>
              </w:rPr>
              <w:t>5</w:t>
            </w:r>
          </w:p>
        </w:tc>
      </w:tr>
      <w:tr w:rsidR="000D2322" w:rsidRPr="000B3D91" w14:paraId="6FE46E53" w14:textId="77777777" w:rsidTr="000D2322">
        <w:trPr>
          <w:trHeight w:val="230"/>
        </w:trPr>
        <w:tc>
          <w:tcPr>
            <w:tcW w:w="2515" w:type="dxa"/>
            <w:shd w:val="clear" w:color="auto" w:fill="DBE5F1" w:themeFill="accent1" w:themeFillTint="33"/>
            <w:vAlign w:val="center"/>
          </w:tcPr>
          <w:p w14:paraId="36D5781C" w14:textId="77777777" w:rsidR="000D2322" w:rsidRPr="00CD27C7" w:rsidRDefault="000D2322" w:rsidP="007A591A">
            <w:pPr>
              <w:pStyle w:val="TableText"/>
              <w:keepNext w:val="0"/>
              <w:rPr>
                <w:b/>
                <w:bCs w:val="0"/>
                <w:szCs w:val="20"/>
              </w:rPr>
            </w:pPr>
            <w:r w:rsidRPr="00CD27C7">
              <w:rPr>
                <w:b/>
                <w:bCs w:val="0"/>
                <w:szCs w:val="20"/>
              </w:rPr>
              <w:t>Net cost to PBS/RPBS/MBS</w:t>
            </w:r>
          </w:p>
        </w:tc>
        <w:tc>
          <w:tcPr>
            <w:tcW w:w="1080" w:type="dxa"/>
            <w:shd w:val="clear" w:color="auto" w:fill="DBE5F1" w:themeFill="accent1" w:themeFillTint="33"/>
          </w:tcPr>
          <w:p w14:paraId="366D9D1E" w14:textId="68805E8B" w:rsidR="000D2322" w:rsidRPr="00300B62" w:rsidRDefault="000D2322" w:rsidP="007A591A">
            <w:pPr>
              <w:pStyle w:val="Tabletext0"/>
              <w:jc w:val="center"/>
              <w:rPr>
                <w:b/>
                <w:bCs/>
                <w:szCs w:val="20"/>
                <w:vertAlign w:val="superscript"/>
              </w:rPr>
            </w:pPr>
            <w:r w:rsidRPr="00CD27C7">
              <w:rPr>
                <w:b/>
                <w:szCs w:val="20"/>
              </w:rPr>
              <w:t>$</w:t>
            </w:r>
            <w:r w:rsidR="00C10EC6" w:rsidRPr="00C10EC6">
              <w:rPr>
                <w:b/>
                <w:sz w:val="2"/>
                <w:szCs w:val="20"/>
                <w:highlight w:val="black"/>
              </w:rPr>
              <w:t>redacted content</w:t>
            </w:r>
            <w:r w:rsidR="00CF6074">
              <w:rPr>
                <w:b/>
                <w:szCs w:val="20"/>
                <w:vertAlign w:val="superscript"/>
              </w:rPr>
              <w:t>3</w:t>
            </w:r>
          </w:p>
        </w:tc>
        <w:tc>
          <w:tcPr>
            <w:tcW w:w="1080" w:type="dxa"/>
            <w:shd w:val="clear" w:color="auto" w:fill="DBE5F1" w:themeFill="accent1" w:themeFillTint="33"/>
          </w:tcPr>
          <w:p w14:paraId="263164A9" w14:textId="6F617EF9" w:rsidR="000D2322" w:rsidRPr="00300B62" w:rsidRDefault="000D2322" w:rsidP="007A591A">
            <w:pPr>
              <w:pStyle w:val="Tabletext0"/>
              <w:jc w:val="center"/>
              <w:rPr>
                <w:b/>
                <w:bCs/>
                <w:szCs w:val="20"/>
                <w:vertAlign w:val="superscript"/>
              </w:rPr>
            </w:pPr>
            <w:r w:rsidRPr="00CD27C7">
              <w:rPr>
                <w:b/>
                <w:szCs w:val="20"/>
              </w:rPr>
              <w:t>$</w:t>
            </w:r>
            <w:r w:rsidR="00C10EC6" w:rsidRPr="00C10EC6">
              <w:rPr>
                <w:b/>
                <w:sz w:val="2"/>
                <w:szCs w:val="20"/>
                <w:highlight w:val="black"/>
              </w:rPr>
              <w:t>redacted content</w:t>
            </w:r>
            <w:r w:rsidR="00CF6074">
              <w:rPr>
                <w:b/>
                <w:szCs w:val="20"/>
                <w:vertAlign w:val="superscript"/>
              </w:rPr>
              <w:t>3</w:t>
            </w:r>
          </w:p>
        </w:tc>
        <w:tc>
          <w:tcPr>
            <w:tcW w:w="1080" w:type="dxa"/>
            <w:shd w:val="clear" w:color="auto" w:fill="DBE5F1" w:themeFill="accent1" w:themeFillTint="33"/>
          </w:tcPr>
          <w:p w14:paraId="4FEF7C4A" w14:textId="6315EC31" w:rsidR="000D2322" w:rsidRPr="00300B62" w:rsidRDefault="000D2322" w:rsidP="007A591A">
            <w:pPr>
              <w:pStyle w:val="Tabletext0"/>
              <w:jc w:val="center"/>
              <w:rPr>
                <w:b/>
                <w:bCs/>
                <w:szCs w:val="20"/>
                <w:vertAlign w:val="superscript"/>
              </w:rPr>
            </w:pPr>
            <w:r w:rsidRPr="00CD27C7">
              <w:rPr>
                <w:b/>
                <w:szCs w:val="20"/>
              </w:rPr>
              <w:t>$</w:t>
            </w:r>
            <w:r w:rsidR="00C10EC6" w:rsidRPr="00C10EC6">
              <w:rPr>
                <w:b/>
                <w:sz w:val="2"/>
                <w:szCs w:val="20"/>
                <w:highlight w:val="black"/>
              </w:rPr>
              <w:t>redacted content</w:t>
            </w:r>
            <w:r w:rsidR="00CF6074">
              <w:rPr>
                <w:b/>
                <w:szCs w:val="20"/>
                <w:vertAlign w:val="superscript"/>
              </w:rPr>
              <w:t>3</w:t>
            </w:r>
          </w:p>
        </w:tc>
        <w:tc>
          <w:tcPr>
            <w:tcW w:w="1080" w:type="dxa"/>
            <w:shd w:val="clear" w:color="auto" w:fill="DBE5F1" w:themeFill="accent1" w:themeFillTint="33"/>
          </w:tcPr>
          <w:p w14:paraId="317FF501" w14:textId="042A309A" w:rsidR="000D2322" w:rsidRPr="00300B62" w:rsidRDefault="000D2322" w:rsidP="007A591A">
            <w:pPr>
              <w:pStyle w:val="Tabletext0"/>
              <w:jc w:val="center"/>
              <w:rPr>
                <w:b/>
                <w:bCs/>
                <w:szCs w:val="20"/>
                <w:vertAlign w:val="superscript"/>
              </w:rPr>
            </w:pPr>
            <w:r w:rsidRPr="00CD27C7">
              <w:rPr>
                <w:b/>
                <w:szCs w:val="20"/>
              </w:rPr>
              <w:t>$</w:t>
            </w:r>
            <w:r w:rsidR="00C10EC6" w:rsidRPr="00C10EC6">
              <w:rPr>
                <w:b/>
                <w:sz w:val="2"/>
                <w:szCs w:val="20"/>
                <w:highlight w:val="black"/>
              </w:rPr>
              <w:t>redacted content</w:t>
            </w:r>
            <w:r w:rsidR="00CF6074">
              <w:rPr>
                <w:b/>
                <w:szCs w:val="20"/>
                <w:vertAlign w:val="superscript"/>
              </w:rPr>
              <w:t>3</w:t>
            </w:r>
          </w:p>
        </w:tc>
        <w:tc>
          <w:tcPr>
            <w:tcW w:w="1080" w:type="dxa"/>
            <w:shd w:val="clear" w:color="auto" w:fill="DBE5F1" w:themeFill="accent1" w:themeFillTint="33"/>
          </w:tcPr>
          <w:p w14:paraId="14E70434" w14:textId="019A9762" w:rsidR="000D2322" w:rsidRPr="00300B62" w:rsidRDefault="000D2322" w:rsidP="007A591A">
            <w:pPr>
              <w:pStyle w:val="Tabletext0"/>
              <w:jc w:val="center"/>
              <w:rPr>
                <w:b/>
                <w:bCs/>
                <w:szCs w:val="20"/>
                <w:vertAlign w:val="superscript"/>
              </w:rPr>
            </w:pPr>
            <w:r w:rsidRPr="00CD27C7">
              <w:rPr>
                <w:b/>
                <w:szCs w:val="20"/>
              </w:rPr>
              <w:t>$</w:t>
            </w:r>
            <w:r w:rsidR="00C10EC6" w:rsidRPr="00C10EC6">
              <w:rPr>
                <w:b/>
                <w:sz w:val="2"/>
                <w:szCs w:val="20"/>
                <w:highlight w:val="black"/>
              </w:rPr>
              <w:t>redacted content</w:t>
            </w:r>
            <w:r w:rsidR="00CF6074">
              <w:rPr>
                <w:b/>
                <w:szCs w:val="20"/>
                <w:vertAlign w:val="superscript"/>
              </w:rPr>
              <w:t>3</w:t>
            </w:r>
          </w:p>
        </w:tc>
        <w:tc>
          <w:tcPr>
            <w:tcW w:w="1080" w:type="dxa"/>
            <w:shd w:val="clear" w:color="auto" w:fill="DBE5F1" w:themeFill="accent1" w:themeFillTint="33"/>
          </w:tcPr>
          <w:p w14:paraId="7D98F463" w14:textId="12E0A7D0" w:rsidR="000D2322" w:rsidRPr="00300B62" w:rsidRDefault="000D2322" w:rsidP="007A591A">
            <w:pPr>
              <w:pStyle w:val="Tabletext0"/>
              <w:jc w:val="center"/>
              <w:rPr>
                <w:b/>
                <w:bCs/>
                <w:szCs w:val="20"/>
                <w:vertAlign w:val="superscript"/>
              </w:rPr>
            </w:pPr>
            <w:r w:rsidRPr="00CD27C7">
              <w:rPr>
                <w:b/>
                <w:szCs w:val="20"/>
              </w:rPr>
              <w:t>$</w:t>
            </w:r>
            <w:r w:rsidR="00C10EC6" w:rsidRPr="00C10EC6">
              <w:rPr>
                <w:b/>
                <w:sz w:val="2"/>
                <w:szCs w:val="20"/>
                <w:highlight w:val="black"/>
              </w:rPr>
              <w:t>redacted content</w:t>
            </w:r>
            <w:r w:rsidR="00CF6074">
              <w:rPr>
                <w:b/>
                <w:szCs w:val="20"/>
                <w:vertAlign w:val="superscript"/>
              </w:rPr>
              <w:t>3</w:t>
            </w:r>
          </w:p>
        </w:tc>
      </w:tr>
    </w:tbl>
    <w:p w14:paraId="5D65477C" w14:textId="77777777" w:rsidR="009671C8" w:rsidRDefault="009671C8" w:rsidP="007A591A">
      <w:pPr>
        <w:pStyle w:val="TableFigureFooter"/>
      </w:pPr>
      <w:r w:rsidRPr="00452D52">
        <w:t xml:space="preserve">Source: </w:t>
      </w:r>
      <w:r>
        <w:t>Tables 4.6, 4.7, 4.11, 4.12, 4.14 of the submission</w:t>
      </w:r>
    </w:p>
    <w:p w14:paraId="59CB88B0" w14:textId="45758270" w:rsidR="0072375D" w:rsidRDefault="00D95D7C" w:rsidP="007A591A">
      <w:pPr>
        <w:pStyle w:val="TableFigureFooter"/>
      </w:pPr>
      <w:r>
        <w:t xml:space="preserve">MBS = Medicare Benefits Scheme; </w:t>
      </w:r>
      <w:r w:rsidR="0072375D">
        <w:t>SOD1 = superoxide dismutase 1</w:t>
      </w:r>
    </w:p>
    <w:p w14:paraId="117448F3" w14:textId="77777777" w:rsidR="009671C8" w:rsidRDefault="009671C8" w:rsidP="007A591A">
      <w:pPr>
        <w:pStyle w:val="TableFigureFooter"/>
      </w:pPr>
      <w:r w:rsidRPr="008B31D9">
        <w:rPr>
          <w:vertAlign w:val="superscript"/>
        </w:rPr>
        <w:t>a</w:t>
      </w:r>
      <w:r>
        <w:t xml:space="preserve"> Net change in authorities likely underestimated. Submission assumed 5 repeats for both initial loading and subsequent doses. Initial loading dose should have 2 repeats.</w:t>
      </w:r>
    </w:p>
    <w:p w14:paraId="24AE9F2E" w14:textId="77777777" w:rsidR="003F0A0F" w:rsidRPr="003F0A0F" w:rsidRDefault="003F0A0F" w:rsidP="003F0A0F">
      <w:pPr>
        <w:pStyle w:val="TableFigureFooter"/>
        <w:rPr>
          <w:bCs/>
          <w:i/>
          <w:iCs/>
        </w:rPr>
      </w:pPr>
      <w:r w:rsidRPr="003F0A0F">
        <w:rPr>
          <w:bCs/>
          <w:i/>
          <w:iCs/>
        </w:rPr>
        <w:t xml:space="preserve">The redacted values correspond to the following ranges: </w:t>
      </w:r>
    </w:p>
    <w:p w14:paraId="5A1D623B" w14:textId="6119DCE8" w:rsidR="003F0A0F" w:rsidRPr="003F0A0F" w:rsidRDefault="003F0A0F" w:rsidP="003F0A0F">
      <w:pPr>
        <w:pStyle w:val="TableFigureFooter"/>
        <w:rPr>
          <w:i/>
        </w:rPr>
      </w:pPr>
      <w:r w:rsidRPr="003F0A0F">
        <w:rPr>
          <w:i/>
          <w:vertAlign w:val="superscript"/>
        </w:rPr>
        <w:t>1</w:t>
      </w:r>
      <w:r w:rsidRPr="003F0A0F">
        <w:rPr>
          <w:i/>
        </w:rPr>
        <w:t xml:space="preserve"> </w:t>
      </w:r>
      <w:r w:rsidR="00C23108" w:rsidRPr="00C23108">
        <w:rPr>
          <w:i/>
        </w:rPr>
        <w:t>&lt; 500</w:t>
      </w:r>
    </w:p>
    <w:p w14:paraId="344E45F4" w14:textId="04783206" w:rsidR="003F0A0F" w:rsidRPr="003F0A0F" w:rsidRDefault="003F0A0F" w:rsidP="003F0A0F">
      <w:pPr>
        <w:pStyle w:val="TableFigureFooter"/>
        <w:rPr>
          <w:i/>
        </w:rPr>
      </w:pPr>
      <w:r w:rsidRPr="003F0A0F">
        <w:rPr>
          <w:i/>
          <w:vertAlign w:val="superscript"/>
        </w:rPr>
        <w:t>2</w:t>
      </w:r>
      <w:r w:rsidRPr="003F0A0F">
        <w:rPr>
          <w:i/>
        </w:rPr>
        <w:t xml:space="preserve"> </w:t>
      </w:r>
      <w:r w:rsidR="00410080" w:rsidRPr="00410080">
        <w:rPr>
          <w:i/>
        </w:rPr>
        <w:t>500 to &lt; 5,000</w:t>
      </w:r>
    </w:p>
    <w:p w14:paraId="39DE7749" w14:textId="5AFD2A7B" w:rsidR="003F0A0F" w:rsidRPr="003F0A0F" w:rsidRDefault="003F0A0F" w:rsidP="003F0A0F">
      <w:pPr>
        <w:pStyle w:val="TableFigureFooter"/>
        <w:rPr>
          <w:i/>
        </w:rPr>
      </w:pPr>
      <w:r w:rsidRPr="003F0A0F">
        <w:rPr>
          <w:i/>
          <w:vertAlign w:val="superscript"/>
        </w:rPr>
        <w:t>3</w:t>
      </w:r>
      <w:r w:rsidRPr="003F0A0F">
        <w:rPr>
          <w:i/>
        </w:rPr>
        <w:t xml:space="preserve"> </w:t>
      </w:r>
      <w:r w:rsidR="00881FB2" w:rsidRPr="00881FB2">
        <w:rPr>
          <w:i/>
        </w:rPr>
        <w:t>$10 million to &lt; $20 million</w:t>
      </w:r>
    </w:p>
    <w:p w14:paraId="2692F699" w14:textId="377772F8" w:rsidR="003F0A0F" w:rsidRPr="003F0A0F" w:rsidRDefault="003F0A0F" w:rsidP="003F0A0F">
      <w:pPr>
        <w:pStyle w:val="TableFigureFooter"/>
        <w:rPr>
          <w:i/>
        </w:rPr>
      </w:pPr>
      <w:r w:rsidRPr="003F0A0F">
        <w:rPr>
          <w:i/>
          <w:vertAlign w:val="superscript"/>
        </w:rPr>
        <w:t>4</w:t>
      </w:r>
      <w:r w:rsidRPr="003F0A0F">
        <w:rPr>
          <w:i/>
        </w:rPr>
        <w:t xml:space="preserve"> </w:t>
      </w:r>
      <w:r w:rsidR="00DF78C2" w:rsidRPr="00DF78C2">
        <w:rPr>
          <w:i/>
        </w:rPr>
        <w:t>net cost saving</w:t>
      </w:r>
    </w:p>
    <w:p w14:paraId="6F0B2592" w14:textId="131EF83F" w:rsidR="003F0A0F" w:rsidRPr="003F0A0F" w:rsidRDefault="003F0A0F" w:rsidP="003F0A0F">
      <w:pPr>
        <w:pStyle w:val="TableFigureFooter"/>
        <w:rPr>
          <w:i/>
        </w:rPr>
      </w:pPr>
      <w:r w:rsidRPr="003F0A0F">
        <w:rPr>
          <w:i/>
          <w:vertAlign w:val="superscript"/>
        </w:rPr>
        <w:t>5</w:t>
      </w:r>
      <w:r w:rsidRPr="003F0A0F">
        <w:rPr>
          <w:i/>
        </w:rPr>
        <w:t xml:space="preserve"> </w:t>
      </w:r>
      <w:r w:rsidR="003B6A72" w:rsidRPr="003B6A72">
        <w:rPr>
          <w:i/>
        </w:rPr>
        <w:t>$0 to &lt; $10 million</w:t>
      </w:r>
    </w:p>
    <w:p w14:paraId="48A792A6" w14:textId="77777777" w:rsidR="003F0A0F" w:rsidRDefault="003F0A0F" w:rsidP="007A591A">
      <w:pPr>
        <w:pStyle w:val="TableFigureFooter"/>
      </w:pPr>
    </w:p>
    <w:p w14:paraId="3D4A3CAC" w14:textId="6D7BC43A" w:rsidR="001C53CC" w:rsidRPr="0098262F" w:rsidRDefault="00625E60" w:rsidP="007A591A">
      <w:pPr>
        <w:pStyle w:val="3-BodyText"/>
      </w:pPr>
      <w:r w:rsidRPr="006F2E5C">
        <w:t xml:space="preserve">The total cost to the PBS/RPBS of listing tofersen was estimated to be </w:t>
      </w:r>
      <w:r w:rsidR="002F7F6E" w:rsidRPr="002F7F6E">
        <w:t>$10 million to &lt; $20 million</w:t>
      </w:r>
      <w:r w:rsidRPr="006F2E5C">
        <w:t xml:space="preserve"> in Year </w:t>
      </w:r>
      <w:r w:rsidR="00D40570" w:rsidRPr="006F2E5C">
        <w:t>1</w:t>
      </w:r>
      <w:r w:rsidRPr="006F2E5C">
        <w:t xml:space="preserve">, and a total of </w:t>
      </w:r>
      <w:r w:rsidR="00CB6E0B" w:rsidRPr="00CB6E0B">
        <w:t>$100 million to &lt; $200 million</w:t>
      </w:r>
      <w:r w:rsidRPr="006F2E5C">
        <w:t xml:space="preserve"> </w:t>
      </w:r>
      <w:r w:rsidR="005566B5" w:rsidRPr="006F2E5C">
        <w:t>in the first 6 years of listing</w:t>
      </w:r>
      <w:r w:rsidR="00521412" w:rsidRPr="006F2E5C">
        <w:t xml:space="preserve">. This compared to a total cost of </w:t>
      </w:r>
      <w:r w:rsidR="00DC197C" w:rsidRPr="00DC197C">
        <w:t>$90 million to &lt; $100 million</w:t>
      </w:r>
      <w:r w:rsidR="00521412" w:rsidRPr="006F2E5C">
        <w:t xml:space="preserve"> in the first 6 years of listing in the November 2025 submission. </w:t>
      </w:r>
      <w:r w:rsidR="00227871" w:rsidRPr="006F2E5C">
        <w:t xml:space="preserve">However, the number of </w:t>
      </w:r>
      <w:r w:rsidR="001D27E9" w:rsidRPr="006F2E5C">
        <w:t xml:space="preserve">doses </w:t>
      </w:r>
      <w:r w:rsidR="008B1474" w:rsidRPr="006F2E5C">
        <w:t xml:space="preserve">under the initiation and first continuation </w:t>
      </w:r>
      <w:r w:rsidR="001B2C01" w:rsidRPr="006F2E5C">
        <w:t>phases appear to be overestimated</w:t>
      </w:r>
      <w:r w:rsidR="002D5C4A" w:rsidRPr="006F2E5C">
        <w:t xml:space="preserve"> (see </w:t>
      </w:r>
      <w:r w:rsidR="002D5C4A" w:rsidRPr="006F2E5C">
        <w:lastRenderedPageBreak/>
        <w:t xml:space="preserve">paragraph </w:t>
      </w:r>
      <w:r w:rsidR="002D5C4A" w:rsidRPr="006F2E5C">
        <w:fldChar w:fldCharType="begin"/>
      </w:r>
      <w:r w:rsidR="002D5C4A" w:rsidRPr="006F2E5C">
        <w:instrText xml:space="preserve"> REF _Ref222908145 \r \h </w:instrText>
      </w:r>
      <w:r w:rsidR="006F2E5C" w:rsidRPr="006F2E5C">
        <w:instrText xml:space="preserve"> \* MERGEFORMAT </w:instrText>
      </w:r>
      <w:r w:rsidR="002D5C4A" w:rsidRPr="006F2E5C">
        <w:fldChar w:fldCharType="separate"/>
      </w:r>
      <w:r w:rsidR="00210420">
        <w:t>4.14</w:t>
      </w:r>
      <w:r w:rsidR="002D5C4A" w:rsidRPr="006F2E5C">
        <w:fldChar w:fldCharType="end"/>
      </w:r>
      <w:r w:rsidR="002D5C4A" w:rsidRPr="006F2E5C">
        <w:t>)</w:t>
      </w:r>
      <w:r w:rsidR="00730B2E" w:rsidRPr="006F2E5C">
        <w:t xml:space="preserve">. </w:t>
      </w:r>
      <w:bookmarkStart w:id="34" w:name="_Toc22897649"/>
      <w:bookmarkStart w:id="35" w:name="_Toc208993663"/>
      <w:r w:rsidR="001C53CC" w:rsidRPr="0098262F">
        <w:t>Financial Management – Risk Sharing Arrangement</w:t>
      </w:r>
      <w:bookmarkEnd w:id="34"/>
      <w:bookmarkEnd w:id="35"/>
      <w:r w:rsidR="001174EC">
        <w:t xml:space="preserve"> and Pay for Performance Framework</w:t>
      </w:r>
    </w:p>
    <w:p w14:paraId="5D3623E2" w14:textId="0A59E447" w:rsidR="00400AD6" w:rsidRDefault="001C53CC" w:rsidP="007A591A">
      <w:pPr>
        <w:pStyle w:val="3-BodyText"/>
      </w:pPr>
      <w:r w:rsidRPr="006F2E5C">
        <w:t xml:space="preserve">The </w:t>
      </w:r>
      <w:r w:rsidR="00F95514" w:rsidRPr="006F2E5C">
        <w:t>re</w:t>
      </w:r>
      <w:r w:rsidRPr="006F2E5C">
        <w:t>submission proposed a</w:t>
      </w:r>
      <w:r w:rsidR="00E82DF8" w:rsidRPr="006F2E5C">
        <w:t xml:space="preserve"> </w:t>
      </w:r>
      <w:r w:rsidR="00C10EC6" w:rsidRPr="00C10EC6">
        <w:rPr>
          <w:sz w:val="2"/>
          <w:highlight w:val="black"/>
        </w:rPr>
        <w:t>redacted content</w:t>
      </w:r>
      <w:r w:rsidR="00E82DF8" w:rsidRPr="006F2E5C">
        <w:t xml:space="preserve"> </w:t>
      </w:r>
      <w:r w:rsidRPr="006F2E5C">
        <w:t xml:space="preserve">risk sharing arrangement based on estimated </w:t>
      </w:r>
      <w:r w:rsidR="005234D2" w:rsidRPr="006F2E5C">
        <w:t>net cost to PBS/RPBS</w:t>
      </w:r>
      <w:r w:rsidRPr="006F2E5C">
        <w:t xml:space="preserve"> in </w:t>
      </w:r>
      <w:r w:rsidR="008F1F8C" w:rsidRPr="006F2E5C">
        <w:fldChar w:fldCharType="begin"/>
      </w:r>
      <w:r w:rsidR="008F1F8C" w:rsidRPr="006F2E5C">
        <w:instrText xml:space="preserve"> REF _Ref220497816 \h </w:instrText>
      </w:r>
      <w:r w:rsidR="006F2E5C" w:rsidRPr="006F2E5C">
        <w:instrText xml:space="preserve"> \* MERGEFORMAT </w:instrText>
      </w:r>
      <w:r w:rsidR="008F1F8C" w:rsidRPr="006F2E5C">
        <w:fldChar w:fldCharType="separate"/>
      </w:r>
      <w:r w:rsidR="002E1A60" w:rsidRPr="006F2E5C">
        <w:t xml:space="preserve">Table </w:t>
      </w:r>
      <w:r w:rsidR="002E1A60" w:rsidRPr="006F2E5C">
        <w:rPr>
          <w:noProof/>
        </w:rPr>
        <w:t>9</w:t>
      </w:r>
      <w:r w:rsidR="008F1F8C" w:rsidRPr="006F2E5C">
        <w:fldChar w:fldCharType="end"/>
      </w:r>
      <w:r w:rsidR="00E82DF8" w:rsidRPr="006F2E5C">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D143F2" w:rsidRPr="006F2E5C">
        <w:t xml:space="preserve"> rebate of </w:t>
      </w:r>
      <w:r w:rsidR="00C10EC6" w:rsidRPr="00C10EC6">
        <w:rPr>
          <w:sz w:val="2"/>
          <w:highlight w:val="black"/>
        </w:rPr>
        <w:t>redacted content</w:t>
      </w:r>
      <w:r w:rsidR="00D143F2" w:rsidRPr="006F2E5C">
        <w:t xml:space="preserve"> on </w:t>
      </w:r>
      <w:r w:rsidR="00D143F2" w:rsidRPr="00FF2D3C">
        <w:t>expenditure</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03590E" w:rsidRPr="006F2E5C">
        <w:t xml:space="preserve"> rebate of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r w:rsidR="00C10EC6" w:rsidRPr="00C10EC6">
        <w:rPr>
          <w:sz w:val="2"/>
          <w:highlight w:val="black"/>
        </w:rPr>
        <w:t>redacted content</w:t>
      </w:r>
      <w:r w:rsidR="00C10EC6" w:rsidRPr="00C10EC6">
        <w:t xml:space="preserve"> </w:t>
      </w:r>
    </w:p>
    <w:p w14:paraId="7632667B" w14:textId="25D02065" w:rsidR="001C53CC" w:rsidRPr="006F2E5C" w:rsidRDefault="00400AD6" w:rsidP="007A591A">
      <w:pPr>
        <w:pStyle w:val="3-BodyText"/>
      </w:pPr>
      <w:r>
        <w:t>The pre</w:t>
      </w:r>
      <w:r w:rsidR="007A591A">
        <w:noBreakHyphen/>
      </w:r>
      <w:r>
        <w:t xml:space="preserve">PBAC response </w:t>
      </w:r>
      <w:r w:rsidR="007177C4">
        <w:t>proposed a</w:t>
      </w:r>
      <w:r w:rsidR="001175C3">
        <w:t xml:space="preserve"> simpler,</w:t>
      </w:r>
      <w:r w:rsidR="007177C4">
        <w:t xml:space="preserve"> alternative approach in which the expenditure caps </w:t>
      </w:r>
      <w:r w:rsidR="00C9507D">
        <w:t xml:space="preserve">are reduced by </w:t>
      </w:r>
      <w:r w:rsidR="00C10EC6" w:rsidRPr="00C10EC6">
        <w:rPr>
          <w:sz w:val="2"/>
          <w:highlight w:val="black"/>
        </w:rPr>
        <w:t>redacted content</w:t>
      </w:r>
      <w:r w:rsidR="00C9507D">
        <w:t xml:space="preserve">% for the duration of the deed, with a rebate of </w:t>
      </w:r>
      <w:r w:rsidR="00C10EC6" w:rsidRPr="00C10EC6">
        <w:rPr>
          <w:sz w:val="2"/>
          <w:highlight w:val="black"/>
        </w:rPr>
        <w:t>redacted content</w:t>
      </w:r>
      <w:r w:rsidR="00C9507D">
        <w:t xml:space="preserve">% for use beyond the caps. </w:t>
      </w:r>
    </w:p>
    <w:p w14:paraId="1F546E89" w14:textId="40EF8AE0" w:rsidR="001174EC" w:rsidRPr="006F2E5C" w:rsidRDefault="008F1F8C" w:rsidP="007A591A">
      <w:pPr>
        <w:pStyle w:val="Caption"/>
        <w:jc w:val="left"/>
      </w:pPr>
      <w:bookmarkStart w:id="36" w:name="_Ref221268359"/>
      <w:bookmarkStart w:id="37" w:name="_Ref201913110"/>
      <w:bookmarkStart w:id="38" w:name="_Toc217402319"/>
      <w:r w:rsidRPr="006F2E5C">
        <w:t xml:space="preserve">Table </w:t>
      </w:r>
      <w:fldSimple w:instr=" SEQ Table \* ARABIC ">
        <w:r w:rsidR="002E1A60" w:rsidRPr="006F2E5C">
          <w:rPr>
            <w:noProof/>
          </w:rPr>
          <w:t>10</w:t>
        </w:r>
      </w:fldSimple>
      <w:bookmarkEnd w:id="36"/>
      <w:r w:rsidRPr="006F2E5C">
        <w:t xml:space="preserve">: </w:t>
      </w:r>
      <w:bookmarkEnd w:id="37"/>
      <w:r w:rsidR="00914EA2">
        <w:t>Ri</w:t>
      </w:r>
      <w:r w:rsidR="001174EC" w:rsidRPr="006F2E5C">
        <w:t xml:space="preserve">sk share arrangement </w:t>
      </w:r>
      <w:r w:rsidR="00FF41FD">
        <w:t>proposed in the pre</w:t>
      </w:r>
      <w:r w:rsidR="007A591A">
        <w:noBreakHyphen/>
      </w:r>
      <w:r w:rsidR="00FF41FD">
        <w:t xml:space="preserve">PBAC response </w:t>
      </w:r>
      <w:bookmarkEnd w:id="3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Risk share arrangement proposed in the pre PBAC response "/>
      </w:tblPr>
      <w:tblGrid>
        <w:gridCol w:w="3256"/>
        <w:gridCol w:w="1134"/>
        <w:gridCol w:w="1275"/>
        <w:gridCol w:w="1134"/>
        <w:gridCol w:w="1134"/>
        <w:gridCol w:w="1134"/>
      </w:tblGrid>
      <w:tr w:rsidR="00CB3EDE" w:rsidRPr="006F2E5C" w14:paraId="35A7C313" w14:textId="77777777" w:rsidTr="00CB3EDE">
        <w:trPr>
          <w:trHeight w:val="93"/>
        </w:trPr>
        <w:tc>
          <w:tcPr>
            <w:tcW w:w="3256" w:type="dxa"/>
            <w:noWrap/>
            <w:tcMar>
              <w:left w:w="28" w:type="dxa"/>
              <w:right w:w="28" w:type="dxa"/>
            </w:tcMar>
            <w:vAlign w:val="center"/>
            <w:hideMark/>
          </w:tcPr>
          <w:p w14:paraId="05213D2A" w14:textId="77777777" w:rsidR="004354C6" w:rsidRPr="006F2E5C" w:rsidRDefault="004354C6" w:rsidP="007A591A">
            <w:pPr>
              <w:pStyle w:val="PBACTableText"/>
              <w:spacing w:before="0" w:after="0"/>
              <w:rPr>
                <w:b/>
                <w:bCs/>
                <w:lang w:eastAsia="en-AU"/>
              </w:rPr>
            </w:pPr>
            <w:r w:rsidRPr="006F2E5C">
              <w:rPr>
                <w:b/>
                <w:bCs/>
                <w:lang w:eastAsia="en-AU"/>
              </w:rPr>
              <w:t>Year</w:t>
            </w:r>
          </w:p>
        </w:tc>
        <w:tc>
          <w:tcPr>
            <w:tcW w:w="1134" w:type="dxa"/>
            <w:noWrap/>
            <w:tcMar>
              <w:left w:w="28" w:type="dxa"/>
              <w:right w:w="28" w:type="dxa"/>
            </w:tcMar>
            <w:hideMark/>
          </w:tcPr>
          <w:p w14:paraId="67341AFE" w14:textId="77777777" w:rsidR="004354C6" w:rsidRPr="006F2E5C" w:rsidRDefault="004354C6" w:rsidP="007A591A">
            <w:pPr>
              <w:pStyle w:val="PBACTableText"/>
              <w:spacing w:before="0" w:after="0"/>
              <w:jc w:val="center"/>
              <w:rPr>
                <w:b/>
                <w:bCs/>
                <w:lang w:eastAsia="en-AU"/>
              </w:rPr>
            </w:pPr>
            <w:r w:rsidRPr="006F2E5C">
              <w:rPr>
                <w:b/>
                <w:bCs/>
                <w:lang w:eastAsia="en-AU"/>
              </w:rPr>
              <w:t>Year 1</w:t>
            </w:r>
          </w:p>
        </w:tc>
        <w:tc>
          <w:tcPr>
            <w:tcW w:w="1275" w:type="dxa"/>
            <w:noWrap/>
            <w:tcMar>
              <w:left w:w="28" w:type="dxa"/>
              <w:right w:w="28" w:type="dxa"/>
            </w:tcMar>
            <w:hideMark/>
          </w:tcPr>
          <w:p w14:paraId="54FC7EF4" w14:textId="77777777" w:rsidR="004354C6" w:rsidRPr="006F2E5C" w:rsidRDefault="004354C6" w:rsidP="007A591A">
            <w:pPr>
              <w:pStyle w:val="PBACTableText"/>
              <w:spacing w:before="0" w:after="0"/>
              <w:jc w:val="center"/>
              <w:rPr>
                <w:b/>
                <w:bCs/>
                <w:lang w:eastAsia="en-AU"/>
              </w:rPr>
            </w:pPr>
            <w:r w:rsidRPr="006F2E5C">
              <w:rPr>
                <w:b/>
                <w:bCs/>
                <w:lang w:eastAsia="en-AU"/>
              </w:rPr>
              <w:t>Year 2</w:t>
            </w:r>
          </w:p>
        </w:tc>
        <w:tc>
          <w:tcPr>
            <w:tcW w:w="1134" w:type="dxa"/>
            <w:noWrap/>
            <w:tcMar>
              <w:left w:w="28" w:type="dxa"/>
              <w:right w:w="28" w:type="dxa"/>
            </w:tcMar>
            <w:hideMark/>
          </w:tcPr>
          <w:p w14:paraId="759F3A11" w14:textId="77777777" w:rsidR="004354C6" w:rsidRPr="006F2E5C" w:rsidRDefault="004354C6" w:rsidP="007A591A">
            <w:pPr>
              <w:pStyle w:val="PBACTableText"/>
              <w:spacing w:before="0" w:after="0"/>
              <w:jc w:val="center"/>
              <w:rPr>
                <w:b/>
                <w:bCs/>
                <w:lang w:eastAsia="en-AU"/>
              </w:rPr>
            </w:pPr>
            <w:r w:rsidRPr="006F2E5C">
              <w:rPr>
                <w:b/>
                <w:bCs/>
                <w:lang w:eastAsia="en-AU"/>
              </w:rPr>
              <w:t>Year 3</w:t>
            </w:r>
          </w:p>
        </w:tc>
        <w:tc>
          <w:tcPr>
            <w:tcW w:w="1134" w:type="dxa"/>
            <w:noWrap/>
            <w:tcMar>
              <w:left w:w="28" w:type="dxa"/>
              <w:right w:w="28" w:type="dxa"/>
            </w:tcMar>
            <w:hideMark/>
          </w:tcPr>
          <w:p w14:paraId="78839FCC" w14:textId="77777777" w:rsidR="004354C6" w:rsidRPr="006F2E5C" w:rsidRDefault="004354C6" w:rsidP="007A591A">
            <w:pPr>
              <w:pStyle w:val="PBACTableText"/>
              <w:spacing w:before="0" w:after="0"/>
              <w:jc w:val="center"/>
              <w:rPr>
                <w:b/>
                <w:bCs/>
                <w:lang w:eastAsia="en-AU"/>
              </w:rPr>
            </w:pPr>
            <w:r w:rsidRPr="006F2E5C">
              <w:rPr>
                <w:b/>
                <w:bCs/>
                <w:lang w:eastAsia="en-AU"/>
              </w:rPr>
              <w:t>Year 4</w:t>
            </w:r>
          </w:p>
        </w:tc>
        <w:tc>
          <w:tcPr>
            <w:tcW w:w="1134" w:type="dxa"/>
            <w:noWrap/>
            <w:tcMar>
              <w:left w:w="28" w:type="dxa"/>
              <w:right w:w="28" w:type="dxa"/>
            </w:tcMar>
            <w:hideMark/>
          </w:tcPr>
          <w:p w14:paraId="6C965E9A" w14:textId="77777777" w:rsidR="004354C6" w:rsidRPr="006F2E5C" w:rsidRDefault="004354C6" w:rsidP="007A591A">
            <w:pPr>
              <w:pStyle w:val="PBACTableText"/>
              <w:spacing w:before="0" w:after="0"/>
              <w:jc w:val="center"/>
              <w:rPr>
                <w:b/>
                <w:bCs/>
                <w:lang w:eastAsia="en-AU"/>
              </w:rPr>
            </w:pPr>
            <w:r w:rsidRPr="006F2E5C">
              <w:rPr>
                <w:b/>
                <w:bCs/>
                <w:lang w:eastAsia="en-AU"/>
              </w:rPr>
              <w:t>Year 5</w:t>
            </w:r>
          </w:p>
        </w:tc>
      </w:tr>
      <w:tr w:rsidR="00CB3EDE" w:rsidRPr="006F2E5C" w14:paraId="608BB4A1" w14:textId="77777777" w:rsidTr="00CB3EDE">
        <w:trPr>
          <w:trHeight w:val="139"/>
        </w:trPr>
        <w:tc>
          <w:tcPr>
            <w:tcW w:w="3256" w:type="dxa"/>
            <w:noWrap/>
            <w:tcMar>
              <w:left w:w="28" w:type="dxa"/>
              <w:right w:w="28" w:type="dxa"/>
            </w:tcMar>
            <w:vAlign w:val="center"/>
            <w:hideMark/>
          </w:tcPr>
          <w:p w14:paraId="7FF38910" w14:textId="20548412" w:rsidR="004354C6" w:rsidRPr="006F2E5C" w:rsidRDefault="004354C6" w:rsidP="007A591A">
            <w:pPr>
              <w:pStyle w:val="PBACTableText"/>
              <w:spacing w:before="0" w:after="0"/>
              <w:rPr>
                <w:lang w:eastAsia="en-AU"/>
              </w:rPr>
            </w:pPr>
            <w:r>
              <w:rPr>
                <w:lang w:eastAsia="en-AU"/>
              </w:rPr>
              <w:t>Estimated PBS expenditure</w:t>
            </w:r>
          </w:p>
        </w:tc>
        <w:tc>
          <w:tcPr>
            <w:tcW w:w="1134" w:type="dxa"/>
            <w:noWrap/>
            <w:tcMar>
              <w:left w:w="28" w:type="dxa"/>
              <w:right w:w="28" w:type="dxa"/>
            </w:tcMar>
            <w:hideMark/>
          </w:tcPr>
          <w:p w14:paraId="3CDE30DC" w14:textId="50A94283" w:rsidR="004354C6" w:rsidRPr="006F2E5C" w:rsidRDefault="004354C6" w:rsidP="007A591A">
            <w:pPr>
              <w:pStyle w:val="PBACTableText"/>
              <w:spacing w:before="0" w:after="0"/>
              <w:jc w:val="center"/>
              <w:rPr>
                <w:lang w:eastAsia="en-AU"/>
              </w:rPr>
            </w:pPr>
            <w:r w:rsidRPr="006F2E5C">
              <w:t>$</w:t>
            </w:r>
            <w:r w:rsidR="00C10EC6" w:rsidRPr="00C10EC6">
              <w:rPr>
                <w:sz w:val="2"/>
                <w:highlight w:val="black"/>
              </w:rPr>
              <w:t>redacted content</w:t>
            </w:r>
          </w:p>
        </w:tc>
        <w:tc>
          <w:tcPr>
            <w:tcW w:w="1275" w:type="dxa"/>
            <w:noWrap/>
            <w:tcMar>
              <w:left w:w="28" w:type="dxa"/>
              <w:right w:w="28" w:type="dxa"/>
            </w:tcMar>
            <w:hideMark/>
          </w:tcPr>
          <w:p w14:paraId="3305401D" w14:textId="5337B2B3" w:rsidR="004354C6" w:rsidRPr="006F2E5C" w:rsidRDefault="004354C6" w:rsidP="007A591A">
            <w:pPr>
              <w:pStyle w:val="PBACTableText"/>
              <w:spacing w:before="0" w:after="0"/>
              <w:jc w:val="center"/>
              <w:rPr>
                <w:lang w:eastAsia="en-AU"/>
              </w:rPr>
            </w:pPr>
            <w:r w:rsidRPr="006F2E5C">
              <w:t>$</w:t>
            </w:r>
            <w:r w:rsidR="00C10EC6" w:rsidRPr="00C10EC6">
              <w:rPr>
                <w:sz w:val="2"/>
                <w:highlight w:val="black"/>
              </w:rPr>
              <w:t>redacted content</w:t>
            </w:r>
          </w:p>
        </w:tc>
        <w:tc>
          <w:tcPr>
            <w:tcW w:w="1134" w:type="dxa"/>
            <w:noWrap/>
            <w:tcMar>
              <w:left w:w="28" w:type="dxa"/>
              <w:right w:w="28" w:type="dxa"/>
            </w:tcMar>
            <w:hideMark/>
          </w:tcPr>
          <w:p w14:paraId="6B796A5B" w14:textId="1E08228C" w:rsidR="004354C6" w:rsidRPr="006F2E5C" w:rsidRDefault="004354C6" w:rsidP="007A591A">
            <w:pPr>
              <w:pStyle w:val="PBACTableText"/>
              <w:spacing w:before="0" w:after="0"/>
              <w:jc w:val="center"/>
              <w:rPr>
                <w:lang w:eastAsia="en-AU"/>
              </w:rPr>
            </w:pPr>
            <w:r w:rsidRPr="006F2E5C">
              <w:t>$</w:t>
            </w:r>
            <w:r w:rsidR="00C10EC6" w:rsidRPr="00C10EC6">
              <w:rPr>
                <w:sz w:val="2"/>
                <w:highlight w:val="black"/>
              </w:rPr>
              <w:t>redacted content</w:t>
            </w:r>
          </w:p>
        </w:tc>
        <w:tc>
          <w:tcPr>
            <w:tcW w:w="1134" w:type="dxa"/>
            <w:noWrap/>
            <w:tcMar>
              <w:left w:w="28" w:type="dxa"/>
              <w:right w:w="28" w:type="dxa"/>
            </w:tcMar>
            <w:hideMark/>
          </w:tcPr>
          <w:p w14:paraId="2BF20C63" w14:textId="6E46E7A1" w:rsidR="004354C6" w:rsidRPr="006F2E5C" w:rsidRDefault="004354C6" w:rsidP="007A591A">
            <w:pPr>
              <w:pStyle w:val="PBACTableText"/>
              <w:spacing w:before="0" w:after="0"/>
              <w:jc w:val="center"/>
              <w:rPr>
                <w:lang w:eastAsia="en-AU"/>
              </w:rPr>
            </w:pPr>
            <w:r w:rsidRPr="006F2E5C">
              <w:t>$</w:t>
            </w:r>
            <w:r w:rsidR="00C10EC6" w:rsidRPr="00C10EC6">
              <w:rPr>
                <w:sz w:val="2"/>
                <w:highlight w:val="black"/>
              </w:rPr>
              <w:t>redacted content</w:t>
            </w:r>
          </w:p>
        </w:tc>
        <w:tc>
          <w:tcPr>
            <w:tcW w:w="1134" w:type="dxa"/>
            <w:noWrap/>
            <w:tcMar>
              <w:left w:w="28" w:type="dxa"/>
              <w:right w:w="28" w:type="dxa"/>
            </w:tcMar>
            <w:hideMark/>
          </w:tcPr>
          <w:p w14:paraId="7FD1F805" w14:textId="400DA8E5" w:rsidR="004354C6" w:rsidRPr="006F2E5C" w:rsidRDefault="004354C6" w:rsidP="007A591A">
            <w:pPr>
              <w:pStyle w:val="PBACTableText"/>
              <w:spacing w:before="0" w:after="0"/>
              <w:jc w:val="center"/>
              <w:rPr>
                <w:lang w:eastAsia="en-AU"/>
              </w:rPr>
            </w:pPr>
            <w:r w:rsidRPr="006F2E5C">
              <w:t>$</w:t>
            </w:r>
            <w:r w:rsidR="00C10EC6" w:rsidRPr="00C10EC6">
              <w:rPr>
                <w:sz w:val="2"/>
                <w:highlight w:val="black"/>
              </w:rPr>
              <w:t>redacted content</w:t>
            </w:r>
          </w:p>
        </w:tc>
      </w:tr>
      <w:tr w:rsidR="00CB3EDE" w:rsidRPr="006F2E5C" w14:paraId="5F8C6941" w14:textId="77777777" w:rsidTr="00CB3EDE">
        <w:trPr>
          <w:trHeight w:val="139"/>
        </w:trPr>
        <w:tc>
          <w:tcPr>
            <w:tcW w:w="3256" w:type="dxa"/>
            <w:noWrap/>
            <w:tcMar>
              <w:left w:w="28" w:type="dxa"/>
              <w:right w:w="28" w:type="dxa"/>
            </w:tcMar>
            <w:vAlign w:val="center"/>
          </w:tcPr>
          <w:p w14:paraId="155C5D5A" w14:textId="334AEBF8" w:rsidR="004354C6" w:rsidRPr="006F2E5C" w:rsidDel="00BF47D4" w:rsidRDefault="004354C6" w:rsidP="007A591A">
            <w:pPr>
              <w:pStyle w:val="PBACTableText"/>
              <w:spacing w:before="0" w:after="0"/>
              <w:rPr>
                <w:lang w:eastAsia="en-AU"/>
              </w:rPr>
            </w:pPr>
            <w:r>
              <w:rPr>
                <w:lang w:eastAsia="en-AU"/>
              </w:rPr>
              <w:t xml:space="preserve">Expenditure caps (estimated PBS expenditure – </w:t>
            </w:r>
            <w:r w:rsidR="00C10EC6" w:rsidRPr="00C10EC6">
              <w:rPr>
                <w:sz w:val="2"/>
                <w:highlight w:val="black"/>
                <w:lang w:eastAsia="en-AU"/>
              </w:rPr>
              <w:t>redacted content</w:t>
            </w:r>
            <w:r>
              <w:rPr>
                <w:lang w:eastAsia="en-AU"/>
              </w:rPr>
              <w:t>%)</w:t>
            </w:r>
          </w:p>
        </w:tc>
        <w:tc>
          <w:tcPr>
            <w:tcW w:w="1134" w:type="dxa"/>
            <w:noWrap/>
            <w:tcMar>
              <w:left w:w="28" w:type="dxa"/>
              <w:right w:w="28" w:type="dxa"/>
            </w:tcMar>
            <w:vAlign w:val="center"/>
          </w:tcPr>
          <w:p w14:paraId="1375F0A2" w14:textId="4F288A26" w:rsidR="004354C6" w:rsidRPr="006F2E5C" w:rsidRDefault="004354C6" w:rsidP="007A591A">
            <w:pPr>
              <w:pStyle w:val="PBACTableText"/>
              <w:spacing w:before="0" w:after="0"/>
              <w:jc w:val="center"/>
            </w:pPr>
            <w:r w:rsidRPr="006413F1">
              <w:rPr>
                <w:rFonts w:cs="Times New Roman"/>
                <w:color w:val="000000"/>
                <w:lang w:eastAsia="en-AU"/>
              </w:rPr>
              <w:t>$</w:t>
            </w:r>
            <w:r w:rsidR="00C10EC6" w:rsidRPr="00C10EC6">
              <w:rPr>
                <w:rFonts w:cs="Times New Roman"/>
                <w:color w:val="000000"/>
                <w:sz w:val="2"/>
                <w:highlight w:val="black"/>
                <w:lang w:eastAsia="en-AU"/>
              </w:rPr>
              <w:t>redacted content</w:t>
            </w:r>
          </w:p>
        </w:tc>
        <w:tc>
          <w:tcPr>
            <w:tcW w:w="1275" w:type="dxa"/>
            <w:noWrap/>
            <w:tcMar>
              <w:left w:w="28" w:type="dxa"/>
              <w:right w:w="28" w:type="dxa"/>
            </w:tcMar>
            <w:vAlign w:val="center"/>
          </w:tcPr>
          <w:p w14:paraId="2E9D2D67" w14:textId="3BB34AB1" w:rsidR="004354C6" w:rsidRPr="006F2E5C" w:rsidRDefault="004354C6" w:rsidP="007A591A">
            <w:pPr>
              <w:pStyle w:val="PBACTableText"/>
              <w:spacing w:before="0" w:after="0"/>
              <w:jc w:val="center"/>
            </w:pPr>
            <w:r w:rsidRPr="006413F1">
              <w:rPr>
                <w:rFonts w:cs="Times New Roman"/>
                <w:color w:val="000000"/>
                <w:lang w:eastAsia="en-AU"/>
              </w:rPr>
              <w:t>$</w:t>
            </w:r>
            <w:r w:rsidR="00C10EC6" w:rsidRPr="00C10EC6">
              <w:rPr>
                <w:rFonts w:cs="Times New Roman"/>
                <w:color w:val="000000"/>
                <w:sz w:val="2"/>
                <w:highlight w:val="black"/>
                <w:lang w:eastAsia="en-AU"/>
              </w:rPr>
              <w:t>redacted content</w:t>
            </w:r>
          </w:p>
        </w:tc>
        <w:tc>
          <w:tcPr>
            <w:tcW w:w="1134" w:type="dxa"/>
            <w:noWrap/>
            <w:tcMar>
              <w:left w:w="28" w:type="dxa"/>
              <w:right w:w="28" w:type="dxa"/>
            </w:tcMar>
            <w:vAlign w:val="center"/>
          </w:tcPr>
          <w:p w14:paraId="5EE384E2" w14:textId="443DCE4B" w:rsidR="004354C6" w:rsidRPr="006F2E5C" w:rsidRDefault="004354C6" w:rsidP="007A591A">
            <w:pPr>
              <w:pStyle w:val="PBACTableText"/>
              <w:spacing w:before="0" w:after="0"/>
              <w:jc w:val="center"/>
            </w:pPr>
            <w:r w:rsidRPr="006413F1">
              <w:rPr>
                <w:rFonts w:cs="Times New Roman"/>
                <w:color w:val="000000"/>
                <w:lang w:eastAsia="en-AU"/>
              </w:rPr>
              <w:t>$</w:t>
            </w:r>
            <w:r w:rsidR="00C10EC6" w:rsidRPr="00C10EC6">
              <w:rPr>
                <w:rFonts w:cs="Times New Roman"/>
                <w:color w:val="000000"/>
                <w:sz w:val="2"/>
                <w:highlight w:val="black"/>
                <w:lang w:eastAsia="en-AU"/>
              </w:rPr>
              <w:t>redacted content</w:t>
            </w:r>
          </w:p>
        </w:tc>
        <w:tc>
          <w:tcPr>
            <w:tcW w:w="1134" w:type="dxa"/>
            <w:noWrap/>
            <w:tcMar>
              <w:left w:w="28" w:type="dxa"/>
              <w:right w:w="28" w:type="dxa"/>
            </w:tcMar>
            <w:vAlign w:val="center"/>
          </w:tcPr>
          <w:p w14:paraId="596DC258" w14:textId="6D899A27" w:rsidR="004354C6" w:rsidRPr="006F2E5C" w:rsidRDefault="004354C6" w:rsidP="007A591A">
            <w:pPr>
              <w:pStyle w:val="PBACTableText"/>
              <w:spacing w:before="0" w:after="0"/>
              <w:jc w:val="center"/>
            </w:pPr>
            <w:r w:rsidRPr="006413F1">
              <w:rPr>
                <w:rFonts w:cs="Times New Roman"/>
                <w:color w:val="000000"/>
                <w:lang w:eastAsia="en-AU"/>
              </w:rPr>
              <w:t>$</w:t>
            </w:r>
            <w:r w:rsidR="00C10EC6" w:rsidRPr="00C10EC6">
              <w:rPr>
                <w:rFonts w:cs="Times New Roman"/>
                <w:color w:val="000000"/>
                <w:sz w:val="2"/>
                <w:highlight w:val="black"/>
                <w:lang w:eastAsia="en-AU"/>
              </w:rPr>
              <w:t>redacted content</w:t>
            </w:r>
          </w:p>
        </w:tc>
        <w:tc>
          <w:tcPr>
            <w:tcW w:w="1134" w:type="dxa"/>
            <w:noWrap/>
            <w:tcMar>
              <w:left w:w="28" w:type="dxa"/>
              <w:right w:w="28" w:type="dxa"/>
            </w:tcMar>
            <w:vAlign w:val="center"/>
          </w:tcPr>
          <w:p w14:paraId="62C5878D" w14:textId="3A1B97B5" w:rsidR="004354C6" w:rsidRPr="006F2E5C" w:rsidRDefault="004354C6" w:rsidP="007A591A">
            <w:pPr>
              <w:pStyle w:val="PBACTableText"/>
              <w:spacing w:before="0" w:after="0"/>
              <w:jc w:val="center"/>
            </w:pPr>
            <w:r w:rsidRPr="006413F1">
              <w:rPr>
                <w:rFonts w:cs="Times New Roman"/>
                <w:color w:val="000000"/>
                <w:lang w:eastAsia="en-AU"/>
              </w:rPr>
              <w:t>$</w:t>
            </w:r>
            <w:r w:rsidR="00C10EC6" w:rsidRPr="00C10EC6">
              <w:rPr>
                <w:rFonts w:cs="Times New Roman"/>
                <w:color w:val="000000"/>
                <w:sz w:val="2"/>
                <w:highlight w:val="black"/>
                <w:lang w:eastAsia="en-AU"/>
              </w:rPr>
              <w:t>redacted content</w:t>
            </w:r>
          </w:p>
        </w:tc>
      </w:tr>
    </w:tbl>
    <w:p w14:paraId="79D11F7E" w14:textId="36D08EDD" w:rsidR="001174EC" w:rsidRPr="006F2E5C" w:rsidRDefault="001174EC" w:rsidP="007A591A">
      <w:pPr>
        <w:pStyle w:val="TableFigureFooter"/>
      </w:pPr>
      <w:r w:rsidRPr="006F2E5C">
        <w:t xml:space="preserve">Source: </w:t>
      </w:r>
      <w:r w:rsidR="004354C6">
        <w:t>pre</w:t>
      </w:r>
      <w:r w:rsidR="007A591A">
        <w:noBreakHyphen/>
      </w:r>
      <w:r w:rsidR="004354C6">
        <w:t>PBAC response, p</w:t>
      </w:r>
      <w:r w:rsidR="00FF41FD">
        <w:t>2</w:t>
      </w:r>
    </w:p>
    <w:p w14:paraId="0901DF60" w14:textId="3ECBDA18" w:rsidR="00477F26" w:rsidRPr="006F2E5C" w:rsidRDefault="00477F26" w:rsidP="007A591A">
      <w:pPr>
        <w:pStyle w:val="TableFigureFooter"/>
      </w:pPr>
      <w:r w:rsidRPr="006F2E5C">
        <w:t>ALS</w:t>
      </w:r>
      <w:r w:rsidR="007A591A">
        <w:noBreakHyphen/>
      </w:r>
      <w:r w:rsidRPr="006F2E5C">
        <w:t>SOD1 = amyotrophic lateral sclerosis</w:t>
      </w:r>
      <w:r w:rsidR="005F4B7E" w:rsidRPr="006F2E5C">
        <w:t xml:space="preserve"> – superoxide dismutase 1</w:t>
      </w:r>
    </w:p>
    <w:p w14:paraId="182DDCA7" w14:textId="38BB673C" w:rsidR="001C6D52" w:rsidRPr="006F2E5C" w:rsidRDefault="00A8260A" w:rsidP="007A591A">
      <w:pPr>
        <w:pStyle w:val="3-BodyText"/>
      </w:pPr>
      <w:bookmarkStart w:id="39" w:name="_Ref220496596"/>
      <w:r w:rsidRPr="006F2E5C">
        <w:t>Noting that there are no additional studies planned for tofersen in ALS</w:t>
      </w:r>
      <w:r w:rsidR="007A591A">
        <w:noBreakHyphen/>
      </w:r>
      <w:r w:rsidRPr="006F2E5C">
        <w:t>SOD1</w:t>
      </w:r>
      <w:r w:rsidR="00B722EA" w:rsidRPr="006F2E5C">
        <w:t xml:space="preserve"> and the regulatory pathway recommended by the TGA is provisional due to the uncertainty of the clinical data from the VALOR </w:t>
      </w:r>
      <w:r w:rsidR="00F95514" w:rsidRPr="006F2E5C">
        <w:t xml:space="preserve">trial, the resubmission has </w:t>
      </w:r>
      <w:r w:rsidR="00665E85" w:rsidRPr="006F2E5C">
        <w:t xml:space="preserve">also </w:t>
      </w:r>
      <w:r w:rsidR="00F95514" w:rsidRPr="006F2E5C">
        <w:t xml:space="preserve">proposed a </w:t>
      </w:r>
      <w:r w:rsidR="00967046" w:rsidRPr="006F2E5C">
        <w:t>“</w:t>
      </w:r>
      <w:r w:rsidR="00F95514" w:rsidRPr="006F2E5C">
        <w:t>pay for performance</w:t>
      </w:r>
      <w:r w:rsidR="00967046" w:rsidRPr="006F2E5C">
        <w:t>”</w:t>
      </w:r>
      <w:r w:rsidR="00F95514" w:rsidRPr="006F2E5C">
        <w:t xml:space="preserve"> framework</w:t>
      </w:r>
      <w:r w:rsidR="00AD652D" w:rsidRPr="006F2E5C">
        <w:t xml:space="preserve">, with an additional </w:t>
      </w:r>
      <w:r w:rsidR="00C10EC6" w:rsidRPr="00C10EC6">
        <w:rPr>
          <w:sz w:val="2"/>
          <w:highlight w:val="black"/>
        </w:rPr>
        <w:t>redacted content</w:t>
      </w:r>
      <w:r w:rsidR="00AD652D" w:rsidRPr="006F2E5C">
        <w:t>% discount to the price in the first continuation phase restriction</w:t>
      </w:r>
      <w:r w:rsidR="00C626F8">
        <w:t xml:space="preserve"> (i.e. months 6 to 12 of treatment)</w:t>
      </w:r>
      <w:r w:rsidR="00055F94" w:rsidRPr="006F2E5C">
        <w:t xml:space="preserve">, assuming that </w:t>
      </w:r>
      <w:r w:rsidR="00C10EC6" w:rsidRPr="00C10EC6">
        <w:rPr>
          <w:sz w:val="2"/>
          <w:highlight w:val="black"/>
        </w:rPr>
        <w:t>redacted content</w:t>
      </w:r>
      <w:r w:rsidR="00055F94" w:rsidRPr="006F2E5C">
        <w:t>% of patients will be non</w:t>
      </w:r>
      <w:r w:rsidR="007A591A">
        <w:noBreakHyphen/>
      </w:r>
      <w:r w:rsidR="00055F94" w:rsidRPr="006F2E5C">
        <w:t>responders</w:t>
      </w:r>
      <w:r w:rsidR="00947AA1" w:rsidRPr="006F2E5C">
        <w:t xml:space="preserve"> (</w:t>
      </w:r>
      <w:r w:rsidR="008D38A3" w:rsidRPr="006F2E5C">
        <w:t xml:space="preserve">see paragraph </w:t>
      </w:r>
      <w:r w:rsidR="008D38A3" w:rsidRPr="006F2E5C">
        <w:fldChar w:fldCharType="begin"/>
      </w:r>
      <w:r w:rsidR="008D38A3" w:rsidRPr="006F2E5C">
        <w:instrText xml:space="preserve"> REF _Ref220496566 \r \h </w:instrText>
      </w:r>
      <w:r w:rsidR="006F2E5C" w:rsidRPr="006F2E5C">
        <w:instrText xml:space="preserve"> \* MERGEFORMAT </w:instrText>
      </w:r>
      <w:r w:rsidR="008D38A3" w:rsidRPr="006F2E5C">
        <w:fldChar w:fldCharType="separate"/>
      </w:r>
      <w:r w:rsidR="00210420">
        <w:t>3.2</w:t>
      </w:r>
      <w:r w:rsidR="008D38A3" w:rsidRPr="006F2E5C">
        <w:fldChar w:fldCharType="end"/>
      </w:r>
      <w:r w:rsidR="008D38A3" w:rsidRPr="006F2E5C">
        <w:t>)</w:t>
      </w:r>
      <w:r w:rsidR="00055F94" w:rsidRPr="006F2E5C">
        <w:t>.</w:t>
      </w:r>
      <w:bookmarkEnd w:id="39"/>
      <w:r w:rsidR="00005732" w:rsidRPr="006F2E5C">
        <w:t xml:space="preserve"> </w:t>
      </w:r>
      <w:r w:rsidR="00570937" w:rsidRPr="006F2E5C">
        <w:t xml:space="preserve">The resubmission notes that the proposal applies to incident patients, with those enrolled in the early access program grandfathered into the response phase. </w:t>
      </w:r>
      <w:r w:rsidR="00005732" w:rsidRPr="006F2E5C">
        <w:t xml:space="preserve">This </w:t>
      </w:r>
      <w:r w:rsidR="00C10EC6" w:rsidRPr="00C10EC6">
        <w:rPr>
          <w:sz w:val="2"/>
          <w:highlight w:val="black"/>
        </w:rPr>
        <w:t>redacted content</w:t>
      </w:r>
      <w:r w:rsidR="00A257D0" w:rsidRPr="006F2E5C">
        <w:t>% reduction in the cost for scripts under the first continu</w:t>
      </w:r>
      <w:r w:rsidR="00C220A0" w:rsidRPr="006F2E5C">
        <w:t>ation phase</w:t>
      </w:r>
      <w:r w:rsidR="00A257D0" w:rsidRPr="006F2E5C">
        <w:t xml:space="preserve"> listing</w:t>
      </w:r>
      <w:r w:rsidR="00005732" w:rsidRPr="006F2E5C">
        <w:t xml:space="preserve"> is included in the values in </w:t>
      </w:r>
      <w:r w:rsidR="00570937" w:rsidRPr="006F2E5C">
        <w:fldChar w:fldCharType="begin"/>
      </w:r>
      <w:r w:rsidR="00570937" w:rsidRPr="006F2E5C">
        <w:instrText xml:space="preserve"> REF _Ref221268359 \h </w:instrText>
      </w:r>
      <w:r w:rsidR="006F2E5C" w:rsidRPr="006F2E5C">
        <w:instrText xml:space="preserve"> \* MERGEFORMAT </w:instrText>
      </w:r>
      <w:r w:rsidR="00570937" w:rsidRPr="006F2E5C">
        <w:fldChar w:fldCharType="separate"/>
      </w:r>
      <w:r w:rsidR="00570937" w:rsidRPr="006F2E5C">
        <w:t xml:space="preserve">Table </w:t>
      </w:r>
      <w:r w:rsidR="00570937" w:rsidRPr="006F2E5C">
        <w:rPr>
          <w:noProof/>
        </w:rPr>
        <w:t>10</w:t>
      </w:r>
      <w:r w:rsidR="00570937" w:rsidRPr="006F2E5C">
        <w:fldChar w:fldCharType="end"/>
      </w:r>
      <w:r w:rsidR="00570937" w:rsidRPr="006F2E5C">
        <w:t>.</w:t>
      </w:r>
      <w:r w:rsidR="00A257D0" w:rsidRPr="006F2E5C">
        <w:t xml:space="preserve"> </w:t>
      </w:r>
      <w:bookmarkStart w:id="40" w:name="_Ref220496605"/>
      <w:r w:rsidR="001C6D52" w:rsidRPr="006F2E5C">
        <w:t>The resubmission stated that the first continuation phase accounts for uncertainty in response and provides an upfront discount to reflect the expected proportion of non</w:t>
      </w:r>
      <w:r w:rsidR="007A591A">
        <w:noBreakHyphen/>
      </w:r>
      <w:r w:rsidR="001C6D52" w:rsidRPr="006F2E5C">
        <w:t>responders before formal assessment at 12 months and ensure</w:t>
      </w:r>
      <w:r w:rsidR="0059402A" w:rsidRPr="006F2E5C">
        <w:t>s consistency with the trial evidence, administrative simplicity and value delivery.</w:t>
      </w:r>
      <w:bookmarkEnd w:id="40"/>
      <w:r w:rsidR="00C220A0" w:rsidRPr="006F2E5C">
        <w:t xml:space="preserve"> This is not strictly a </w:t>
      </w:r>
      <w:r w:rsidR="00142C09" w:rsidRPr="006F2E5C">
        <w:t>pay for performance framework</w:t>
      </w:r>
      <w:r w:rsidR="00A2296C" w:rsidRPr="006F2E5C">
        <w:t xml:space="preserve">, but rather a price reduction to address </w:t>
      </w:r>
      <w:r w:rsidR="00C37BA3" w:rsidRPr="006F2E5C">
        <w:t>uncertainty in the overall cost</w:t>
      </w:r>
      <w:r w:rsidR="007A591A">
        <w:noBreakHyphen/>
      </w:r>
      <w:r w:rsidR="008454C6" w:rsidRPr="006F2E5C">
        <w:t>effectiveness</w:t>
      </w:r>
      <w:r w:rsidR="00C37BA3" w:rsidRPr="006F2E5C">
        <w:t xml:space="preserve">. </w:t>
      </w:r>
    </w:p>
    <w:p w14:paraId="79085A4A" w14:textId="3556052D" w:rsidR="00FE348C" w:rsidRDefault="00FE348C" w:rsidP="007A591A">
      <w:pPr>
        <w:pStyle w:val="3-BodyText"/>
        <w:numPr>
          <w:ilvl w:val="0"/>
          <w:numId w:val="0"/>
        </w:numPr>
        <w:ind w:left="720"/>
        <w:rPr>
          <w:i/>
          <w:iCs/>
        </w:rPr>
      </w:pPr>
      <w:r w:rsidRPr="00FE348C">
        <w:rPr>
          <w:i/>
          <w:iCs/>
        </w:rPr>
        <w:t>For more detail on PBAC’s view, see section 7 PBAC outcome.</w:t>
      </w:r>
    </w:p>
    <w:p w14:paraId="35FBD7CB" w14:textId="77777777" w:rsidR="009C0633" w:rsidRPr="0090150D" w:rsidRDefault="009C0633" w:rsidP="007A591A">
      <w:pPr>
        <w:pStyle w:val="2-SectionHeading"/>
        <w:numPr>
          <w:ilvl w:val="0"/>
          <w:numId w:val="33"/>
        </w:numPr>
      </w:pPr>
      <w:bookmarkStart w:id="41" w:name="_Hlk76381249"/>
      <w:bookmarkStart w:id="42" w:name="_Hlk76377955"/>
      <w:r w:rsidRPr="0090150D">
        <w:t>PBAC Outcome</w:t>
      </w:r>
    </w:p>
    <w:p w14:paraId="1ACD1F61" w14:textId="03F9CC81" w:rsidR="00A57BD9" w:rsidRPr="00142FF3" w:rsidRDefault="00A57BD9" w:rsidP="007A591A">
      <w:pPr>
        <w:pStyle w:val="3-BodyText"/>
        <w:numPr>
          <w:ilvl w:val="1"/>
          <w:numId w:val="33"/>
        </w:numPr>
        <w:rPr>
          <w:rFonts w:ascii="Aptos" w:hAnsi="Aptos"/>
        </w:rPr>
      </w:pPr>
      <w:bookmarkStart w:id="43" w:name="_Hlk111543188"/>
      <w:r>
        <w:t>The PBAC</w:t>
      </w:r>
      <w:r w:rsidRPr="00A57BD9">
        <w:rPr>
          <w:b/>
          <w:bCs/>
        </w:rPr>
        <w:t xml:space="preserve"> </w:t>
      </w:r>
      <w:r w:rsidRPr="00A57BD9">
        <w:t>recommended</w:t>
      </w:r>
      <w:r>
        <w:t xml:space="preserve"> tofersen for the treatment of patients with amyotrophic lateral sclerosis (ALS) who have a superoxide </w:t>
      </w:r>
      <w:r w:rsidR="009C7272">
        <w:t>dismutase</w:t>
      </w:r>
      <w:r>
        <w:t xml:space="preserve"> 1 (SOD1) gene pathogenic variant. The PBAC noted the high unmet need for targeted treatments for this rare subtype of ALS. The PBAC recalled that it had previously considered that tofersen was likely to be associated with a meaningful clinical benefit (maintaining function for longer and increasing overall survival) compared with the current standard of care (riluzole) but that the longer</w:t>
      </w:r>
      <w:r w:rsidR="007A591A">
        <w:noBreakHyphen/>
      </w:r>
      <w:r>
        <w:t xml:space="preserve">term effects remained uncertain. The PBAC considered the resubmission addressed the Committee’s previous concerns. The PBAC considered </w:t>
      </w:r>
      <w:r>
        <w:lastRenderedPageBreak/>
        <w:t xml:space="preserve">that the </w:t>
      </w:r>
      <w:r w:rsidRPr="00A57BD9">
        <w:rPr>
          <w:lang w:val="en-GB"/>
        </w:rPr>
        <w:t>cost</w:t>
      </w:r>
      <w:r w:rsidR="007A591A">
        <w:rPr>
          <w:lang w:val="en-GB"/>
        </w:rPr>
        <w:noBreakHyphen/>
      </w:r>
      <w:r w:rsidRPr="00A57BD9">
        <w:rPr>
          <w:lang w:val="en-GB"/>
        </w:rPr>
        <w:t xml:space="preserve">effectiveness of </w:t>
      </w:r>
      <w:proofErr w:type="spellStart"/>
      <w:r w:rsidRPr="00A57BD9">
        <w:rPr>
          <w:lang w:val="en-GB"/>
        </w:rPr>
        <w:t>tofersen</w:t>
      </w:r>
      <w:proofErr w:type="spellEnd"/>
      <w:r w:rsidRPr="00A57BD9">
        <w:rPr>
          <w:lang w:val="en-GB"/>
        </w:rPr>
        <w:t xml:space="preserve"> was uncertain due to the limited data informing the economic model, but that </w:t>
      </w:r>
      <w:r>
        <w:t>in the context of this life</w:t>
      </w:r>
      <w:r w:rsidR="007A591A">
        <w:noBreakHyphen/>
      </w:r>
      <w:r>
        <w:t>limiting disease in a rare sub</w:t>
      </w:r>
      <w:r w:rsidR="007A591A">
        <w:noBreakHyphen/>
      </w:r>
      <w:r>
        <w:t xml:space="preserve">group of ALS patients, </w:t>
      </w:r>
      <w:r w:rsidR="00D63DBF">
        <w:t xml:space="preserve">and </w:t>
      </w:r>
      <w:r w:rsidR="007A69F8">
        <w:t xml:space="preserve">considering the </w:t>
      </w:r>
      <w:r w:rsidR="00CB1C54">
        <w:t xml:space="preserve">expected </w:t>
      </w:r>
      <w:r w:rsidR="00D63DBF">
        <w:t xml:space="preserve">level of </w:t>
      </w:r>
      <w:r w:rsidR="006C4825">
        <w:t xml:space="preserve">improvement in </w:t>
      </w:r>
      <w:r w:rsidR="001B72B1">
        <w:t>quality of life</w:t>
      </w:r>
      <w:r w:rsidR="00BD7D57">
        <w:t xml:space="preserve"> and survival</w:t>
      </w:r>
      <w:r w:rsidR="00830191">
        <w:t>,</w:t>
      </w:r>
      <w:r w:rsidR="00D63DBF">
        <w:t xml:space="preserve"> </w:t>
      </w:r>
      <w:r>
        <w:t xml:space="preserve">the </w:t>
      </w:r>
      <w:r w:rsidR="00E334AC">
        <w:rPr>
          <w:rFonts w:cstheme="minorHAnsi"/>
        </w:rPr>
        <w:t>tofersen was cost</w:t>
      </w:r>
      <w:r w:rsidR="007A591A">
        <w:rPr>
          <w:rFonts w:cstheme="minorHAnsi"/>
        </w:rPr>
        <w:noBreakHyphen/>
      </w:r>
      <w:r w:rsidR="00E334AC">
        <w:rPr>
          <w:rFonts w:cstheme="minorHAnsi"/>
        </w:rPr>
        <w:t>effective at the price proposed in the resubmission, in the context of</w:t>
      </w:r>
      <w:r w:rsidR="008C6981">
        <w:rPr>
          <w:rFonts w:cstheme="minorHAnsi"/>
        </w:rPr>
        <w:t xml:space="preserve"> the proposed</w:t>
      </w:r>
      <w:r w:rsidR="007270DC">
        <w:rPr>
          <w:rFonts w:cstheme="minorHAnsi"/>
        </w:rPr>
        <w:t xml:space="preserve"> Risk Sharing Arrangement</w:t>
      </w:r>
      <w:r w:rsidR="008C6981">
        <w:rPr>
          <w:rFonts w:cstheme="minorHAnsi"/>
        </w:rPr>
        <w:t xml:space="preserve"> </w:t>
      </w:r>
      <w:r w:rsidR="007270DC">
        <w:rPr>
          <w:rFonts w:cstheme="minorHAnsi"/>
        </w:rPr>
        <w:t>(</w:t>
      </w:r>
      <w:r w:rsidR="008C6981">
        <w:rPr>
          <w:rFonts w:cstheme="minorHAnsi"/>
        </w:rPr>
        <w:t>RSA</w:t>
      </w:r>
      <w:r w:rsidR="007270DC">
        <w:rPr>
          <w:rFonts w:cstheme="minorHAnsi"/>
        </w:rPr>
        <w:t>)</w:t>
      </w:r>
      <w:r>
        <w:t xml:space="preserve">. The PBAC noted that this recommendation was in line with other treatments for rare diseases funded on the PBS, accounting for clinical need, available evidence, nature of the benefits and size of the patient population. The PBAC also considered that </w:t>
      </w:r>
      <w:r w:rsidR="00CB1C54">
        <w:t>some minor changes to the</w:t>
      </w:r>
      <w:r>
        <w:t xml:space="preserve"> financial estimates were </w:t>
      </w:r>
      <w:r w:rsidR="00CB1C54">
        <w:t>required</w:t>
      </w:r>
      <w:r>
        <w:t xml:space="preserve"> and that the proposed RSA was appropriate to manage the uncertainty associated with the long</w:t>
      </w:r>
      <w:r w:rsidR="007A591A">
        <w:noBreakHyphen/>
      </w:r>
      <w:r>
        <w:t>term clinical benefit for tofersen and the uncertain duration of therapy. </w:t>
      </w:r>
    </w:p>
    <w:p w14:paraId="0339132E" w14:textId="44DF0F79" w:rsidR="005B01E1" w:rsidRPr="00142FF3" w:rsidRDefault="0085701F" w:rsidP="007A591A">
      <w:pPr>
        <w:pStyle w:val="3-BodyText"/>
        <w:numPr>
          <w:ilvl w:val="1"/>
          <w:numId w:val="33"/>
        </w:numPr>
        <w:rPr>
          <w:rFonts w:ascii="Aptos" w:hAnsi="Aptos"/>
        </w:rPr>
      </w:pPr>
      <w:bookmarkStart w:id="44" w:name="_Ref225353471"/>
      <w:r>
        <w:rPr>
          <w:rFonts w:cstheme="minorHAnsi"/>
        </w:rPr>
        <w:t xml:space="preserve">In terms of the proposed restrictions, the PBAC considered that </w:t>
      </w:r>
      <w:r w:rsidR="005B01E1">
        <w:rPr>
          <w:rFonts w:cstheme="minorHAnsi"/>
        </w:rPr>
        <w:t>they were generally appropriate</w:t>
      </w:r>
      <w:r w:rsidR="00236AE8">
        <w:rPr>
          <w:rFonts w:cstheme="minorHAnsi"/>
        </w:rPr>
        <w:t>, noting that:</w:t>
      </w:r>
      <w:bookmarkEnd w:id="44"/>
    </w:p>
    <w:p w14:paraId="21700143" w14:textId="69138FA7" w:rsidR="008A4EDE" w:rsidRPr="00063152" w:rsidRDefault="00337241" w:rsidP="007A591A">
      <w:pPr>
        <w:pStyle w:val="3-BodyText"/>
        <w:numPr>
          <w:ilvl w:val="1"/>
          <w:numId w:val="34"/>
        </w:numPr>
        <w:ind w:left="1077" w:hanging="357"/>
        <w:rPr>
          <w:rFonts w:cstheme="minorHAnsi"/>
        </w:rPr>
      </w:pPr>
      <w:r>
        <w:rPr>
          <w:rFonts w:cstheme="minorHAnsi"/>
        </w:rPr>
        <w:t xml:space="preserve">a Section 100 HSD program Authority required (telephone/online) listing was appropriate </w:t>
      </w:r>
      <w:r w:rsidR="001404D2">
        <w:rPr>
          <w:rFonts w:cstheme="minorHAnsi"/>
        </w:rPr>
        <w:t xml:space="preserve">for all treatment phases, given that the drug is </w:t>
      </w:r>
      <w:r w:rsidR="00F02857">
        <w:rPr>
          <w:rFonts w:cstheme="minorHAnsi"/>
        </w:rPr>
        <w:t xml:space="preserve">required to be </w:t>
      </w:r>
      <w:r w:rsidR="001404D2">
        <w:rPr>
          <w:rFonts w:cstheme="minorHAnsi"/>
        </w:rPr>
        <w:t>administered intra</w:t>
      </w:r>
      <w:r w:rsidR="00F02857">
        <w:rPr>
          <w:rFonts w:cstheme="minorHAnsi"/>
        </w:rPr>
        <w:t>thecally in a hospital setting;</w:t>
      </w:r>
    </w:p>
    <w:p w14:paraId="37F231AA" w14:textId="756FC45F" w:rsidR="00A477F0" w:rsidRPr="00142FF3" w:rsidRDefault="005B01E1" w:rsidP="007A591A">
      <w:pPr>
        <w:pStyle w:val="3-BodyText"/>
        <w:numPr>
          <w:ilvl w:val="1"/>
          <w:numId w:val="34"/>
        </w:numPr>
        <w:ind w:left="1077" w:hanging="357"/>
        <w:rPr>
          <w:rFonts w:ascii="Aptos" w:hAnsi="Aptos"/>
        </w:rPr>
      </w:pPr>
      <w:r>
        <w:rPr>
          <w:rFonts w:cstheme="minorHAnsi"/>
        </w:rPr>
        <w:t xml:space="preserve">the </w:t>
      </w:r>
      <w:r w:rsidR="005A7778">
        <w:rPr>
          <w:rFonts w:cstheme="minorHAnsi"/>
        </w:rPr>
        <w:t>initial supply restrictio</w:t>
      </w:r>
      <w:r w:rsidR="00777482">
        <w:rPr>
          <w:rFonts w:cstheme="minorHAnsi"/>
        </w:rPr>
        <w:t>n should have 6 repeats (</w:t>
      </w:r>
      <w:r w:rsidR="005D72B0">
        <w:rPr>
          <w:rFonts w:cstheme="minorHAnsi"/>
        </w:rPr>
        <w:t>to provide 7 doses,</w:t>
      </w:r>
      <w:r w:rsidR="004F044D">
        <w:rPr>
          <w:rFonts w:cstheme="minorHAnsi"/>
        </w:rPr>
        <w:t xml:space="preserve"> appro</w:t>
      </w:r>
      <w:r w:rsidR="00BF4400">
        <w:rPr>
          <w:rFonts w:cstheme="minorHAnsi"/>
        </w:rPr>
        <w:t>ximately</w:t>
      </w:r>
      <w:r w:rsidR="005D72B0">
        <w:rPr>
          <w:rFonts w:cstheme="minorHAnsi"/>
        </w:rPr>
        <w:t xml:space="preserve"> 5.5 months of therapy</w:t>
      </w:r>
      <w:r w:rsidR="003352EB">
        <w:rPr>
          <w:rFonts w:cstheme="minorHAnsi"/>
        </w:rPr>
        <w:t xml:space="preserve"> including </w:t>
      </w:r>
      <w:r w:rsidR="009B2B26">
        <w:rPr>
          <w:rFonts w:cstheme="minorHAnsi"/>
        </w:rPr>
        <w:t>2 doses in the first month</w:t>
      </w:r>
      <w:r w:rsidR="00777482">
        <w:rPr>
          <w:rFonts w:cstheme="minorHAnsi"/>
        </w:rPr>
        <w:t xml:space="preserve">) </w:t>
      </w:r>
      <w:r w:rsidR="0003681C">
        <w:rPr>
          <w:rFonts w:cstheme="minorHAnsi"/>
        </w:rPr>
        <w:t>as should the first continuing supply (</w:t>
      </w:r>
      <w:r w:rsidR="00CB42D7">
        <w:rPr>
          <w:rFonts w:cstheme="minorHAnsi"/>
        </w:rPr>
        <w:t xml:space="preserve">to provide </w:t>
      </w:r>
      <w:r w:rsidR="004F044D">
        <w:rPr>
          <w:rFonts w:cstheme="minorHAnsi"/>
        </w:rPr>
        <w:t xml:space="preserve">7 doses, </w:t>
      </w:r>
      <w:r w:rsidR="00BF4400">
        <w:rPr>
          <w:rFonts w:cstheme="minorHAnsi"/>
        </w:rPr>
        <w:t xml:space="preserve">approximately </w:t>
      </w:r>
      <w:r w:rsidR="004F044D">
        <w:rPr>
          <w:rFonts w:cstheme="minorHAnsi"/>
        </w:rPr>
        <w:t>6.5 months of therapy</w:t>
      </w:r>
      <w:r w:rsidR="0003681C">
        <w:rPr>
          <w:rFonts w:cstheme="minorHAnsi"/>
        </w:rPr>
        <w:t>)</w:t>
      </w:r>
      <w:r w:rsidR="009A483D">
        <w:rPr>
          <w:rFonts w:cstheme="minorHAnsi"/>
        </w:rPr>
        <w:t>.</w:t>
      </w:r>
      <w:r w:rsidR="00B84486">
        <w:rPr>
          <w:rFonts w:cstheme="minorHAnsi"/>
        </w:rPr>
        <w:t xml:space="preserve"> </w:t>
      </w:r>
      <w:r w:rsidR="00D60FE2">
        <w:rPr>
          <w:rFonts w:cstheme="minorHAnsi"/>
        </w:rPr>
        <w:t>This wo</w:t>
      </w:r>
      <w:r w:rsidR="00902C6A">
        <w:rPr>
          <w:rFonts w:cstheme="minorHAnsi"/>
        </w:rPr>
        <w:t xml:space="preserve">uld result in the assessment of response occurring </w:t>
      </w:r>
      <w:r w:rsidR="00F405F3">
        <w:rPr>
          <w:rFonts w:cstheme="minorHAnsi"/>
        </w:rPr>
        <w:t>after approximately 12 months</w:t>
      </w:r>
      <w:r w:rsidR="001E2D72">
        <w:rPr>
          <w:rFonts w:cstheme="minorHAnsi"/>
        </w:rPr>
        <w:t xml:space="preserve"> of therapy</w:t>
      </w:r>
      <w:r w:rsidR="00F02857">
        <w:rPr>
          <w:rFonts w:cstheme="minorHAnsi"/>
        </w:rPr>
        <w:t>;</w:t>
      </w:r>
      <w:r w:rsidR="00044859">
        <w:rPr>
          <w:rFonts w:cstheme="minorHAnsi"/>
        </w:rPr>
        <w:t xml:space="preserve"> </w:t>
      </w:r>
    </w:p>
    <w:p w14:paraId="18F2AF2E" w14:textId="5F008F62" w:rsidR="0086204F" w:rsidRPr="00142FF3" w:rsidRDefault="004D6619" w:rsidP="007A591A">
      <w:pPr>
        <w:pStyle w:val="3-BodyText"/>
        <w:numPr>
          <w:ilvl w:val="1"/>
          <w:numId w:val="34"/>
        </w:numPr>
        <w:ind w:left="1077" w:hanging="357"/>
        <w:rPr>
          <w:rFonts w:ascii="Aptos" w:hAnsi="Aptos"/>
        </w:rPr>
      </w:pPr>
      <w:r>
        <w:rPr>
          <w:rFonts w:cstheme="minorHAnsi"/>
        </w:rPr>
        <w:t>t</w:t>
      </w:r>
      <w:r w:rsidR="00E36B94">
        <w:rPr>
          <w:rFonts w:cstheme="minorHAnsi"/>
        </w:rPr>
        <w:t>he extended first continuing treatment restriction</w:t>
      </w:r>
      <w:r w:rsidR="00B45018">
        <w:rPr>
          <w:rFonts w:cstheme="minorHAnsi"/>
        </w:rPr>
        <w:t>, which allow</w:t>
      </w:r>
      <w:r w:rsidR="00A86E9E">
        <w:rPr>
          <w:rFonts w:cstheme="minorHAnsi"/>
        </w:rPr>
        <w:t>s</w:t>
      </w:r>
      <w:r w:rsidR="00B45018">
        <w:rPr>
          <w:rFonts w:cstheme="minorHAnsi"/>
        </w:rPr>
        <w:t xml:space="preserve"> non</w:t>
      </w:r>
      <w:r w:rsidR="007A591A">
        <w:rPr>
          <w:rFonts w:cstheme="minorHAnsi"/>
        </w:rPr>
        <w:noBreakHyphen/>
      </w:r>
      <w:r w:rsidR="00B45018">
        <w:rPr>
          <w:rFonts w:cstheme="minorHAnsi"/>
        </w:rPr>
        <w:t xml:space="preserve">responding patients to access an additional 3 </w:t>
      </w:r>
      <w:r w:rsidR="00A86E9E">
        <w:rPr>
          <w:rFonts w:cstheme="minorHAnsi"/>
        </w:rPr>
        <w:t xml:space="preserve">doses </w:t>
      </w:r>
      <w:r w:rsidR="00B45018">
        <w:rPr>
          <w:rFonts w:cstheme="minorHAnsi"/>
        </w:rPr>
        <w:t>of treatment</w:t>
      </w:r>
      <w:r w:rsidR="00623F88">
        <w:rPr>
          <w:rFonts w:cstheme="minorHAnsi"/>
        </w:rPr>
        <w:t xml:space="preserve"> (3 </w:t>
      </w:r>
      <w:r w:rsidR="000A68FB">
        <w:rPr>
          <w:rFonts w:cstheme="minorHAnsi"/>
        </w:rPr>
        <w:t>months</w:t>
      </w:r>
      <w:r w:rsidR="00623F88">
        <w:rPr>
          <w:rFonts w:cstheme="minorHAnsi"/>
        </w:rPr>
        <w:t>)</w:t>
      </w:r>
      <w:r>
        <w:rPr>
          <w:rFonts w:cstheme="minorHAnsi"/>
        </w:rPr>
        <w:t xml:space="preserve"> at the lower price</w:t>
      </w:r>
      <w:r w:rsidR="00B45018">
        <w:rPr>
          <w:rFonts w:cstheme="minorHAnsi"/>
        </w:rPr>
        <w:t xml:space="preserve">, </w:t>
      </w:r>
      <w:r w:rsidR="00E36B94">
        <w:rPr>
          <w:rFonts w:cstheme="minorHAnsi"/>
        </w:rPr>
        <w:t>was appropriate</w:t>
      </w:r>
      <w:r w:rsidR="00B45018">
        <w:rPr>
          <w:rFonts w:cstheme="minorHAnsi"/>
        </w:rPr>
        <w:t>.</w:t>
      </w:r>
      <w:r w:rsidR="004B6844">
        <w:rPr>
          <w:rFonts w:cstheme="minorHAnsi"/>
        </w:rPr>
        <w:t xml:space="preserve"> A reassessment of response </w:t>
      </w:r>
      <w:r w:rsidR="009228AB">
        <w:rPr>
          <w:rFonts w:cstheme="minorHAnsi"/>
        </w:rPr>
        <w:t xml:space="preserve">would be required </w:t>
      </w:r>
      <w:r w:rsidR="00FF074F">
        <w:rPr>
          <w:rFonts w:cstheme="minorHAnsi"/>
        </w:rPr>
        <w:t xml:space="preserve">for </w:t>
      </w:r>
      <w:r w:rsidR="00614241">
        <w:rPr>
          <w:rFonts w:cstheme="minorHAnsi"/>
        </w:rPr>
        <w:t>non</w:t>
      </w:r>
      <w:r w:rsidR="007A591A">
        <w:rPr>
          <w:rFonts w:cstheme="minorHAnsi"/>
        </w:rPr>
        <w:noBreakHyphen/>
      </w:r>
      <w:r w:rsidR="005D7FDB">
        <w:rPr>
          <w:rFonts w:cstheme="minorHAnsi"/>
        </w:rPr>
        <w:t>respond</w:t>
      </w:r>
      <w:r w:rsidR="005A697A">
        <w:rPr>
          <w:rFonts w:cstheme="minorHAnsi"/>
        </w:rPr>
        <w:t>ing patients</w:t>
      </w:r>
      <w:r w:rsidR="00FF074F">
        <w:rPr>
          <w:rFonts w:cstheme="minorHAnsi"/>
        </w:rPr>
        <w:t xml:space="preserve"> (i.e., </w:t>
      </w:r>
      <w:r w:rsidR="00483E26">
        <w:rPr>
          <w:rFonts w:cstheme="minorHAnsi"/>
        </w:rPr>
        <w:t>after approximately 15 months</w:t>
      </w:r>
      <w:r w:rsidR="00880D5F">
        <w:rPr>
          <w:rFonts w:cstheme="minorHAnsi"/>
        </w:rPr>
        <w:t xml:space="preserve"> of therapy</w:t>
      </w:r>
      <w:r w:rsidR="00FF074F">
        <w:rPr>
          <w:rFonts w:cstheme="minorHAnsi"/>
        </w:rPr>
        <w:t>)</w:t>
      </w:r>
      <w:r w:rsidR="001E1206">
        <w:rPr>
          <w:rFonts w:cstheme="minorHAnsi"/>
        </w:rPr>
        <w:t xml:space="preserve">, </w:t>
      </w:r>
      <w:r w:rsidR="00397CEB">
        <w:rPr>
          <w:rFonts w:cstheme="minorHAnsi"/>
        </w:rPr>
        <w:t xml:space="preserve">to determine eligibility for ongoing treatment. </w:t>
      </w:r>
      <w:r w:rsidR="00B84486">
        <w:rPr>
          <w:rFonts w:cstheme="minorHAnsi"/>
        </w:rPr>
        <w:t>The PBAC considered that the</w:t>
      </w:r>
      <w:r w:rsidR="0028364B">
        <w:rPr>
          <w:rFonts w:cstheme="minorHAnsi"/>
        </w:rPr>
        <w:t xml:space="preserve"> inclusion</w:t>
      </w:r>
      <w:r w:rsidR="00B84486">
        <w:rPr>
          <w:rFonts w:cstheme="minorHAnsi"/>
        </w:rPr>
        <w:t xml:space="preserve"> </w:t>
      </w:r>
      <w:r w:rsidR="00483E26">
        <w:rPr>
          <w:rFonts w:cstheme="minorHAnsi"/>
        </w:rPr>
        <w:t xml:space="preserve">of a </w:t>
      </w:r>
      <w:r w:rsidR="002349AD">
        <w:rPr>
          <w:rFonts w:cstheme="minorHAnsi"/>
        </w:rPr>
        <w:t xml:space="preserve">Prescribing Instruction to ensure clinicians progress patients through the restrictions in the correct sequence </w:t>
      </w:r>
      <w:r w:rsidR="0028364B">
        <w:rPr>
          <w:rFonts w:cstheme="minorHAnsi"/>
        </w:rPr>
        <w:t>was reasonable</w:t>
      </w:r>
      <w:r w:rsidR="00236AE8">
        <w:rPr>
          <w:rFonts w:cstheme="minorHAnsi"/>
        </w:rPr>
        <w:t>;</w:t>
      </w:r>
    </w:p>
    <w:p w14:paraId="668EFF38" w14:textId="3CFC06C6" w:rsidR="00465077" w:rsidRDefault="006E6282" w:rsidP="007A591A">
      <w:pPr>
        <w:pStyle w:val="3-BodyText"/>
        <w:numPr>
          <w:ilvl w:val="1"/>
          <w:numId w:val="34"/>
        </w:numPr>
        <w:ind w:left="1077" w:hanging="357"/>
        <w:rPr>
          <w:rFonts w:ascii="Aptos" w:hAnsi="Aptos"/>
        </w:rPr>
      </w:pPr>
      <w:r>
        <w:rPr>
          <w:rFonts w:cstheme="minorHAnsi"/>
        </w:rPr>
        <w:t xml:space="preserve">in the subsequent continuing restriction, </w:t>
      </w:r>
      <w:r w:rsidR="00482933">
        <w:rPr>
          <w:rFonts w:cstheme="minorHAnsi"/>
        </w:rPr>
        <w:t xml:space="preserve">reassessment of response </w:t>
      </w:r>
      <w:r w:rsidR="006F483B">
        <w:rPr>
          <w:rFonts w:cstheme="minorHAnsi"/>
        </w:rPr>
        <w:t xml:space="preserve">for responding patients </w:t>
      </w:r>
      <w:r w:rsidR="00482933">
        <w:rPr>
          <w:rFonts w:cstheme="minorHAnsi"/>
        </w:rPr>
        <w:t>was not required beyond 12 months</w:t>
      </w:r>
      <w:r w:rsidR="00370B5C" w:rsidRPr="00370B5C">
        <w:rPr>
          <w:rFonts w:cstheme="minorHAnsi"/>
        </w:rPr>
        <w:t xml:space="preserve"> </w:t>
      </w:r>
      <w:r w:rsidR="00370B5C">
        <w:rPr>
          <w:rFonts w:cstheme="minorHAnsi"/>
        </w:rPr>
        <w:t>as ALS is a progressive disease with limited life</w:t>
      </w:r>
      <w:r w:rsidR="007A591A">
        <w:rPr>
          <w:rFonts w:cstheme="minorHAnsi"/>
        </w:rPr>
        <w:noBreakHyphen/>
      </w:r>
      <w:r w:rsidR="00370B5C">
        <w:rPr>
          <w:rFonts w:cstheme="minorHAnsi"/>
        </w:rPr>
        <w:t>expectancy, and ongoing treatment is likely to be limited due to t</w:t>
      </w:r>
      <w:r w:rsidR="002F4C65">
        <w:rPr>
          <w:rFonts w:cstheme="minorHAnsi"/>
        </w:rPr>
        <w:t>he intrathecal administration</w:t>
      </w:r>
      <w:r w:rsidR="00482933">
        <w:rPr>
          <w:rFonts w:cstheme="minorHAnsi"/>
        </w:rPr>
        <w:t>;</w:t>
      </w:r>
    </w:p>
    <w:p w14:paraId="14853A90" w14:textId="35EE5B23" w:rsidR="0094182B" w:rsidRPr="008A4EDE" w:rsidRDefault="00663833" w:rsidP="007A591A">
      <w:pPr>
        <w:pStyle w:val="3-BodyText"/>
        <w:numPr>
          <w:ilvl w:val="1"/>
          <w:numId w:val="34"/>
        </w:numPr>
        <w:ind w:left="1077" w:hanging="357"/>
        <w:rPr>
          <w:rFonts w:ascii="Aptos" w:hAnsi="Aptos"/>
        </w:rPr>
      </w:pPr>
      <w:r w:rsidRPr="0086204F">
        <w:rPr>
          <w:rFonts w:cstheme="minorHAnsi"/>
        </w:rPr>
        <w:t xml:space="preserve">restricting </w:t>
      </w:r>
      <w:r w:rsidR="00361546" w:rsidRPr="0086204F">
        <w:rPr>
          <w:rFonts w:cstheme="minorHAnsi"/>
        </w:rPr>
        <w:t>treatment to registered specialist clinics</w:t>
      </w:r>
      <w:r w:rsidR="00374B4C" w:rsidRPr="0086204F">
        <w:rPr>
          <w:rFonts w:cstheme="minorHAnsi"/>
        </w:rPr>
        <w:t>, as recommended in November 2025,</w:t>
      </w:r>
      <w:r w:rsidR="00361546" w:rsidRPr="0086204F">
        <w:rPr>
          <w:rFonts w:cstheme="minorHAnsi"/>
        </w:rPr>
        <w:t xml:space="preserve"> could </w:t>
      </w:r>
      <w:r w:rsidR="00374B4C" w:rsidRPr="0086204F">
        <w:rPr>
          <w:rFonts w:cstheme="minorHAnsi"/>
        </w:rPr>
        <w:t>inadvertently create equity of access issues. Therefor</w:t>
      </w:r>
      <w:r w:rsidR="0086204F" w:rsidRPr="0086204F">
        <w:rPr>
          <w:rFonts w:cstheme="minorHAnsi"/>
        </w:rPr>
        <w:t xml:space="preserve">e, the PBAC </w:t>
      </w:r>
      <w:r w:rsidR="0086204F">
        <w:rPr>
          <w:rFonts w:cstheme="minorHAnsi"/>
        </w:rPr>
        <w:t>advised</w:t>
      </w:r>
      <w:r w:rsidR="0086204F" w:rsidRPr="0086204F">
        <w:rPr>
          <w:rFonts w:cstheme="minorHAnsi"/>
        </w:rPr>
        <w:t xml:space="preserve"> that</w:t>
      </w:r>
      <w:r w:rsidR="00374378">
        <w:rPr>
          <w:rFonts w:cstheme="minorHAnsi"/>
        </w:rPr>
        <w:t xml:space="preserve"> </w:t>
      </w:r>
      <w:r w:rsidR="00446775">
        <w:rPr>
          <w:rFonts w:cstheme="minorHAnsi"/>
        </w:rPr>
        <w:t xml:space="preserve">the restrictions should allow </w:t>
      </w:r>
      <w:r w:rsidR="004518A6" w:rsidRPr="0086204F">
        <w:rPr>
          <w:rFonts w:cstheme="minorHAnsi"/>
        </w:rPr>
        <w:t xml:space="preserve">tofersen </w:t>
      </w:r>
      <w:r w:rsidR="00446775">
        <w:rPr>
          <w:rFonts w:cstheme="minorHAnsi"/>
        </w:rPr>
        <w:t>to</w:t>
      </w:r>
      <w:r w:rsidR="00446775" w:rsidRPr="0086204F">
        <w:rPr>
          <w:rFonts w:cstheme="minorHAnsi"/>
        </w:rPr>
        <w:t xml:space="preserve"> </w:t>
      </w:r>
      <w:r w:rsidR="0086204F" w:rsidRPr="0086204F">
        <w:rPr>
          <w:rFonts w:cstheme="minorHAnsi"/>
        </w:rPr>
        <w:t xml:space="preserve">be prescribed </w:t>
      </w:r>
      <w:r w:rsidR="008C76F4">
        <w:rPr>
          <w:rFonts w:cstheme="minorHAnsi"/>
        </w:rPr>
        <w:t xml:space="preserve">only by </w:t>
      </w:r>
      <w:r w:rsidR="006B6D82" w:rsidRPr="0086204F">
        <w:rPr>
          <w:rFonts w:cstheme="minorHAnsi"/>
        </w:rPr>
        <w:t>a specialist with expertise in the diagnosis and management of AL</w:t>
      </w:r>
      <w:r w:rsidR="0086204F" w:rsidRPr="0086204F">
        <w:rPr>
          <w:rFonts w:cstheme="minorHAnsi"/>
        </w:rPr>
        <w:t>S</w:t>
      </w:r>
      <w:r w:rsidR="009350D5">
        <w:rPr>
          <w:rFonts w:cstheme="minorHAnsi"/>
        </w:rPr>
        <w:t xml:space="preserve"> in all treatment phases</w:t>
      </w:r>
      <w:r w:rsidR="00273149">
        <w:rPr>
          <w:rFonts w:cstheme="minorHAnsi"/>
        </w:rPr>
        <w:t>. The PBAC considered it was not appropriate to allow treatment in any phase by non</w:t>
      </w:r>
      <w:r w:rsidR="007A591A">
        <w:rPr>
          <w:rFonts w:cstheme="minorHAnsi"/>
        </w:rPr>
        <w:noBreakHyphen/>
      </w:r>
      <w:r w:rsidR="00273149">
        <w:rPr>
          <w:rFonts w:cstheme="minorHAnsi"/>
        </w:rPr>
        <w:t>specialist medical practitioners in consultation with a specialist</w:t>
      </w:r>
      <w:r w:rsidR="00CB7012" w:rsidRPr="0086204F">
        <w:rPr>
          <w:rFonts w:cstheme="minorHAnsi"/>
        </w:rPr>
        <w:t>;</w:t>
      </w:r>
    </w:p>
    <w:p w14:paraId="2A56AACE" w14:textId="53352B50" w:rsidR="00CB7012" w:rsidRPr="001136E9" w:rsidRDefault="001136E9" w:rsidP="007A591A">
      <w:pPr>
        <w:pStyle w:val="3-BodyText"/>
        <w:numPr>
          <w:ilvl w:val="1"/>
          <w:numId w:val="34"/>
        </w:numPr>
        <w:ind w:left="1077" w:hanging="357"/>
        <w:rPr>
          <w:rFonts w:cstheme="minorHAnsi"/>
        </w:rPr>
      </w:pPr>
      <w:r w:rsidRPr="00142FF3">
        <w:rPr>
          <w:rFonts w:cstheme="minorHAnsi"/>
        </w:rPr>
        <w:lastRenderedPageBreak/>
        <w:t>the proposed grandfather restriction was appropriate</w:t>
      </w:r>
      <w:r w:rsidR="004936EC">
        <w:rPr>
          <w:rFonts w:cstheme="minorHAnsi"/>
        </w:rPr>
        <w:t xml:space="preserve"> and </w:t>
      </w:r>
      <w:r w:rsidR="00743297">
        <w:rPr>
          <w:rFonts w:cstheme="minorHAnsi"/>
        </w:rPr>
        <w:t xml:space="preserve">assessment of </w:t>
      </w:r>
      <w:r w:rsidR="004936EC">
        <w:rPr>
          <w:rFonts w:cstheme="minorHAnsi"/>
        </w:rPr>
        <w:t xml:space="preserve">response for access to continued treatment </w:t>
      </w:r>
      <w:r w:rsidR="00064EDA">
        <w:rPr>
          <w:rFonts w:cstheme="minorHAnsi"/>
        </w:rPr>
        <w:t xml:space="preserve">for grandfathered patients </w:t>
      </w:r>
      <w:r w:rsidR="004936EC">
        <w:rPr>
          <w:rFonts w:cstheme="minorHAnsi"/>
        </w:rPr>
        <w:t xml:space="preserve">should </w:t>
      </w:r>
      <w:r w:rsidR="00743297">
        <w:rPr>
          <w:rFonts w:cstheme="minorHAnsi"/>
        </w:rPr>
        <w:t>occur</w:t>
      </w:r>
      <w:r w:rsidR="00754E40">
        <w:rPr>
          <w:rFonts w:cstheme="minorHAnsi"/>
        </w:rPr>
        <w:t xml:space="preserve"> within 12 months of treatment initiation and </w:t>
      </w:r>
      <w:r w:rsidR="007557B5">
        <w:rPr>
          <w:rFonts w:cstheme="minorHAnsi"/>
        </w:rPr>
        <w:t xml:space="preserve">would be </w:t>
      </w:r>
      <w:r w:rsidR="004936EC">
        <w:rPr>
          <w:rFonts w:cstheme="minorHAnsi"/>
        </w:rPr>
        <w:t>based on clinical judgement as grandfathered patients would not necessarily have a</w:t>
      </w:r>
      <w:r w:rsidR="007557B5">
        <w:rPr>
          <w:rFonts w:cstheme="minorHAnsi"/>
        </w:rPr>
        <w:t xml:space="preserve"> recorded</w:t>
      </w:r>
      <w:r w:rsidR="004936EC">
        <w:rPr>
          <w:rFonts w:cstheme="minorHAnsi"/>
        </w:rPr>
        <w:t xml:space="preserve"> baseline </w:t>
      </w:r>
      <w:r w:rsidR="00064EDA" w:rsidRPr="00376CEF">
        <w:rPr>
          <w:rFonts w:cstheme="minorHAnsi"/>
        </w:rPr>
        <w:t>ALSFRS</w:t>
      </w:r>
      <w:r w:rsidR="007A591A">
        <w:rPr>
          <w:rFonts w:cstheme="minorHAnsi"/>
        </w:rPr>
        <w:noBreakHyphen/>
      </w:r>
      <w:r w:rsidR="00064EDA" w:rsidRPr="00376CEF">
        <w:rPr>
          <w:rFonts w:cstheme="minorHAnsi"/>
        </w:rPr>
        <w:t>R score</w:t>
      </w:r>
      <w:r w:rsidRPr="00142FF3">
        <w:rPr>
          <w:rFonts w:cstheme="minorHAnsi"/>
        </w:rPr>
        <w:t>.</w:t>
      </w:r>
    </w:p>
    <w:p w14:paraId="2FCD3535" w14:textId="423CEDB8" w:rsidR="00142FF3" w:rsidRDefault="00E03DF9" w:rsidP="007A591A">
      <w:pPr>
        <w:pStyle w:val="3-BodyText"/>
        <w:numPr>
          <w:ilvl w:val="1"/>
          <w:numId w:val="33"/>
        </w:numPr>
        <w:rPr>
          <w:rFonts w:cstheme="minorHAnsi"/>
        </w:rPr>
      </w:pPr>
      <w:r>
        <w:rPr>
          <w:rFonts w:cstheme="minorHAnsi"/>
        </w:rPr>
        <w:t xml:space="preserve">The PBAC noted that no new </w:t>
      </w:r>
      <w:r w:rsidR="00F8217D">
        <w:rPr>
          <w:rFonts w:cstheme="minorHAnsi"/>
        </w:rPr>
        <w:t xml:space="preserve">comparative </w:t>
      </w:r>
      <w:r>
        <w:rPr>
          <w:rFonts w:cstheme="minorHAnsi"/>
        </w:rPr>
        <w:t>clinical evidence was presented in the early re</w:t>
      </w:r>
      <w:r w:rsidR="007A591A">
        <w:rPr>
          <w:rFonts w:cstheme="minorHAnsi"/>
        </w:rPr>
        <w:noBreakHyphen/>
      </w:r>
      <w:r>
        <w:rPr>
          <w:rFonts w:cstheme="minorHAnsi"/>
        </w:rPr>
        <w:t>entry resubmission</w:t>
      </w:r>
      <w:r w:rsidR="00F8217D">
        <w:rPr>
          <w:rFonts w:cstheme="minorHAnsi"/>
        </w:rPr>
        <w:t xml:space="preserve">. </w:t>
      </w:r>
      <w:r w:rsidR="0035201B">
        <w:rPr>
          <w:rFonts w:cstheme="minorHAnsi"/>
        </w:rPr>
        <w:t>The PBAC recalled that it had previously considered that</w:t>
      </w:r>
      <w:r w:rsidR="005D03AD">
        <w:rPr>
          <w:rFonts w:cstheme="minorHAnsi"/>
        </w:rPr>
        <w:t xml:space="preserve"> compared to best supportive care</w:t>
      </w:r>
      <w:r w:rsidR="0035201B">
        <w:rPr>
          <w:rFonts w:cstheme="minorHAnsi"/>
        </w:rPr>
        <w:t xml:space="preserve"> </w:t>
      </w:r>
      <w:r w:rsidR="0056308C">
        <w:rPr>
          <w:rFonts w:cstheme="minorHAnsi"/>
        </w:rPr>
        <w:t>in terms of (i) efficacy</w:t>
      </w:r>
      <w:r w:rsidR="00995A52">
        <w:rPr>
          <w:rFonts w:cstheme="minorHAnsi"/>
        </w:rPr>
        <w:t>,</w:t>
      </w:r>
      <w:r w:rsidR="0056308C">
        <w:rPr>
          <w:rFonts w:cstheme="minorHAnsi"/>
        </w:rPr>
        <w:t xml:space="preserve"> </w:t>
      </w:r>
      <w:r w:rsidR="0035201B">
        <w:rPr>
          <w:rFonts w:cstheme="minorHAnsi"/>
        </w:rPr>
        <w:t xml:space="preserve">tofersen was likely to provide a clinically </w:t>
      </w:r>
      <w:r w:rsidR="0056308C">
        <w:rPr>
          <w:rFonts w:cstheme="minorHAnsi"/>
        </w:rPr>
        <w:t>meaningful benefit to some patients, but that the magnitude of the benefit and the longer</w:t>
      </w:r>
      <w:r w:rsidR="007A591A">
        <w:rPr>
          <w:rFonts w:cstheme="minorHAnsi"/>
        </w:rPr>
        <w:noBreakHyphen/>
      </w:r>
      <w:r w:rsidR="0056308C">
        <w:rPr>
          <w:rFonts w:cstheme="minorHAnsi"/>
        </w:rPr>
        <w:t>term effects were uncertain; and (ii) safety</w:t>
      </w:r>
      <w:r w:rsidR="00995A52">
        <w:rPr>
          <w:rFonts w:cstheme="minorHAnsi"/>
        </w:rPr>
        <w:t>, tofersen was inferior</w:t>
      </w:r>
      <w:r w:rsidR="00142FF3">
        <w:rPr>
          <w:rFonts w:cstheme="minorHAnsi"/>
        </w:rPr>
        <w:t>.</w:t>
      </w:r>
    </w:p>
    <w:p w14:paraId="1966A6EA" w14:textId="6CF1329F" w:rsidR="00253E69" w:rsidRPr="00142FF3" w:rsidRDefault="004D6619" w:rsidP="007A591A">
      <w:pPr>
        <w:pStyle w:val="3-BodyText"/>
        <w:numPr>
          <w:ilvl w:val="1"/>
          <w:numId w:val="33"/>
        </w:numPr>
        <w:rPr>
          <w:rFonts w:cstheme="minorHAnsi"/>
        </w:rPr>
      </w:pPr>
      <w:bookmarkStart w:id="45" w:name="_Ref224811405"/>
      <w:r>
        <w:rPr>
          <w:rFonts w:cstheme="minorHAnsi"/>
        </w:rPr>
        <w:t xml:space="preserve">The PBAC recalled that it had previously considered that the </w:t>
      </w:r>
      <w:r w:rsidR="00B31811">
        <w:rPr>
          <w:rFonts w:cstheme="minorHAnsi"/>
        </w:rPr>
        <w:t xml:space="preserve">economic model was </w:t>
      </w:r>
      <w:r w:rsidR="00E0633D">
        <w:rPr>
          <w:rFonts w:cstheme="minorHAnsi"/>
        </w:rPr>
        <w:t>uninformative and not reliable for decision making. Therefore, in November 2025 it had advised th</w:t>
      </w:r>
      <w:r w:rsidR="00091EE4">
        <w:rPr>
          <w:rFonts w:cstheme="minorHAnsi"/>
        </w:rPr>
        <w:t>at tofersen would be acceptably cost</w:t>
      </w:r>
      <w:r w:rsidR="007A591A">
        <w:rPr>
          <w:rFonts w:cstheme="minorHAnsi"/>
        </w:rPr>
        <w:noBreakHyphen/>
      </w:r>
      <w:r w:rsidR="00091EE4">
        <w:rPr>
          <w:rFonts w:cstheme="minorHAnsi"/>
        </w:rPr>
        <w:t xml:space="preserve">effective with a </w:t>
      </w:r>
      <w:r w:rsidR="00B821D6">
        <w:rPr>
          <w:rFonts w:cstheme="minorHAnsi"/>
        </w:rPr>
        <w:t>s</w:t>
      </w:r>
      <w:r w:rsidR="0014096F">
        <w:rPr>
          <w:rFonts w:cstheme="minorHAnsi"/>
        </w:rPr>
        <w:t xml:space="preserve">ubstantial </w:t>
      </w:r>
      <w:r w:rsidR="00091EE4">
        <w:rPr>
          <w:rFonts w:cstheme="minorHAnsi"/>
        </w:rPr>
        <w:t>price reduction that resulted in a patient co</w:t>
      </w:r>
      <w:r w:rsidR="009D3D77">
        <w:rPr>
          <w:rFonts w:cstheme="minorHAnsi"/>
        </w:rPr>
        <w:t xml:space="preserve">st per year </w:t>
      </w:r>
      <w:r w:rsidR="009260C0">
        <w:rPr>
          <w:rFonts w:cstheme="minorHAnsi"/>
        </w:rPr>
        <w:t xml:space="preserve">consistent with the expected clinical benefit for tofersen and </w:t>
      </w:r>
      <w:r w:rsidR="009D3D77">
        <w:rPr>
          <w:rFonts w:cstheme="minorHAnsi"/>
        </w:rPr>
        <w:t>aligned with other treatments for rare diseases funded on the PBS</w:t>
      </w:r>
      <w:r w:rsidR="00796C46">
        <w:rPr>
          <w:rFonts w:cstheme="minorHAnsi"/>
        </w:rPr>
        <w:t xml:space="preserve">, accounting for clinical need, </w:t>
      </w:r>
      <w:r w:rsidR="00CF073F">
        <w:rPr>
          <w:rFonts w:cstheme="minorHAnsi"/>
        </w:rPr>
        <w:t>available evidence, nature of the benefits and size of the patient population</w:t>
      </w:r>
      <w:r w:rsidR="009D3D77">
        <w:rPr>
          <w:rFonts w:cstheme="minorHAnsi"/>
        </w:rPr>
        <w:t>. The PBAC noted that the early re</w:t>
      </w:r>
      <w:r w:rsidR="007A591A">
        <w:rPr>
          <w:rFonts w:cstheme="minorHAnsi"/>
        </w:rPr>
        <w:noBreakHyphen/>
      </w:r>
      <w:r w:rsidR="009D3D77">
        <w:rPr>
          <w:rFonts w:cstheme="minorHAnsi"/>
        </w:rPr>
        <w:t xml:space="preserve">entry resubmission </w:t>
      </w:r>
      <w:r w:rsidR="00792E80">
        <w:rPr>
          <w:rFonts w:cstheme="minorHAnsi"/>
        </w:rPr>
        <w:t xml:space="preserve">proposed </w:t>
      </w:r>
      <w:r w:rsidR="00792E80" w:rsidRPr="005725FA">
        <w:rPr>
          <w:rFonts w:cstheme="minorHAnsi"/>
        </w:rPr>
        <w:t xml:space="preserve">a </w:t>
      </w:r>
      <w:r w:rsidR="00C10EC6" w:rsidRPr="00C10EC6">
        <w:rPr>
          <w:rFonts w:cstheme="minorHAnsi"/>
          <w:sz w:val="2"/>
          <w:highlight w:val="black"/>
        </w:rPr>
        <w:t>redacted content</w:t>
      </w:r>
      <w:r w:rsidR="00792E80">
        <w:rPr>
          <w:rFonts w:cstheme="minorHAnsi"/>
        </w:rPr>
        <w:t xml:space="preserve">% price reduction for the initiation and response treatment phases, with an additional </w:t>
      </w:r>
      <w:r w:rsidR="00C10EC6" w:rsidRPr="00C10EC6">
        <w:rPr>
          <w:rFonts w:cstheme="minorHAnsi"/>
          <w:sz w:val="2"/>
          <w:highlight w:val="black"/>
        </w:rPr>
        <w:t>redacted content</w:t>
      </w:r>
      <w:r w:rsidR="00792E80">
        <w:rPr>
          <w:rFonts w:cstheme="minorHAnsi"/>
        </w:rPr>
        <w:t xml:space="preserve">% price reduction </w:t>
      </w:r>
      <w:r w:rsidR="00304EAA">
        <w:rPr>
          <w:rFonts w:cstheme="minorHAnsi"/>
        </w:rPr>
        <w:t xml:space="preserve">for the first continuation phase. The PBAC considered that </w:t>
      </w:r>
      <w:r w:rsidR="00BC171C">
        <w:rPr>
          <w:rFonts w:cstheme="minorHAnsi"/>
        </w:rPr>
        <w:t xml:space="preserve">tofersen was </w:t>
      </w:r>
      <w:r w:rsidR="002C716C">
        <w:rPr>
          <w:rFonts w:cstheme="minorHAnsi"/>
        </w:rPr>
        <w:t>cost</w:t>
      </w:r>
      <w:r w:rsidR="007A591A">
        <w:rPr>
          <w:rFonts w:cstheme="minorHAnsi"/>
        </w:rPr>
        <w:noBreakHyphen/>
      </w:r>
      <w:r w:rsidR="002C716C">
        <w:rPr>
          <w:rFonts w:cstheme="minorHAnsi"/>
        </w:rPr>
        <w:t>effective at the price proposed in the resubmission</w:t>
      </w:r>
      <w:r w:rsidR="00014803">
        <w:rPr>
          <w:rFonts w:cstheme="minorHAnsi"/>
        </w:rPr>
        <w:t xml:space="preserve">, in the context of </w:t>
      </w:r>
      <w:r w:rsidR="00075F08">
        <w:rPr>
          <w:rFonts w:cstheme="minorHAnsi"/>
        </w:rPr>
        <w:t xml:space="preserve">the </w:t>
      </w:r>
      <w:r w:rsidR="00446695">
        <w:rPr>
          <w:rFonts w:cstheme="minorHAnsi"/>
        </w:rPr>
        <w:t xml:space="preserve">proposed RSA (see paragraph </w:t>
      </w:r>
      <w:r w:rsidR="00507F61">
        <w:rPr>
          <w:rFonts w:cstheme="minorHAnsi"/>
          <w:highlight w:val="yellow"/>
        </w:rPr>
        <w:fldChar w:fldCharType="begin"/>
      </w:r>
      <w:r w:rsidR="00507F61">
        <w:rPr>
          <w:rFonts w:cstheme="minorHAnsi"/>
        </w:rPr>
        <w:instrText xml:space="preserve"> REF _Ref224810285 \r \h </w:instrText>
      </w:r>
      <w:r w:rsidR="00507F61">
        <w:rPr>
          <w:rFonts w:cstheme="minorHAnsi"/>
          <w:highlight w:val="yellow"/>
        </w:rPr>
      </w:r>
      <w:r w:rsidR="00507F61">
        <w:rPr>
          <w:rFonts w:cstheme="minorHAnsi"/>
          <w:highlight w:val="yellow"/>
        </w:rPr>
        <w:fldChar w:fldCharType="separate"/>
      </w:r>
      <w:r w:rsidR="00210420">
        <w:rPr>
          <w:rFonts w:cstheme="minorHAnsi"/>
        </w:rPr>
        <w:t>5.6</w:t>
      </w:r>
      <w:r w:rsidR="00507F61">
        <w:rPr>
          <w:rFonts w:cstheme="minorHAnsi"/>
          <w:highlight w:val="yellow"/>
        </w:rPr>
        <w:fldChar w:fldCharType="end"/>
      </w:r>
      <w:r w:rsidR="00446695">
        <w:rPr>
          <w:rFonts w:cstheme="minorHAnsi"/>
        </w:rPr>
        <w:t>).</w:t>
      </w:r>
      <w:bookmarkEnd w:id="45"/>
    </w:p>
    <w:p w14:paraId="72A2E128" w14:textId="06B466F3" w:rsidR="00F02E94" w:rsidRDefault="00F02E94" w:rsidP="007A591A">
      <w:pPr>
        <w:numPr>
          <w:ilvl w:val="1"/>
          <w:numId w:val="33"/>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that the </w:t>
      </w:r>
      <w:r w:rsidR="00ED0206">
        <w:rPr>
          <w:rFonts w:asciiTheme="minorHAnsi" w:hAnsiTheme="minorHAnsi" w:cs="Arial"/>
          <w:snapToGrid w:val="0"/>
          <w:lang w:val="en-GB"/>
        </w:rPr>
        <w:t xml:space="preserve">structure of the </w:t>
      </w:r>
      <w:r>
        <w:rPr>
          <w:rFonts w:asciiTheme="minorHAnsi" w:hAnsiTheme="minorHAnsi" w:cs="Arial"/>
          <w:snapToGrid w:val="0"/>
          <w:lang w:val="en-GB"/>
        </w:rPr>
        <w:t>revised utilis</w:t>
      </w:r>
      <w:r w:rsidR="0006486E">
        <w:rPr>
          <w:rFonts w:asciiTheme="minorHAnsi" w:hAnsiTheme="minorHAnsi" w:cs="Arial"/>
          <w:snapToGrid w:val="0"/>
          <w:lang w:val="en-GB"/>
        </w:rPr>
        <w:t>ation estimates presented in the resubmission, which were based on a mixed incidence/prevalence model</w:t>
      </w:r>
      <w:r w:rsidR="00F76A30">
        <w:rPr>
          <w:rFonts w:asciiTheme="minorHAnsi" w:hAnsiTheme="minorHAnsi" w:cs="Arial"/>
          <w:snapToGrid w:val="0"/>
          <w:lang w:val="en-GB"/>
        </w:rPr>
        <w:t>,</w:t>
      </w:r>
      <w:r w:rsidR="0006486E">
        <w:rPr>
          <w:rFonts w:asciiTheme="minorHAnsi" w:hAnsiTheme="minorHAnsi" w:cs="Arial"/>
          <w:snapToGrid w:val="0"/>
          <w:lang w:val="en-GB"/>
        </w:rPr>
        <w:t xml:space="preserve"> </w:t>
      </w:r>
      <w:r w:rsidR="00ED0206">
        <w:rPr>
          <w:rFonts w:asciiTheme="minorHAnsi" w:hAnsiTheme="minorHAnsi" w:cs="Arial"/>
          <w:snapToGrid w:val="0"/>
          <w:lang w:val="en-GB"/>
        </w:rPr>
        <w:t xml:space="preserve">was </w:t>
      </w:r>
      <w:r w:rsidR="00346899">
        <w:rPr>
          <w:rFonts w:asciiTheme="minorHAnsi" w:hAnsiTheme="minorHAnsi" w:cs="Arial"/>
          <w:snapToGrid w:val="0"/>
          <w:lang w:val="en-GB"/>
        </w:rPr>
        <w:t>generally acceptable</w:t>
      </w:r>
      <w:r w:rsidR="0006486E">
        <w:rPr>
          <w:rFonts w:asciiTheme="minorHAnsi" w:hAnsiTheme="minorHAnsi" w:cs="Arial"/>
          <w:snapToGrid w:val="0"/>
          <w:lang w:val="en-GB"/>
        </w:rPr>
        <w:t>.</w:t>
      </w:r>
      <w:r w:rsidR="00346899">
        <w:rPr>
          <w:rFonts w:asciiTheme="minorHAnsi" w:hAnsiTheme="minorHAnsi" w:cs="Arial"/>
          <w:snapToGrid w:val="0"/>
          <w:lang w:val="en-GB"/>
        </w:rPr>
        <w:t xml:space="preserve"> </w:t>
      </w:r>
      <w:r w:rsidR="00F953BD">
        <w:rPr>
          <w:rFonts w:asciiTheme="minorHAnsi" w:hAnsiTheme="minorHAnsi" w:cs="Arial"/>
          <w:snapToGrid w:val="0"/>
          <w:lang w:val="en-GB"/>
        </w:rPr>
        <w:t xml:space="preserve">The PBAC noted that changes were </w:t>
      </w:r>
      <w:r w:rsidR="00DC71E2">
        <w:rPr>
          <w:rFonts w:asciiTheme="minorHAnsi" w:hAnsiTheme="minorHAnsi" w:cs="Arial"/>
          <w:snapToGrid w:val="0"/>
          <w:lang w:val="en-GB"/>
        </w:rPr>
        <w:t xml:space="preserve">also </w:t>
      </w:r>
      <w:r w:rsidR="00F953BD">
        <w:rPr>
          <w:rFonts w:asciiTheme="minorHAnsi" w:hAnsiTheme="minorHAnsi" w:cs="Arial"/>
          <w:snapToGrid w:val="0"/>
          <w:lang w:val="en-GB"/>
        </w:rPr>
        <w:t xml:space="preserve">made to the </w:t>
      </w:r>
      <w:r w:rsidR="00D82136">
        <w:rPr>
          <w:rFonts w:asciiTheme="minorHAnsi" w:hAnsiTheme="minorHAnsi" w:cs="Arial"/>
          <w:snapToGrid w:val="0"/>
          <w:lang w:val="en-GB"/>
        </w:rPr>
        <w:t xml:space="preserve">modelling of continued treatment and the </w:t>
      </w:r>
      <w:r w:rsidR="00653F3F">
        <w:rPr>
          <w:rFonts w:asciiTheme="minorHAnsi" w:hAnsiTheme="minorHAnsi" w:cs="Arial"/>
          <w:snapToGrid w:val="0"/>
          <w:lang w:val="en-GB"/>
        </w:rPr>
        <w:t>uptake rate</w:t>
      </w:r>
      <w:r w:rsidR="00D82136">
        <w:rPr>
          <w:rFonts w:asciiTheme="minorHAnsi" w:hAnsiTheme="minorHAnsi" w:cs="Arial"/>
          <w:snapToGrid w:val="0"/>
          <w:lang w:val="en-GB"/>
        </w:rPr>
        <w:t xml:space="preserve">. </w:t>
      </w:r>
      <w:r w:rsidR="00FE031D">
        <w:rPr>
          <w:rFonts w:asciiTheme="minorHAnsi" w:hAnsiTheme="minorHAnsi" w:cs="Arial"/>
          <w:snapToGrid w:val="0"/>
          <w:lang w:val="en-GB"/>
        </w:rPr>
        <w:t xml:space="preserve">The PBAC </w:t>
      </w:r>
      <w:r w:rsidR="00EA5FB8">
        <w:rPr>
          <w:rFonts w:asciiTheme="minorHAnsi" w:hAnsiTheme="minorHAnsi" w:cs="Arial"/>
          <w:snapToGrid w:val="0"/>
          <w:lang w:val="en-GB"/>
        </w:rPr>
        <w:t>considered</w:t>
      </w:r>
      <w:r w:rsidR="00FE031D">
        <w:rPr>
          <w:rFonts w:asciiTheme="minorHAnsi" w:hAnsiTheme="minorHAnsi" w:cs="Arial"/>
          <w:snapToGrid w:val="0"/>
          <w:lang w:val="en-GB"/>
        </w:rPr>
        <w:t xml:space="preserve"> that the number of doses of </w:t>
      </w:r>
      <w:proofErr w:type="spellStart"/>
      <w:r w:rsidR="00FE031D">
        <w:rPr>
          <w:rFonts w:asciiTheme="minorHAnsi" w:hAnsiTheme="minorHAnsi" w:cs="Arial"/>
          <w:snapToGrid w:val="0"/>
          <w:lang w:val="en-GB"/>
        </w:rPr>
        <w:t>tofersen</w:t>
      </w:r>
      <w:proofErr w:type="spellEnd"/>
      <w:r w:rsidR="00FE031D">
        <w:rPr>
          <w:rFonts w:asciiTheme="minorHAnsi" w:hAnsiTheme="minorHAnsi" w:cs="Arial"/>
          <w:snapToGrid w:val="0"/>
          <w:lang w:val="en-GB"/>
        </w:rPr>
        <w:t xml:space="preserve"> in the financial estimates should be </w:t>
      </w:r>
      <w:r w:rsidR="00EA5FB8">
        <w:rPr>
          <w:rFonts w:asciiTheme="minorHAnsi" w:hAnsiTheme="minorHAnsi" w:cs="Arial"/>
          <w:snapToGrid w:val="0"/>
          <w:lang w:val="en-GB"/>
        </w:rPr>
        <w:t xml:space="preserve">revised to be </w:t>
      </w:r>
      <w:r w:rsidR="00FE031D">
        <w:rPr>
          <w:rFonts w:asciiTheme="minorHAnsi" w:hAnsiTheme="minorHAnsi" w:cs="Arial"/>
          <w:snapToGrid w:val="0"/>
          <w:lang w:val="en-GB"/>
        </w:rPr>
        <w:t xml:space="preserve">consistent with </w:t>
      </w:r>
      <w:r w:rsidR="00EE216E">
        <w:rPr>
          <w:rFonts w:asciiTheme="minorHAnsi" w:hAnsiTheme="minorHAnsi" w:cs="Arial"/>
          <w:snapToGrid w:val="0"/>
          <w:lang w:val="en-GB"/>
        </w:rPr>
        <w:t>the economic mode</w:t>
      </w:r>
      <w:r w:rsidR="00243FD2">
        <w:rPr>
          <w:rFonts w:asciiTheme="minorHAnsi" w:hAnsiTheme="minorHAnsi" w:cs="Arial"/>
          <w:snapToGrid w:val="0"/>
          <w:lang w:val="en-GB"/>
        </w:rPr>
        <w:t>l</w:t>
      </w:r>
      <w:r w:rsidR="00EE216E">
        <w:rPr>
          <w:rFonts w:asciiTheme="minorHAnsi" w:hAnsiTheme="minorHAnsi" w:cs="Arial"/>
          <w:snapToGrid w:val="0"/>
          <w:lang w:val="en-GB"/>
        </w:rPr>
        <w:t xml:space="preserve"> and with </w:t>
      </w:r>
      <w:r w:rsidR="00FE031D">
        <w:rPr>
          <w:rFonts w:asciiTheme="minorHAnsi" w:hAnsiTheme="minorHAnsi" w:cs="Arial"/>
          <w:snapToGrid w:val="0"/>
          <w:lang w:val="en-GB"/>
        </w:rPr>
        <w:t>the</w:t>
      </w:r>
      <w:r w:rsidR="00185802">
        <w:rPr>
          <w:rFonts w:asciiTheme="minorHAnsi" w:hAnsiTheme="minorHAnsi" w:cs="Arial"/>
          <w:snapToGrid w:val="0"/>
          <w:lang w:val="en-GB"/>
        </w:rPr>
        <w:t xml:space="preserve"> listings</w:t>
      </w:r>
      <w:r w:rsidR="00AA55C2">
        <w:rPr>
          <w:rFonts w:asciiTheme="minorHAnsi" w:hAnsiTheme="minorHAnsi" w:cs="Arial"/>
          <w:snapToGrid w:val="0"/>
          <w:lang w:val="en-GB"/>
        </w:rPr>
        <w:t xml:space="preserve"> as per paragraph </w:t>
      </w:r>
      <w:r w:rsidR="00AA55C2">
        <w:rPr>
          <w:rFonts w:asciiTheme="minorHAnsi" w:hAnsiTheme="minorHAnsi" w:cs="Arial"/>
          <w:snapToGrid w:val="0"/>
          <w:lang w:val="en-GB"/>
        </w:rPr>
        <w:fldChar w:fldCharType="begin"/>
      </w:r>
      <w:r w:rsidR="00AA55C2">
        <w:rPr>
          <w:rFonts w:asciiTheme="minorHAnsi" w:hAnsiTheme="minorHAnsi" w:cs="Arial"/>
          <w:snapToGrid w:val="0"/>
          <w:lang w:val="en-GB"/>
        </w:rPr>
        <w:instrText xml:space="preserve"> REF _Ref225353471 \r \h </w:instrText>
      </w:r>
      <w:r w:rsidR="00AA55C2">
        <w:rPr>
          <w:rFonts w:asciiTheme="minorHAnsi" w:hAnsiTheme="minorHAnsi" w:cs="Arial"/>
          <w:snapToGrid w:val="0"/>
          <w:lang w:val="en-GB"/>
        </w:rPr>
      </w:r>
      <w:r w:rsidR="00AA55C2">
        <w:rPr>
          <w:rFonts w:asciiTheme="minorHAnsi" w:hAnsiTheme="minorHAnsi" w:cs="Arial"/>
          <w:snapToGrid w:val="0"/>
          <w:lang w:val="en-GB"/>
        </w:rPr>
        <w:fldChar w:fldCharType="separate"/>
      </w:r>
      <w:r w:rsidR="00AA55C2">
        <w:rPr>
          <w:rFonts w:asciiTheme="minorHAnsi" w:hAnsiTheme="minorHAnsi" w:cs="Arial"/>
          <w:snapToGrid w:val="0"/>
          <w:lang w:val="en-GB"/>
        </w:rPr>
        <w:t>5.2</w:t>
      </w:r>
      <w:r w:rsidR="00AA55C2">
        <w:rPr>
          <w:rFonts w:asciiTheme="minorHAnsi" w:hAnsiTheme="minorHAnsi" w:cs="Arial"/>
          <w:snapToGrid w:val="0"/>
          <w:lang w:val="en-GB"/>
        </w:rPr>
        <w:fldChar w:fldCharType="end"/>
      </w:r>
      <w:r w:rsidR="003D00F6">
        <w:rPr>
          <w:rFonts w:asciiTheme="minorHAnsi" w:hAnsiTheme="minorHAnsi" w:cs="Arial"/>
          <w:snapToGrid w:val="0"/>
          <w:lang w:val="en-GB"/>
        </w:rPr>
        <w:t xml:space="preserve"> (</w:t>
      </w:r>
      <w:r w:rsidR="00EE216E">
        <w:rPr>
          <w:rFonts w:asciiTheme="minorHAnsi" w:hAnsiTheme="minorHAnsi" w:cs="Arial"/>
          <w:snapToGrid w:val="0"/>
          <w:lang w:val="en-GB"/>
        </w:rPr>
        <w:t>14</w:t>
      </w:r>
      <w:r w:rsidR="003D00F6">
        <w:rPr>
          <w:rFonts w:asciiTheme="minorHAnsi" w:hAnsiTheme="minorHAnsi" w:cs="Arial"/>
          <w:snapToGrid w:val="0"/>
          <w:lang w:val="en-GB"/>
        </w:rPr>
        <w:t xml:space="preserve"> doses total in year 1, before accounting for </w:t>
      </w:r>
      <w:r w:rsidR="003D649C">
        <w:rPr>
          <w:rFonts w:asciiTheme="minorHAnsi" w:hAnsiTheme="minorHAnsi" w:cs="Arial"/>
          <w:snapToGrid w:val="0"/>
          <w:lang w:val="en-GB"/>
        </w:rPr>
        <w:t>compliance/discontinuation).</w:t>
      </w:r>
      <w:r w:rsidR="00FE031D">
        <w:rPr>
          <w:rFonts w:asciiTheme="minorHAnsi" w:hAnsiTheme="minorHAnsi" w:cs="Arial"/>
          <w:snapToGrid w:val="0"/>
          <w:lang w:val="en-GB"/>
        </w:rPr>
        <w:t xml:space="preserve"> </w:t>
      </w:r>
      <w:r w:rsidR="00346899">
        <w:rPr>
          <w:rFonts w:asciiTheme="minorHAnsi" w:hAnsiTheme="minorHAnsi" w:cs="Arial"/>
          <w:snapToGrid w:val="0"/>
          <w:lang w:val="en-GB"/>
        </w:rPr>
        <w:t>The PBAC noted that the uptake rates applied (</w:t>
      </w:r>
      <w:r w:rsidR="00C10EC6" w:rsidRPr="00C10EC6">
        <w:rPr>
          <w:rFonts w:asciiTheme="minorHAnsi" w:hAnsiTheme="minorHAnsi" w:cs="Arial"/>
          <w:snapToGrid w:val="0"/>
          <w:sz w:val="2"/>
          <w:highlight w:val="black"/>
          <w:lang w:val="en-GB"/>
        </w:rPr>
        <w:t>redacted content</w:t>
      </w:r>
      <w:r w:rsidR="00BA5C9B">
        <w:rPr>
          <w:rFonts w:asciiTheme="minorHAnsi" w:hAnsiTheme="minorHAnsi" w:cs="Arial"/>
          <w:snapToGrid w:val="0"/>
          <w:lang w:val="en-GB"/>
        </w:rPr>
        <w:t xml:space="preserve">% in Year 1 increasing to </w:t>
      </w:r>
      <w:r w:rsidR="00C10EC6" w:rsidRPr="00C10EC6">
        <w:rPr>
          <w:rFonts w:asciiTheme="minorHAnsi" w:hAnsiTheme="minorHAnsi" w:cs="Arial"/>
          <w:snapToGrid w:val="0"/>
          <w:sz w:val="2"/>
          <w:highlight w:val="black"/>
          <w:lang w:val="en-GB"/>
        </w:rPr>
        <w:t>redacted content</w:t>
      </w:r>
      <w:r w:rsidR="00BA5C9B">
        <w:rPr>
          <w:rFonts w:asciiTheme="minorHAnsi" w:hAnsiTheme="minorHAnsi" w:cs="Arial"/>
          <w:snapToGrid w:val="0"/>
          <w:lang w:val="en-GB"/>
        </w:rPr>
        <w:t>% in Year 6</w:t>
      </w:r>
      <w:r w:rsidR="00D82136">
        <w:rPr>
          <w:rFonts w:asciiTheme="minorHAnsi" w:hAnsiTheme="minorHAnsi" w:cs="Arial"/>
          <w:snapToGrid w:val="0"/>
          <w:lang w:val="en-GB"/>
        </w:rPr>
        <w:t xml:space="preserve">) remained </w:t>
      </w:r>
      <w:r w:rsidR="00BA5C9B">
        <w:rPr>
          <w:rFonts w:asciiTheme="minorHAnsi" w:hAnsiTheme="minorHAnsi" w:cs="Arial"/>
          <w:snapToGrid w:val="0"/>
          <w:lang w:val="en-GB"/>
        </w:rPr>
        <w:t xml:space="preserve">high for a drug that was administered intrathecally and considered that </w:t>
      </w:r>
      <w:r w:rsidR="00624DF9">
        <w:rPr>
          <w:rFonts w:asciiTheme="minorHAnsi" w:hAnsiTheme="minorHAnsi" w:cs="Arial"/>
          <w:snapToGrid w:val="0"/>
          <w:lang w:val="en-GB"/>
        </w:rPr>
        <w:t xml:space="preserve">a maximum uptake rate of </w:t>
      </w:r>
      <w:r w:rsidR="00C10EC6" w:rsidRPr="00C10EC6">
        <w:rPr>
          <w:rFonts w:asciiTheme="minorHAnsi" w:hAnsiTheme="minorHAnsi" w:cs="Arial"/>
          <w:snapToGrid w:val="0"/>
          <w:sz w:val="2"/>
          <w:highlight w:val="black"/>
          <w:lang w:val="en-GB"/>
        </w:rPr>
        <w:t>redacted content</w:t>
      </w:r>
      <w:r w:rsidR="00624DF9">
        <w:rPr>
          <w:rFonts w:asciiTheme="minorHAnsi" w:hAnsiTheme="minorHAnsi" w:cs="Arial"/>
          <w:snapToGrid w:val="0"/>
          <w:lang w:val="en-GB"/>
        </w:rPr>
        <w:t xml:space="preserve">% </w:t>
      </w:r>
      <w:r w:rsidR="00F953BD">
        <w:rPr>
          <w:rFonts w:asciiTheme="minorHAnsi" w:hAnsiTheme="minorHAnsi" w:cs="Arial"/>
          <w:snapToGrid w:val="0"/>
          <w:lang w:val="en-GB"/>
        </w:rPr>
        <w:t>would be more reasonable.</w:t>
      </w:r>
      <w:r w:rsidR="00FD5C6D">
        <w:rPr>
          <w:rFonts w:asciiTheme="minorHAnsi" w:hAnsiTheme="minorHAnsi" w:cs="Arial"/>
          <w:snapToGrid w:val="0"/>
          <w:lang w:val="en-GB"/>
        </w:rPr>
        <w:t xml:space="preserve"> The PBAC recommended that the utilisation of </w:t>
      </w:r>
      <w:proofErr w:type="spellStart"/>
      <w:r w:rsidR="00FD5C6D">
        <w:rPr>
          <w:rFonts w:asciiTheme="minorHAnsi" w:hAnsiTheme="minorHAnsi" w:cs="Arial"/>
          <w:snapToGrid w:val="0"/>
          <w:lang w:val="en-GB"/>
        </w:rPr>
        <w:t>tofersen</w:t>
      </w:r>
      <w:proofErr w:type="spellEnd"/>
      <w:r w:rsidR="00FD5C6D">
        <w:rPr>
          <w:rFonts w:asciiTheme="minorHAnsi" w:hAnsiTheme="minorHAnsi" w:cs="Arial"/>
          <w:snapToGrid w:val="0"/>
          <w:lang w:val="en-GB"/>
        </w:rPr>
        <w:t xml:space="preserve"> should be </w:t>
      </w:r>
      <w:r w:rsidR="004E2D4A">
        <w:rPr>
          <w:rFonts w:asciiTheme="minorHAnsi" w:hAnsiTheme="minorHAnsi" w:cs="Arial"/>
          <w:snapToGrid w:val="0"/>
          <w:lang w:val="en-GB"/>
        </w:rPr>
        <w:t xml:space="preserve">reviewed </w:t>
      </w:r>
      <w:r w:rsidR="00AC3588">
        <w:rPr>
          <w:rFonts w:asciiTheme="minorHAnsi" w:hAnsiTheme="minorHAnsi" w:cs="Arial"/>
          <w:snapToGrid w:val="0"/>
          <w:lang w:val="en-GB"/>
        </w:rPr>
        <w:t>after 3 years.</w:t>
      </w:r>
    </w:p>
    <w:p w14:paraId="2E9C9AA5" w14:textId="54888895" w:rsidR="00F53417" w:rsidRDefault="00F53417" w:rsidP="007A591A">
      <w:pPr>
        <w:numPr>
          <w:ilvl w:val="1"/>
          <w:numId w:val="33"/>
        </w:numPr>
        <w:spacing w:after="120"/>
        <w:rPr>
          <w:rFonts w:asciiTheme="minorHAnsi" w:hAnsiTheme="minorHAnsi" w:cs="Arial"/>
          <w:snapToGrid w:val="0"/>
          <w:lang w:val="en-GB"/>
        </w:rPr>
      </w:pPr>
      <w:bookmarkStart w:id="46" w:name="_Ref224810285"/>
      <w:r>
        <w:rPr>
          <w:rFonts w:asciiTheme="minorHAnsi" w:hAnsiTheme="minorHAnsi" w:cs="Arial"/>
          <w:snapToGrid w:val="0"/>
          <w:lang w:val="en-GB"/>
        </w:rPr>
        <w:t xml:space="preserve">The PBAC </w:t>
      </w:r>
      <w:r w:rsidR="00553FE1">
        <w:rPr>
          <w:rFonts w:asciiTheme="minorHAnsi" w:hAnsiTheme="minorHAnsi" w:cs="Arial"/>
          <w:snapToGrid w:val="0"/>
          <w:lang w:val="en-GB"/>
        </w:rPr>
        <w:t>considered that the RSA proposed in the pre</w:t>
      </w:r>
      <w:r w:rsidR="007A591A">
        <w:rPr>
          <w:rFonts w:asciiTheme="minorHAnsi" w:hAnsiTheme="minorHAnsi" w:cs="Arial"/>
          <w:snapToGrid w:val="0"/>
          <w:lang w:val="en-GB"/>
        </w:rPr>
        <w:noBreakHyphen/>
      </w:r>
      <w:r w:rsidR="00553FE1">
        <w:rPr>
          <w:rFonts w:asciiTheme="minorHAnsi" w:hAnsiTheme="minorHAnsi" w:cs="Arial"/>
          <w:snapToGrid w:val="0"/>
          <w:lang w:val="en-GB"/>
        </w:rPr>
        <w:t xml:space="preserve">PBAC response </w:t>
      </w:r>
      <w:r w:rsidR="00DC71E2">
        <w:rPr>
          <w:rFonts w:asciiTheme="minorHAnsi" w:hAnsiTheme="minorHAnsi" w:cs="Arial"/>
          <w:snapToGrid w:val="0"/>
          <w:lang w:val="en-GB"/>
        </w:rPr>
        <w:t>would manage the</w:t>
      </w:r>
      <w:r w:rsidR="001E0673">
        <w:rPr>
          <w:rFonts w:asciiTheme="minorHAnsi" w:hAnsiTheme="minorHAnsi" w:cs="Arial"/>
          <w:snapToGrid w:val="0"/>
          <w:lang w:val="en-GB"/>
        </w:rPr>
        <w:t xml:space="preserve"> </w:t>
      </w:r>
      <w:r w:rsidR="001E0673">
        <w:t>uncertainty associated with the long</w:t>
      </w:r>
      <w:r w:rsidR="007A591A">
        <w:noBreakHyphen/>
      </w:r>
      <w:r w:rsidR="001E0673">
        <w:t>term clinical benefit of tofersen and the uncertain duration of therapy</w:t>
      </w:r>
      <w:r w:rsidR="00553FE1">
        <w:rPr>
          <w:rFonts w:asciiTheme="minorHAnsi" w:hAnsiTheme="minorHAnsi" w:cs="Arial"/>
          <w:snapToGrid w:val="0"/>
          <w:lang w:val="en-GB"/>
        </w:rPr>
        <w:t xml:space="preserve">. The PBAC </w:t>
      </w:r>
      <w:r w:rsidR="00C17791">
        <w:rPr>
          <w:rFonts w:asciiTheme="minorHAnsi" w:hAnsiTheme="minorHAnsi" w:cs="Arial"/>
          <w:snapToGrid w:val="0"/>
          <w:lang w:val="en-GB"/>
        </w:rPr>
        <w:t xml:space="preserve">noted that the expenditure caps, which were </w:t>
      </w:r>
      <w:r w:rsidR="008B1726">
        <w:rPr>
          <w:rFonts w:asciiTheme="minorHAnsi" w:hAnsiTheme="minorHAnsi" w:cs="Arial"/>
          <w:snapToGrid w:val="0"/>
          <w:lang w:val="en-GB"/>
        </w:rPr>
        <w:t xml:space="preserve">set </w:t>
      </w:r>
      <w:r w:rsidR="00C10EC6" w:rsidRPr="00C10EC6">
        <w:rPr>
          <w:rFonts w:asciiTheme="minorHAnsi" w:hAnsiTheme="minorHAnsi" w:cs="Arial"/>
          <w:snapToGrid w:val="0"/>
          <w:sz w:val="2"/>
          <w:highlight w:val="black"/>
          <w:lang w:val="en-GB"/>
        </w:rPr>
        <w:t>redacted content</w:t>
      </w:r>
      <w:r w:rsidR="008B1726">
        <w:rPr>
          <w:rFonts w:asciiTheme="minorHAnsi" w:hAnsiTheme="minorHAnsi" w:cs="Arial"/>
          <w:snapToGrid w:val="0"/>
          <w:lang w:val="en-GB"/>
        </w:rPr>
        <w:t xml:space="preserve">% below the </w:t>
      </w:r>
      <w:r w:rsidR="00C17791">
        <w:rPr>
          <w:rFonts w:asciiTheme="minorHAnsi" w:hAnsiTheme="minorHAnsi" w:cs="Arial"/>
          <w:snapToGrid w:val="0"/>
          <w:lang w:val="en-GB"/>
        </w:rPr>
        <w:t>estimated financial impact</w:t>
      </w:r>
      <w:r w:rsidR="0072071E">
        <w:rPr>
          <w:rFonts w:asciiTheme="minorHAnsi" w:hAnsiTheme="minorHAnsi" w:cs="Arial"/>
          <w:snapToGrid w:val="0"/>
          <w:lang w:val="en-GB"/>
        </w:rPr>
        <w:t xml:space="preserve"> </w:t>
      </w:r>
      <w:r w:rsidR="00CE6A2E">
        <w:rPr>
          <w:rFonts w:asciiTheme="minorHAnsi" w:hAnsiTheme="minorHAnsi" w:cs="Arial"/>
          <w:snapToGrid w:val="0"/>
          <w:lang w:val="en-GB"/>
        </w:rPr>
        <w:t>aimed to</w:t>
      </w:r>
      <w:r w:rsidR="007F7C69">
        <w:rPr>
          <w:rFonts w:asciiTheme="minorHAnsi" w:hAnsiTheme="minorHAnsi" w:cs="Arial"/>
          <w:snapToGrid w:val="0"/>
          <w:lang w:val="en-GB"/>
        </w:rPr>
        <w:t xml:space="preserve"> manage </w:t>
      </w:r>
      <w:r w:rsidR="00815B65">
        <w:rPr>
          <w:rFonts w:asciiTheme="minorHAnsi" w:hAnsiTheme="minorHAnsi" w:cs="Arial"/>
          <w:snapToGrid w:val="0"/>
          <w:lang w:val="en-GB"/>
        </w:rPr>
        <w:t>the uncertainty regarding the cost</w:t>
      </w:r>
      <w:r w:rsidR="007A591A">
        <w:rPr>
          <w:rFonts w:asciiTheme="minorHAnsi" w:hAnsiTheme="minorHAnsi" w:cs="Arial"/>
          <w:snapToGrid w:val="0"/>
          <w:lang w:val="en-GB"/>
        </w:rPr>
        <w:noBreakHyphen/>
      </w:r>
      <w:r w:rsidR="00815B65">
        <w:rPr>
          <w:rFonts w:asciiTheme="minorHAnsi" w:hAnsiTheme="minorHAnsi" w:cs="Arial"/>
          <w:snapToGrid w:val="0"/>
          <w:lang w:val="en-GB"/>
        </w:rPr>
        <w:t xml:space="preserve">effectiveness of </w:t>
      </w:r>
      <w:proofErr w:type="spellStart"/>
      <w:r w:rsidR="00815B65">
        <w:rPr>
          <w:rFonts w:asciiTheme="minorHAnsi" w:hAnsiTheme="minorHAnsi" w:cs="Arial"/>
          <w:snapToGrid w:val="0"/>
          <w:lang w:val="en-GB"/>
        </w:rPr>
        <w:t>tofersen</w:t>
      </w:r>
      <w:proofErr w:type="spellEnd"/>
      <w:r w:rsidR="001E0673">
        <w:rPr>
          <w:rFonts w:asciiTheme="minorHAnsi" w:hAnsiTheme="minorHAnsi" w:cs="Arial"/>
          <w:snapToGrid w:val="0"/>
          <w:lang w:val="en-GB"/>
        </w:rPr>
        <w:t xml:space="preserve"> (see paragraph </w:t>
      </w:r>
      <w:r w:rsidR="001E0673">
        <w:rPr>
          <w:rFonts w:asciiTheme="minorHAnsi" w:hAnsiTheme="minorHAnsi" w:cs="Arial"/>
          <w:snapToGrid w:val="0"/>
          <w:lang w:val="en-GB"/>
        </w:rPr>
        <w:fldChar w:fldCharType="begin"/>
      </w:r>
      <w:r w:rsidR="001E0673">
        <w:rPr>
          <w:rFonts w:asciiTheme="minorHAnsi" w:hAnsiTheme="minorHAnsi" w:cs="Arial"/>
          <w:snapToGrid w:val="0"/>
          <w:lang w:val="en-GB"/>
        </w:rPr>
        <w:instrText xml:space="preserve"> REF _Ref224811405 \r \h </w:instrText>
      </w:r>
      <w:r w:rsidR="001E0673">
        <w:rPr>
          <w:rFonts w:asciiTheme="minorHAnsi" w:hAnsiTheme="minorHAnsi" w:cs="Arial"/>
          <w:snapToGrid w:val="0"/>
          <w:lang w:val="en-GB"/>
        </w:rPr>
      </w:r>
      <w:r w:rsidR="001E0673">
        <w:rPr>
          <w:rFonts w:asciiTheme="minorHAnsi" w:hAnsiTheme="minorHAnsi" w:cs="Arial"/>
          <w:snapToGrid w:val="0"/>
          <w:lang w:val="en-GB"/>
        </w:rPr>
        <w:fldChar w:fldCharType="separate"/>
      </w:r>
      <w:r w:rsidR="00210420">
        <w:rPr>
          <w:rFonts w:asciiTheme="minorHAnsi" w:hAnsiTheme="minorHAnsi" w:cs="Arial"/>
          <w:snapToGrid w:val="0"/>
          <w:lang w:val="en-GB"/>
        </w:rPr>
        <w:t>5.4</w:t>
      </w:r>
      <w:r w:rsidR="001E0673">
        <w:rPr>
          <w:rFonts w:asciiTheme="minorHAnsi" w:hAnsiTheme="minorHAnsi" w:cs="Arial"/>
          <w:snapToGrid w:val="0"/>
          <w:lang w:val="en-GB"/>
        </w:rPr>
        <w:fldChar w:fldCharType="end"/>
      </w:r>
      <w:r w:rsidR="001E0673">
        <w:rPr>
          <w:rFonts w:asciiTheme="minorHAnsi" w:hAnsiTheme="minorHAnsi" w:cs="Arial"/>
          <w:snapToGrid w:val="0"/>
          <w:lang w:val="en-GB"/>
        </w:rPr>
        <w:t>)</w:t>
      </w:r>
      <w:r w:rsidR="00B434AB">
        <w:rPr>
          <w:rFonts w:asciiTheme="minorHAnsi" w:hAnsiTheme="minorHAnsi" w:cs="Arial"/>
          <w:snapToGrid w:val="0"/>
          <w:lang w:val="en-GB"/>
        </w:rPr>
        <w:t xml:space="preserve">. The PBAC considered that </w:t>
      </w:r>
      <w:r w:rsidR="00FB31D1">
        <w:rPr>
          <w:rFonts w:asciiTheme="minorHAnsi" w:hAnsiTheme="minorHAnsi" w:cs="Arial"/>
          <w:snapToGrid w:val="0"/>
          <w:lang w:val="en-GB"/>
        </w:rPr>
        <w:t xml:space="preserve">the proposed rebate of </w:t>
      </w:r>
      <w:r w:rsidR="00C10EC6" w:rsidRPr="00C10EC6">
        <w:rPr>
          <w:rFonts w:asciiTheme="minorHAnsi" w:hAnsiTheme="minorHAnsi" w:cs="Arial"/>
          <w:snapToGrid w:val="0"/>
          <w:sz w:val="2"/>
          <w:highlight w:val="black"/>
          <w:lang w:val="en-GB"/>
        </w:rPr>
        <w:t>redacted content</w:t>
      </w:r>
      <w:r w:rsidR="00FB31D1">
        <w:rPr>
          <w:rFonts w:asciiTheme="minorHAnsi" w:hAnsiTheme="minorHAnsi" w:cs="Arial"/>
          <w:snapToGrid w:val="0"/>
          <w:lang w:val="en-GB"/>
        </w:rPr>
        <w:t>% for use that exceeded the caps was appropriate.</w:t>
      </w:r>
      <w:bookmarkEnd w:id="46"/>
    </w:p>
    <w:p w14:paraId="141548E6" w14:textId="3A86A497" w:rsidR="00D87173" w:rsidRPr="000B197C" w:rsidRDefault="00D87173" w:rsidP="007A591A">
      <w:pPr>
        <w:numPr>
          <w:ilvl w:val="1"/>
          <w:numId w:val="33"/>
        </w:numPr>
        <w:spacing w:after="120"/>
        <w:rPr>
          <w:rFonts w:asciiTheme="minorHAnsi" w:hAnsiTheme="minorHAnsi"/>
          <w:snapToGrid w:val="0"/>
          <w:lang w:val="en-GB"/>
        </w:rPr>
      </w:pPr>
      <w:r w:rsidRPr="000B197C">
        <w:rPr>
          <w:rFonts w:asciiTheme="minorHAnsi" w:hAnsiTheme="minorHAnsi"/>
          <w:snapToGrid w:val="0"/>
          <w:lang w:val="en-GB"/>
        </w:rPr>
        <w:t xml:space="preserve">The PBAC advised that </w:t>
      </w:r>
      <w:proofErr w:type="spellStart"/>
      <w:r w:rsidR="008171C1">
        <w:rPr>
          <w:rFonts w:asciiTheme="minorHAnsi" w:hAnsiTheme="minorHAnsi"/>
          <w:snapToGrid w:val="0"/>
          <w:lang w:val="en-GB"/>
        </w:rPr>
        <w:t>tofersen</w:t>
      </w:r>
      <w:proofErr w:type="spellEnd"/>
      <w:r>
        <w:rPr>
          <w:rFonts w:asciiTheme="minorHAnsi" w:hAnsiTheme="minorHAnsi"/>
          <w:snapToGrid w:val="0"/>
          <w:lang w:val="en-GB"/>
        </w:rPr>
        <w:t xml:space="preserve"> </w:t>
      </w:r>
      <w:r w:rsidRPr="000B197C">
        <w:rPr>
          <w:rFonts w:asciiTheme="minorHAnsi" w:hAnsiTheme="minorHAnsi"/>
          <w:snapToGrid w:val="0"/>
          <w:lang w:val="en-GB"/>
        </w:rPr>
        <w:t>should be exempt from the Early Supply Rule.</w:t>
      </w:r>
    </w:p>
    <w:p w14:paraId="0F9A61DC" w14:textId="34E6B4CD" w:rsidR="00D87173" w:rsidRPr="000B197C" w:rsidRDefault="00D87173" w:rsidP="007A591A">
      <w:pPr>
        <w:numPr>
          <w:ilvl w:val="1"/>
          <w:numId w:val="33"/>
        </w:numPr>
        <w:spacing w:after="120"/>
        <w:rPr>
          <w:rFonts w:asciiTheme="minorHAnsi" w:hAnsiTheme="minorHAnsi"/>
          <w:snapToGrid w:val="0"/>
          <w:lang w:val="en-GB"/>
        </w:rPr>
      </w:pPr>
      <w:r w:rsidRPr="000B197C">
        <w:rPr>
          <w:rFonts w:asciiTheme="minorHAnsi" w:hAnsiTheme="minorHAnsi"/>
          <w:snapToGrid w:val="0"/>
          <w:lang w:val="en-GB"/>
        </w:rPr>
        <w:lastRenderedPageBreak/>
        <w:t xml:space="preserve">The PBAC advised that </w:t>
      </w:r>
      <w:proofErr w:type="spellStart"/>
      <w:r w:rsidR="00B84FA0">
        <w:rPr>
          <w:rFonts w:asciiTheme="minorHAnsi" w:hAnsiTheme="minorHAnsi"/>
          <w:snapToGrid w:val="0"/>
          <w:lang w:val="en-GB"/>
        </w:rPr>
        <w:t>tofersen</w:t>
      </w:r>
      <w:proofErr w:type="spellEnd"/>
      <w:r w:rsidR="00B84FA0">
        <w:rPr>
          <w:rFonts w:asciiTheme="minorHAnsi" w:hAnsiTheme="minorHAnsi"/>
          <w:snapToGrid w:val="0"/>
          <w:lang w:val="en-GB"/>
        </w:rPr>
        <w:t xml:space="preserve"> was not </w:t>
      </w:r>
      <w:r w:rsidRPr="000B197C">
        <w:rPr>
          <w:rFonts w:asciiTheme="minorHAnsi" w:hAnsiTheme="minorHAnsi"/>
          <w:snapToGrid w:val="0"/>
          <w:lang w:val="en-GB"/>
        </w:rPr>
        <w:t>suitable for prescribing by nurse practitioners</w:t>
      </w:r>
      <w:r w:rsidR="009D5737">
        <w:rPr>
          <w:rFonts w:asciiTheme="minorHAnsi" w:hAnsiTheme="minorHAnsi"/>
          <w:snapToGrid w:val="0"/>
          <w:lang w:val="en-GB"/>
        </w:rPr>
        <w:t xml:space="preserve"> as it is administered intrathecally</w:t>
      </w:r>
      <w:r w:rsidRPr="000B197C">
        <w:rPr>
          <w:rFonts w:asciiTheme="minorHAnsi" w:hAnsiTheme="minorHAnsi"/>
          <w:snapToGrid w:val="0"/>
          <w:lang w:val="en-GB"/>
        </w:rPr>
        <w:t xml:space="preserve">. </w:t>
      </w:r>
    </w:p>
    <w:p w14:paraId="3AA3C76E" w14:textId="77777777" w:rsidR="00B84FA0" w:rsidRDefault="00D87173" w:rsidP="007A591A">
      <w:pPr>
        <w:numPr>
          <w:ilvl w:val="1"/>
          <w:numId w:val="33"/>
        </w:numPr>
        <w:spacing w:after="120"/>
        <w:rPr>
          <w:rFonts w:asciiTheme="minorHAnsi" w:hAnsiTheme="minorHAnsi"/>
          <w:snapToGrid w:val="0"/>
          <w:lang w:val="en-GB"/>
        </w:rPr>
      </w:pPr>
      <w:r w:rsidRPr="000B197C">
        <w:rPr>
          <w:rFonts w:asciiTheme="minorHAnsi" w:hAnsiTheme="minorHAnsi"/>
          <w:snapToGrid w:val="0"/>
          <w:lang w:val="en-GB"/>
        </w:rPr>
        <w:t xml:space="preserve">The PBAC advised that under section 101(3BA) of the </w:t>
      </w:r>
      <w:r w:rsidRPr="000B197C">
        <w:rPr>
          <w:rFonts w:asciiTheme="minorHAnsi" w:hAnsiTheme="minorHAnsi"/>
          <w:i/>
          <w:iCs/>
          <w:snapToGrid w:val="0"/>
          <w:lang w:val="en-GB"/>
        </w:rPr>
        <w:t>National Health Act 1953</w:t>
      </w:r>
      <w:r w:rsidRPr="000B197C">
        <w:rPr>
          <w:rFonts w:asciiTheme="minorHAnsi" w:hAnsiTheme="minorHAnsi"/>
          <w:snapToGrid w:val="0"/>
          <w:lang w:val="en-GB"/>
        </w:rPr>
        <w:t xml:space="preserve">, </w:t>
      </w:r>
      <w:proofErr w:type="spellStart"/>
      <w:r w:rsidR="00B84FA0">
        <w:rPr>
          <w:rFonts w:asciiTheme="minorHAnsi" w:hAnsiTheme="minorHAnsi"/>
          <w:snapToGrid w:val="0"/>
          <w:lang w:val="en-GB"/>
        </w:rPr>
        <w:t>tofersen</w:t>
      </w:r>
      <w:proofErr w:type="spellEnd"/>
      <w:r w:rsidR="00B84FA0">
        <w:rPr>
          <w:rFonts w:asciiTheme="minorHAnsi" w:hAnsiTheme="minorHAnsi"/>
          <w:snapToGrid w:val="0"/>
          <w:lang w:val="en-GB"/>
        </w:rPr>
        <w:t xml:space="preserve"> </w:t>
      </w:r>
      <w:r w:rsidRPr="000B197C">
        <w:rPr>
          <w:rFonts w:asciiTheme="minorHAnsi" w:hAnsiTheme="minorHAnsi"/>
          <w:snapToGrid w:val="0"/>
          <w:lang w:val="en-GB"/>
        </w:rPr>
        <w:t>should not be treated as interchangeable on an individual patient basis with any other drug.</w:t>
      </w:r>
      <w:bookmarkEnd w:id="43"/>
    </w:p>
    <w:p w14:paraId="251D5020" w14:textId="54472C19" w:rsidR="009C0633" w:rsidRPr="00B84FA0" w:rsidRDefault="009C0633" w:rsidP="007A591A">
      <w:pPr>
        <w:numPr>
          <w:ilvl w:val="1"/>
          <w:numId w:val="33"/>
        </w:numPr>
        <w:spacing w:after="120"/>
        <w:rPr>
          <w:rFonts w:asciiTheme="minorHAnsi" w:hAnsiTheme="minorHAnsi"/>
          <w:snapToGrid w:val="0"/>
          <w:lang w:val="en-GB"/>
        </w:rPr>
      </w:pPr>
      <w:r w:rsidRPr="00B84FA0">
        <w:rPr>
          <w:lang w:val="en-GB"/>
        </w:rPr>
        <w:t xml:space="preserve">The PBAC found that the criteria prescribed by the </w:t>
      </w:r>
      <w:r w:rsidRPr="00B84FA0">
        <w:rPr>
          <w:i/>
          <w:lang w:val="en-GB"/>
        </w:rPr>
        <w:t>National Health (Pharmaceuticals and Vaccines – Cost Recovery) Regulations 2022</w:t>
      </w:r>
      <w:r w:rsidRPr="00B84FA0">
        <w:rPr>
          <w:lang w:val="en-GB"/>
        </w:rPr>
        <w:t xml:space="preserve"> for Pricing Pathway A </w:t>
      </w:r>
      <w:r w:rsidR="00B84FA0">
        <w:rPr>
          <w:lang w:val="en-GB"/>
        </w:rPr>
        <w:t xml:space="preserve">were </w:t>
      </w:r>
      <w:r w:rsidRPr="00B84FA0">
        <w:rPr>
          <w:lang w:val="en-GB"/>
        </w:rPr>
        <w:t>met. Specifically</w:t>
      </w:r>
      <w:r w:rsidR="00B84FA0">
        <w:rPr>
          <w:lang w:val="en-GB"/>
        </w:rPr>
        <w:t>,</w:t>
      </w:r>
      <w:r w:rsidRPr="00B84FA0">
        <w:rPr>
          <w:lang w:val="en-GB"/>
        </w:rPr>
        <w:t xml:space="preserve"> the PBAC found that in the circumstances of its recommendation for </w:t>
      </w:r>
      <w:proofErr w:type="spellStart"/>
      <w:r w:rsidR="00B84FA0">
        <w:rPr>
          <w:lang w:val="en-GB"/>
        </w:rPr>
        <w:t>tofersen</w:t>
      </w:r>
      <w:proofErr w:type="spellEnd"/>
      <w:r w:rsidRPr="00B84FA0">
        <w:rPr>
          <w:lang w:val="en-GB"/>
        </w:rPr>
        <w:t>:</w:t>
      </w:r>
    </w:p>
    <w:p w14:paraId="7097A487" w14:textId="75ACAF32" w:rsidR="009C0633" w:rsidRPr="00763DFB" w:rsidRDefault="009C0633" w:rsidP="007A591A">
      <w:pPr>
        <w:numPr>
          <w:ilvl w:val="1"/>
          <w:numId w:val="32"/>
        </w:numPr>
        <w:spacing w:after="120"/>
        <w:rPr>
          <w:rFonts w:asciiTheme="minorHAnsi" w:hAnsiTheme="minorHAnsi" w:cstheme="minorHAnsi"/>
          <w:lang w:val="en-GB"/>
        </w:rPr>
      </w:pPr>
      <w:r w:rsidRPr="00763DFB">
        <w:rPr>
          <w:rFonts w:asciiTheme="minorHAnsi" w:hAnsiTheme="minorHAnsi" w:cstheme="minorHAnsi"/>
          <w:lang w:val="en-GB"/>
        </w:rPr>
        <w:t xml:space="preserve">The treatment </w:t>
      </w:r>
      <w:r w:rsidR="00EA7200">
        <w:rPr>
          <w:rFonts w:asciiTheme="minorHAnsi" w:hAnsiTheme="minorHAnsi" w:cstheme="minorHAnsi"/>
          <w:lang w:val="en-GB"/>
        </w:rPr>
        <w:t>is</w:t>
      </w:r>
      <w:r w:rsidRPr="00763DFB">
        <w:rPr>
          <w:rFonts w:asciiTheme="minorHAnsi" w:hAnsiTheme="minorHAnsi" w:cstheme="minorHAnsi"/>
          <w:lang w:val="en-GB"/>
        </w:rPr>
        <w:t xml:space="preserve"> expected to provide a substantial and clinically relevant improvement in efficacy, over</w:t>
      </w:r>
      <w:r w:rsidR="007B437F">
        <w:rPr>
          <w:rFonts w:asciiTheme="minorHAnsi" w:hAnsiTheme="minorHAnsi" w:cstheme="minorHAnsi"/>
          <w:lang w:val="en-GB"/>
        </w:rPr>
        <w:t xml:space="preserve"> best supportive care</w:t>
      </w:r>
      <w:r w:rsidRPr="00763DFB">
        <w:rPr>
          <w:rFonts w:asciiTheme="minorHAnsi" w:hAnsiTheme="minorHAnsi" w:cstheme="minorHAnsi"/>
          <w:lang w:val="en-GB"/>
        </w:rPr>
        <w:t xml:space="preserve">; </w:t>
      </w:r>
    </w:p>
    <w:p w14:paraId="6E161601" w14:textId="77777777" w:rsidR="00D717B2" w:rsidRPr="00D717B2" w:rsidRDefault="009C0633" w:rsidP="007A591A">
      <w:pPr>
        <w:numPr>
          <w:ilvl w:val="1"/>
          <w:numId w:val="32"/>
        </w:numPr>
        <w:spacing w:after="120"/>
        <w:rPr>
          <w:snapToGrid w:val="0"/>
          <w:lang w:val="en-GB"/>
        </w:rPr>
      </w:pPr>
      <w:r w:rsidRPr="00763DFB">
        <w:rPr>
          <w:rFonts w:asciiTheme="minorHAnsi" w:hAnsiTheme="minorHAnsi" w:cstheme="minorHAnsi"/>
          <w:lang w:val="en-GB"/>
        </w:rPr>
        <w:t xml:space="preserve">The treatment </w:t>
      </w:r>
      <w:r w:rsidR="00EA7200">
        <w:rPr>
          <w:rFonts w:asciiTheme="minorHAnsi" w:hAnsiTheme="minorHAnsi" w:cstheme="minorHAnsi"/>
          <w:lang w:val="en-GB"/>
        </w:rPr>
        <w:t>is</w:t>
      </w:r>
      <w:r w:rsidRPr="00763DFB">
        <w:rPr>
          <w:rFonts w:asciiTheme="minorHAnsi" w:hAnsiTheme="minorHAnsi" w:cstheme="minorHAnsi"/>
          <w:lang w:val="en-GB"/>
        </w:rPr>
        <w:t xml:space="preserve"> expected to address a high and urgent unmet clinical need;</w:t>
      </w:r>
      <w:r w:rsidR="00D717B2">
        <w:rPr>
          <w:rFonts w:asciiTheme="minorHAnsi" w:hAnsiTheme="minorHAnsi" w:cstheme="minorHAnsi"/>
          <w:lang w:val="en-GB"/>
        </w:rPr>
        <w:t xml:space="preserve"> </w:t>
      </w:r>
    </w:p>
    <w:p w14:paraId="247DFD30" w14:textId="77777777" w:rsidR="00D717B2" w:rsidRPr="007B437F" w:rsidRDefault="009C0633" w:rsidP="007A591A">
      <w:pPr>
        <w:numPr>
          <w:ilvl w:val="1"/>
          <w:numId w:val="32"/>
        </w:numPr>
        <w:spacing w:after="120"/>
        <w:rPr>
          <w:snapToGrid w:val="0"/>
          <w:lang w:val="en-GB"/>
        </w:rPr>
      </w:pPr>
      <w:r w:rsidRPr="00D717B2">
        <w:rPr>
          <w:rFonts w:cstheme="minorHAnsi"/>
          <w:lang w:val="en-GB"/>
        </w:rPr>
        <w:t xml:space="preserve">It would be in the public interest for the subsequent pricing application to be progressed under Pricing Pathway </w:t>
      </w:r>
      <w:proofErr w:type="gramStart"/>
      <w:r w:rsidRPr="00D717B2">
        <w:rPr>
          <w:rFonts w:cstheme="minorHAnsi"/>
          <w:lang w:val="en-GB"/>
        </w:rPr>
        <w:t>A on the basis of</w:t>
      </w:r>
      <w:proofErr w:type="gramEnd"/>
      <w:r w:rsidRPr="00D717B2">
        <w:rPr>
          <w:rFonts w:cstheme="minorHAnsi"/>
          <w:lang w:val="en-GB"/>
        </w:rPr>
        <w:t xml:space="preserve"> the preceding findings</w:t>
      </w:r>
      <w:r w:rsidR="00D717B2">
        <w:rPr>
          <w:rFonts w:cstheme="minorHAnsi"/>
          <w:lang w:val="en-GB"/>
        </w:rPr>
        <w:t>.</w:t>
      </w:r>
    </w:p>
    <w:p w14:paraId="54D0B7A6" w14:textId="65AD7C1B" w:rsidR="008171C1" w:rsidRPr="00D717B2" w:rsidDel="000E0501" w:rsidRDefault="008171C1" w:rsidP="007A591A">
      <w:pPr>
        <w:pStyle w:val="3-BodyText"/>
        <w:numPr>
          <w:ilvl w:val="1"/>
          <w:numId w:val="33"/>
        </w:numPr>
        <w:rPr>
          <w:snapToGrid w:val="0"/>
          <w:lang w:val="en-GB"/>
        </w:rPr>
      </w:pPr>
      <w:r w:rsidRPr="00D717B2">
        <w:rPr>
          <w:snapToGrid w:val="0"/>
          <w:lang w:val="en-GB"/>
        </w:rPr>
        <w:t xml:space="preserve">The PBAC noted that this submission was not eligible for an Independent Review, as it received a positive recommendation. </w:t>
      </w:r>
    </w:p>
    <w:p w14:paraId="7211103A" w14:textId="77777777" w:rsidR="009C0633" w:rsidRPr="00525B39" w:rsidRDefault="009C0633" w:rsidP="007A591A">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3A86567" w14:textId="44C8182C" w:rsidR="009C0633" w:rsidRPr="00525B39" w:rsidRDefault="009C0633" w:rsidP="007A591A">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41"/>
    <w:p w14:paraId="4B650232" w14:textId="77777777" w:rsidR="009C0633" w:rsidRPr="00907671" w:rsidRDefault="009C0633" w:rsidP="007A591A">
      <w:pPr>
        <w:pStyle w:val="2-SectionHeading"/>
        <w:numPr>
          <w:ilvl w:val="0"/>
          <w:numId w:val="33"/>
        </w:numPr>
      </w:pPr>
      <w:r w:rsidRPr="00907671">
        <w:t>Recommended listing</w:t>
      </w:r>
    </w:p>
    <w:p w14:paraId="3877AB7A" w14:textId="77777777" w:rsidR="009C0633" w:rsidRPr="00E35E15" w:rsidRDefault="009C0633" w:rsidP="007A591A">
      <w:pPr>
        <w:numPr>
          <w:ilvl w:val="1"/>
          <w:numId w:val="33"/>
        </w:numPr>
        <w:spacing w:after="120"/>
        <w:contextualSpacing/>
        <w:rPr>
          <w:rFonts w:asciiTheme="minorHAnsi" w:hAnsiTheme="minorHAnsi" w:cs="Arial"/>
          <w:bCs/>
          <w:snapToGrid w:val="0"/>
        </w:rPr>
      </w:pPr>
      <w:r w:rsidRPr="00E35E15">
        <w:rPr>
          <w:rFonts w:asciiTheme="minorHAnsi" w:hAnsiTheme="minorHAnsi" w:cs="Arial"/>
          <w:bCs/>
          <w:snapToGrid w:val="0"/>
        </w:rPr>
        <w:t>Add new item:</w:t>
      </w:r>
    </w:p>
    <w:p w14:paraId="27A6779D" w14:textId="6D5FB36B" w:rsidR="005B0A1E" w:rsidRDefault="005B0A1E" w:rsidP="007A591A">
      <w:pPr>
        <w:pStyle w:val="Heading2"/>
        <w:rPr>
          <w:rFonts w:ascii="Calibri" w:eastAsia="Times New Roman" w:hAnsi="Calibri" w:cs="Arial"/>
          <w:b/>
          <w:bCs/>
          <w:color w:val="auto"/>
          <w:sz w:val="24"/>
          <w:szCs w:val="24"/>
        </w:rPr>
      </w:pPr>
      <w:bookmarkStart w:id="47" w:name="_Overarching_administrative_advice"/>
      <w:bookmarkEnd w:id="47"/>
      <w:r>
        <w:rPr>
          <w:rFonts w:ascii="Calibri" w:eastAsia="Times New Roman" w:hAnsi="Calibri" w:cs="Arial"/>
          <w:b/>
          <w:bCs/>
          <w:color w:val="auto"/>
          <w:sz w:val="24"/>
          <w:szCs w:val="24"/>
        </w:rPr>
        <w:t>Initial</w:t>
      </w:r>
      <w:r w:rsidR="002E305A">
        <w:rPr>
          <w:rFonts w:ascii="Calibri" w:eastAsia="Times New Roman" w:hAnsi="Calibri" w:cs="Arial"/>
          <w:b/>
          <w:bCs/>
          <w:color w:val="auto"/>
          <w:sz w:val="24"/>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ed listing"/>
      </w:tblPr>
      <w:tblGrid>
        <w:gridCol w:w="1123"/>
        <w:gridCol w:w="2558"/>
        <w:gridCol w:w="1550"/>
        <w:gridCol w:w="840"/>
        <w:gridCol w:w="839"/>
        <w:gridCol w:w="1034"/>
        <w:gridCol w:w="1123"/>
      </w:tblGrid>
      <w:tr w:rsidR="005B0A1E" w14:paraId="7CEA4343" w14:textId="77777777" w:rsidTr="7D33A9CC">
        <w:trPr>
          <w:trHeight w:val="50"/>
        </w:trPr>
        <w:tc>
          <w:tcPr>
            <w:tcW w:w="3681" w:type="dxa"/>
            <w:gridSpan w:val="2"/>
            <w:tcBorders>
              <w:top w:val="single" w:sz="4" w:space="0" w:color="auto"/>
              <w:left w:val="single" w:sz="4" w:space="0" w:color="auto"/>
              <w:bottom w:val="single" w:sz="4" w:space="0" w:color="auto"/>
              <w:right w:val="single" w:sz="4" w:space="0" w:color="auto"/>
            </w:tcBorders>
            <w:hideMark/>
          </w:tcPr>
          <w:p w14:paraId="38479D00" w14:textId="77777777" w:rsidR="005B0A1E" w:rsidRDefault="005B0A1E" w:rsidP="007A591A">
            <w:pPr>
              <w:keepNext/>
              <w:spacing w:line="276" w:lineRule="auto"/>
              <w:ind w:left="-57"/>
              <w:rPr>
                <w:rFonts w:ascii="Arial Narrow" w:hAnsi="Arial Narrow" w:cs="Arial"/>
                <w:b/>
                <w:kern w:val="2"/>
                <w:sz w:val="20"/>
                <w:szCs w:val="20"/>
                <w:lang w:eastAsia="en-US"/>
              </w:rPr>
            </w:pPr>
            <w:r>
              <w:rPr>
                <w:rFonts w:ascii="Arial Narrow" w:hAnsi="Arial Narrow"/>
                <w:b/>
                <w:kern w:val="2"/>
                <w:sz w:val="20"/>
                <w:szCs w:val="20"/>
                <w:lang w:eastAsia="en-US"/>
              </w:rPr>
              <w:t>MEDICINAL PRODUCT</w:t>
            </w:r>
          </w:p>
          <w:p w14:paraId="2E5ED01C"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medicinal product pack</w:t>
            </w:r>
          </w:p>
        </w:tc>
        <w:tc>
          <w:tcPr>
            <w:tcW w:w="1550" w:type="dxa"/>
            <w:tcBorders>
              <w:top w:val="single" w:sz="4" w:space="0" w:color="auto"/>
              <w:left w:val="single" w:sz="4" w:space="0" w:color="auto"/>
              <w:bottom w:val="single" w:sz="4" w:space="0" w:color="auto"/>
              <w:right w:val="single" w:sz="4" w:space="0" w:color="auto"/>
            </w:tcBorders>
            <w:hideMark/>
          </w:tcPr>
          <w:p w14:paraId="0662841D"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PBS item code</w:t>
            </w:r>
          </w:p>
        </w:tc>
        <w:tc>
          <w:tcPr>
            <w:tcW w:w="840" w:type="dxa"/>
            <w:tcBorders>
              <w:top w:val="single" w:sz="4" w:space="0" w:color="auto"/>
              <w:left w:val="single" w:sz="4" w:space="0" w:color="auto"/>
              <w:bottom w:val="single" w:sz="4" w:space="0" w:color="auto"/>
              <w:right w:val="single" w:sz="4" w:space="0" w:color="auto"/>
            </w:tcBorders>
            <w:hideMark/>
          </w:tcPr>
          <w:p w14:paraId="0C72FA05"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packs</w:t>
            </w:r>
          </w:p>
        </w:tc>
        <w:tc>
          <w:tcPr>
            <w:tcW w:w="839" w:type="dxa"/>
            <w:tcBorders>
              <w:top w:val="single" w:sz="4" w:space="0" w:color="auto"/>
              <w:left w:val="single" w:sz="4" w:space="0" w:color="auto"/>
              <w:bottom w:val="single" w:sz="4" w:space="0" w:color="auto"/>
              <w:right w:val="single" w:sz="4" w:space="0" w:color="auto"/>
            </w:tcBorders>
            <w:hideMark/>
          </w:tcPr>
          <w:p w14:paraId="31EE4F1C"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units</w:t>
            </w:r>
          </w:p>
        </w:tc>
        <w:tc>
          <w:tcPr>
            <w:tcW w:w="1034" w:type="dxa"/>
            <w:tcBorders>
              <w:top w:val="single" w:sz="4" w:space="0" w:color="auto"/>
              <w:left w:val="single" w:sz="4" w:space="0" w:color="auto"/>
              <w:bottom w:val="single" w:sz="4" w:space="0" w:color="auto"/>
              <w:right w:val="single" w:sz="4" w:space="0" w:color="auto"/>
            </w:tcBorders>
            <w:hideMark/>
          </w:tcPr>
          <w:p w14:paraId="1E5DAEFB"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№.of</w:t>
            </w:r>
          </w:p>
          <w:p w14:paraId="0B0E8371"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Rpts</w:t>
            </w:r>
          </w:p>
        </w:tc>
        <w:tc>
          <w:tcPr>
            <w:tcW w:w="1123" w:type="dxa"/>
            <w:tcBorders>
              <w:top w:val="single" w:sz="4" w:space="0" w:color="auto"/>
              <w:left w:val="single" w:sz="4" w:space="0" w:color="auto"/>
              <w:bottom w:val="single" w:sz="4" w:space="0" w:color="auto"/>
              <w:right w:val="single" w:sz="4" w:space="0" w:color="auto"/>
            </w:tcBorders>
            <w:hideMark/>
          </w:tcPr>
          <w:p w14:paraId="46D538A1"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Available brands</w:t>
            </w:r>
          </w:p>
        </w:tc>
      </w:tr>
      <w:tr w:rsidR="005B0A1E" w14:paraId="63FA10E0" w14:textId="77777777" w:rsidTr="7D33A9CC">
        <w:trPr>
          <w:trHeight w:val="50"/>
        </w:trPr>
        <w:tc>
          <w:tcPr>
            <w:tcW w:w="9067" w:type="dxa"/>
            <w:gridSpan w:val="7"/>
            <w:tcBorders>
              <w:top w:val="single" w:sz="4" w:space="0" w:color="auto"/>
              <w:left w:val="single" w:sz="4" w:space="0" w:color="auto"/>
              <w:bottom w:val="single" w:sz="4" w:space="0" w:color="auto"/>
              <w:right w:val="single" w:sz="4" w:space="0" w:color="auto"/>
            </w:tcBorders>
            <w:hideMark/>
          </w:tcPr>
          <w:p w14:paraId="42236C2F" w14:textId="77777777" w:rsidR="005B0A1E" w:rsidRDefault="005B0A1E" w:rsidP="007A591A">
            <w:pPr>
              <w:keepNext/>
              <w:spacing w:line="276" w:lineRule="auto"/>
              <w:ind w:left="-57"/>
              <w:rPr>
                <w:rFonts w:ascii="Arial Narrow" w:hAnsi="Arial Narrow"/>
                <w:kern w:val="2"/>
                <w:sz w:val="20"/>
                <w:szCs w:val="20"/>
                <w:lang w:eastAsia="en-US"/>
              </w:rPr>
            </w:pPr>
            <w:r>
              <w:rPr>
                <w:rFonts w:ascii="Arial Narrow" w:hAnsi="Arial Narrow"/>
                <w:kern w:val="2"/>
                <w:sz w:val="20"/>
                <w:szCs w:val="20"/>
                <w:lang w:eastAsia="en-US"/>
              </w:rPr>
              <w:t>TOFERSEN</w:t>
            </w:r>
          </w:p>
        </w:tc>
      </w:tr>
      <w:tr w:rsidR="005B0A1E" w14:paraId="51127D97" w14:textId="77777777" w:rsidTr="7D33A9CC">
        <w:trPr>
          <w:trHeight w:val="50"/>
        </w:trPr>
        <w:tc>
          <w:tcPr>
            <w:tcW w:w="3681" w:type="dxa"/>
            <w:gridSpan w:val="2"/>
            <w:tcBorders>
              <w:top w:val="single" w:sz="4" w:space="0" w:color="auto"/>
              <w:left w:val="single" w:sz="4" w:space="0" w:color="auto"/>
              <w:bottom w:val="single" w:sz="4" w:space="0" w:color="auto"/>
              <w:right w:val="single" w:sz="4" w:space="0" w:color="auto"/>
            </w:tcBorders>
            <w:hideMark/>
          </w:tcPr>
          <w:p w14:paraId="0B665E5C"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kern w:val="2"/>
                <w:sz w:val="20"/>
                <w:szCs w:val="20"/>
                <w:lang w:eastAsia="en-US"/>
              </w:rPr>
              <w:t xml:space="preserve">tofersen 100 mg/ 15 mL injection, 15 mL vial </w:t>
            </w:r>
          </w:p>
        </w:tc>
        <w:tc>
          <w:tcPr>
            <w:tcW w:w="1550" w:type="dxa"/>
            <w:tcBorders>
              <w:top w:val="single" w:sz="4" w:space="0" w:color="auto"/>
              <w:left w:val="single" w:sz="4" w:space="0" w:color="auto"/>
              <w:bottom w:val="single" w:sz="4" w:space="0" w:color="auto"/>
              <w:right w:val="single" w:sz="4" w:space="0" w:color="auto"/>
            </w:tcBorders>
            <w:hideMark/>
          </w:tcPr>
          <w:p w14:paraId="713EA1FF"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(Private)</w:t>
            </w:r>
          </w:p>
          <w:p w14:paraId="0AD9A4C8"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(Public)</w:t>
            </w:r>
          </w:p>
        </w:tc>
        <w:tc>
          <w:tcPr>
            <w:tcW w:w="840" w:type="dxa"/>
            <w:tcBorders>
              <w:top w:val="single" w:sz="4" w:space="0" w:color="auto"/>
              <w:left w:val="single" w:sz="4" w:space="0" w:color="auto"/>
              <w:bottom w:val="single" w:sz="4" w:space="0" w:color="auto"/>
              <w:right w:val="single" w:sz="4" w:space="0" w:color="auto"/>
            </w:tcBorders>
            <w:hideMark/>
          </w:tcPr>
          <w:p w14:paraId="5A934AEC"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39" w:type="dxa"/>
            <w:tcBorders>
              <w:top w:val="single" w:sz="4" w:space="0" w:color="auto"/>
              <w:left w:val="single" w:sz="4" w:space="0" w:color="auto"/>
              <w:bottom w:val="single" w:sz="4" w:space="0" w:color="auto"/>
              <w:right w:val="single" w:sz="4" w:space="0" w:color="auto"/>
            </w:tcBorders>
            <w:hideMark/>
          </w:tcPr>
          <w:p w14:paraId="5FAE1766"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1034" w:type="dxa"/>
            <w:tcBorders>
              <w:top w:val="single" w:sz="4" w:space="0" w:color="auto"/>
              <w:left w:val="single" w:sz="4" w:space="0" w:color="auto"/>
              <w:bottom w:val="single" w:sz="4" w:space="0" w:color="auto"/>
              <w:right w:val="single" w:sz="4" w:space="0" w:color="auto"/>
            </w:tcBorders>
            <w:hideMark/>
          </w:tcPr>
          <w:p w14:paraId="34C491D3" w14:textId="77777777" w:rsidR="005B0A1E" w:rsidRDefault="005B0A1E" w:rsidP="007A591A">
            <w:pPr>
              <w:keepNext/>
              <w:spacing w:line="276" w:lineRule="auto"/>
              <w:ind w:left="-57"/>
              <w:jc w:val="center"/>
              <w:rPr>
                <w:rFonts w:ascii="Arial Narrow" w:hAnsi="Arial Narrow"/>
                <w:bCs/>
                <w:kern w:val="2"/>
                <w:sz w:val="20"/>
                <w:szCs w:val="20"/>
                <w:lang w:eastAsia="en-US"/>
              </w:rPr>
            </w:pPr>
            <w:r>
              <w:rPr>
                <w:rFonts w:ascii="Arial Narrow" w:hAnsi="Arial Narrow"/>
                <w:bCs/>
                <w:kern w:val="2"/>
                <w:sz w:val="20"/>
                <w:szCs w:val="20"/>
                <w:lang w:eastAsia="en-US"/>
              </w:rPr>
              <w:t>6</w:t>
            </w:r>
          </w:p>
        </w:tc>
        <w:tc>
          <w:tcPr>
            <w:tcW w:w="1123" w:type="dxa"/>
            <w:tcBorders>
              <w:top w:val="single" w:sz="4" w:space="0" w:color="auto"/>
              <w:left w:val="single" w:sz="4" w:space="0" w:color="auto"/>
              <w:bottom w:val="single" w:sz="4" w:space="0" w:color="auto"/>
              <w:right w:val="single" w:sz="4" w:space="0" w:color="auto"/>
            </w:tcBorders>
            <w:hideMark/>
          </w:tcPr>
          <w:p w14:paraId="741B2976"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Qalsody</w:t>
            </w:r>
          </w:p>
        </w:tc>
      </w:tr>
      <w:tr w:rsidR="005B0A1E" w14:paraId="4DA8E1AE" w14:textId="77777777" w:rsidTr="7D33A9CC">
        <w:trPr>
          <w:trHeight w:val="50"/>
        </w:trPr>
        <w:tc>
          <w:tcPr>
            <w:tcW w:w="9067" w:type="dxa"/>
            <w:gridSpan w:val="7"/>
            <w:tcBorders>
              <w:top w:val="single" w:sz="4" w:space="0" w:color="auto"/>
              <w:left w:val="single" w:sz="4" w:space="0" w:color="auto"/>
              <w:bottom w:val="single" w:sz="4" w:space="0" w:color="auto"/>
              <w:right w:val="single" w:sz="4" w:space="0" w:color="auto"/>
            </w:tcBorders>
          </w:tcPr>
          <w:p w14:paraId="4D68EF15" w14:textId="77777777" w:rsidR="005B0A1E" w:rsidRDefault="005B0A1E" w:rsidP="007A591A">
            <w:pPr>
              <w:keepNext/>
              <w:spacing w:line="276" w:lineRule="auto"/>
              <w:ind w:left="-57"/>
              <w:rPr>
                <w:rFonts w:ascii="Arial Narrow" w:hAnsi="Arial Narrow"/>
                <w:b/>
                <w:kern w:val="2"/>
                <w:sz w:val="20"/>
                <w:szCs w:val="20"/>
                <w:lang w:eastAsia="en-US"/>
              </w:rPr>
            </w:pPr>
          </w:p>
        </w:tc>
      </w:tr>
      <w:tr w:rsidR="005B0A1E" w14:paraId="00613294" w14:textId="77777777" w:rsidTr="7D33A9CC">
        <w:trPr>
          <w:trHeight w:val="300"/>
        </w:trPr>
        <w:tc>
          <w:tcPr>
            <w:tcW w:w="1123" w:type="dxa"/>
            <w:vMerge w:val="restart"/>
            <w:tcBorders>
              <w:top w:val="single" w:sz="4" w:space="0" w:color="auto"/>
              <w:left w:val="single" w:sz="4" w:space="0" w:color="auto"/>
              <w:bottom w:val="single" w:sz="4" w:space="0" w:color="auto"/>
              <w:right w:val="single" w:sz="4" w:space="0" w:color="auto"/>
            </w:tcBorders>
            <w:vAlign w:val="center"/>
            <w:hideMark/>
          </w:tcPr>
          <w:p w14:paraId="62E69D03" w14:textId="77777777" w:rsidR="005B0A1E" w:rsidRDefault="005B0A1E" w:rsidP="007A591A">
            <w:pPr>
              <w:keepNext/>
              <w:keepLines/>
              <w:spacing w:line="276" w:lineRule="auto"/>
              <w:jc w:val="center"/>
              <w:rPr>
                <w:rFonts w:ascii="Arial Narrow" w:hAnsi="Arial Narrow"/>
                <w:kern w:val="2"/>
                <w:sz w:val="20"/>
                <w:szCs w:val="20"/>
                <w:lang w:eastAsia="en-US"/>
              </w:rPr>
            </w:pPr>
            <w:r>
              <w:rPr>
                <w:rFonts w:ascii="Arial Narrow" w:hAnsi="Arial Narrow"/>
                <w:b/>
                <w:kern w:val="2"/>
                <w:sz w:val="20"/>
                <w:szCs w:val="20"/>
                <w:lang w:eastAsia="en-US"/>
              </w:rPr>
              <w:t>Concept ID</w:t>
            </w:r>
          </w:p>
          <w:p w14:paraId="44225CE6" w14:textId="230AE4B2"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val="en-GB" w:eastAsia="en-US"/>
              </w:rPr>
              <w:t>(For Dept.</w:t>
            </w:r>
            <w:r w:rsidR="00226E9F">
              <w:rPr>
                <w:rFonts w:ascii="Arial Narrow" w:hAnsi="Arial Narrow"/>
                <w:b/>
                <w:kern w:val="2"/>
                <w:sz w:val="20"/>
                <w:szCs w:val="20"/>
                <w:lang w:val="en-GB" w:eastAsia="en-US"/>
              </w:rPr>
              <w:t xml:space="preserve"> </w:t>
            </w:r>
            <w:r>
              <w:rPr>
                <w:rFonts w:ascii="Arial Narrow" w:hAnsi="Arial Narrow"/>
                <w:b/>
                <w:kern w:val="2"/>
                <w:sz w:val="20"/>
                <w:szCs w:val="20"/>
                <w:lang w:val="en-GB" w:eastAsia="en-US"/>
              </w:rPr>
              <w:t>use}</w:t>
            </w: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7552B11A" w14:textId="6C2CBE8D"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Category / Program:</w:t>
            </w:r>
            <w:r>
              <w:rPr>
                <w:rFonts w:ascii="Arial Narrow" w:hAnsi="Arial Narrow"/>
                <w:kern w:val="2"/>
                <w:sz w:val="20"/>
                <w:szCs w:val="20"/>
                <w:lang w:eastAsia="en-US"/>
              </w:rPr>
              <w:t xml:space="preserve"> </w:t>
            </w:r>
            <w:r w:rsidR="0045056E">
              <w:rPr>
                <w:rFonts w:ascii="Arial Narrow" w:hAnsi="Arial Narrow"/>
                <w:kern w:val="2"/>
                <w:sz w:val="20"/>
                <w:szCs w:val="20"/>
                <w:lang w:eastAsia="en-US"/>
              </w:rPr>
              <w:fldChar w:fldCharType="begin">
                <w:ffData>
                  <w:name w:val="Check1"/>
                  <w:enabled/>
                  <w:calcOnExit w:val="0"/>
                  <w:checkBox>
                    <w:sizeAuto/>
                    <w:default w:val="1"/>
                  </w:checkBox>
                </w:ffData>
              </w:fldChar>
            </w:r>
            <w:r w:rsidR="0045056E">
              <w:rPr>
                <w:rFonts w:ascii="Arial Narrow" w:hAnsi="Arial Narrow"/>
                <w:kern w:val="2"/>
                <w:sz w:val="20"/>
                <w:szCs w:val="20"/>
                <w:lang w:eastAsia="en-US"/>
              </w:rPr>
              <w:instrText xml:space="preserve"> </w:instrText>
            </w:r>
            <w:bookmarkStart w:id="48" w:name="Check1"/>
            <w:r w:rsidR="0045056E">
              <w:rPr>
                <w:rFonts w:ascii="Arial Narrow" w:hAnsi="Arial Narrow"/>
                <w:kern w:val="2"/>
                <w:sz w:val="20"/>
                <w:szCs w:val="20"/>
                <w:lang w:eastAsia="en-US"/>
              </w:rPr>
              <w:instrText xml:space="preserve">FORMCHECKBOX </w:instrText>
            </w:r>
            <w:r w:rsidR="0045056E">
              <w:rPr>
                <w:rFonts w:ascii="Arial Narrow" w:hAnsi="Arial Narrow"/>
                <w:kern w:val="2"/>
                <w:sz w:val="20"/>
                <w:szCs w:val="20"/>
                <w:lang w:eastAsia="en-US"/>
              </w:rPr>
            </w:r>
            <w:r w:rsidR="0045056E">
              <w:rPr>
                <w:rFonts w:ascii="Arial Narrow" w:hAnsi="Arial Narrow"/>
                <w:kern w:val="2"/>
                <w:sz w:val="20"/>
                <w:szCs w:val="20"/>
                <w:lang w:eastAsia="en-US"/>
              </w:rPr>
              <w:fldChar w:fldCharType="separate"/>
            </w:r>
            <w:r w:rsidR="0045056E">
              <w:rPr>
                <w:rFonts w:ascii="Arial Narrow" w:hAnsi="Arial Narrow"/>
                <w:kern w:val="2"/>
                <w:sz w:val="20"/>
                <w:szCs w:val="20"/>
                <w:lang w:eastAsia="en-US"/>
              </w:rPr>
              <w:fldChar w:fldCharType="end"/>
            </w:r>
            <w:bookmarkEnd w:id="48"/>
            <w:r>
              <w:rPr>
                <w:rFonts w:ascii="Arial Narrow" w:hAnsi="Arial Narrow"/>
                <w:kern w:val="2"/>
                <w:sz w:val="20"/>
                <w:szCs w:val="20"/>
                <w:lang w:eastAsia="en-US"/>
              </w:rPr>
              <w:t xml:space="preserve"> </w:t>
            </w:r>
            <w:r>
              <w:rPr>
                <w:rFonts w:ascii="Arial Narrow" w:eastAsia="Calibri" w:hAnsi="Arial Narrow"/>
                <w:kern w:val="2"/>
                <w:sz w:val="20"/>
                <w:szCs w:val="20"/>
                <w:lang w:eastAsia="en-US"/>
              </w:rPr>
              <w:t>Section 100 – Highly Specialised Drugs Program – Public (Code HB) / Private (Code HS)</w:t>
            </w:r>
          </w:p>
        </w:tc>
      </w:tr>
      <w:tr w:rsidR="005B0A1E" w14:paraId="27B77ACF" w14:textId="77777777" w:rsidTr="7D33A9CC">
        <w:trPr>
          <w:trHeight w:val="300"/>
        </w:trPr>
        <w:tc>
          <w:tcPr>
            <w:tcW w:w="0" w:type="auto"/>
            <w:vMerge/>
            <w:vAlign w:val="center"/>
            <w:hideMark/>
          </w:tcPr>
          <w:p w14:paraId="2BDDFC42" w14:textId="77777777" w:rsidR="005B0A1E" w:rsidRDefault="005B0A1E" w:rsidP="007A591A">
            <w:pPr>
              <w:spacing w:line="276" w:lineRule="auto"/>
              <w:jc w:val="left"/>
              <w:rPr>
                <w:rFonts w:ascii="Arial Narrow" w:hAnsi="Arial Narrow" w:cs="Arial"/>
                <w:b/>
                <w:kern w:val="2"/>
                <w:sz w:val="20"/>
                <w:szCs w:val="20"/>
                <w:lang w:val="en-GB" w:eastAsia="en-US"/>
                <w14:ligatures w14:val="standardContextual"/>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7E23350F"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 xml:space="preserve">Prescriber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Medical Practitioners </w:t>
            </w:r>
          </w:p>
        </w:tc>
      </w:tr>
      <w:tr w:rsidR="005B0A1E" w14:paraId="43F030F0" w14:textId="77777777" w:rsidTr="7D33A9CC">
        <w:trPr>
          <w:trHeight w:val="300"/>
        </w:trPr>
        <w:tc>
          <w:tcPr>
            <w:tcW w:w="0" w:type="auto"/>
            <w:vMerge/>
            <w:vAlign w:val="center"/>
            <w:hideMark/>
          </w:tcPr>
          <w:p w14:paraId="44EF2281" w14:textId="77777777" w:rsidR="005B0A1E" w:rsidRDefault="005B0A1E" w:rsidP="007A591A">
            <w:pPr>
              <w:spacing w:line="276" w:lineRule="auto"/>
              <w:jc w:val="left"/>
              <w:rPr>
                <w:rFonts w:ascii="Arial Narrow" w:hAnsi="Arial Narrow" w:cs="Arial"/>
                <w:b/>
                <w:kern w:val="2"/>
                <w:sz w:val="20"/>
                <w:szCs w:val="20"/>
                <w:lang w:val="en-GB" w:eastAsia="en-US"/>
                <w14:ligatures w14:val="standardContextual"/>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250B7765"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 xml:space="preserve">Benefit type: </w:t>
            </w:r>
            <w:r>
              <w:rPr>
                <w:kern w:val="2"/>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kern w:val="2"/>
                <w:lang w:eastAsia="en-US"/>
              </w:rPr>
            </w:r>
            <w:r>
              <w:rPr>
                <w:kern w:val="2"/>
                <w:lang w:eastAsia="en-US"/>
              </w:rPr>
              <w:fldChar w:fldCharType="separate"/>
            </w:r>
            <w:r>
              <w:rPr>
                <w:kern w:val="2"/>
                <w:lang w:eastAsia="en-US"/>
              </w:rPr>
              <w:fldChar w:fldCharType="end"/>
            </w:r>
            <w:r>
              <w:rPr>
                <w:rFonts w:ascii="Arial Narrow" w:hAnsi="Arial Narrow"/>
                <w:kern w:val="2"/>
                <w:sz w:val="20"/>
                <w:szCs w:val="20"/>
                <w:lang w:eastAsia="en-US"/>
              </w:rPr>
              <w:t xml:space="preserve"> </w:t>
            </w:r>
            <w:r>
              <w:rPr>
                <w:rFonts w:ascii="Arial Narrow" w:eastAsia="Calibri" w:hAnsi="Arial Narrow"/>
                <w:kern w:val="2"/>
                <w:sz w:val="20"/>
                <w:szCs w:val="20"/>
                <w:lang w:eastAsia="en-US"/>
              </w:rPr>
              <w:t>Authority Required (Telephone/ Online PBS Authorities System)</w:t>
            </w:r>
          </w:p>
        </w:tc>
      </w:tr>
      <w:tr w:rsidR="005B0A1E" w14:paraId="34B32847" w14:textId="77777777" w:rsidTr="7D33A9CC">
        <w:trPr>
          <w:trHeight w:val="300"/>
        </w:trPr>
        <w:tc>
          <w:tcPr>
            <w:tcW w:w="9067" w:type="dxa"/>
            <w:gridSpan w:val="7"/>
            <w:tcBorders>
              <w:top w:val="single" w:sz="4" w:space="0" w:color="auto"/>
              <w:left w:val="single" w:sz="4" w:space="0" w:color="auto"/>
              <w:bottom w:val="single" w:sz="4" w:space="0" w:color="auto"/>
              <w:right w:val="single" w:sz="4" w:space="0" w:color="auto"/>
            </w:tcBorders>
            <w:hideMark/>
          </w:tcPr>
          <w:p w14:paraId="70923975" w14:textId="59C3B979"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Prescribing rule level:</w:t>
            </w:r>
            <w:r w:rsidR="007A591A">
              <w:rPr>
                <w:rFonts w:ascii="Arial Narrow" w:hAnsi="Arial Narrow"/>
                <w:b/>
                <w:kern w:val="2"/>
                <w:sz w:val="20"/>
                <w:szCs w:val="20"/>
                <w:lang w:eastAsia="en-US"/>
              </w:rPr>
              <w:t xml:space="preserve"> </w:t>
            </w:r>
          </w:p>
        </w:tc>
      </w:tr>
      <w:tr w:rsidR="005B0A1E" w14:paraId="69393736"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hideMark/>
          </w:tcPr>
          <w:p w14:paraId="581CFF7D" w14:textId="02BFACD1" w:rsidR="005B0A1E" w:rsidRDefault="005B0A1E" w:rsidP="007A591A">
            <w:pPr>
              <w:spacing w:line="276" w:lineRule="auto"/>
              <w:jc w:val="center"/>
              <w:rPr>
                <w:rFonts w:ascii="Arial Narrow" w:hAnsi="Arial Narrow"/>
                <w:b/>
                <w:kern w:val="2"/>
                <w:sz w:val="20"/>
                <w:szCs w:val="20"/>
                <w:lang w:val="en-GB"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6B823420"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7D16A808"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bCs/>
                <w:kern w:val="2"/>
                <w:sz w:val="20"/>
                <w:szCs w:val="20"/>
                <w:lang w:eastAsia="en-US"/>
              </w:rPr>
              <w:t>No increase in the maximum quantity or number of units may be authorised.</w:t>
            </w:r>
          </w:p>
        </w:tc>
      </w:tr>
      <w:tr w:rsidR="005B0A1E" w14:paraId="4AF665A6"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hideMark/>
          </w:tcPr>
          <w:p w14:paraId="5307F9A5" w14:textId="5DD9BA73" w:rsidR="005B0A1E" w:rsidRDefault="005B0A1E" w:rsidP="007A591A">
            <w:pPr>
              <w:spacing w:line="276" w:lineRule="auto"/>
              <w:jc w:val="center"/>
              <w:rPr>
                <w:rFonts w:ascii="Arial Narrow" w:hAnsi="Arial Narrow"/>
                <w:b/>
                <w:kern w:val="2"/>
                <w:sz w:val="20"/>
                <w:szCs w:val="20"/>
                <w:lang w:val="en-GB"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7400FF69"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6553627E"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color w:val="333333"/>
                <w:kern w:val="2"/>
                <w:sz w:val="20"/>
                <w:szCs w:val="20"/>
                <w:lang w:eastAsia="en-US"/>
              </w:rPr>
              <w:t xml:space="preserve">No increase in the maximum number of repeats may be authorised. </w:t>
            </w:r>
          </w:p>
        </w:tc>
      </w:tr>
      <w:tr w:rsidR="005B0A1E" w14:paraId="347667D7"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hideMark/>
          </w:tcPr>
          <w:p w14:paraId="69A65E07" w14:textId="01927856" w:rsidR="005B0A1E" w:rsidRDefault="005B0A1E" w:rsidP="007A591A">
            <w:pPr>
              <w:spacing w:line="276" w:lineRule="auto"/>
              <w:jc w:val="center"/>
              <w:rPr>
                <w:rFonts w:ascii="Arial Narrow" w:hAnsi="Arial Narrow"/>
                <w:color w:val="333333"/>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2E7232BF" w14:textId="77777777" w:rsidR="005B0A1E" w:rsidRDefault="005B0A1E" w:rsidP="007A591A">
            <w:pPr>
              <w:keepLines/>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6E119B0E"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color w:val="333333"/>
                <w:kern w:val="2"/>
                <w:sz w:val="20"/>
                <w:szCs w:val="20"/>
                <w:lang w:eastAsia="en-US"/>
              </w:rPr>
              <w:t>Special Pricing Arrangements apply.</w:t>
            </w:r>
            <w:r>
              <w:rPr>
                <w:rFonts w:ascii="Arial Narrow" w:hAnsi="Arial Narrow"/>
                <w:b/>
                <w:color w:val="333333"/>
                <w:kern w:val="2"/>
                <w:sz w:val="20"/>
                <w:szCs w:val="20"/>
                <w:lang w:eastAsia="en-US"/>
              </w:rPr>
              <w:t xml:space="preserve"> </w:t>
            </w:r>
          </w:p>
        </w:tc>
      </w:tr>
      <w:tr w:rsidR="005B0A1E" w14:paraId="12BC7D1B"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hideMark/>
          </w:tcPr>
          <w:p w14:paraId="3D7A7168" w14:textId="2EDC99C8" w:rsidR="005B0A1E" w:rsidRDefault="005B0A1E" w:rsidP="007A591A">
            <w:pPr>
              <w:spacing w:line="276" w:lineRule="auto"/>
              <w:jc w:val="center"/>
              <w:rPr>
                <w:rFonts w:ascii="Arial Narrow" w:hAnsi="Arial Narrow"/>
                <w:b/>
                <w:kern w:val="2"/>
                <w:sz w:val="20"/>
                <w:szCs w:val="20"/>
                <w:lang w:val="en-GB"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1D5D7581"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 xml:space="preserve">Administrative Advice: </w:t>
            </w:r>
          </w:p>
          <w:p w14:paraId="25719DB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5B0A1E" w14:paraId="07BF4BC2"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hideMark/>
          </w:tcPr>
          <w:p w14:paraId="64181F71" w14:textId="09E45FC9" w:rsidR="005B0A1E" w:rsidRDefault="005B0A1E" w:rsidP="007A591A">
            <w:pPr>
              <w:spacing w:line="276" w:lineRule="auto"/>
              <w:jc w:val="center"/>
              <w:rPr>
                <w:rFonts w:ascii="Arial Narrow" w:hAnsi="Arial Narrow"/>
                <w:color w:val="333333"/>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0C7B1975" w14:textId="77777777" w:rsidR="005B0A1E" w:rsidRDefault="005B0A1E" w:rsidP="007A591A">
            <w:pPr>
              <w:spacing w:line="276" w:lineRule="auto"/>
              <w:jc w:val="left"/>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698C4417" w14:textId="21C6A816" w:rsidR="005B0A1E" w:rsidRDefault="005B0A1E" w:rsidP="007A591A">
            <w:pPr>
              <w:spacing w:line="276" w:lineRule="auto"/>
              <w:jc w:val="left"/>
              <w:rPr>
                <w:rFonts w:ascii="Arial Narrow" w:hAnsi="Arial Narrow"/>
                <w:color w:val="333333"/>
                <w:kern w:val="2"/>
                <w:sz w:val="20"/>
                <w:szCs w:val="20"/>
                <w:lang w:eastAsia="en-US"/>
              </w:rPr>
            </w:pPr>
            <w:r>
              <w:rPr>
                <w:rFonts w:ascii="Arial Narrow" w:hAnsi="Arial Narrow"/>
                <w:color w:val="333333"/>
                <w:kern w:val="2"/>
                <w:sz w:val="20"/>
                <w:szCs w:val="20"/>
                <w:lang w:eastAsia="en-US"/>
              </w:rPr>
              <w:t xml:space="preserve">The ALS Functional Rating Scale </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 xml:space="preserve"> Revised (ALSFRS</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R) can be accessed online at:</w:t>
            </w:r>
          </w:p>
          <w:p w14:paraId="451D1519" w14:textId="49B5F4FC" w:rsidR="005B0A1E" w:rsidRDefault="005B0A1E" w:rsidP="007A591A">
            <w:pPr>
              <w:spacing w:line="276" w:lineRule="auto"/>
              <w:jc w:val="left"/>
              <w:rPr>
                <w:rFonts w:ascii="Arial Narrow" w:hAnsi="Arial Narrow"/>
                <w:b/>
                <w:bCs/>
                <w:color w:val="333333"/>
                <w:kern w:val="2"/>
                <w:sz w:val="20"/>
                <w:szCs w:val="20"/>
                <w:lang w:eastAsia="en-US"/>
              </w:rPr>
            </w:pPr>
            <w:r>
              <w:rPr>
                <w:rFonts w:ascii="Arial Narrow" w:hAnsi="Arial Narrow"/>
                <w:color w:val="333333"/>
                <w:kern w:val="2"/>
                <w:sz w:val="20"/>
                <w:szCs w:val="20"/>
                <w:lang w:eastAsia="en-US"/>
              </w:rPr>
              <w:t>www.mdcalc.com/calc/10166/revised</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amyotrophic</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lateral</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sclerosis</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functional</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rating</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scale</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alsfrs</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r or https://neurotoolkit.com/alsfrs</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r/</w:t>
            </w:r>
          </w:p>
        </w:tc>
      </w:tr>
      <w:tr w:rsidR="005B0A1E" w14:paraId="7146B525" w14:textId="77777777" w:rsidTr="7D33A9CC">
        <w:trPr>
          <w:trHeight w:val="300"/>
        </w:trPr>
        <w:tc>
          <w:tcPr>
            <w:tcW w:w="9067"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CA05A0"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Restriction Summary [new1] / Treatment of Concept: [new1A]</w:t>
            </w:r>
          </w:p>
        </w:tc>
      </w:tr>
      <w:tr w:rsidR="005B0A1E" w14:paraId="116DD7F7"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vAlign w:val="center"/>
            <w:hideMark/>
          </w:tcPr>
          <w:p w14:paraId="40A04D78" w14:textId="58DB94FA"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60C8C657" w14:textId="11E3FD48" w:rsidR="005B0A1E" w:rsidRDefault="005B0A1E" w:rsidP="007A591A">
            <w:pPr>
              <w:spacing w:line="276" w:lineRule="auto"/>
              <w:rPr>
                <w:rFonts w:ascii="Arial Narrow" w:hAnsi="Arial Narrow"/>
                <w:kern w:val="2"/>
                <w:sz w:val="20"/>
                <w:szCs w:val="20"/>
                <w:lang w:eastAsia="en-US"/>
              </w:rPr>
            </w:pPr>
            <w:r>
              <w:rPr>
                <w:rFonts w:ascii="Arial Narrow" w:hAnsi="Arial Narrow"/>
                <w:b/>
                <w:kern w:val="2"/>
                <w:sz w:val="20"/>
                <w:szCs w:val="20"/>
                <w:lang w:eastAsia="en-US"/>
              </w:rPr>
              <w:t>Indication:</w:t>
            </w:r>
            <w:r>
              <w:rPr>
                <w:rFonts w:ascii="Arial Narrow" w:hAnsi="Arial Narrow"/>
                <w:kern w:val="2"/>
                <w:sz w:val="20"/>
                <w:szCs w:val="20"/>
                <w:lang w:eastAsia="en-US"/>
              </w:rPr>
              <w:t xml:space="preserve"> Amyotrophic lateral sclerosis</w:t>
            </w:r>
            <w:r w:rsidR="007A591A">
              <w:rPr>
                <w:rFonts w:ascii="Arial Narrow" w:hAnsi="Arial Narrow"/>
                <w:kern w:val="2"/>
                <w:sz w:val="20"/>
                <w:szCs w:val="20"/>
                <w:lang w:eastAsia="en-US"/>
              </w:rPr>
              <w:t xml:space="preserve"> </w:t>
            </w:r>
          </w:p>
        </w:tc>
      </w:tr>
      <w:tr w:rsidR="005B0A1E" w14:paraId="10D8A478"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vAlign w:val="center"/>
            <w:hideMark/>
          </w:tcPr>
          <w:p w14:paraId="3E02E8D6" w14:textId="77777777" w:rsidR="005B0A1E" w:rsidRDefault="005B0A1E" w:rsidP="007A591A">
            <w:pP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10AB25DF" w14:textId="77777777" w:rsidR="005B0A1E" w:rsidRDefault="005B0A1E" w:rsidP="007A591A">
            <w:pPr>
              <w:spacing w:line="276" w:lineRule="auto"/>
              <w:rPr>
                <w:rFonts w:ascii="Arial Narrow" w:hAnsi="Arial Narrow" w:cs="Arial"/>
                <w:kern w:val="2"/>
                <w:sz w:val="20"/>
                <w:szCs w:val="20"/>
                <w:lang w:eastAsia="en-US"/>
                <w14:ligatures w14:val="standardContextual"/>
              </w:rPr>
            </w:pPr>
            <w:r>
              <w:rPr>
                <w:rFonts w:ascii="Arial Narrow" w:hAnsi="Arial Narrow"/>
                <w:b/>
                <w:bCs/>
                <w:kern w:val="2"/>
                <w:sz w:val="20"/>
                <w:szCs w:val="20"/>
                <w:lang w:eastAsia="en-US"/>
              </w:rPr>
              <w:t>Treatment Phase:</w:t>
            </w:r>
            <w:r>
              <w:rPr>
                <w:rFonts w:ascii="Arial Narrow" w:hAnsi="Arial Narrow"/>
                <w:kern w:val="2"/>
                <w:sz w:val="20"/>
                <w:szCs w:val="20"/>
                <w:lang w:eastAsia="en-US"/>
              </w:rPr>
              <w:t xml:space="preserve"> Initial treatment </w:t>
            </w:r>
          </w:p>
        </w:tc>
      </w:tr>
      <w:tr w:rsidR="005B0A1E" w14:paraId="57C4E1E0"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hideMark/>
          </w:tcPr>
          <w:p w14:paraId="46577607" w14:textId="0F7265E4"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2457CFA0"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6B7D420D" w14:textId="77777777" w:rsidTr="7D33A9CC">
        <w:trPr>
          <w:trHeight w:val="69"/>
        </w:trPr>
        <w:tc>
          <w:tcPr>
            <w:tcW w:w="1123" w:type="dxa"/>
            <w:tcBorders>
              <w:top w:val="single" w:sz="4" w:space="0" w:color="auto"/>
              <w:left w:val="single" w:sz="4" w:space="0" w:color="auto"/>
              <w:bottom w:val="single" w:sz="4" w:space="0" w:color="auto"/>
              <w:right w:val="single" w:sz="4" w:space="0" w:color="auto"/>
            </w:tcBorders>
            <w:hideMark/>
          </w:tcPr>
          <w:p w14:paraId="371A236B" w14:textId="7BF821D7"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00CD9FEF"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have/have had a clinical symptom(s) of amyotrophic lateral sclerosis prior to commencing treatment with this drug,</w:t>
            </w:r>
          </w:p>
        </w:tc>
      </w:tr>
      <w:tr w:rsidR="005B0A1E" w14:paraId="4AA785FE"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tcPr>
          <w:p w14:paraId="3F5BEFB3" w14:textId="77777777"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45077886"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311392C8"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17CC4EE5" w14:textId="6449C088"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13FB7711"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1502FA28"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56F2C0B2" w14:textId="400C7C0E"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39D755CA"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The condition must have been diagnosed by a neurologist,</w:t>
            </w:r>
          </w:p>
        </w:tc>
      </w:tr>
      <w:tr w:rsidR="005B0A1E" w14:paraId="673E644A"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tcPr>
          <w:p w14:paraId="2E4386DB" w14:textId="77777777"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6F994D7B"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F9EFB31"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5F9A476B" w14:textId="6E4A0D08"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3CB2BA3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06C4D8E9"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01176284" w14:textId="637E4776"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792B2203"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The condition must have a confirmed pathogenic (class 5) or likely pathogenic (class 4) superoxide dismutase 1 (SOD1) gene variant,</w:t>
            </w:r>
          </w:p>
        </w:tc>
      </w:tr>
      <w:tr w:rsidR="005B0A1E" w14:paraId="46C918A8"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tcPr>
          <w:p w14:paraId="48C21F69" w14:textId="77777777"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5A3BE4E5"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3AE39C1A"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hideMark/>
          </w:tcPr>
          <w:p w14:paraId="2BC3BB5A" w14:textId="220B0A60"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0EF728C4"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318B24DA"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hideMark/>
          </w:tcPr>
          <w:p w14:paraId="48E8746D" w14:textId="3974E06D"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18C7516B"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have undergone a tracheostomy</w:t>
            </w:r>
            <w:r>
              <w:rPr>
                <w:rFonts w:ascii="Arial Narrow" w:hAnsi="Arial Narrow"/>
                <w:b/>
                <w:kern w:val="2"/>
                <w:sz w:val="20"/>
                <w:szCs w:val="20"/>
                <w:lang w:eastAsia="en-US"/>
              </w:rPr>
              <w:t>,</w:t>
            </w:r>
          </w:p>
        </w:tc>
      </w:tr>
      <w:tr w:rsidR="005B0A1E" w14:paraId="00AAC62D"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tcPr>
          <w:p w14:paraId="421194C3" w14:textId="77777777"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3784E750"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262642C"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hideMark/>
          </w:tcPr>
          <w:p w14:paraId="32816538" w14:textId="36D7C2B0"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2914EA04"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6CEF87BB"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hideMark/>
          </w:tcPr>
          <w:p w14:paraId="33A9BD78" w14:textId="6F21EE37"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11D67FBF"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have experienced respiratory failure,</w:t>
            </w:r>
          </w:p>
        </w:tc>
      </w:tr>
      <w:tr w:rsidR="005B0A1E" w14:paraId="5EB33915"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tcPr>
          <w:p w14:paraId="3C37021D" w14:textId="77777777"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2558E76E"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6B9062B7"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1CA1B778" w14:textId="03BCA49A"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03082C1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1497F487"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1D280A0F" w14:textId="2A3C60B4"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2416AA82"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The treatment must be given concomitantly with best supportive care (including riluzole where appropriate) for this condition</w:t>
            </w:r>
          </w:p>
        </w:tc>
      </w:tr>
      <w:tr w:rsidR="005B0A1E" w14:paraId="6DC18974"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vAlign w:val="center"/>
          </w:tcPr>
          <w:p w14:paraId="248C9478" w14:textId="77777777"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402886A0"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4E7D172"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34C32579" w14:textId="09362949"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3D815006"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1801278E"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6C5ABF07" w14:textId="1C5D564C"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705F6DB8"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be receiving concomitant treatment with edaravone for this condition.</w:t>
            </w:r>
          </w:p>
        </w:tc>
      </w:tr>
      <w:tr w:rsidR="005B0A1E" w14:paraId="3EE415B6"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7F5721DD" w14:textId="07F8888B"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4CBB0CBA"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Treatment criteria:</w:t>
            </w:r>
          </w:p>
        </w:tc>
      </w:tr>
      <w:tr w:rsidR="005B0A1E" w14:paraId="6017EF76" w14:textId="77777777" w:rsidTr="7D33A9CC">
        <w:trPr>
          <w:trHeight w:val="35"/>
        </w:trPr>
        <w:tc>
          <w:tcPr>
            <w:tcW w:w="1123" w:type="dxa"/>
            <w:tcBorders>
              <w:top w:val="single" w:sz="4" w:space="0" w:color="auto"/>
              <w:left w:val="single" w:sz="4" w:space="0" w:color="auto"/>
              <w:bottom w:val="single" w:sz="4" w:space="0" w:color="auto"/>
              <w:right w:val="single" w:sz="4" w:space="0" w:color="auto"/>
            </w:tcBorders>
            <w:hideMark/>
          </w:tcPr>
          <w:p w14:paraId="4F21AE4C" w14:textId="6F803772"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5A2888E0" w14:textId="77777777" w:rsidR="005B0A1E" w:rsidRDefault="005B0A1E" w:rsidP="007A591A">
            <w:pPr>
              <w:spacing w:line="276" w:lineRule="auto"/>
              <w:rPr>
                <w:rFonts w:ascii="Arial Narrow" w:hAnsi="Arial Narrow"/>
                <w:strike/>
                <w:kern w:val="2"/>
                <w:sz w:val="20"/>
                <w:szCs w:val="20"/>
                <w:lang w:eastAsia="en-US"/>
              </w:rPr>
            </w:pPr>
            <w:r>
              <w:rPr>
                <w:rFonts w:ascii="Arial Narrow" w:hAnsi="Arial Narrow"/>
                <w:kern w:val="2"/>
                <w:sz w:val="20"/>
                <w:szCs w:val="20"/>
                <w:lang w:eastAsia="en-US"/>
              </w:rPr>
              <w:t>Must be treated by a specialist with expertise in the diagnosis and management of amyotrophic lateral sclerosis.</w:t>
            </w:r>
          </w:p>
        </w:tc>
      </w:tr>
      <w:tr w:rsidR="005B0A1E" w14:paraId="292BBCBD" w14:textId="77777777" w:rsidTr="7D33A9CC">
        <w:trPr>
          <w:trHeight w:val="300"/>
        </w:trPr>
        <w:tc>
          <w:tcPr>
            <w:tcW w:w="1123" w:type="dxa"/>
            <w:tcBorders>
              <w:top w:val="single" w:sz="4" w:space="0" w:color="auto"/>
              <w:left w:val="single" w:sz="4" w:space="0" w:color="auto"/>
              <w:bottom w:val="single" w:sz="4" w:space="0" w:color="auto"/>
              <w:right w:val="single" w:sz="4" w:space="0" w:color="auto"/>
            </w:tcBorders>
            <w:vAlign w:val="center"/>
            <w:hideMark/>
          </w:tcPr>
          <w:p w14:paraId="114A65E6" w14:textId="24DC0BBF" w:rsidR="005B0A1E" w:rsidRDefault="005B0A1E" w:rsidP="007A591A">
            <w:pPr>
              <w:spacing w:line="276" w:lineRule="auto"/>
              <w:jc w:val="center"/>
              <w:rPr>
                <w:rFonts w:ascii="Arial Narrow" w:hAnsi="Arial Narrow"/>
                <w:kern w:val="2"/>
                <w:sz w:val="20"/>
                <w:szCs w:val="20"/>
                <w:lang w:eastAsia="en-US"/>
              </w:rPr>
            </w:pPr>
          </w:p>
        </w:tc>
        <w:tc>
          <w:tcPr>
            <w:tcW w:w="7944" w:type="dxa"/>
            <w:gridSpan w:val="6"/>
            <w:tcBorders>
              <w:top w:val="single" w:sz="4" w:space="0" w:color="auto"/>
              <w:left w:val="single" w:sz="4" w:space="0" w:color="auto"/>
              <w:bottom w:val="single" w:sz="4" w:space="0" w:color="auto"/>
              <w:right w:val="single" w:sz="4" w:space="0" w:color="auto"/>
            </w:tcBorders>
            <w:vAlign w:val="center"/>
            <w:hideMark/>
          </w:tcPr>
          <w:p w14:paraId="6E33EED6"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b/>
                <w:kern w:val="2"/>
                <w:sz w:val="20"/>
                <w:szCs w:val="20"/>
                <w:lang w:eastAsia="en-US"/>
              </w:rPr>
              <w:t>Prescribing Instructions:</w:t>
            </w:r>
            <w:r>
              <w:rPr>
                <w:rFonts w:ascii="Arial Narrow" w:hAnsi="Arial Narrow"/>
                <w:kern w:val="2"/>
                <w:sz w:val="20"/>
                <w:szCs w:val="20"/>
                <w:lang w:eastAsia="en-US"/>
              </w:rPr>
              <w:t xml:space="preserve"> </w:t>
            </w:r>
          </w:p>
          <w:p w14:paraId="595E701E"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The following must be documented in the patient’s medical records:</w:t>
            </w:r>
          </w:p>
          <w:p w14:paraId="170009CA" w14:textId="013EA150" w:rsidR="005B0A1E" w:rsidRDefault="005B0A1E" w:rsidP="007A591A">
            <w:pPr>
              <w:spacing w:line="276" w:lineRule="auto"/>
              <w:rPr>
                <w:strike/>
                <w:kern w:val="2"/>
                <w:lang w:eastAsia="en-US"/>
              </w:rPr>
            </w:pPr>
            <w:r>
              <w:rPr>
                <w:rFonts w:ascii="Arial Narrow" w:hAnsi="Arial Narrow"/>
                <w:kern w:val="2"/>
                <w:sz w:val="20"/>
                <w:szCs w:val="20"/>
                <w:lang w:eastAsia="en-US"/>
              </w:rPr>
              <w:t xml:space="preserve">a) date and details of the patient’s genetic testing confirming the presence of the SOD1 </w:t>
            </w:r>
            <w:r w:rsidR="00655D8C">
              <w:rPr>
                <w:rFonts w:ascii="Arial Narrow" w:hAnsi="Arial Narrow"/>
                <w:kern w:val="2"/>
                <w:sz w:val="20"/>
                <w:szCs w:val="20"/>
                <w:lang w:eastAsia="en-US"/>
              </w:rPr>
              <w:t xml:space="preserve">pathogenic </w:t>
            </w:r>
            <w:r>
              <w:rPr>
                <w:rFonts w:ascii="Arial Narrow" w:hAnsi="Arial Narrow"/>
                <w:kern w:val="2"/>
                <w:sz w:val="20"/>
                <w:szCs w:val="20"/>
                <w:lang w:eastAsia="en-US"/>
              </w:rPr>
              <w:t xml:space="preserve">gene </w:t>
            </w:r>
            <w:r w:rsidR="00655D8C">
              <w:rPr>
                <w:rFonts w:ascii="Arial Narrow" w:hAnsi="Arial Narrow"/>
                <w:kern w:val="2"/>
                <w:sz w:val="20"/>
                <w:szCs w:val="20"/>
                <w:lang w:eastAsia="en-US"/>
              </w:rPr>
              <w:t>variant</w:t>
            </w:r>
          </w:p>
          <w:p w14:paraId="77844A85" w14:textId="410F61AA"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b) baseline score of Amyotrophic Lateral Sclerosis Functional Rating Scale – Revised (ALSFRS</w:t>
            </w:r>
            <w:r w:rsidR="007A591A">
              <w:rPr>
                <w:rFonts w:ascii="Arial Narrow" w:hAnsi="Arial Narrow"/>
                <w:kern w:val="2"/>
                <w:sz w:val="20"/>
                <w:szCs w:val="20"/>
                <w:lang w:eastAsia="en-US"/>
              </w:rPr>
              <w:noBreakHyphen/>
            </w:r>
            <w:r>
              <w:rPr>
                <w:rFonts w:ascii="Arial Narrow" w:hAnsi="Arial Narrow"/>
                <w:kern w:val="2"/>
                <w:sz w:val="20"/>
                <w:szCs w:val="20"/>
                <w:lang w:eastAsia="en-US"/>
              </w:rPr>
              <w:t xml:space="preserve">R) at treatment initiation </w:t>
            </w:r>
          </w:p>
        </w:tc>
      </w:tr>
    </w:tbl>
    <w:p w14:paraId="0DF47235" w14:textId="77777777" w:rsidR="005B0A1E" w:rsidRDefault="005B0A1E" w:rsidP="007A591A">
      <w:pPr>
        <w:rPr>
          <w:rFonts w:cs="Arial"/>
          <w14:ligatures w14:val="standardContextual"/>
        </w:rPr>
      </w:pPr>
    </w:p>
    <w:p w14:paraId="75CE2308" w14:textId="640DF98A" w:rsidR="005B0A1E" w:rsidRDefault="005B0A1E" w:rsidP="007A591A">
      <w:pPr>
        <w:pStyle w:val="Heading2"/>
        <w:rPr>
          <w:rFonts w:ascii="Calibri" w:eastAsia="Times New Roman" w:hAnsi="Calibri" w:cs="Arial"/>
          <w:b/>
          <w:bCs/>
          <w:color w:val="auto"/>
          <w:sz w:val="24"/>
          <w:szCs w:val="24"/>
        </w:rPr>
      </w:pPr>
      <w:r>
        <w:rPr>
          <w:rFonts w:ascii="Calibri" w:eastAsia="Times New Roman" w:hAnsi="Calibri" w:cs="Arial"/>
          <w:b/>
          <w:bCs/>
          <w:color w:val="auto"/>
          <w:sz w:val="24"/>
          <w:szCs w:val="24"/>
        </w:rPr>
        <w:lastRenderedPageBreak/>
        <w:t>First continuing</w:t>
      </w:r>
      <w:r w:rsidR="00C2771B">
        <w:rPr>
          <w:rFonts w:ascii="Calibri" w:eastAsia="Times New Roman" w:hAnsi="Calibri" w:cs="Arial"/>
          <w:b/>
          <w:bCs/>
          <w:color w:val="auto"/>
          <w:sz w:val="24"/>
          <w:szCs w:val="24"/>
        </w:rPr>
        <w:t xml:space="preserve"> treatment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rst continuing treatment"/>
      </w:tblPr>
      <w:tblGrid>
        <w:gridCol w:w="1271"/>
        <w:gridCol w:w="2693"/>
        <w:gridCol w:w="1519"/>
        <w:gridCol w:w="829"/>
        <w:gridCol w:w="823"/>
        <w:gridCol w:w="822"/>
        <w:gridCol w:w="1110"/>
      </w:tblGrid>
      <w:tr w:rsidR="005B0A1E" w14:paraId="6B32DDC7" w14:textId="77777777" w:rsidTr="0045056E">
        <w:trPr>
          <w:trHeight w:val="50"/>
        </w:trPr>
        <w:tc>
          <w:tcPr>
            <w:tcW w:w="3964" w:type="dxa"/>
            <w:gridSpan w:val="2"/>
            <w:tcBorders>
              <w:top w:val="single" w:sz="4" w:space="0" w:color="auto"/>
              <w:left w:val="single" w:sz="4" w:space="0" w:color="auto"/>
              <w:bottom w:val="single" w:sz="4" w:space="0" w:color="auto"/>
              <w:right w:val="single" w:sz="4" w:space="0" w:color="auto"/>
            </w:tcBorders>
            <w:hideMark/>
          </w:tcPr>
          <w:p w14:paraId="0022EA90" w14:textId="77777777" w:rsidR="005B0A1E" w:rsidRDefault="005B0A1E" w:rsidP="007A591A">
            <w:pPr>
              <w:keepNext/>
              <w:spacing w:line="276" w:lineRule="auto"/>
              <w:ind w:left="-57"/>
              <w:rPr>
                <w:rFonts w:ascii="Arial Narrow" w:hAnsi="Arial Narrow" w:cs="Arial"/>
                <w:b/>
                <w:kern w:val="2"/>
                <w:sz w:val="20"/>
                <w:szCs w:val="20"/>
                <w:lang w:eastAsia="en-US"/>
              </w:rPr>
            </w:pPr>
            <w:r>
              <w:rPr>
                <w:rFonts w:ascii="Arial Narrow" w:hAnsi="Arial Narrow"/>
                <w:b/>
                <w:kern w:val="2"/>
                <w:sz w:val="20"/>
                <w:szCs w:val="20"/>
                <w:lang w:eastAsia="en-US"/>
              </w:rPr>
              <w:t>MEDICINAL PRODUCT</w:t>
            </w:r>
          </w:p>
          <w:p w14:paraId="568D4524"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medicinal product pack</w:t>
            </w:r>
          </w:p>
        </w:tc>
        <w:tc>
          <w:tcPr>
            <w:tcW w:w="1519" w:type="dxa"/>
            <w:tcBorders>
              <w:top w:val="single" w:sz="4" w:space="0" w:color="auto"/>
              <w:left w:val="single" w:sz="4" w:space="0" w:color="auto"/>
              <w:bottom w:val="single" w:sz="4" w:space="0" w:color="auto"/>
              <w:right w:val="single" w:sz="4" w:space="0" w:color="auto"/>
            </w:tcBorders>
            <w:hideMark/>
          </w:tcPr>
          <w:p w14:paraId="04A26414"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PBS item code</w:t>
            </w:r>
          </w:p>
        </w:tc>
        <w:tc>
          <w:tcPr>
            <w:tcW w:w="829" w:type="dxa"/>
            <w:tcBorders>
              <w:top w:val="single" w:sz="4" w:space="0" w:color="auto"/>
              <w:left w:val="single" w:sz="4" w:space="0" w:color="auto"/>
              <w:bottom w:val="single" w:sz="4" w:space="0" w:color="auto"/>
              <w:right w:val="single" w:sz="4" w:space="0" w:color="auto"/>
            </w:tcBorders>
            <w:hideMark/>
          </w:tcPr>
          <w:p w14:paraId="64E607A3"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packs</w:t>
            </w:r>
          </w:p>
        </w:tc>
        <w:tc>
          <w:tcPr>
            <w:tcW w:w="823" w:type="dxa"/>
            <w:tcBorders>
              <w:top w:val="single" w:sz="4" w:space="0" w:color="auto"/>
              <w:left w:val="single" w:sz="4" w:space="0" w:color="auto"/>
              <w:bottom w:val="single" w:sz="4" w:space="0" w:color="auto"/>
              <w:right w:val="single" w:sz="4" w:space="0" w:color="auto"/>
            </w:tcBorders>
            <w:hideMark/>
          </w:tcPr>
          <w:p w14:paraId="67BFF724"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units</w:t>
            </w:r>
          </w:p>
        </w:tc>
        <w:tc>
          <w:tcPr>
            <w:tcW w:w="822" w:type="dxa"/>
            <w:tcBorders>
              <w:top w:val="single" w:sz="4" w:space="0" w:color="auto"/>
              <w:left w:val="single" w:sz="4" w:space="0" w:color="auto"/>
              <w:bottom w:val="single" w:sz="4" w:space="0" w:color="auto"/>
              <w:right w:val="single" w:sz="4" w:space="0" w:color="auto"/>
            </w:tcBorders>
            <w:hideMark/>
          </w:tcPr>
          <w:p w14:paraId="4A7914BE"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№.of</w:t>
            </w:r>
          </w:p>
          <w:p w14:paraId="221D8FBF"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Rpts</w:t>
            </w:r>
          </w:p>
        </w:tc>
        <w:tc>
          <w:tcPr>
            <w:tcW w:w="1110" w:type="dxa"/>
            <w:tcBorders>
              <w:top w:val="single" w:sz="4" w:space="0" w:color="auto"/>
              <w:left w:val="single" w:sz="4" w:space="0" w:color="auto"/>
              <w:bottom w:val="single" w:sz="4" w:space="0" w:color="auto"/>
              <w:right w:val="single" w:sz="4" w:space="0" w:color="auto"/>
            </w:tcBorders>
            <w:hideMark/>
          </w:tcPr>
          <w:p w14:paraId="63205A3E"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Available brands</w:t>
            </w:r>
          </w:p>
        </w:tc>
      </w:tr>
      <w:tr w:rsidR="005B0A1E" w14:paraId="6E9F7824"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hideMark/>
          </w:tcPr>
          <w:p w14:paraId="197312A8" w14:textId="77777777" w:rsidR="005B0A1E" w:rsidRDefault="005B0A1E" w:rsidP="007A591A">
            <w:pPr>
              <w:keepNext/>
              <w:spacing w:line="276" w:lineRule="auto"/>
              <w:ind w:left="-57"/>
              <w:rPr>
                <w:rFonts w:ascii="Arial Narrow" w:hAnsi="Arial Narrow"/>
                <w:kern w:val="2"/>
                <w:sz w:val="20"/>
                <w:szCs w:val="20"/>
                <w:lang w:eastAsia="en-US"/>
              </w:rPr>
            </w:pPr>
            <w:r>
              <w:rPr>
                <w:rFonts w:ascii="Arial Narrow" w:hAnsi="Arial Narrow"/>
                <w:kern w:val="2"/>
                <w:sz w:val="20"/>
                <w:szCs w:val="20"/>
                <w:lang w:eastAsia="en-US"/>
              </w:rPr>
              <w:t>TOFERSEN</w:t>
            </w:r>
          </w:p>
        </w:tc>
      </w:tr>
      <w:tr w:rsidR="005B0A1E" w14:paraId="61CE125E" w14:textId="77777777" w:rsidTr="0045056E">
        <w:trPr>
          <w:trHeight w:val="50"/>
        </w:trPr>
        <w:tc>
          <w:tcPr>
            <w:tcW w:w="3964" w:type="dxa"/>
            <w:gridSpan w:val="2"/>
            <w:tcBorders>
              <w:top w:val="single" w:sz="4" w:space="0" w:color="auto"/>
              <w:left w:val="single" w:sz="4" w:space="0" w:color="auto"/>
              <w:bottom w:val="single" w:sz="4" w:space="0" w:color="auto"/>
              <w:right w:val="single" w:sz="4" w:space="0" w:color="auto"/>
            </w:tcBorders>
            <w:hideMark/>
          </w:tcPr>
          <w:p w14:paraId="76D0F75C"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kern w:val="2"/>
                <w:sz w:val="20"/>
                <w:szCs w:val="20"/>
                <w:lang w:eastAsia="en-US"/>
              </w:rPr>
              <w:t xml:space="preserve">tofersen 100 mg/ 15 mL injection, 15 mL vial </w:t>
            </w:r>
          </w:p>
        </w:tc>
        <w:tc>
          <w:tcPr>
            <w:tcW w:w="1519" w:type="dxa"/>
            <w:tcBorders>
              <w:top w:val="single" w:sz="4" w:space="0" w:color="auto"/>
              <w:left w:val="single" w:sz="4" w:space="0" w:color="auto"/>
              <w:bottom w:val="single" w:sz="4" w:space="0" w:color="auto"/>
              <w:right w:val="single" w:sz="4" w:space="0" w:color="auto"/>
            </w:tcBorders>
            <w:hideMark/>
          </w:tcPr>
          <w:p w14:paraId="49AE6F0B"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(Private)</w:t>
            </w:r>
          </w:p>
          <w:p w14:paraId="43E6E51E"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(Public)</w:t>
            </w:r>
          </w:p>
        </w:tc>
        <w:tc>
          <w:tcPr>
            <w:tcW w:w="829" w:type="dxa"/>
            <w:tcBorders>
              <w:top w:val="single" w:sz="4" w:space="0" w:color="auto"/>
              <w:left w:val="single" w:sz="4" w:space="0" w:color="auto"/>
              <w:bottom w:val="single" w:sz="4" w:space="0" w:color="auto"/>
              <w:right w:val="single" w:sz="4" w:space="0" w:color="auto"/>
            </w:tcBorders>
            <w:hideMark/>
          </w:tcPr>
          <w:p w14:paraId="0BF08DDD"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23" w:type="dxa"/>
            <w:tcBorders>
              <w:top w:val="single" w:sz="4" w:space="0" w:color="auto"/>
              <w:left w:val="single" w:sz="4" w:space="0" w:color="auto"/>
              <w:bottom w:val="single" w:sz="4" w:space="0" w:color="auto"/>
              <w:right w:val="single" w:sz="4" w:space="0" w:color="auto"/>
            </w:tcBorders>
            <w:hideMark/>
          </w:tcPr>
          <w:p w14:paraId="267F0239"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22" w:type="dxa"/>
            <w:tcBorders>
              <w:top w:val="single" w:sz="4" w:space="0" w:color="auto"/>
              <w:left w:val="single" w:sz="4" w:space="0" w:color="auto"/>
              <w:bottom w:val="single" w:sz="4" w:space="0" w:color="auto"/>
              <w:right w:val="single" w:sz="4" w:space="0" w:color="auto"/>
            </w:tcBorders>
            <w:hideMark/>
          </w:tcPr>
          <w:p w14:paraId="7184FB41" w14:textId="77777777" w:rsidR="005B0A1E" w:rsidRDefault="005B0A1E" w:rsidP="007A591A">
            <w:pPr>
              <w:keepNext/>
              <w:spacing w:line="276" w:lineRule="auto"/>
              <w:ind w:left="-57"/>
              <w:jc w:val="center"/>
              <w:rPr>
                <w:rFonts w:ascii="Arial Narrow" w:hAnsi="Arial Narrow"/>
                <w:bCs/>
                <w:kern w:val="2"/>
                <w:sz w:val="20"/>
                <w:szCs w:val="20"/>
                <w:lang w:eastAsia="en-US"/>
              </w:rPr>
            </w:pPr>
            <w:r>
              <w:rPr>
                <w:rFonts w:ascii="Arial Narrow" w:hAnsi="Arial Narrow"/>
                <w:bCs/>
                <w:kern w:val="2"/>
                <w:sz w:val="20"/>
                <w:szCs w:val="20"/>
                <w:lang w:eastAsia="en-US"/>
              </w:rPr>
              <w:t>6</w:t>
            </w:r>
          </w:p>
        </w:tc>
        <w:tc>
          <w:tcPr>
            <w:tcW w:w="1110" w:type="dxa"/>
            <w:tcBorders>
              <w:top w:val="single" w:sz="4" w:space="0" w:color="auto"/>
              <w:left w:val="single" w:sz="4" w:space="0" w:color="auto"/>
              <w:bottom w:val="single" w:sz="4" w:space="0" w:color="auto"/>
              <w:right w:val="single" w:sz="4" w:space="0" w:color="auto"/>
            </w:tcBorders>
            <w:hideMark/>
          </w:tcPr>
          <w:p w14:paraId="15A7CF72"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Qalsody</w:t>
            </w:r>
          </w:p>
        </w:tc>
      </w:tr>
      <w:tr w:rsidR="005B0A1E" w14:paraId="5126BE16"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tcPr>
          <w:p w14:paraId="39A384B4" w14:textId="77777777" w:rsidR="005B0A1E" w:rsidRDefault="005B0A1E" w:rsidP="007A591A">
            <w:pPr>
              <w:keepNext/>
              <w:spacing w:line="276" w:lineRule="auto"/>
              <w:ind w:left="-57"/>
              <w:rPr>
                <w:rFonts w:ascii="Arial Narrow" w:hAnsi="Arial Narrow"/>
                <w:b/>
                <w:kern w:val="2"/>
                <w:sz w:val="20"/>
                <w:szCs w:val="20"/>
                <w:lang w:eastAsia="en-US"/>
              </w:rPr>
            </w:pPr>
          </w:p>
        </w:tc>
      </w:tr>
      <w:tr w:rsidR="005B0A1E" w14:paraId="5F5F0FFF" w14:textId="77777777">
        <w:trPr>
          <w:trHeight w:val="5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65743E2" w14:textId="77777777" w:rsidR="005B0A1E" w:rsidRDefault="005B0A1E" w:rsidP="007A591A">
            <w:pPr>
              <w:keepNext/>
              <w:keepLines/>
              <w:spacing w:line="276" w:lineRule="auto"/>
              <w:jc w:val="center"/>
              <w:rPr>
                <w:rFonts w:ascii="Arial Narrow" w:hAnsi="Arial Narrow"/>
                <w:kern w:val="2"/>
                <w:sz w:val="20"/>
                <w:szCs w:val="20"/>
                <w:lang w:eastAsia="en-US"/>
              </w:rPr>
            </w:pPr>
            <w:r>
              <w:rPr>
                <w:rFonts w:ascii="Arial Narrow" w:hAnsi="Arial Narrow"/>
                <w:b/>
                <w:kern w:val="2"/>
                <w:sz w:val="20"/>
                <w:szCs w:val="20"/>
                <w:lang w:eastAsia="en-US"/>
              </w:rPr>
              <w:t>Concept ID</w:t>
            </w:r>
          </w:p>
          <w:p w14:paraId="6CD41289" w14:textId="73F45734"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val="en-GB" w:eastAsia="en-US"/>
              </w:rPr>
              <w:t>(For Dept.</w:t>
            </w:r>
            <w:r w:rsidR="00226E9F">
              <w:rPr>
                <w:rFonts w:ascii="Arial Narrow" w:hAnsi="Arial Narrow"/>
                <w:b/>
                <w:kern w:val="2"/>
                <w:sz w:val="20"/>
                <w:szCs w:val="20"/>
                <w:lang w:val="en-GB" w:eastAsia="en-US"/>
              </w:rPr>
              <w:t xml:space="preserve"> </w:t>
            </w:r>
            <w:r>
              <w:rPr>
                <w:rFonts w:ascii="Arial Narrow" w:hAnsi="Arial Narrow"/>
                <w:b/>
                <w:kern w:val="2"/>
                <w:sz w:val="20"/>
                <w:szCs w:val="20"/>
                <w:lang w:val="en-GB" w:eastAsia="en-US"/>
              </w:rPr>
              <w:t>use}</w:t>
            </w: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ED7FF04" w14:textId="11BB69AC"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Category / Program:</w:t>
            </w:r>
            <w:r>
              <w:rPr>
                <w:rFonts w:ascii="Arial Narrow" w:hAnsi="Arial Narrow"/>
                <w:kern w:val="2"/>
                <w:sz w:val="20"/>
                <w:szCs w:val="20"/>
                <w:lang w:eastAsia="en-US"/>
              </w:rPr>
              <w:t xml:space="preserve"> </w:t>
            </w:r>
            <w:r w:rsidR="0045056E">
              <w:rPr>
                <w:rFonts w:ascii="Arial Narrow" w:hAnsi="Arial Narrow"/>
                <w:kern w:val="2"/>
                <w:sz w:val="20"/>
                <w:szCs w:val="20"/>
                <w:lang w:eastAsia="en-US"/>
              </w:rPr>
              <w:fldChar w:fldCharType="begin">
                <w:ffData>
                  <w:name w:val="Check2"/>
                  <w:enabled/>
                  <w:calcOnExit w:val="0"/>
                  <w:checkBox>
                    <w:sizeAuto/>
                    <w:default w:val="1"/>
                  </w:checkBox>
                </w:ffData>
              </w:fldChar>
            </w:r>
            <w:r w:rsidR="0045056E">
              <w:rPr>
                <w:rFonts w:ascii="Arial Narrow" w:hAnsi="Arial Narrow"/>
                <w:kern w:val="2"/>
                <w:sz w:val="20"/>
                <w:szCs w:val="20"/>
                <w:lang w:eastAsia="en-US"/>
              </w:rPr>
              <w:instrText xml:space="preserve"> </w:instrText>
            </w:r>
            <w:bookmarkStart w:id="49" w:name="Check2"/>
            <w:r w:rsidR="0045056E">
              <w:rPr>
                <w:rFonts w:ascii="Arial Narrow" w:hAnsi="Arial Narrow"/>
                <w:kern w:val="2"/>
                <w:sz w:val="20"/>
                <w:szCs w:val="20"/>
                <w:lang w:eastAsia="en-US"/>
              </w:rPr>
              <w:instrText xml:space="preserve">FORMCHECKBOX </w:instrText>
            </w:r>
            <w:r w:rsidR="0045056E">
              <w:rPr>
                <w:rFonts w:ascii="Arial Narrow" w:hAnsi="Arial Narrow"/>
                <w:kern w:val="2"/>
                <w:sz w:val="20"/>
                <w:szCs w:val="20"/>
                <w:lang w:eastAsia="en-US"/>
              </w:rPr>
            </w:r>
            <w:r w:rsidR="0045056E">
              <w:rPr>
                <w:rFonts w:ascii="Arial Narrow" w:hAnsi="Arial Narrow"/>
                <w:kern w:val="2"/>
                <w:sz w:val="20"/>
                <w:szCs w:val="20"/>
                <w:lang w:eastAsia="en-US"/>
              </w:rPr>
              <w:fldChar w:fldCharType="separate"/>
            </w:r>
            <w:r w:rsidR="0045056E">
              <w:rPr>
                <w:rFonts w:ascii="Arial Narrow" w:hAnsi="Arial Narrow"/>
                <w:kern w:val="2"/>
                <w:sz w:val="20"/>
                <w:szCs w:val="20"/>
                <w:lang w:eastAsia="en-US"/>
              </w:rPr>
              <w:fldChar w:fldCharType="end"/>
            </w:r>
            <w:bookmarkEnd w:id="49"/>
            <w:r>
              <w:rPr>
                <w:rFonts w:ascii="Arial Narrow" w:hAnsi="Arial Narrow"/>
                <w:kern w:val="2"/>
                <w:sz w:val="20"/>
                <w:szCs w:val="20"/>
                <w:lang w:eastAsia="en-US"/>
              </w:rPr>
              <w:t xml:space="preserve"> </w:t>
            </w:r>
            <w:r>
              <w:rPr>
                <w:rFonts w:ascii="Arial Narrow" w:eastAsia="Calibri" w:hAnsi="Arial Narrow"/>
                <w:kern w:val="2"/>
                <w:sz w:val="20"/>
                <w:szCs w:val="20"/>
                <w:lang w:eastAsia="en-US"/>
              </w:rPr>
              <w:t>Section 100 – Highly Specialised Drugs Program – Public (Code HB) / Private (Code HS)</w:t>
            </w:r>
          </w:p>
        </w:tc>
      </w:tr>
      <w:tr w:rsidR="005B0A1E" w14:paraId="4B39F208" w14:textId="7777777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597C8" w14:textId="77777777" w:rsidR="005B0A1E" w:rsidRDefault="005B0A1E" w:rsidP="007A591A">
            <w:pPr>
              <w:spacing w:line="276" w:lineRule="auto"/>
              <w:jc w:val="left"/>
              <w:rPr>
                <w:rFonts w:ascii="Arial Narrow" w:hAnsi="Arial Narrow" w:cs="Arial"/>
                <w:b/>
                <w:kern w:val="2"/>
                <w:sz w:val="20"/>
                <w:szCs w:val="20"/>
                <w:lang w:eastAsia="en-US"/>
                <w14:ligatures w14:val="standardContextual"/>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4CCADF2"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 xml:space="preserve">Prescriber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Medical Practitioners </w:t>
            </w:r>
          </w:p>
        </w:tc>
      </w:tr>
      <w:tr w:rsidR="005B0A1E" w14:paraId="34611899" w14:textId="7777777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703F0" w14:textId="77777777" w:rsidR="005B0A1E" w:rsidRDefault="005B0A1E" w:rsidP="007A591A">
            <w:pPr>
              <w:spacing w:line="276" w:lineRule="auto"/>
              <w:jc w:val="left"/>
              <w:rPr>
                <w:rFonts w:ascii="Arial Narrow" w:hAnsi="Arial Narrow" w:cs="Arial"/>
                <w:b/>
                <w:kern w:val="2"/>
                <w:sz w:val="20"/>
                <w:szCs w:val="20"/>
                <w:lang w:eastAsia="en-US"/>
                <w14:ligatures w14:val="standardContextual"/>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D2EB84B"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 xml:space="preserve">Benefit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w:t>
            </w:r>
            <w:r>
              <w:rPr>
                <w:rFonts w:ascii="Arial Narrow" w:eastAsia="Calibri" w:hAnsi="Arial Narrow"/>
                <w:kern w:val="2"/>
                <w:sz w:val="20"/>
                <w:szCs w:val="20"/>
                <w:lang w:eastAsia="en-US"/>
              </w:rPr>
              <w:t xml:space="preserve">Authority Required (Telephone/ Online PBS Authorities System) </w:t>
            </w:r>
          </w:p>
        </w:tc>
      </w:tr>
      <w:tr w:rsidR="005B0A1E" w14:paraId="7A418A71"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hideMark/>
          </w:tcPr>
          <w:p w14:paraId="0BF96919" w14:textId="11BB12DE" w:rsidR="005B0A1E" w:rsidRDefault="005B0A1E" w:rsidP="007A591A">
            <w:pPr>
              <w:keepNext/>
              <w:spacing w:line="276" w:lineRule="auto"/>
              <w:rPr>
                <w:rFonts w:ascii="Arial Narrow" w:hAnsi="Arial Narrow"/>
                <w:b/>
                <w:kern w:val="2"/>
                <w:sz w:val="20"/>
                <w:szCs w:val="20"/>
                <w:lang w:eastAsia="en-US"/>
              </w:rPr>
            </w:pPr>
            <w:r>
              <w:rPr>
                <w:rFonts w:ascii="Arial Narrow" w:hAnsi="Arial Narrow"/>
                <w:b/>
                <w:kern w:val="2"/>
                <w:sz w:val="20"/>
                <w:szCs w:val="20"/>
                <w:lang w:eastAsia="en-US"/>
              </w:rPr>
              <w:t>Prescribing rule level:</w:t>
            </w:r>
            <w:r w:rsidR="007A591A">
              <w:rPr>
                <w:rFonts w:ascii="Arial Narrow" w:hAnsi="Arial Narrow"/>
                <w:b/>
                <w:kern w:val="2"/>
                <w:sz w:val="20"/>
                <w:szCs w:val="20"/>
                <w:lang w:eastAsia="en-US"/>
              </w:rPr>
              <w:t xml:space="preserve"> </w:t>
            </w:r>
          </w:p>
        </w:tc>
      </w:tr>
      <w:tr w:rsidR="005B0A1E" w14:paraId="5B8EC3C2"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3F691141" w14:textId="28BB77A1"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CC7BC5C"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5591F5C7"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bCs/>
                <w:kern w:val="2"/>
                <w:sz w:val="20"/>
                <w:szCs w:val="20"/>
                <w:lang w:eastAsia="en-US"/>
              </w:rPr>
              <w:t>No increase in the maximum quantity or number of units may be authorised.</w:t>
            </w:r>
          </w:p>
        </w:tc>
      </w:tr>
      <w:tr w:rsidR="005B0A1E" w14:paraId="7E76670A"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0EF8DBF8" w14:textId="6D6EC372"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7C1B818C"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4645CA80"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color w:val="333333"/>
                <w:kern w:val="2"/>
                <w:sz w:val="20"/>
                <w:szCs w:val="20"/>
                <w:lang w:eastAsia="en-US"/>
              </w:rPr>
              <w:t xml:space="preserve">No increase in the maximum number of repeats may be authorised. </w:t>
            </w:r>
          </w:p>
        </w:tc>
      </w:tr>
      <w:tr w:rsidR="005B0A1E" w14:paraId="5B11F045"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1F5BE2F8" w14:textId="283D7B23"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31F1325" w14:textId="77777777" w:rsidR="005B0A1E" w:rsidRDefault="005B0A1E" w:rsidP="007A591A">
            <w:pPr>
              <w:keepLines/>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7A2E3E1E"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color w:val="333333"/>
                <w:kern w:val="2"/>
                <w:sz w:val="20"/>
                <w:szCs w:val="20"/>
                <w:lang w:eastAsia="en-US"/>
              </w:rPr>
              <w:t>Special Pricing Arrangements apply.</w:t>
            </w:r>
            <w:r>
              <w:rPr>
                <w:rFonts w:ascii="Arial Narrow" w:hAnsi="Arial Narrow"/>
                <w:b/>
                <w:color w:val="333333"/>
                <w:kern w:val="2"/>
                <w:sz w:val="20"/>
                <w:szCs w:val="20"/>
                <w:lang w:eastAsia="en-US"/>
              </w:rPr>
              <w:t xml:space="preserve"> </w:t>
            </w:r>
          </w:p>
        </w:tc>
      </w:tr>
      <w:tr w:rsidR="005B0A1E" w14:paraId="2AFA5E8C"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5A3B6C25" w14:textId="59A9A3BD"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4B0A28E"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 xml:space="preserve">Administrative Advice: </w:t>
            </w:r>
          </w:p>
          <w:p w14:paraId="7758F6A0"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kern w:val="2"/>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5B0A1E" w14:paraId="637ECABE"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6209F59A" w14:textId="08EC9678" w:rsidR="005B0A1E" w:rsidRDefault="005B0A1E" w:rsidP="007A591A">
            <w:pPr>
              <w:keepNext/>
              <w:spacing w:line="276" w:lineRule="auto"/>
              <w:jc w:val="center"/>
              <w:rPr>
                <w:rFonts w:ascii="Arial Narrow" w:hAnsi="Arial Narrow"/>
                <w:color w:val="333333"/>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31FFF7F"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6D9969D9" w14:textId="214B34A8" w:rsidR="005B0A1E" w:rsidRDefault="005B0A1E" w:rsidP="007A591A">
            <w:pPr>
              <w:spacing w:line="276" w:lineRule="auto"/>
              <w:jc w:val="left"/>
              <w:rPr>
                <w:rFonts w:ascii="Arial Narrow" w:hAnsi="Arial Narrow"/>
                <w:color w:val="333333"/>
                <w:kern w:val="2"/>
                <w:sz w:val="20"/>
                <w:szCs w:val="20"/>
                <w:lang w:eastAsia="en-US"/>
              </w:rPr>
            </w:pPr>
            <w:r>
              <w:rPr>
                <w:rFonts w:ascii="Arial Narrow" w:hAnsi="Arial Narrow"/>
                <w:color w:val="333333"/>
                <w:kern w:val="2"/>
                <w:sz w:val="20"/>
                <w:szCs w:val="20"/>
                <w:lang w:eastAsia="en-US"/>
              </w:rPr>
              <w:t xml:space="preserve">The ALS Functional Rating Scale </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 xml:space="preserve"> Revised (ALSFRS</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R) can be accessed online at:</w:t>
            </w:r>
          </w:p>
          <w:p w14:paraId="317EAB4F" w14:textId="7E28EC1E" w:rsidR="005B0A1E" w:rsidRDefault="005B0A1E" w:rsidP="007A591A">
            <w:pPr>
              <w:spacing w:line="276" w:lineRule="auto"/>
              <w:jc w:val="left"/>
              <w:rPr>
                <w:rFonts w:ascii="Arial Narrow" w:hAnsi="Arial Narrow"/>
                <w:b/>
                <w:bCs/>
                <w:color w:val="333333"/>
                <w:kern w:val="2"/>
                <w:sz w:val="20"/>
                <w:szCs w:val="20"/>
                <w:lang w:eastAsia="en-US"/>
              </w:rPr>
            </w:pPr>
            <w:r>
              <w:rPr>
                <w:rFonts w:ascii="Arial Narrow" w:hAnsi="Arial Narrow"/>
                <w:color w:val="333333"/>
                <w:kern w:val="2"/>
                <w:sz w:val="20"/>
                <w:szCs w:val="20"/>
                <w:lang w:eastAsia="en-US"/>
              </w:rPr>
              <w:t>www.mdcalc.com/calc/10166/revised</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amyotrophic</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lateral</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sclerosis</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functional</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rating</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scale</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alsfrs</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r or https://neurotoolkit.com/alsfrs</w:t>
            </w:r>
            <w:r w:rsidR="007A591A">
              <w:rPr>
                <w:rFonts w:ascii="Arial Narrow" w:hAnsi="Arial Narrow"/>
                <w:color w:val="333333"/>
                <w:kern w:val="2"/>
                <w:sz w:val="20"/>
                <w:szCs w:val="20"/>
                <w:lang w:eastAsia="en-US"/>
              </w:rPr>
              <w:noBreakHyphen/>
            </w:r>
            <w:r>
              <w:rPr>
                <w:rFonts w:ascii="Arial Narrow" w:hAnsi="Arial Narrow"/>
                <w:color w:val="333333"/>
                <w:kern w:val="2"/>
                <w:sz w:val="20"/>
                <w:szCs w:val="20"/>
                <w:lang w:eastAsia="en-US"/>
              </w:rPr>
              <w:t>r/</w:t>
            </w:r>
          </w:p>
        </w:tc>
      </w:tr>
      <w:tr w:rsidR="005B0A1E" w14:paraId="0BF9E93A"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34BB16"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Restriction Summary [new2] / Treatment of Concept: [new2A]</w:t>
            </w:r>
          </w:p>
        </w:tc>
      </w:tr>
    </w:tbl>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7790"/>
      </w:tblGrid>
      <w:tr w:rsidR="005B0A1E" w14:paraId="1A66B5C1"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50C52" w14:textId="72227D7B" w:rsidR="005B0A1E" w:rsidRDefault="005B0A1E" w:rsidP="007A591A">
            <w:pPr>
              <w:spacing w:line="276" w:lineRule="auto"/>
              <w:jc w:val="center"/>
              <w:rPr>
                <w:rFonts w:ascii="Arial Narrow" w:hAnsi="Arial Narrow" w:cs="Arial"/>
                <w:kern w:val="2"/>
                <w:sz w:val="20"/>
                <w:szCs w:val="20"/>
                <w:lang w:eastAsia="en-US"/>
                <w14:ligatures w14:val="standardContextual"/>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666CBF" w14:textId="47912B53"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Indication:</w:t>
            </w:r>
            <w:r>
              <w:rPr>
                <w:rFonts w:ascii="Arial Narrow" w:hAnsi="Arial Narrow"/>
                <w:kern w:val="2"/>
                <w:sz w:val="20"/>
                <w:szCs w:val="20"/>
                <w:lang w:eastAsia="en-US"/>
              </w:rPr>
              <w:t xml:space="preserve"> Amyotrophic lateral sclerosis</w:t>
            </w:r>
            <w:r w:rsidR="007A591A">
              <w:rPr>
                <w:rFonts w:ascii="Arial Narrow" w:hAnsi="Arial Narrow"/>
                <w:kern w:val="2"/>
                <w:sz w:val="20"/>
                <w:szCs w:val="20"/>
                <w:lang w:eastAsia="en-US"/>
              </w:rPr>
              <w:t xml:space="preserve"> </w:t>
            </w:r>
          </w:p>
        </w:tc>
      </w:tr>
      <w:tr w:rsidR="005B0A1E" w14:paraId="45A84727"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5762D6" w14:textId="77777777" w:rsidR="005B0A1E" w:rsidRDefault="005B0A1E" w:rsidP="007A591A">
            <w:pPr>
              <w:rPr>
                <w:rFonts w:ascii="Arial Narrow" w:hAnsi="Arial Narrow"/>
                <w:b/>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778EA6" w14:textId="77777777" w:rsidR="005B0A1E" w:rsidRDefault="005B0A1E" w:rsidP="007A591A">
            <w:pPr>
              <w:spacing w:line="276" w:lineRule="auto"/>
              <w:rPr>
                <w:rFonts w:ascii="Arial Narrow" w:hAnsi="Arial Narrow" w:cs="Arial"/>
                <w:kern w:val="2"/>
                <w:sz w:val="20"/>
                <w:szCs w:val="20"/>
                <w:lang w:eastAsia="en-US"/>
                <w14:ligatures w14:val="standardContextual"/>
              </w:rPr>
            </w:pPr>
            <w:r>
              <w:rPr>
                <w:rFonts w:ascii="Arial Narrow" w:hAnsi="Arial Narrow"/>
                <w:b/>
                <w:kern w:val="2"/>
                <w:sz w:val="20"/>
                <w:szCs w:val="20"/>
                <w:lang w:eastAsia="en-US"/>
              </w:rPr>
              <w:t>Treatment Phase:</w:t>
            </w:r>
            <w:r>
              <w:rPr>
                <w:rFonts w:ascii="Arial Narrow" w:hAnsi="Arial Narrow"/>
                <w:kern w:val="2"/>
                <w:sz w:val="20"/>
                <w:szCs w:val="20"/>
                <w:lang w:eastAsia="en-US"/>
              </w:rPr>
              <w:t xml:space="preserve"> First continuing treatment </w:t>
            </w:r>
          </w:p>
        </w:tc>
      </w:tr>
      <w:tr w:rsidR="005B0A1E" w14:paraId="6FCD1BFD" w14:textId="77777777">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BE7CA1" w14:textId="44A0310F"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C0280C"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27E2B932"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7ABA1" w14:textId="13E53FEB"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FF68F" w14:textId="62389F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have previously received PBS</w:t>
            </w:r>
            <w:r w:rsidR="007A591A">
              <w:rPr>
                <w:rFonts w:ascii="Arial Narrow" w:hAnsi="Arial Narrow"/>
                <w:kern w:val="2"/>
                <w:sz w:val="20"/>
                <w:szCs w:val="20"/>
                <w:lang w:eastAsia="en-US"/>
              </w:rPr>
              <w:noBreakHyphen/>
            </w:r>
            <w:r>
              <w:rPr>
                <w:rFonts w:ascii="Arial Narrow" w:hAnsi="Arial Narrow"/>
                <w:kern w:val="2"/>
                <w:sz w:val="20"/>
                <w:szCs w:val="20"/>
                <w:lang w:eastAsia="en-US"/>
              </w:rPr>
              <w:t>subsidised treatment with this drug for this condition under the initial treatment restriction,</w:t>
            </w:r>
          </w:p>
        </w:tc>
      </w:tr>
      <w:tr w:rsidR="005B0A1E" w14:paraId="22D36D10"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E7868F" w14:textId="77777777"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21FC2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5799C0FA"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0BD32F" w14:textId="792B8172"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179C7"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72C71770"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8D100F" w14:textId="1511DC71"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ADF61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not have experienced</w:t>
            </w:r>
            <w:r>
              <w:rPr>
                <w:kern w:val="2"/>
                <w:sz w:val="20"/>
                <w:szCs w:val="20"/>
                <w:lang w:eastAsia="en-US"/>
              </w:rPr>
              <w:t xml:space="preserve"> </w:t>
            </w:r>
            <w:r>
              <w:rPr>
                <w:rFonts w:ascii="Arial Narrow" w:hAnsi="Arial Narrow"/>
                <w:kern w:val="2"/>
                <w:sz w:val="20"/>
                <w:szCs w:val="20"/>
                <w:lang w:eastAsia="en-US"/>
              </w:rPr>
              <w:t>respiratory failure,</w:t>
            </w:r>
          </w:p>
        </w:tc>
      </w:tr>
      <w:tr w:rsidR="005B0A1E" w14:paraId="1F25AFF9"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DB155A" w14:textId="77777777"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CF0CAB"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5AB1C29A"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DCB19C" w14:textId="537214E6"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967275"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63123F08"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836E73" w14:textId="120D787A"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31302E"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not be receiving palliative care,</w:t>
            </w:r>
          </w:p>
        </w:tc>
      </w:tr>
      <w:tr w:rsidR="005B0A1E" w14:paraId="37F8A2DB"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090C84" w14:textId="77777777"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321266"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AND </w:t>
            </w:r>
          </w:p>
        </w:tc>
      </w:tr>
      <w:tr w:rsidR="005B0A1E" w14:paraId="37E888E7"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C7031" w14:textId="2FD1E41C"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8F054"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11B265EA"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D8DD35" w14:textId="5E29214A"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B2B8C"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The treatment must be given concomitantly with best supportive care (including riluzole where appropriate) for this condition,</w:t>
            </w:r>
          </w:p>
        </w:tc>
      </w:tr>
      <w:tr w:rsidR="005B0A1E" w14:paraId="7ABCB0C9"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FC8380" w14:textId="77777777"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4D6F8A"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D59882E"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D6FCF1" w14:textId="1EB23FD3"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B26F02"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2189FAF9"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CA0821" w14:textId="461386CB"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A6B568"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not be receiving concomitant treatment with edaravone for this condition.</w:t>
            </w:r>
          </w:p>
        </w:tc>
      </w:tr>
      <w:tr w:rsidR="005B0A1E" w14:paraId="41791586"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6DF208" w14:textId="77777777"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EAF300"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7264892E"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3B9D4E" w14:textId="4689D97A"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E9B31"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Treatment criteria:</w:t>
            </w:r>
          </w:p>
        </w:tc>
      </w:tr>
      <w:tr w:rsidR="005B0A1E" w14:paraId="45CB95EB" w14:textId="77777777">
        <w:trPr>
          <w:trHeight w:val="35"/>
        </w:trPr>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EF9682" w14:textId="6C6A85A4"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6DC92D"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Must be treated by a specialist with expertise in the diagnosis and management of amyotrophic lateral sclerosis</w:t>
            </w:r>
          </w:p>
        </w:tc>
      </w:tr>
      <w:tr w:rsidR="005B0A1E" w14:paraId="40355CCD" w14:textId="77777777">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4338A8" w14:textId="0E6B5757"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E1482A"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Prescribing Instructions: </w:t>
            </w:r>
          </w:p>
          <w:p w14:paraId="549A69DE" w14:textId="77777777" w:rsidR="005B0A1E" w:rsidRDefault="005B0A1E" w:rsidP="007A591A">
            <w:pPr>
              <w:spacing w:line="276" w:lineRule="auto"/>
              <w:rPr>
                <w:rFonts w:ascii="Arial Narrow" w:hAnsi="Arial Narrow"/>
                <w:bCs/>
                <w:kern w:val="2"/>
                <w:sz w:val="20"/>
                <w:szCs w:val="20"/>
                <w:lang w:eastAsia="en-US"/>
              </w:rPr>
            </w:pPr>
            <w:r>
              <w:rPr>
                <w:rFonts w:ascii="Arial Narrow" w:hAnsi="Arial Narrow"/>
                <w:bCs/>
                <w:kern w:val="2"/>
                <w:sz w:val="20"/>
                <w:szCs w:val="20"/>
                <w:lang w:eastAsia="en-US"/>
              </w:rPr>
              <w:t>Assessment of response must be conducted after 6 months of the first continuing treatment, (i.e. at 12 months from treatment initiation).</w:t>
            </w:r>
          </w:p>
          <w:p w14:paraId="42DC5818" w14:textId="13627E8C" w:rsidR="005B0A1E" w:rsidRDefault="005B0A1E" w:rsidP="007A591A">
            <w:pPr>
              <w:spacing w:line="276" w:lineRule="auto"/>
              <w:rPr>
                <w:rFonts w:ascii="Arial Narrow" w:hAnsi="Arial Narrow"/>
                <w:bCs/>
                <w:kern w:val="2"/>
                <w:sz w:val="20"/>
                <w:szCs w:val="20"/>
                <w:lang w:eastAsia="en-US"/>
              </w:rPr>
            </w:pPr>
            <w:r>
              <w:rPr>
                <w:rFonts w:ascii="Arial Narrow" w:hAnsi="Arial Narrow"/>
                <w:bCs/>
                <w:kern w:val="2"/>
                <w:sz w:val="20"/>
                <w:szCs w:val="20"/>
                <w:lang w:eastAsia="en-US"/>
              </w:rPr>
              <w:t>If a response to treatment cannot be demonstrated at this assessment, prescribers may apply for up to a maximum of three months (i.e. 2 repeats) of additional continuing treatment under the extended first continuing treatment phase to verify non</w:t>
            </w:r>
            <w:r w:rsidR="007A591A">
              <w:rPr>
                <w:rFonts w:ascii="Arial Narrow" w:hAnsi="Arial Narrow"/>
                <w:bCs/>
                <w:kern w:val="2"/>
                <w:sz w:val="20"/>
                <w:szCs w:val="20"/>
                <w:lang w:eastAsia="en-US"/>
              </w:rPr>
              <w:noBreakHyphen/>
            </w:r>
            <w:r>
              <w:rPr>
                <w:rFonts w:ascii="Arial Narrow" w:hAnsi="Arial Narrow"/>
                <w:bCs/>
                <w:kern w:val="2"/>
                <w:sz w:val="20"/>
                <w:szCs w:val="20"/>
                <w:lang w:eastAsia="en-US"/>
              </w:rPr>
              <w:t xml:space="preserve">response. </w:t>
            </w:r>
          </w:p>
          <w:p w14:paraId="1A2C6085" w14:textId="77777777" w:rsidR="005B0A1E" w:rsidRDefault="005B0A1E" w:rsidP="007A591A">
            <w:pPr>
              <w:spacing w:line="276" w:lineRule="auto"/>
              <w:rPr>
                <w:rFonts w:ascii="Arial Narrow" w:hAnsi="Arial Narrow"/>
                <w:bCs/>
                <w:kern w:val="2"/>
                <w:sz w:val="20"/>
                <w:szCs w:val="20"/>
                <w:lang w:eastAsia="en-US"/>
              </w:rPr>
            </w:pPr>
            <w:r>
              <w:rPr>
                <w:rFonts w:ascii="Arial Narrow" w:hAnsi="Arial Narrow"/>
                <w:bCs/>
                <w:kern w:val="2"/>
                <w:sz w:val="20"/>
                <w:szCs w:val="20"/>
                <w:lang w:eastAsia="en-US"/>
              </w:rPr>
              <w:t>Reassessment of response must be conducted after the additional three months of therapy to determine the patient’s eligibility for further treatment.</w:t>
            </w:r>
          </w:p>
          <w:p w14:paraId="337F92F4" w14:textId="77777777" w:rsidR="005B0A1E" w:rsidRDefault="005B0A1E" w:rsidP="007A591A">
            <w:pPr>
              <w:spacing w:line="276" w:lineRule="auto"/>
              <w:rPr>
                <w:rFonts w:ascii="Arial Narrow" w:hAnsi="Arial Narrow"/>
                <w:bCs/>
                <w:kern w:val="2"/>
                <w:sz w:val="20"/>
                <w:szCs w:val="20"/>
                <w:lang w:eastAsia="en-US"/>
              </w:rPr>
            </w:pPr>
            <w:r>
              <w:rPr>
                <w:rFonts w:ascii="Arial Narrow" w:hAnsi="Arial Narrow"/>
                <w:bCs/>
                <w:kern w:val="2"/>
                <w:sz w:val="20"/>
                <w:szCs w:val="20"/>
                <w:lang w:eastAsia="en-US"/>
              </w:rPr>
              <w:t>If this reassessment is not undertaken, the patient will not be eligible for ongoing treatment.</w:t>
            </w:r>
          </w:p>
        </w:tc>
      </w:tr>
      <w:tr w:rsidR="005B0A1E" w14:paraId="342C0B84" w14:textId="77777777">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360D39" w14:textId="417863CD"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A61AFF"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Prescribing Instructions: </w:t>
            </w:r>
          </w:p>
          <w:p w14:paraId="0D6699EF" w14:textId="77777777" w:rsidR="005B0A1E" w:rsidRDefault="005B0A1E" w:rsidP="007A591A">
            <w:pPr>
              <w:spacing w:line="276" w:lineRule="auto"/>
              <w:rPr>
                <w:rFonts w:ascii="Arial Narrow" w:hAnsi="Arial Narrow"/>
                <w:bCs/>
                <w:kern w:val="2"/>
                <w:sz w:val="20"/>
                <w:szCs w:val="20"/>
                <w:lang w:eastAsia="en-US"/>
              </w:rPr>
            </w:pPr>
            <w:r>
              <w:rPr>
                <w:rFonts w:ascii="Arial Narrow" w:hAnsi="Arial Narrow"/>
                <w:bCs/>
                <w:kern w:val="2"/>
                <w:sz w:val="20"/>
                <w:szCs w:val="20"/>
                <w:lang w:eastAsia="en-US"/>
              </w:rPr>
              <w:t>All the assessments of response must be documented in the patient’s medical records.</w:t>
            </w:r>
          </w:p>
        </w:tc>
      </w:tr>
      <w:tr w:rsidR="005B0A1E" w14:paraId="3B0825AB" w14:textId="77777777">
        <w:tc>
          <w:tcPr>
            <w:tcW w:w="12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28871" w14:textId="4DD36AAF" w:rsidR="005B0A1E" w:rsidRDefault="005B0A1E" w:rsidP="007A591A">
            <w:pPr>
              <w:spacing w:line="276" w:lineRule="auto"/>
              <w:jc w:val="center"/>
              <w:rPr>
                <w:rFonts w:ascii="Arial Narrow" w:hAnsi="Arial Narrow"/>
                <w:kern w:val="2"/>
                <w:sz w:val="20"/>
                <w:szCs w:val="20"/>
                <w:lang w:eastAsia="en-US"/>
              </w:rPr>
            </w:pPr>
          </w:p>
        </w:tc>
        <w:tc>
          <w:tcPr>
            <w:tcW w:w="7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F92772"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Prescribing Instructions: </w:t>
            </w:r>
          </w:p>
          <w:p w14:paraId="666B3CCB" w14:textId="6B282F03"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Adequate response to treatment is defined as any improvement or stabilisation (no more than 20% decline) from baseline score of ALSFRS</w:t>
            </w:r>
            <w:r w:rsidR="007A591A">
              <w:rPr>
                <w:rFonts w:ascii="Arial Narrow" w:hAnsi="Arial Narrow"/>
                <w:kern w:val="2"/>
                <w:sz w:val="20"/>
                <w:szCs w:val="20"/>
                <w:lang w:eastAsia="en-US"/>
              </w:rPr>
              <w:noBreakHyphen/>
            </w:r>
            <w:r>
              <w:rPr>
                <w:rFonts w:ascii="Arial Narrow" w:hAnsi="Arial Narrow"/>
                <w:kern w:val="2"/>
                <w:sz w:val="20"/>
                <w:szCs w:val="20"/>
                <w:lang w:eastAsia="en-US"/>
              </w:rPr>
              <w:t>R.</w:t>
            </w:r>
          </w:p>
        </w:tc>
      </w:tr>
    </w:tbl>
    <w:p w14:paraId="4299D681" w14:textId="1C0EFFFE" w:rsidR="009C7272" w:rsidRDefault="009C7272" w:rsidP="007A591A">
      <w:pPr>
        <w:rPr>
          <w:rFonts w:cs="Arial"/>
          <w14:ligatures w14:val="standardContextual"/>
        </w:rPr>
      </w:pPr>
    </w:p>
    <w:p w14:paraId="067F7FA1" w14:textId="77777777" w:rsidR="009C7272" w:rsidRDefault="009C7272" w:rsidP="007A591A">
      <w:pPr>
        <w:jc w:val="left"/>
        <w:rPr>
          <w:rFonts w:cs="Arial"/>
          <w14:ligatures w14:val="standardContextual"/>
        </w:rPr>
      </w:pPr>
      <w:r>
        <w:rPr>
          <w:rFonts w:cs="Arial"/>
          <w14:ligatures w14:val="standardContextual"/>
        </w:rPr>
        <w:br w:type="page"/>
      </w:r>
    </w:p>
    <w:p w14:paraId="22C6F459" w14:textId="17D5F830" w:rsidR="005B0A1E" w:rsidRDefault="005B0A1E" w:rsidP="007A591A">
      <w:pPr>
        <w:pStyle w:val="Heading2"/>
        <w:rPr>
          <w:rFonts w:ascii="Calibri" w:eastAsia="Times New Roman" w:hAnsi="Calibri" w:cs="Arial"/>
          <w:b/>
          <w:bCs/>
          <w:color w:val="auto"/>
          <w:sz w:val="24"/>
          <w:szCs w:val="24"/>
        </w:rPr>
      </w:pPr>
      <w:r>
        <w:rPr>
          <w:rFonts w:ascii="Calibri" w:eastAsia="Times New Roman" w:hAnsi="Calibri" w:cs="Arial"/>
          <w:b/>
          <w:bCs/>
          <w:color w:val="auto"/>
          <w:sz w:val="24"/>
          <w:szCs w:val="24"/>
        </w:rPr>
        <w:lastRenderedPageBreak/>
        <w:t xml:space="preserve">Extended first continuing </w:t>
      </w:r>
      <w:r w:rsidR="00C2771B">
        <w:rPr>
          <w:rFonts w:ascii="Calibri" w:eastAsia="Times New Roman" w:hAnsi="Calibri" w:cs="Arial"/>
          <w:b/>
          <w:bCs/>
          <w:color w:val="auto"/>
          <w:sz w:val="24"/>
          <w:szCs w:val="24"/>
        </w:rPr>
        <w:t>treatment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tended first continuing treatment"/>
      </w:tblPr>
      <w:tblGrid>
        <w:gridCol w:w="1271"/>
        <w:gridCol w:w="2552"/>
        <w:gridCol w:w="1660"/>
        <w:gridCol w:w="829"/>
        <w:gridCol w:w="823"/>
        <w:gridCol w:w="822"/>
        <w:gridCol w:w="1110"/>
      </w:tblGrid>
      <w:tr w:rsidR="005B0A1E" w14:paraId="148B3D7F" w14:textId="77777777" w:rsidTr="000B5220">
        <w:trPr>
          <w:trHeight w:val="50"/>
        </w:trPr>
        <w:tc>
          <w:tcPr>
            <w:tcW w:w="3823" w:type="dxa"/>
            <w:gridSpan w:val="2"/>
            <w:tcBorders>
              <w:top w:val="single" w:sz="4" w:space="0" w:color="auto"/>
              <w:left w:val="single" w:sz="4" w:space="0" w:color="auto"/>
              <w:bottom w:val="single" w:sz="4" w:space="0" w:color="auto"/>
              <w:right w:val="single" w:sz="4" w:space="0" w:color="auto"/>
            </w:tcBorders>
            <w:hideMark/>
          </w:tcPr>
          <w:p w14:paraId="4598B9DF" w14:textId="77777777" w:rsidR="005B0A1E" w:rsidRDefault="005B0A1E" w:rsidP="007A591A">
            <w:pPr>
              <w:keepNext/>
              <w:spacing w:line="276" w:lineRule="auto"/>
              <w:ind w:left="-57"/>
              <w:rPr>
                <w:rFonts w:ascii="Arial Narrow" w:hAnsi="Arial Narrow" w:cs="Arial"/>
                <w:b/>
                <w:kern w:val="2"/>
                <w:sz w:val="20"/>
                <w:szCs w:val="20"/>
                <w:lang w:eastAsia="en-US"/>
              </w:rPr>
            </w:pPr>
            <w:r>
              <w:rPr>
                <w:rFonts w:ascii="Arial Narrow" w:hAnsi="Arial Narrow"/>
                <w:b/>
                <w:kern w:val="2"/>
                <w:sz w:val="20"/>
                <w:szCs w:val="20"/>
                <w:lang w:eastAsia="en-US"/>
              </w:rPr>
              <w:t>MEDICINAL PRODUCT</w:t>
            </w:r>
          </w:p>
          <w:p w14:paraId="0F1F7B0E"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medicinal product pack</w:t>
            </w:r>
          </w:p>
        </w:tc>
        <w:tc>
          <w:tcPr>
            <w:tcW w:w="1660" w:type="dxa"/>
            <w:tcBorders>
              <w:top w:val="single" w:sz="4" w:space="0" w:color="auto"/>
              <w:left w:val="single" w:sz="4" w:space="0" w:color="auto"/>
              <w:bottom w:val="single" w:sz="4" w:space="0" w:color="auto"/>
              <w:right w:val="single" w:sz="4" w:space="0" w:color="auto"/>
            </w:tcBorders>
            <w:hideMark/>
          </w:tcPr>
          <w:p w14:paraId="45C06FCC"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PBS item code</w:t>
            </w:r>
          </w:p>
        </w:tc>
        <w:tc>
          <w:tcPr>
            <w:tcW w:w="829" w:type="dxa"/>
            <w:tcBorders>
              <w:top w:val="single" w:sz="4" w:space="0" w:color="auto"/>
              <w:left w:val="single" w:sz="4" w:space="0" w:color="auto"/>
              <w:bottom w:val="single" w:sz="4" w:space="0" w:color="auto"/>
              <w:right w:val="single" w:sz="4" w:space="0" w:color="auto"/>
            </w:tcBorders>
            <w:hideMark/>
          </w:tcPr>
          <w:p w14:paraId="028DC94B"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packs</w:t>
            </w:r>
          </w:p>
        </w:tc>
        <w:tc>
          <w:tcPr>
            <w:tcW w:w="823" w:type="dxa"/>
            <w:tcBorders>
              <w:top w:val="single" w:sz="4" w:space="0" w:color="auto"/>
              <w:left w:val="single" w:sz="4" w:space="0" w:color="auto"/>
              <w:bottom w:val="single" w:sz="4" w:space="0" w:color="auto"/>
              <w:right w:val="single" w:sz="4" w:space="0" w:color="auto"/>
            </w:tcBorders>
            <w:hideMark/>
          </w:tcPr>
          <w:p w14:paraId="146FF01B"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units</w:t>
            </w:r>
          </w:p>
        </w:tc>
        <w:tc>
          <w:tcPr>
            <w:tcW w:w="822" w:type="dxa"/>
            <w:tcBorders>
              <w:top w:val="single" w:sz="4" w:space="0" w:color="auto"/>
              <w:left w:val="single" w:sz="4" w:space="0" w:color="auto"/>
              <w:bottom w:val="single" w:sz="4" w:space="0" w:color="auto"/>
              <w:right w:val="single" w:sz="4" w:space="0" w:color="auto"/>
            </w:tcBorders>
            <w:hideMark/>
          </w:tcPr>
          <w:p w14:paraId="255AF595"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№.of</w:t>
            </w:r>
          </w:p>
          <w:p w14:paraId="2D8C2155"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Rpts</w:t>
            </w:r>
          </w:p>
        </w:tc>
        <w:tc>
          <w:tcPr>
            <w:tcW w:w="1110" w:type="dxa"/>
            <w:tcBorders>
              <w:top w:val="single" w:sz="4" w:space="0" w:color="auto"/>
              <w:left w:val="single" w:sz="4" w:space="0" w:color="auto"/>
              <w:bottom w:val="single" w:sz="4" w:space="0" w:color="auto"/>
              <w:right w:val="single" w:sz="4" w:space="0" w:color="auto"/>
            </w:tcBorders>
            <w:hideMark/>
          </w:tcPr>
          <w:p w14:paraId="73E7894D"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Available brands</w:t>
            </w:r>
          </w:p>
        </w:tc>
      </w:tr>
      <w:tr w:rsidR="005B0A1E" w14:paraId="1B5631E2"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hideMark/>
          </w:tcPr>
          <w:p w14:paraId="3CC2E19E" w14:textId="77777777" w:rsidR="005B0A1E" w:rsidRDefault="005B0A1E" w:rsidP="007A591A">
            <w:pPr>
              <w:keepNext/>
              <w:spacing w:line="276" w:lineRule="auto"/>
              <w:ind w:left="-57"/>
              <w:rPr>
                <w:rFonts w:ascii="Arial Narrow" w:hAnsi="Arial Narrow"/>
                <w:kern w:val="2"/>
                <w:sz w:val="20"/>
                <w:szCs w:val="20"/>
                <w:lang w:eastAsia="en-US"/>
              </w:rPr>
            </w:pPr>
            <w:r>
              <w:rPr>
                <w:rFonts w:ascii="Arial Narrow" w:hAnsi="Arial Narrow"/>
                <w:kern w:val="2"/>
                <w:sz w:val="20"/>
                <w:szCs w:val="20"/>
                <w:lang w:eastAsia="en-US"/>
              </w:rPr>
              <w:t>TOFERSEN</w:t>
            </w:r>
          </w:p>
        </w:tc>
      </w:tr>
      <w:tr w:rsidR="005B0A1E" w14:paraId="342C3A52" w14:textId="77777777" w:rsidTr="000B5220">
        <w:trPr>
          <w:trHeight w:val="50"/>
        </w:trPr>
        <w:tc>
          <w:tcPr>
            <w:tcW w:w="3823" w:type="dxa"/>
            <w:gridSpan w:val="2"/>
            <w:tcBorders>
              <w:top w:val="single" w:sz="4" w:space="0" w:color="auto"/>
              <w:left w:val="single" w:sz="4" w:space="0" w:color="auto"/>
              <w:bottom w:val="single" w:sz="4" w:space="0" w:color="auto"/>
              <w:right w:val="single" w:sz="4" w:space="0" w:color="auto"/>
            </w:tcBorders>
            <w:hideMark/>
          </w:tcPr>
          <w:p w14:paraId="54C46984"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kern w:val="2"/>
                <w:sz w:val="20"/>
                <w:szCs w:val="20"/>
                <w:lang w:eastAsia="en-US"/>
              </w:rPr>
              <w:t xml:space="preserve">tofersen 100 mg/ 15 mL injection, 15 mL vial </w:t>
            </w:r>
          </w:p>
        </w:tc>
        <w:tc>
          <w:tcPr>
            <w:tcW w:w="1660" w:type="dxa"/>
            <w:tcBorders>
              <w:top w:val="single" w:sz="4" w:space="0" w:color="auto"/>
              <w:left w:val="single" w:sz="4" w:space="0" w:color="auto"/>
              <w:bottom w:val="single" w:sz="4" w:space="0" w:color="auto"/>
              <w:right w:val="single" w:sz="4" w:space="0" w:color="auto"/>
            </w:tcBorders>
            <w:hideMark/>
          </w:tcPr>
          <w:p w14:paraId="0E10D28F"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(Private)</w:t>
            </w:r>
          </w:p>
          <w:p w14:paraId="366A771D"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(Public)</w:t>
            </w:r>
          </w:p>
        </w:tc>
        <w:tc>
          <w:tcPr>
            <w:tcW w:w="829" w:type="dxa"/>
            <w:tcBorders>
              <w:top w:val="single" w:sz="4" w:space="0" w:color="auto"/>
              <w:left w:val="single" w:sz="4" w:space="0" w:color="auto"/>
              <w:bottom w:val="single" w:sz="4" w:space="0" w:color="auto"/>
              <w:right w:val="single" w:sz="4" w:space="0" w:color="auto"/>
            </w:tcBorders>
            <w:hideMark/>
          </w:tcPr>
          <w:p w14:paraId="2D687219"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23" w:type="dxa"/>
            <w:tcBorders>
              <w:top w:val="single" w:sz="4" w:space="0" w:color="auto"/>
              <w:left w:val="single" w:sz="4" w:space="0" w:color="auto"/>
              <w:bottom w:val="single" w:sz="4" w:space="0" w:color="auto"/>
              <w:right w:val="single" w:sz="4" w:space="0" w:color="auto"/>
            </w:tcBorders>
            <w:hideMark/>
          </w:tcPr>
          <w:p w14:paraId="1AEDE567"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22" w:type="dxa"/>
            <w:tcBorders>
              <w:top w:val="single" w:sz="4" w:space="0" w:color="auto"/>
              <w:left w:val="single" w:sz="4" w:space="0" w:color="auto"/>
              <w:bottom w:val="single" w:sz="4" w:space="0" w:color="auto"/>
              <w:right w:val="single" w:sz="4" w:space="0" w:color="auto"/>
            </w:tcBorders>
            <w:hideMark/>
          </w:tcPr>
          <w:p w14:paraId="33865C5D" w14:textId="77777777" w:rsidR="005B0A1E" w:rsidRDefault="005B0A1E" w:rsidP="007A591A">
            <w:pPr>
              <w:keepNext/>
              <w:spacing w:line="276" w:lineRule="auto"/>
              <w:ind w:left="-57"/>
              <w:jc w:val="center"/>
              <w:rPr>
                <w:rFonts w:ascii="Arial Narrow" w:hAnsi="Arial Narrow"/>
                <w:kern w:val="2"/>
                <w:sz w:val="20"/>
                <w:szCs w:val="20"/>
                <w:lang w:eastAsia="en-US"/>
              </w:rPr>
            </w:pPr>
            <w:r>
              <w:rPr>
                <w:rFonts w:ascii="Arial Narrow" w:hAnsi="Arial Narrow"/>
                <w:kern w:val="2"/>
                <w:sz w:val="20"/>
                <w:szCs w:val="20"/>
                <w:lang w:eastAsia="en-US"/>
              </w:rPr>
              <w:t>2</w:t>
            </w:r>
          </w:p>
        </w:tc>
        <w:tc>
          <w:tcPr>
            <w:tcW w:w="1110" w:type="dxa"/>
            <w:tcBorders>
              <w:top w:val="single" w:sz="4" w:space="0" w:color="auto"/>
              <w:left w:val="single" w:sz="4" w:space="0" w:color="auto"/>
              <w:bottom w:val="single" w:sz="4" w:space="0" w:color="auto"/>
              <w:right w:val="single" w:sz="4" w:space="0" w:color="auto"/>
            </w:tcBorders>
            <w:hideMark/>
          </w:tcPr>
          <w:p w14:paraId="44921B40"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Qalsody</w:t>
            </w:r>
          </w:p>
        </w:tc>
      </w:tr>
      <w:tr w:rsidR="005B0A1E" w14:paraId="10DF005B"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tcPr>
          <w:p w14:paraId="1FC62DFD" w14:textId="77777777" w:rsidR="005B0A1E" w:rsidRDefault="005B0A1E" w:rsidP="007A591A">
            <w:pPr>
              <w:keepNext/>
              <w:spacing w:line="276" w:lineRule="auto"/>
              <w:ind w:left="-57"/>
              <w:rPr>
                <w:rFonts w:ascii="Arial Narrow" w:hAnsi="Arial Narrow"/>
                <w:b/>
                <w:kern w:val="2"/>
                <w:sz w:val="20"/>
                <w:szCs w:val="20"/>
                <w:lang w:eastAsia="en-US"/>
              </w:rPr>
            </w:pPr>
          </w:p>
        </w:tc>
      </w:tr>
      <w:tr w:rsidR="005B0A1E" w14:paraId="52ED2E99" w14:textId="77777777">
        <w:trPr>
          <w:trHeight w:val="5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61D546F" w14:textId="77777777" w:rsidR="005B0A1E" w:rsidRDefault="005B0A1E" w:rsidP="007A591A">
            <w:pPr>
              <w:keepNext/>
              <w:keepLines/>
              <w:spacing w:line="276" w:lineRule="auto"/>
              <w:jc w:val="center"/>
              <w:rPr>
                <w:rFonts w:ascii="Arial Narrow" w:hAnsi="Arial Narrow"/>
                <w:kern w:val="2"/>
                <w:sz w:val="20"/>
                <w:szCs w:val="20"/>
                <w:lang w:eastAsia="en-US"/>
              </w:rPr>
            </w:pPr>
            <w:r>
              <w:rPr>
                <w:rFonts w:ascii="Arial Narrow" w:hAnsi="Arial Narrow"/>
                <w:b/>
                <w:kern w:val="2"/>
                <w:sz w:val="20"/>
                <w:szCs w:val="20"/>
                <w:lang w:eastAsia="en-US"/>
              </w:rPr>
              <w:t>Concept ID</w:t>
            </w:r>
          </w:p>
          <w:p w14:paraId="3E3D1B10" w14:textId="7FC25E39"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val="en-GB" w:eastAsia="en-US"/>
              </w:rPr>
              <w:t>(For Dept.</w:t>
            </w:r>
            <w:r w:rsidR="00226E9F">
              <w:rPr>
                <w:rFonts w:ascii="Arial Narrow" w:hAnsi="Arial Narrow"/>
                <w:b/>
                <w:kern w:val="2"/>
                <w:sz w:val="20"/>
                <w:szCs w:val="20"/>
                <w:lang w:val="en-GB" w:eastAsia="en-US"/>
              </w:rPr>
              <w:t xml:space="preserve"> </w:t>
            </w:r>
            <w:r>
              <w:rPr>
                <w:rFonts w:ascii="Arial Narrow" w:hAnsi="Arial Narrow"/>
                <w:b/>
                <w:kern w:val="2"/>
                <w:sz w:val="20"/>
                <w:szCs w:val="20"/>
                <w:lang w:val="en-GB" w:eastAsia="en-US"/>
              </w:rPr>
              <w:t>use}</w:t>
            </w: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9440E80" w14:textId="6330FE7E"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Category / Program:</w:t>
            </w:r>
            <w:r>
              <w:rPr>
                <w:rFonts w:ascii="Arial Narrow" w:hAnsi="Arial Narrow"/>
                <w:kern w:val="2"/>
                <w:sz w:val="20"/>
                <w:szCs w:val="20"/>
                <w:lang w:eastAsia="en-US"/>
              </w:rPr>
              <w:t xml:space="preserve"> </w:t>
            </w:r>
            <w:r w:rsidR="000B5220">
              <w:rPr>
                <w:rFonts w:ascii="Arial Narrow" w:hAnsi="Arial Narrow"/>
                <w:kern w:val="2"/>
                <w:sz w:val="20"/>
                <w:szCs w:val="20"/>
                <w:lang w:eastAsia="en-US"/>
              </w:rPr>
              <w:fldChar w:fldCharType="begin">
                <w:ffData>
                  <w:name w:val="Check3"/>
                  <w:enabled/>
                  <w:calcOnExit w:val="0"/>
                  <w:checkBox>
                    <w:sizeAuto/>
                    <w:default w:val="1"/>
                  </w:checkBox>
                </w:ffData>
              </w:fldChar>
            </w:r>
            <w:r w:rsidR="000B5220">
              <w:rPr>
                <w:rFonts w:ascii="Arial Narrow" w:hAnsi="Arial Narrow"/>
                <w:kern w:val="2"/>
                <w:sz w:val="20"/>
                <w:szCs w:val="20"/>
                <w:lang w:eastAsia="en-US"/>
              </w:rPr>
              <w:instrText xml:space="preserve"> </w:instrText>
            </w:r>
            <w:bookmarkStart w:id="50" w:name="Check3"/>
            <w:r w:rsidR="000B5220">
              <w:rPr>
                <w:rFonts w:ascii="Arial Narrow" w:hAnsi="Arial Narrow"/>
                <w:kern w:val="2"/>
                <w:sz w:val="20"/>
                <w:szCs w:val="20"/>
                <w:lang w:eastAsia="en-US"/>
              </w:rPr>
              <w:instrText xml:space="preserve">FORMCHECKBOX </w:instrText>
            </w:r>
            <w:r w:rsidR="000B5220">
              <w:rPr>
                <w:rFonts w:ascii="Arial Narrow" w:hAnsi="Arial Narrow"/>
                <w:kern w:val="2"/>
                <w:sz w:val="20"/>
                <w:szCs w:val="20"/>
                <w:lang w:eastAsia="en-US"/>
              </w:rPr>
            </w:r>
            <w:r w:rsidR="000B5220">
              <w:rPr>
                <w:rFonts w:ascii="Arial Narrow" w:hAnsi="Arial Narrow"/>
                <w:kern w:val="2"/>
                <w:sz w:val="20"/>
                <w:szCs w:val="20"/>
                <w:lang w:eastAsia="en-US"/>
              </w:rPr>
              <w:fldChar w:fldCharType="separate"/>
            </w:r>
            <w:r w:rsidR="000B5220">
              <w:rPr>
                <w:rFonts w:ascii="Arial Narrow" w:hAnsi="Arial Narrow"/>
                <w:kern w:val="2"/>
                <w:sz w:val="20"/>
                <w:szCs w:val="20"/>
                <w:lang w:eastAsia="en-US"/>
              </w:rPr>
              <w:fldChar w:fldCharType="end"/>
            </w:r>
            <w:bookmarkEnd w:id="50"/>
            <w:r>
              <w:rPr>
                <w:rFonts w:ascii="Arial Narrow" w:hAnsi="Arial Narrow"/>
                <w:kern w:val="2"/>
                <w:sz w:val="20"/>
                <w:szCs w:val="20"/>
                <w:lang w:eastAsia="en-US"/>
              </w:rPr>
              <w:t xml:space="preserve"> </w:t>
            </w:r>
            <w:r>
              <w:rPr>
                <w:rFonts w:ascii="Arial Narrow" w:eastAsia="Calibri" w:hAnsi="Arial Narrow"/>
                <w:kern w:val="2"/>
                <w:sz w:val="20"/>
                <w:szCs w:val="20"/>
                <w:lang w:eastAsia="en-US"/>
              </w:rPr>
              <w:t>Section 100 – Highly Specialised Drugs Program – Public (Code HB) / Private (Code HS)</w:t>
            </w:r>
          </w:p>
        </w:tc>
      </w:tr>
      <w:tr w:rsidR="005B0A1E" w14:paraId="15E7C774" w14:textId="7777777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18536" w14:textId="77777777" w:rsidR="005B0A1E" w:rsidRDefault="005B0A1E" w:rsidP="007A591A">
            <w:pPr>
              <w:spacing w:line="276" w:lineRule="auto"/>
              <w:jc w:val="left"/>
              <w:rPr>
                <w:rFonts w:ascii="Arial Narrow" w:hAnsi="Arial Narrow" w:cs="Arial"/>
                <w:b/>
                <w:kern w:val="2"/>
                <w:sz w:val="20"/>
                <w:szCs w:val="20"/>
                <w:lang w:eastAsia="en-US"/>
                <w14:ligatures w14:val="standardContextual"/>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1005C75"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 xml:space="preserve">Prescriber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Medical Practitioners </w:t>
            </w:r>
          </w:p>
        </w:tc>
      </w:tr>
      <w:tr w:rsidR="005B0A1E" w14:paraId="600430BD" w14:textId="7777777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B6389" w14:textId="77777777" w:rsidR="005B0A1E" w:rsidRDefault="005B0A1E" w:rsidP="007A591A">
            <w:pPr>
              <w:spacing w:line="276" w:lineRule="auto"/>
              <w:jc w:val="left"/>
              <w:rPr>
                <w:rFonts w:ascii="Arial Narrow" w:hAnsi="Arial Narrow" w:cs="Arial"/>
                <w:b/>
                <w:kern w:val="2"/>
                <w:sz w:val="20"/>
                <w:szCs w:val="20"/>
                <w:lang w:eastAsia="en-US"/>
                <w14:ligatures w14:val="standardContextual"/>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6867A07"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 xml:space="preserve">Benefit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w:t>
            </w:r>
            <w:r>
              <w:rPr>
                <w:rFonts w:ascii="Arial Narrow" w:eastAsia="Calibri" w:hAnsi="Arial Narrow"/>
                <w:kern w:val="2"/>
                <w:sz w:val="20"/>
                <w:szCs w:val="20"/>
                <w:lang w:eastAsia="en-US"/>
              </w:rPr>
              <w:t xml:space="preserve">Authority Required (Telephone/ Online PBS Authorities System) </w:t>
            </w:r>
          </w:p>
        </w:tc>
      </w:tr>
      <w:tr w:rsidR="005B0A1E" w14:paraId="61D4FAF8"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hideMark/>
          </w:tcPr>
          <w:p w14:paraId="1BCEA678" w14:textId="299E4B2B" w:rsidR="005B0A1E" w:rsidRDefault="005B0A1E" w:rsidP="007A591A">
            <w:pPr>
              <w:keepNext/>
              <w:spacing w:line="276" w:lineRule="auto"/>
              <w:rPr>
                <w:rFonts w:ascii="Arial Narrow" w:hAnsi="Arial Narrow"/>
                <w:b/>
                <w:kern w:val="2"/>
                <w:sz w:val="20"/>
                <w:szCs w:val="20"/>
                <w:lang w:eastAsia="en-US"/>
              </w:rPr>
            </w:pPr>
            <w:r>
              <w:rPr>
                <w:rFonts w:ascii="Arial Narrow" w:hAnsi="Arial Narrow"/>
                <w:b/>
                <w:kern w:val="2"/>
                <w:sz w:val="20"/>
                <w:szCs w:val="20"/>
                <w:lang w:eastAsia="en-US"/>
              </w:rPr>
              <w:t>Prescribing rule level:</w:t>
            </w:r>
            <w:r w:rsidR="007A591A">
              <w:rPr>
                <w:rFonts w:ascii="Arial Narrow" w:hAnsi="Arial Narrow"/>
                <w:b/>
                <w:kern w:val="2"/>
                <w:sz w:val="20"/>
                <w:szCs w:val="20"/>
                <w:lang w:eastAsia="en-US"/>
              </w:rPr>
              <w:t xml:space="preserve"> </w:t>
            </w:r>
          </w:p>
        </w:tc>
      </w:tr>
      <w:tr w:rsidR="005B0A1E" w14:paraId="52B19A0F"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42ACF0D5" w14:textId="42B098EF"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7F9FF511"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36897746"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bCs/>
                <w:kern w:val="2"/>
                <w:sz w:val="20"/>
                <w:szCs w:val="20"/>
                <w:lang w:eastAsia="en-US"/>
              </w:rPr>
              <w:t>No increase in the maximum quantity or number of units may be authorised.</w:t>
            </w:r>
          </w:p>
        </w:tc>
      </w:tr>
      <w:tr w:rsidR="005B0A1E" w14:paraId="299E1169"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0270254B" w14:textId="4176C3C7"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3535AAE"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4FCA940A"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color w:val="333333"/>
                <w:kern w:val="2"/>
                <w:sz w:val="20"/>
                <w:szCs w:val="20"/>
                <w:lang w:eastAsia="en-US"/>
              </w:rPr>
              <w:t xml:space="preserve">No increase in the maximum number of repeats may be authorised. </w:t>
            </w:r>
          </w:p>
        </w:tc>
      </w:tr>
      <w:tr w:rsidR="005B0A1E" w14:paraId="50BE9B13"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300EB174" w14:textId="19748899"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EBA6D7B" w14:textId="77777777" w:rsidR="005B0A1E" w:rsidRDefault="005B0A1E" w:rsidP="007A591A">
            <w:pPr>
              <w:keepLines/>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1106E652"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color w:val="333333"/>
                <w:kern w:val="2"/>
                <w:sz w:val="20"/>
                <w:szCs w:val="20"/>
                <w:lang w:eastAsia="en-US"/>
              </w:rPr>
              <w:t>Special Pricing Arrangements apply.</w:t>
            </w:r>
            <w:r>
              <w:rPr>
                <w:rFonts w:ascii="Arial Narrow" w:hAnsi="Arial Narrow"/>
                <w:b/>
                <w:color w:val="333333"/>
                <w:kern w:val="2"/>
                <w:sz w:val="20"/>
                <w:szCs w:val="20"/>
                <w:lang w:eastAsia="en-US"/>
              </w:rPr>
              <w:t xml:space="preserve"> </w:t>
            </w:r>
          </w:p>
        </w:tc>
      </w:tr>
      <w:tr w:rsidR="005B0A1E" w14:paraId="16FDE013"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3B500616" w14:textId="26A91CB1"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08066033"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 xml:space="preserve">Administrative Advice: </w:t>
            </w:r>
          </w:p>
          <w:p w14:paraId="77A52EB5"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kern w:val="2"/>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5B0A1E" w14:paraId="6C2FEBED"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2489F85E" w14:textId="24E0EDA2" w:rsidR="005B0A1E" w:rsidRDefault="005B0A1E" w:rsidP="007A591A">
            <w:pPr>
              <w:keepNext/>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C0A0237" w14:textId="77777777" w:rsidR="005B0A1E" w:rsidRDefault="005B0A1E" w:rsidP="007A591A">
            <w:pPr>
              <w:spacing w:line="276" w:lineRule="auto"/>
              <w:rPr>
                <w:rFonts w:ascii="Arial Narrow" w:hAnsi="Arial Narrow"/>
                <w:b/>
                <w:bCs/>
                <w:kern w:val="2"/>
                <w:sz w:val="20"/>
                <w:szCs w:val="20"/>
                <w:lang w:eastAsia="en-US"/>
              </w:rPr>
            </w:pPr>
            <w:r>
              <w:rPr>
                <w:rFonts w:ascii="Arial Narrow" w:hAnsi="Arial Narrow"/>
                <w:b/>
                <w:bCs/>
                <w:kern w:val="2"/>
                <w:sz w:val="20"/>
                <w:szCs w:val="20"/>
                <w:lang w:eastAsia="en-US"/>
              </w:rPr>
              <w:t>Administrative Advice:</w:t>
            </w:r>
          </w:p>
          <w:p w14:paraId="0703F08B" w14:textId="7CB9C811" w:rsidR="005B0A1E" w:rsidRDefault="005B0A1E" w:rsidP="007A591A">
            <w:pPr>
              <w:spacing w:line="276" w:lineRule="auto"/>
              <w:jc w:val="left"/>
              <w:rPr>
                <w:rFonts w:ascii="Arial Narrow" w:hAnsi="Arial Narrow"/>
                <w:kern w:val="2"/>
                <w:sz w:val="20"/>
                <w:szCs w:val="20"/>
                <w:lang w:eastAsia="en-US"/>
              </w:rPr>
            </w:pPr>
            <w:r>
              <w:rPr>
                <w:rFonts w:ascii="Arial Narrow" w:hAnsi="Arial Narrow"/>
                <w:kern w:val="2"/>
                <w:sz w:val="20"/>
                <w:szCs w:val="20"/>
                <w:lang w:eastAsia="en-US"/>
              </w:rPr>
              <w:t xml:space="preserve">The ALS Functional Rating Scale </w:t>
            </w:r>
            <w:r w:rsidR="007A591A">
              <w:rPr>
                <w:rFonts w:ascii="Arial Narrow" w:hAnsi="Arial Narrow"/>
                <w:kern w:val="2"/>
                <w:sz w:val="20"/>
                <w:szCs w:val="20"/>
                <w:lang w:eastAsia="en-US"/>
              </w:rPr>
              <w:noBreakHyphen/>
            </w:r>
            <w:r>
              <w:rPr>
                <w:rFonts w:ascii="Arial Narrow" w:hAnsi="Arial Narrow"/>
                <w:kern w:val="2"/>
                <w:sz w:val="20"/>
                <w:szCs w:val="20"/>
                <w:lang w:eastAsia="en-US"/>
              </w:rPr>
              <w:t xml:space="preserve"> Revised (ALSFRS</w:t>
            </w:r>
            <w:r w:rsidR="007A591A">
              <w:rPr>
                <w:rFonts w:ascii="Arial Narrow" w:hAnsi="Arial Narrow"/>
                <w:kern w:val="2"/>
                <w:sz w:val="20"/>
                <w:szCs w:val="20"/>
                <w:lang w:eastAsia="en-US"/>
              </w:rPr>
              <w:noBreakHyphen/>
            </w:r>
            <w:r>
              <w:rPr>
                <w:rFonts w:ascii="Arial Narrow" w:hAnsi="Arial Narrow"/>
                <w:kern w:val="2"/>
                <w:sz w:val="20"/>
                <w:szCs w:val="20"/>
                <w:lang w:eastAsia="en-US"/>
              </w:rPr>
              <w:t>R) can be accessed online at:</w:t>
            </w:r>
          </w:p>
          <w:p w14:paraId="3D2FC1F0" w14:textId="585BF005" w:rsidR="005B0A1E" w:rsidRDefault="005B0A1E" w:rsidP="007A591A">
            <w:pPr>
              <w:spacing w:line="276" w:lineRule="auto"/>
              <w:jc w:val="left"/>
              <w:rPr>
                <w:rFonts w:ascii="Arial Narrow" w:hAnsi="Arial Narrow"/>
                <w:b/>
                <w:bCs/>
                <w:kern w:val="2"/>
                <w:sz w:val="20"/>
                <w:szCs w:val="20"/>
                <w:lang w:eastAsia="en-US"/>
              </w:rPr>
            </w:pPr>
            <w:r>
              <w:rPr>
                <w:rFonts w:ascii="Arial Narrow" w:hAnsi="Arial Narrow"/>
                <w:kern w:val="2"/>
                <w:sz w:val="20"/>
                <w:szCs w:val="20"/>
                <w:lang w:eastAsia="en-US"/>
              </w:rPr>
              <w:t>www.mdcalc.com/calc/10166/revised</w:t>
            </w:r>
            <w:r w:rsidR="007A591A">
              <w:rPr>
                <w:rFonts w:ascii="Arial Narrow" w:hAnsi="Arial Narrow"/>
                <w:kern w:val="2"/>
                <w:sz w:val="20"/>
                <w:szCs w:val="20"/>
                <w:lang w:eastAsia="en-US"/>
              </w:rPr>
              <w:noBreakHyphen/>
            </w:r>
            <w:r>
              <w:rPr>
                <w:rFonts w:ascii="Arial Narrow" w:hAnsi="Arial Narrow"/>
                <w:kern w:val="2"/>
                <w:sz w:val="20"/>
                <w:szCs w:val="20"/>
                <w:lang w:eastAsia="en-US"/>
              </w:rPr>
              <w:t>amyotrophic</w:t>
            </w:r>
            <w:r w:rsidR="007A591A">
              <w:rPr>
                <w:rFonts w:ascii="Arial Narrow" w:hAnsi="Arial Narrow"/>
                <w:kern w:val="2"/>
                <w:sz w:val="20"/>
                <w:szCs w:val="20"/>
                <w:lang w:eastAsia="en-US"/>
              </w:rPr>
              <w:noBreakHyphen/>
            </w:r>
            <w:r>
              <w:rPr>
                <w:rFonts w:ascii="Arial Narrow" w:hAnsi="Arial Narrow"/>
                <w:kern w:val="2"/>
                <w:sz w:val="20"/>
                <w:szCs w:val="20"/>
                <w:lang w:eastAsia="en-US"/>
              </w:rPr>
              <w:t>lateral</w:t>
            </w:r>
            <w:r w:rsidR="007A591A">
              <w:rPr>
                <w:rFonts w:ascii="Arial Narrow" w:hAnsi="Arial Narrow"/>
                <w:kern w:val="2"/>
                <w:sz w:val="20"/>
                <w:szCs w:val="20"/>
                <w:lang w:eastAsia="en-US"/>
              </w:rPr>
              <w:noBreakHyphen/>
            </w:r>
            <w:r>
              <w:rPr>
                <w:rFonts w:ascii="Arial Narrow" w:hAnsi="Arial Narrow"/>
                <w:kern w:val="2"/>
                <w:sz w:val="20"/>
                <w:szCs w:val="20"/>
                <w:lang w:eastAsia="en-US"/>
              </w:rPr>
              <w:t>sclerosis</w:t>
            </w:r>
            <w:r w:rsidR="007A591A">
              <w:rPr>
                <w:rFonts w:ascii="Arial Narrow" w:hAnsi="Arial Narrow"/>
                <w:kern w:val="2"/>
                <w:sz w:val="20"/>
                <w:szCs w:val="20"/>
                <w:lang w:eastAsia="en-US"/>
              </w:rPr>
              <w:noBreakHyphen/>
            </w:r>
            <w:r>
              <w:rPr>
                <w:rFonts w:ascii="Arial Narrow" w:hAnsi="Arial Narrow"/>
                <w:kern w:val="2"/>
                <w:sz w:val="20"/>
                <w:szCs w:val="20"/>
                <w:lang w:eastAsia="en-US"/>
              </w:rPr>
              <w:t>functional</w:t>
            </w:r>
            <w:r w:rsidR="007A591A">
              <w:rPr>
                <w:rFonts w:ascii="Arial Narrow" w:hAnsi="Arial Narrow"/>
                <w:kern w:val="2"/>
                <w:sz w:val="20"/>
                <w:szCs w:val="20"/>
                <w:lang w:eastAsia="en-US"/>
              </w:rPr>
              <w:noBreakHyphen/>
            </w:r>
            <w:r>
              <w:rPr>
                <w:rFonts w:ascii="Arial Narrow" w:hAnsi="Arial Narrow"/>
                <w:kern w:val="2"/>
                <w:sz w:val="20"/>
                <w:szCs w:val="20"/>
                <w:lang w:eastAsia="en-US"/>
              </w:rPr>
              <w:t>rating</w:t>
            </w:r>
            <w:r w:rsidR="007A591A">
              <w:rPr>
                <w:rFonts w:ascii="Arial Narrow" w:hAnsi="Arial Narrow"/>
                <w:kern w:val="2"/>
                <w:sz w:val="20"/>
                <w:szCs w:val="20"/>
                <w:lang w:eastAsia="en-US"/>
              </w:rPr>
              <w:noBreakHyphen/>
            </w:r>
            <w:r>
              <w:rPr>
                <w:rFonts w:ascii="Arial Narrow" w:hAnsi="Arial Narrow"/>
                <w:kern w:val="2"/>
                <w:sz w:val="20"/>
                <w:szCs w:val="20"/>
                <w:lang w:eastAsia="en-US"/>
              </w:rPr>
              <w:t>scale</w:t>
            </w:r>
            <w:r w:rsidR="007A591A">
              <w:rPr>
                <w:rFonts w:ascii="Arial Narrow" w:hAnsi="Arial Narrow"/>
                <w:kern w:val="2"/>
                <w:sz w:val="20"/>
                <w:szCs w:val="20"/>
                <w:lang w:eastAsia="en-US"/>
              </w:rPr>
              <w:noBreakHyphen/>
            </w:r>
            <w:r>
              <w:rPr>
                <w:rFonts w:ascii="Arial Narrow" w:hAnsi="Arial Narrow"/>
                <w:kern w:val="2"/>
                <w:sz w:val="20"/>
                <w:szCs w:val="20"/>
                <w:lang w:eastAsia="en-US"/>
              </w:rPr>
              <w:t>alsfrs</w:t>
            </w:r>
            <w:r w:rsidR="007A591A">
              <w:rPr>
                <w:rFonts w:ascii="Arial Narrow" w:hAnsi="Arial Narrow"/>
                <w:kern w:val="2"/>
                <w:sz w:val="20"/>
                <w:szCs w:val="20"/>
                <w:lang w:eastAsia="en-US"/>
              </w:rPr>
              <w:noBreakHyphen/>
            </w:r>
            <w:r>
              <w:rPr>
                <w:rFonts w:ascii="Arial Narrow" w:hAnsi="Arial Narrow"/>
                <w:kern w:val="2"/>
                <w:sz w:val="20"/>
                <w:szCs w:val="20"/>
                <w:lang w:eastAsia="en-US"/>
              </w:rPr>
              <w:t>r or https://neurotoolkit.com/alsfrs</w:t>
            </w:r>
            <w:r w:rsidR="007A591A">
              <w:rPr>
                <w:rFonts w:ascii="Arial Narrow" w:hAnsi="Arial Narrow"/>
                <w:kern w:val="2"/>
                <w:sz w:val="20"/>
                <w:szCs w:val="20"/>
                <w:lang w:eastAsia="en-US"/>
              </w:rPr>
              <w:noBreakHyphen/>
            </w:r>
            <w:r>
              <w:rPr>
                <w:rFonts w:ascii="Arial Narrow" w:hAnsi="Arial Narrow"/>
                <w:kern w:val="2"/>
                <w:sz w:val="20"/>
                <w:szCs w:val="20"/>
                <w:lang w:eastAsia="en-US"/>
              </w:rPr>
              <w:t>r/</w:t>
            </w:r>
          </w:p>
        </w:tc>
      </w:tr>
      <w:tr w:rsidR="005B0A1E" w14:paraId="54B70695"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7AD7D7" w14:textId="77777777" w:rsidR="005B0A1E" w:rsidRDefault="005B0A1E" w:rsidP="007A591A">
            <w:pPr>
              <w:keepNext/>
              <w:spacing w:line="276" w:lineRule="auto"/>
              <w:ind w:left="-57"/>
              <w:rPr>
                <w:rFonts w:ascii="Arial Narrow" w:hAnsi="Arial Narrow"/>
                <w:b/>
                <w:bCs/>
                <w:kern w:val="2"/>
                <w:sz w:val="20"/>
                <w:szCs w:val="20"/>
                <w:lang w:eastAsia="en-US"/>
              </w:rPr>
            </w:pPr>
            <w:r>
              <w:rPr>
                <w:rFonts w:ascii="Arial Narrow" w:hAnsi="Arial Narrow"/>
                <w:b/>
                <w:bCs/>
                <w:kern w:val="2"/>
                <w:sz w:val="20"/>
                <w:szCs w:val="20"/>
                <w:lang w:eastAsia="en-US"/>
              </w:rPr>
              <w:t>Restriction Summary [new3] / Treatment of Concept: [new3A]</w:t>
            </w:r>
          </w:p>
        </w:tc>
      </w:tr>
    </w:tbl>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7790"/>
      </w:tblGrid>
      <w:tr w:rsidR="005B0A1E" w14:paraId="63B3C482"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8453CE" w14:textId="0BAE7257" w:rsidR="005B0A1E" w:rsidRDefault="005B0A1E" w:rsidP="007A591A">
            <w:pPr>
              <w:spacing w:line="276" w:lineRule="auto"/>
              <w:jc w:val="center"/>
              <w:rPr>
                <w:rFonts w:ascii="Arial Narrow" w:hAnsi="Arial Narrow" w:cs="Arial"/>
                <w:kern w:val="2"/>
                <w:sz w:val="20"/>
                <w:szCs w:val="20"/>
                <w:lang w:eastAsia="en-US"/>
                <w14:ligatures w14:val="standardContextual"/>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8FB8DD" w14:textId="4A97C8D2"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Indication:</w:t>
            </w:r>
            <w:r>
              <w:rPr>
                <w:rFonts w:ascii="Arial Narrow" w:hAnsi="Arial Narrow"/>
                <w:kern w:val="2"/>
                <w:sz w:val="20"/>
                <w:szCs w:val="20"/>
                <w:lang w:eastAsia="en-US"/>
              </w:rPr>
              <w:t xml:space="preserve"> Amyotrophic lateral sclerosis</w:t>
            </w:r>
            <w:r w:rsidR="007A591A">
              <w:rPr>
                <w:rFonts w:ascii="Arial Narrow" w:hAnsi="Arial Narrow"/>
                <w:kern w:val="2"/>
                <w:sz w:val="20"/>
                <w:szCs w:val="20"/>
                <w:lang w:eastAsia="en-US"/>
              </w:rPr>
              <w:t xml:space="preserve"> </w:t>
            </w:r>
          </w:p>
        </w:tc>
      </w:tr>
      <w:tr w:rsidR="005B0A1E" w14:paraId="4E74BCCC"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86A159" w14:textId="77777777" w:rsidR="005B0A1E" w:rsidRDefault="005B0A1E" w:rsidP="007A591A">
            <w:pPr>
              <w:rPr>
                <w:rFonts w:ascii="Arial Narrow" w:hAnsi="Arial Narrow"/>
                <w:b/>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E878F3" w14:textId="77777777" w:rsidR="005B0A1E" w:rsidRDefault="005B0A1E" w:rsidP="007A591A">
            <w:pPr>
              <w:spacing w:line="276" w:lineRule="auto"/>
              <w:rPr>
                <w:rFonts w:ascii="Arial Narrow" w:hAnsi="Arial Narrow" w:cs="Arial"/>
                <w:kern w:val="2"/>
                <w:sz w:val="20"/>
                <w:szCs w:val="20"/>
                <w:lang w:eastAsia="en-US"/>
                <w14:ligatures w14:val="standardContextual"/>
              </w:rPr>
            </w:pPr>
            <w:r>
              <w:rPr>
                <w:rFonts w:ascii="Arial Narrow" w:hAnsi="Arial Narrow"/>
                <w:b/>
                <w:kern w:val="2"/>
                <w:sz w:val="20"/>
                <w:szCs w:val="20"/>
                <w:lang w:eastAsia="en-US"/>
              </w:rPr>
              <w:t>Treatment Phase:</w:t>
            </w:r>
            <w:r>
              <w:rPr>
                <w:rFonts w:ascii="Arial Narrow" w:hAnsi="Arial Narrow"/>
                <w:kern w:val="2"/>
                <w:sz w:val="20"/>
                <w:szCs w:val="20"/>
                <w:lang w:eastAsia="en-US"/>
              </w:rPr>
              <w:t xml:space="preserve"> Extended first continuing treatment (additional 3 doses) </w:t>
            </w:r>
          </w:p>
        </w:tc>
      </w:tr>
      <w:tr w:rsidR="005B0A1E" w14:paraId="54180F45"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BC9A0" w14:textId="23503FA9"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F2EA6B"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6EED4037"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0EA268" w14:textId="52994146"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794F8A" w14:textId="42FE3148"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have previously received PBS</w:t>
            </w:r>
            <w:r w:rsidR="007A591A">
              <w:rPr>
                <w:rFonts w:ascii="Arial Narrow" w:hAnsi="Arial Narrow"/>
                <w:kern w:val="2"/>
                <w:sz w:val="20"/>
                <w:szCs w:val="20"/>
                <w:lang w:eastAsia="en-US"/>
              </w:rPr>
              <w:noBreakHyphen/>
            </w:r>
            <w:r>
              <w:rPr>
                <w:rFonts w:ascii="Arial Narrow" w:hAnsi="Arial Narrow"/>
                <w:kern w:val="2"/>
                <w:sz w:val="20"/>
                <w:szCs w:val="20"/>
                <w:lang w:eastAsia="en-US"/>
              </w:rPr>
              <w:t>subsidised treatment with this drug for this condition under the first continuing restriction</w:t>
            </w:r>
          </w:p>
        </w:tc>
      </w:tr>
      <w:tr w:rsidR="005B0A1E" w14:paraId="04FAD8A9"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C56B14" w14:textId="77777777"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9A3BA"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77F1A55F" w14:textId="77777777" w:rsidTr="009E2A7F">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5686D1" w14:textId="3ED0AC18"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7EB4F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358AA147"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622374" w14:textId="03AC10FB"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F6C905" w14:textId="516EF6A4"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 xml:space="preserve">Patient must </w:t>
            </w:r>
            <w:r w:rsidRPr="000B5220">
              <w:rPr>
                <w:rFonts w:ascii="Arial Narrow" w:hAnsi="Arial Narrow"/>
                <w:b/>
                <w:bCs/>
                <w:kern w:val="2"/>
                <w:sz w:val="20"/>
                <w:szCs w:val="20"/>
                <w:lang w:eastAsia="en-US"/>
              </w:rPr>
              <w:t>not</w:t>
            </w:r>
            <w:r>
              <w:rPr>
                <w:rFonts w:ascii="Arial Narrow" w:hAnsi="Arial Narrow"/>
                <w:kern w:val="2"/>
                <w:sz w:val="20"/>
                <w:szCs w:val="20"/>
                <w:lang w:eastAsia="en-US"/>
              </w:rPr>
              <w:t xml:space="preserve"> have demonstrated an adequate response to</w:t>
            </w:r>
            <w:r w:rsidR="000B5220">
              <w:rPr>
                <w:rFonts w:ascii="Arial Narrow" w:hAnsi="Arial Narrow"/>
                <w:kern w:val="2"/>
                <w:sz w:val="20"/>
                <w:szCs w:val="20"/>
                <w:lang w:eastAsia="en-US"/>
              </w:rPr>
              <w:t xml:space="preserve"> </w:t>
            </w:r>
            <w:r>
              <w:rPr>
                <w:rFonts w:ascii="Arial Narrow" w:hAnsi="Arial Narrow"/>
                <w:kern w:val="2"/>
                <w:sz w:val="20"/>
                <w:szCs w:val="20"/>
                <w:lang w:eastAsia="en-US"/>
              </w:rPr>
              <w:t xml:space="preserve">treatment </w:t>
            </w:r>
            <w:r w:rsidR="000B5220">
              <w:rPr>
                <w:rFonts w:ascii="Arial Narrow" w:hAnsi="Arial Narrow"/>
                <w:kern w:val="2"/>
                <w:sz w:val="20"/>
                <w:szCs w:val="20"/>
                <w:lang w:eastAsia="en-US"/>
              </w:rPr>
              <w:t>with this drug for this condition</w:t>
            </w:r>
          </w:p>
        </w:tc>
      </w:tr>
      <w:tr w:rsidR="005B0A1E" w14:paraId="45BC8BFA"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A002E" w14:textId="77777777"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C5A0F3"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16A9B61A"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52DFD7" w14:textId="53BCB24E"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623C22"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0E4564A9"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BBBD72" w14:textId="5039D9D2"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5F6228"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not have experienced</w:t>
            </w:r>
            <w:r>
              <w:rPr>
                <w:kern w:val="2"/>
                <w:sz w:val="20"/>
                <w:szCs w:val="20"/>
                <w:lang w:eastAsia="en-US"/>
              </w:rPr>
              <w:t xml:space="preserve"> </w:t>
            </w:r>
            <w:r>
              <w:rPr>
                <w:rFonts w:ascii="Arial Narrow" w:hAnsi="Arial Narrow"/>
                <w:kern w:val="2"/>
                <w:sz w:val="20"/>
                <w:szCs w:val="20"/>
                <w:lang w:eastAsia="en-US"/>
              </w:rPr>
              <w:t>respiratory failure,</w:t>
            </w:r>
          </w:p>
        </w:tc>
      </w:tr>
      <w:tr w:rsidR="005B0A1E" w14:paraId="3BA25A5A"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336FDA" w14:textId="77777777"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56CA7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10E0742"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0F2BB" w14:textId="56663896"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1CC714"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18256A11"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394346" w14:textId="3D2B4FC2"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D6952B"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not be receiving palliative care,</w:t>
            </w:r>
          </w:p>
        </w:tc>
      </w:tr>
      <w:tr w:rsidR="005B0A1E" w14:paraId="0F5C837F"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62C0AD" w14:textId="77777777"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869705"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AND </w:t>
            </w:r>
          </w:p>
        </w:tc>
      </w:tr>
      <w:tr w:rsidR="005B0A1E" w14:paraId="719CCB1A"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2D4918" w14:textId="4401ACCE"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5A1322"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7B499B2D"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2896CA" w14:textId="375EAE32" w:rsidR="005B0A1E" w:rsidRDefault="005B0A1E" w:rsidP="007A591A">
            <w:pPr>
              <w:spacing w:line="276" w:lineRule="auto"/>
              <w:jc w:val="center"/>
              <w:rPr>
                <w:rFonts w:ascii="Arial Narrow" w:hAnsi="Arial Narrow"/>
                <w:color w:val="333333"/>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2D7E0D"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The treatment must be given concomitantly with best supportive care (including riluzole where appropriate) for this condition,</w:t>
            </w:r>
          </w:p>
        </w:tc>
      </w:tr>
      <w:tr w:rsidR="009E2A7F" w14:paraId="22A8BDBF"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D303E6" w14:textId="77777777" w:rsidR="009E2A7F" w:rsidRDefault="009E2A7F"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499367" w14:textId="77777777" w:rsidR="009E2A7F" w:rsidRDefault="009E2A7F"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9E2A7F" w14:paraId="6B810B47"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840E72" w14:textId="3FE7E2F9" w:rsidR="009E2A7F" w:rsidRDefault="009E2A7F"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2AFEE2" w14:textId="77777777" w:rsidR="009E2A7F" w:rsidRDefault="009E2A7F"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9E2A7F" w14:paraId="0912872A"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9A8147" w14:textId="68436E83" w:rsidR="009E2A7F" w:rsidRDefault="009E2A7F"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E5C94" w14:textId="77777777" w:rsidR="009E2A7F" w:rsidRDefault="009E2A7F"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not be receiving concomitant treatment with edaravone for this condition.</w:t>
            </w:r>
          </w:p>
        </w:tc>
      </w:tr>
      <w:tr w:rsidR="005B0A1E" w14:paraId="41187F9A"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D3011C" w14:textId="6A67972A"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E8170"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Treatment criteria:</w:t>
            </w:r>
          </w:p>
        </w:tc>
      </w:tr>
      <w:tr w:rsidR="005B0A1E" w14:paraId="32DA8171" w14:textId="77777777" w:rsidTr="009E2A7F">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E40F95" w14:textId="2E06022E"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36C2C3"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Must be treated by a specialist with expertise in the diagnosis and management of amyotrophic lateral sclerosis</w:t>
            </w:r>
          </w:p>
        </w:tc>
      </w:tr>
      <w:tr w:rsidR="005B0A1E" w14:paraId="5158C620" w14:textId="77777777" w:rsidTr="009E2A7F">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A49449" w14:textId="481E0634"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D96BE4"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Prescribing Instructions: </w:t>
            </w:r>
          </w:p>
          <w:p w14:paraId="3F0CEC96" w14:textId="77777777" w:rsidR="005B0A1E" w:rsidRDefault="005B0A1E" w:rsidP="007A591A">
            <w:pPr>
              <w:spacing w:line="276" w:lineRule="auto"/>
              <w:rPr>
                <w:rFonts w:ascii="Arial Narrow" w:hAnsi="Arial Narrow"/>
                <w:bCs/>
                <w:kern w:val="2"/>
                <w:sz w:val="20"/>
                <w:szCs w:val="20"/>
                <w:lang w:eastAsia="en-US"/>
              </w:rPr>
            </w:pPr>
            <w:r>
              <w:rPr>
                <w:rFonts w:ascii="Arial Narrow" w:hAnsi="Arial Narrow"/>
                <w:bCs/>
                <w:kern w:val="2"/>
                <w:sz w:val="20"/>
                <w:szCs w:val="20"/>
                <w:lang w:eastAsia="en-US"/>
              </w:rPr>
              <w:t>Reassessment of response must be conducted after the additional three months of therapy to determine the patient’s eligibility for further treatment.</w:t>
            </w:r>
          </w:p>
          <w:p w14:paraId="6DDCF967" w14:textId="77777777" w:rsidR="005B0A1E" w:rsidRDefault="005B0A1E" w:rsidP="007A591A">
            <w:pPr>
              <w:spacing w:line="276" w:lineRule="auto"/>
              <w:rPr>
                <w:rFonts w:ascii="Arial Narrow" w:hAnsi="Arial Narrow"/>
                <w:bCs/>
                <w:kern w:val="2"/>
                <w:sz w:val="20"/>
                <w:szCs w:val="20"/>
                <w:lang w:eastAsia="en-US"/>
              </w:rPr>
            </w:pPr>
            <w:r>
              <w:rPr>
                <w:rFonts w:ascii="Arial Narrow" w:hAnsi="Arial Narrow"/>
                <w:bCs/>
                <w:kern w:val="2"/>
                <w:sz w:val="20"/>
                <w:szCs w:val="20"/>
                <w:lang w:eastAsia="en-US"/>
              </w:rPr>
              <w:t>If this reassessment is not undertaken, the patient will not be eligible for ongoing treatment.</w:t>
            </w:r>
          </w:p>
        </w:tc>
      </w:tr>
      <w:tr w:rsidR="005B0A1E" w14:paraId="0F8C8654" w14:textId="77777777" w:rsidTr="009E2A7F">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58E11" w14:textId="0DEA3FFA"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181737"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Prescribing Instructions: </w:t>
            </w:r>
          </w:p>
          <w:p w14:paraId="043F682F"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Cs/>
                <w:kern w:val="2"/>
                <w:sz w:val="20"/>
                <w:szCs w:val="20"/>
                <w:lang w:eastAsia="en-US"/>
              </w:rPr>
              <w:t>All the assessments of response must be documented in the patient’s medical records.</w:t>
            </w:r>
          </w:p>
        </w:tc>
      </w:tr>
      <w:tr w:rsidR="005B0A1E" w14:paraId="186E5CB5" w14:textId="77777777" w:rsidTr="009E2A7F">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A0149" w14:textId="152FDB22"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00CE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Prescribing Instructions: </w:t>
            </w:r>
          </w:p>
          <w:p w14:paraId="655C13BE"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 xml:space="preserve">Patient may qualify for this treatment phase once only. </w:t>
            </w:r>
          </w:p>
        </w:tc>
      </w:tr>
      <w:tr w:rsidR="005B0A1E" w14:paraId="57E0A9B5" w14:textId="77777777" w:rsidTr="009E2A7F">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E748D2" w14:textId="5059D266"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E17B8E"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 xml:space="preserve">Prescribing Instructions: </w:t>
            </w:r>
          </w:p>
          <w:p w14:paraId="784DB333" w14:textId="4946869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Adequate response to treatment is defined as any improvement or stabilisation (no more than 20% decline) from baseline score of ALSFRS</w:t>
            </w:r>
            <w:r w:rsidR="007A591A">
              <w:rPr>
                <w:rFonts w:ascii="Arial Narrow" w:hAnsi="Arial Narrow"/>
                <w:kern w:val="2"/>
                <w:sz w:val="20"/>
                <w:szCs w:val="20"/>
                <w:lang w:eastAsia="en-US"/>
              </w:rPr>
              <w:noBreakHyphen/>
            </w:r>
            <w:r>
              <w:rPr>
                <w:rFonts w:ascii="Arial Narrow" w:hAnsi="Arial Narrow"/>
                <w:kern w:val="2"/>
                <w:sz w:val="20"/>
                <w:szCs w:val="20"/>
                <w:lang w:eastAsia="en-US"/>
              </w:rPr>
              <w:t>R.</w:t>
            </w:r>
          </w:p>
        </w:tc>
      </w:tr>
    </w:tbl>
    <w:p w14:paraId="60DB5A18" w14:textId="77777777" w:rsidR="005B0A1E" w:rsidRDefault="005B0A1E" w:rsidP="007A591A">
      <w:pPr>
        <w:rPr>
          <w:rFonts w:cs="Arial"/>
          <w14:ligatures w14:val="standardContextual"/>
        </w:rPr>
      </w:pPr>
    </w:p>
    <w:p w14:paraId="5A1C46A6" w14:textId="095344C3" w:rsidR="005B0A1E" w:rsidRDefault="005B0A1E" w:rsidP="007A591A">
      <w:pPr>
        <w:pStyle w:val="Heading2"/>
        <w:rPr>
          <w:b/>
          <w:bCs/>
        </w:rPr>
      </w:pPr>
      <w:r>
        <w:rPr>
          <w:rFonts w:ascii="Calibri" w:eastAsia="Times New Roman" w:hAnsi="Calibri" w:cs="Arial"/>
          <w:b/>
          <w:bCs/>
          <w:color w:val="auto"/>
          <w:sz w:val="24"/>
          <w:szCs w:val="24"/>
        </w:rPr>
        <w:t>Subsequent continuing</w:t>
      </w:r>
      <w:r w:rsidR="00C2771B">
        <w:rPr>
          <w:rFonts w:ascii="Calibri" w:eastAsia="Times New Roman" w:hAnsi="Calibri" w:cs="Arial"/>
          <w:b/>
          <w:bCs/>
          <w:color w:val="auto"/>
          <w:sz w:val="24"/>
          <w:szCs w:val="24"/>
        </w:rPr>
        <w:t xml:space="preserve"> treatment (response phase)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bsequent continuing treatment (response phase)"/>
      </w:tblPr>
      <w:tblGrid>
        <w:gridCol w:w="1271"/>
        <w:gridCol w:w="2835"/>
        <w:gridCol w:w="1377"/>
        <w:gridCol w:w="829"/>
        <w:gridCol w:w="823"/>
        <w:gridCol w:w="822"/>
        <w:gridCol w:w="1110"/>
      </w:tblGrid>
      <w:tr w:rsidR="005B0A1E" w14:paraId="3C04C5B8" w14:textId="77777777">
        <w:trPr>
          <w:trHeight w:val="50"/>
        </w:trPr>
        <w:tc>
          <w:tcPr>
            <w:tcW w:w="4106" w:type="dxa"/>
            <w:gridSpan w:val="2"/>
            <w:tcBorders>
              <w:top w:val="single" w:sz="4" w:space="0" w:color="auto"/>
              <w:left w:val="single" w:sz="4" w:space="0" w:color="auto"/>
              <w:bottom w:val="single" w:sz="4" w:space="0" w:color="auto"/>
              <w:right w:val="single" w:sz="4" w:space="0" w:color="auto"/>
            </w:tcBorders>
            <w:hideMark/>
          </w:tcPr>
          <w:p w14:paraId="09CF38C8"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MEDICINAL PRODUCT</w:t>
            </w:r>
          </w:p>
          <w:p w14:paraId="6DC20867"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medicinal product pack</w:t>
            </w:r>
          </w:p>
        </w:tc>
        <w:tc>
          <w:tcPr>
            <w:tcW w:w="1377" w:type="dxa"/>
            <w:tcBorders>
              <w:top w:val="single" w:sz="4" w:space="0" w:color="auto"/>
              <w:left w:val="single" w:sz="4" w:space="0" w:color="auto"/>
              <w:bottom w:val="single" w:sz="4" w:space="0" w:color="auto"/>
              <w:right w:val="single" w:sz="4" w:space="0" w:color="auto"/>
            </w:tcBorders>
            <w:hideMark/>
          </w:tcPr>
          <w:p w14:paraId="47C936A7"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PBS item code</w:t>
            </w:r>
          </w:p>
        </w:tc>
        <w:tc>
          <w:tcPr>
            <w:tcW w:w="829" w:type="dxa"/>
            <w:tcBorders>
              <w:top w:val="single" w:sz="4" w:space="0" w:color="auto"/>
              <w:left w:val="single" w:sz="4" w:space="0" w:color="auto"/>
              <w:bottom w:val="single" w:sz="4" w:space="0" w:color="auto"/>
              <w:right w:val="single" w:sz="4" w:space="0" w:color="auto"/>
            </w:tcBorders>
            <w:hideMark/>
          </w:tcPr>
          <w:p w14:paraId="0D42796A"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packs</w:t>
            </w:r>
          </w:p>
        </w:tc>
        <w:tc>
          <w:tcPr>
            <w:tcW w:w="823" w:type="dxa"/>
            <w:tcBorders>
              <w:top w:val="single" w:sz="4" w:space="0" w:color="auto"/>
              <w:left w:val="single" w:sz="4" w:space="0" w:color="auto"/>
              <w:bottom w:val="single" w:sz="4" w:space="0" w:color="auto"/>
              <w:right w:val="single" w:sz="4" w:space="0" w:color="auto"/>
            </w:tcBorders>
            <w:hideMark/>
          </w:tcPr>
          <w:p w14:paraId="4A389BB1"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units</w:t>
            </w:r>
          </w:p>
        </w:tc>
        <w:tc>
          <w:tcPr>
            <w:tcW w:w="822" w:type="dxa"/>
            <w:tcBorders>
              <w:top w:val="single" w:sz="4" w:space="0" w:color="auto"/>
              <w:left w:val="single" w:sz="4" w:space="0" w:color="auto"/>
              <w:bottom w:val="single" w:sz="4" w:space="0" w:color="auto"/>
              <w:right w:val="single" w:sz="4" w:space="0" w:color="auto"/>
            </w:tcBorders>
            <w:hideMark/>
          </w:tcPr>
          <w:p w14:paraId="78B9BA60"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№.of</w:t>
            </w:r>
          </w:p>
          <w:p w14:paraId="082FF65B"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Rpts</w:t>
            </w:r>
          </w:p>
        </w:tc>
        <w:tc>
          <w:tcPr>
            <w:tcW w:w="1110" w:type="dxa"/>
            <w:tcBorders>
              <w:top w:val="single" w:sz="4" w:space="0" w:color="auto"/>
              <w:left w:val="single" w:sz="4" w:space="0" w:color="auto"/>
              <w:bottom w:val="single" w:sz="4" w:space="0" w:color="auto"/>
              <w:right w:val="single" w:sz="4" w:space="0" w:color="auto"/>
            </w:tcBorders>
            <w:hideMark/>
          </w:tcPr>
          <w:p w14:paraId="330AAFBD"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Available brands</w:t>
            </w:r>
          </w:p>
        </w:tc>
      </w:tr>
      <w:tr w:rsidR="005B0A1E" w14:paraId="1844BD4D"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hideMark/>
          </w:tcPr>
          <w:p w14:paraId="1E21F871" w14:textId="77777777" w:rsidR="005B0A1E" w:rsidRDefault="005B0A1E" w:rsidP="007A591A">
            <w:pPr>
              <w:keepNext/>
              <w:spacing w:line="276" w:lineRule="auto"/>
              <w:ind w:left="-57"/>
              <w:rPr>
                <w:rFonts w:ascii="Arial Narrow" w:hAnsi="Arial Narrow"/>
                <w:kern w:val="2"/>
                <w:sz w:val="20"/>
                <w:szCs w:val="20"/>
                <w:lang w:eastAsia="en-US"/>
              </w:rPr>
            </w:pPr>
            <w:r>
              <w:rPr>
                <w:rFonts w:ascii="Arial Narrow" w:hAnsi="Arial Narrow"/>
                <w:kern w:val="2"/>
                <w:sz w:val="20"/>
                <w:szCs w:val="20"/>
                <w:lang w:eastAsia="en-US"/>
              </w:rPr>
              <w:t>TOFERSEN</w:t>
            </w:r>
          </w:p>
        </w:tc>
      </w:tr>
      <w:tr w:rsidR="005B0A1E" w14:paraId="660231D8" w14:textId="77777777">
        <w:trPr>
          <w:trHeight w:val="50"/>
        </w:trPr>
        <w:tc>
          <w:tcPr>
            <w:tcW w:w="4106" w:type="dxa"/>
            <w:gridSpan w:val="2"/>
            <w:tcBorders>
              <w:top w:val="single" w:sz="4" w:space="0" w:color="auto"/>
              <w:left w:val="single" w:sz="4" w:space="0" w:color="auto"/>
              <w:bottom w:val="single" w:sz="4" w:space="0" w:color="auto"/>
              <w:right w:val="single" w:sz="4" w:space="0" w:color="auto"/>
            </w:tcBorders>
            <w:hideMark/>
          </w:tcPr>
          <w:p w14:paraId="201EF9EF"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kern w:val="2"/>
                <w:sz w:val="20"/>
                <w:szCs w:val="20"/>
                <w:lang w:eastAsia="en-US"/>
              </w:rPr>
              <w:t xml:space="preserve">tofersen 100 mg/ 15 mL injection, 15 mL vial </w:t>
            </w:r>
          </w:p>
        </w:tc>
        <w:tc>
          <w:tcPr>
            <w:tcW w:w="1377" w:type="dxa"/>
            <w:tcBorders>
              <w:top w:val="single" w:sz="4" w:space="0" w:color="auto"/>
              <w:left w:val="single" w:sz="4" w:space="0" w:color="auto"/>
              <w:bottom w:val="single" w:sz="4" w:space="0" w:color="auto"/>
              <w:right w:val="single" w:sz="4" w:space="0" w:color="auto"/>
            </w:tcBorders>
            <w:hideMark/>
          </w:tcPr>
          <w:p w14:paraId="5F66F9D3"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(Private)</w:t>
            </w:r>
          </w:p>
          <w:p w14:paraId="0C8AEFBE"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(Public)</w:t>
            </w:r>
          </w:p>
        </w:tc>
        <w:tc>
          <w:tcPr>
            <w:tcW w:w="829" w:type="dxa"/>
            <w:tcBorders>
              <w:top w:val="single" w:sz="4" w:space="0" w:color="auto"/>
              <w:left w:val="single" w:sz="4" w:space="0" w:color="auto"/>
              <w:bottom w:val="single" w:sz="4" w:space="0" w:color="auto"/>
              <w:right w:val="single" w:sz="4" w:space="0" w:color="auto"/>
            </w:tcBorders>
            <w:hideMark/>
          </w:tcPr>
          <w:p w14:paraId="491C0891"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23" w:type="dxa"/>
            <w:tcBorders>
              <w:top w:val="single" w:sz="4" w:space="0" w:color="auto"/>
              <w:left w:val="single" w:sz="4" w:space="0" w:color="auto"/>
              <w:bottom w:val="single" w:sz="4" w:space="0" w:color="auto"/>
              <w:right w:val="single" w:sz="4" w:space="0" w:color="auto"/>
            </w:tcBorders>
            <w:hideMark/>
          </w:tcPr>
          <w:p w14:paraId="53817386"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22" w:type="dxa"/>
            <w:tcBorders>
              <w:top w:val="single" w:sz="4" w:space="0" w:color="auto"/>
              <w:left w:val="single" w:sz="4" w:space="0" w:color="auto"/>
              <w:bottom w:val="single" w:sz="4" w:space="0" w:color="auto"/>
              <w:right w:val="single" w:sz="4" w:space="0" w:color="auto"/>
            </w:tcBorders>
            <w:hideMark/>
          </w:tcPr>
          <w:p w14:paraId="2839B525" w14:textId="77777777" w:rsidR="005B0A1E" w:rsidRDefault="005B0A1E" w:rsidP="007A591A">
            <w:pPr>
              <w:keepNext/>
              <w:spacing w:line="276" w:lineRule="auto"/>
              <w:ind w:left="-57"/>
              <w:jc w:val="center"/>
              <w:rPr>
                <w:rFonts w:ascii="Arial Narrow" w:hAnsi="Arial Narrow"/>
                <w:bCs/>
                <w:kern w:val="2"/>
                <w:sz w:val="20"/>
                <w:szCs w:val="20"/>
                <w:lang w:eastAsia="en-US"/>
              </w:rPr>
            </w:pPr>
            <w:r>
              <w:rPr>
                <w:rFonts w:ascii="Arial Narrow" w:hAnsi="Arial Narrow"/>
                <w:bCs/>
                <w:kern w:val="2"/>
                <w:sz w:val="20"/>
                <w:szCs w:val="20"/>
                <w:lang w:eastAsia="en-US"/>
              </w:rPr>
              <w:t>5</w:t>
            </w:r>
          </w:p>
        </w:tc>
        <w:tc>
          <w:tcPr>
            <w:tcW w:w="1110" w:type="dxa"/>
            <w:tcBorders>
              <w:top w:val="single" w:sz="4" w:space="0" w:color="auto"/>
              <w:left w:val="single" w:sz="4" w:space="0" w:color="auto"/>
              <w:bottom w:val="single" w:sz="4" w:space="0" w:color="auto"/>
              <w:right w:val="single" w:sz="4" w:space="0" w:color="auto"/>
            </w:tcBorders>
            <w:hideMark/>
          </w:tcPr>
          <w:p w14:paraId="48E721A2"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Qalsody</w:t>
            </w:r>
          </w:p>
        </w:tc>
      </w:tr>
      <w:tr w:rsidR="005B0A1E" w14:paraId="7975CE6F"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tcPr>
          <w:p w14:paraId="7D3F1E2E" w14:textId="77777777" w:rsidR="005B0A1E" w:rsidRDefault="005B0A1E" w:rsidP="007A591A">
            <w:pPr>
              <w:keepNext/>
              <w:spacing w:line="276" w:lineRule="auto"/>
              <w:ind w:left="-57"/>
              <w:rPr>
                <w:rFonts w:ascii="Arial Narrow" w:hAnsi="Arial Narrow"/>
                <w:b/>
                <w:kern w:val="2"/>
                <w:sz w:val="20"/>
                <w:szCs w:val="20"/>
                <w:lang w:eastAsia="en-US"/>
              </w:rPr>
            </w:pPr>
          </w:p>
        </w:tc>
      </w:tr>
      <w:tr w:rsidR="005B0A1E" w14:paraId="1CC9B261" w14:textId="77777777">
        <w:trPr>
          <w:trHeight w:val="5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77D5EC1" w14:textId="77777777" w:rsidR="005B0A1E" w:rsidRDefault="005B0A1E" w:rsidP="007A591A">
            <w:pPr>
              <w:keepNext/>
              <w:keepLines/>
              <w:spacing w:line="276" w:lineRule="auto"/>
              <w:jc w:val="center"/>
              <w:rPr>
                <w:rFonts w:ascii="Arial Narrow" w:hAnsi="Arial Narrow"/>
                <w:kern w:val="2"/>
                <w:sz w:val="20"/>
                <w:szCs w:val="20"/>
                <w:lang w:eastAsia="en-US"/>
              </w:rPr>
            </w:pPr>
            <w:r>
              <w:rPr>
                <w:rFonts w:ascii="Arial Narrow" w:hAnsi="Arial Narrow"/>
                <w:b/>
                <w:kern w:val="2"/>
                <w:sz w:val="20"/>
                <w:szCs w:val="20"/>
                <w:lang w:eastAsia="en-US"/>
              </w:rPr>
              <w:t>Concept ID</w:t>
            </w:r>
          </w:p>
          <w:p w14:paraId="5FA8D147" w14:textId="5EA5A61E"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val="en-GB" w:eastAsia="en-US"/>
              </w:rPr>
              <w:t>(For Dept.</w:t>
            </w:r>
            <w:r w:rsidR="00226E9F">
              <w:rPr>
                <w:rFonts w:ascii="Arial Narrow" w:hAnsi="Arial Narrow"/>
                <w:b/>
                <w:kern w:val="2"/>
                <w:sz w:val="20"/>
                <w:szCs w:val="20"/>
                <w:lang w:val="en-GB" w:eastAsia="en-US"/>
              </w:rPr>
              <w:t xml:space="preserve"> </w:t>
            </w:r>
            <w:r>
              <w:rPr>
                <w:rFonts w:ascii="Arial Narrow" w:hAnsi="Arial Narrow"/>
                <w:b/>
                <w:kern w:val="2"/>
                <w:sz w:val="20"/>
                <w:szCs w:val="20"/>
                <w:lang w:val="en-GB" w:eastAsia="en-US"/>
              </w:rPr>
              <w:t>use}</w:t>
            </w: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A716F5A" w14:textId="235E5645"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Category / Program:</w:t>
            </w:r>
            <w:r>
              <w:rPr>
                <w:rFonts w:ascii="Arial Narrow" w:hAnsi="Arial Narrow"/>
                <w:kern w:val="2"/>
                <w:sz w:val="20"/>
                <w:szCs w:val="20"/>
                <w:lang w:eastAsia="en-US"/>
              </w:rPr>
              <w:t xml:space="preserve"> </w:t>
            </w:r>
            <w:r w:rsidR="00514703">
              <w:rPr>
                <w:rFonts w:ascii="Arial Narrow" w:hAnsi="Arial Narrow"/>
                <w:kern w:val="2"/>
                <w:sz w:val="20"/>
                <w:szCs w:val="20"/>
                <w:lang w:eastAsia="en-US"/>
              </w:rPr>
              <w:fldChar w:fldCharType="begin">
                <w:ffData>
                  <w:name w:val="Check4"/>
                  <w:enabled/>
                  <w:calcOnExit w:val="0"/>
                  <w:checkBox>
                    <w:sizeAuto/>
                    <w:default w:val="1"/>
                  </w:checkBox>
                </w:ffData>
              </w:fldChar>
            </w:r>
            <w:r w:rsidR="00514703">
              <w:rPr>
                <w:rFonts w:ascii="Arial Narrow" w:hAnsi="Arial Narrow"/>
                <w:kern w:val="2"/>
                <w:sz w:val="20"/>
                <w:szCs w:val="20"/>
                <w:lang w:eastAsia="en-US"/>
              </w:rPr>
              <w:instrText xml:space="preserve"> </w:instrText>
            </w:r>
            <w:bookmarkStart w:id="51" w:name="Check4"/>
            <w:r w:rsidR="00514703">
              <w:rPr>
                <w:rFonts w:ascii="Arial Narrow" w:hAnsi="Arial Narrow"/>
                <w:kern w:val="2"/>
                <w:sz w:val="20"/>
                <w:szCs w:val="20"/>
                <w:lang w:eastAsia="en-US"/>
              </w:rPr>
              <w:instrText xml:space="preserve">FORMCHECKBOX </w:instrText>
            </w:r>
            <w:r w:rsidR="00514703">
              <w:rPr>
                <w:rFonts w:ascii="Arial Narrow" w:hAnsi="Arial Narrow"/>
                <w:kern w:val="2"/>
                <w:sz w:val="20"/>
                <w:szCs w:val="20"/>
                <w:lang w:eastAsia="en-US"/>
              </w:rPr>
            </w:r>
            <w:r w:rsidR="00514703">
              <w:rPr>
                <w:rFonts w:ascii="Arial Narrow" w:hAnsi="Arial Narrow"/>
                <w:kern w:val="2"/>
                <w:sz w:val="20"/>
                <w:szCs w:val="20"/>
                <w:lang w:eastAsia="en-US"/>
              </w:rPr>
              <w:fldChar w:fldCharType="separate"/>
            </w:r>
            <w:r w:rsidR="00514703">
              <w:rPr>
                <w:rFonts w:ascii="Arial Narrow" w:hAnsi="Arial Narrow"/>
                <w:kern w:val="2"/>
                <w:sz w:val="20"/>
                <w:szCs w:val="20"/>
                <w:lang w:eastAsia="en-US"/>
              </w:rPr>
              <w:fldChar w:fldCharType="end"/>
            </w:r>
            <w:bookmarkEnd w:id="51"/>
            <w:r>
              <w:rPr>
                <w:rFonts w:ascii="Arial Narrow" w:hAnsi="Arial Narrow"/>
                <w:kern w:val="2"/>
                <w:sz w:val="20"/>
                <w:szCs w:val="20"/>
                <w:lang w:eastAsia="en-US"/>
              </w:rPr>
              <w:t xml:space="preserve"> </w:t>
            </w:r>
            <w:r>
              <w:rPr>
                <w:rFonts w:ascii="Arial Narrow" w:eastAsia="Calibri" w:hAnsi="Arial Narrow"/>
                <w:kern w:val="2"/>
                <w:sz w:val="20"/>
                <w:szCs w:val="20"/>
                <w:lang w:eastAsia="en-US"/>
              </w:rPr>
              <w:t>Section 100 – Highly Specialised Drugs Program – Public (Code HB) / Private (Code HS)</w:t>
            </w:r>
          </w:p>
        </w:tc>
      </w:tr>
      <w:tr w:rsidR="005B0A1E" w14:paraId="1FA88B35" w14:textId="7777777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CEF2F" w14:textId="77777777" w:rsidR="005B0A1E" w:rsidRDefault="005B0A1E" w:rsidP="007A591A">
            <w:pPr>
              <w:spacing w:line="276" w:lineRule="auto"/>
              <w:jc w:val="left"/>
              <w:rPr>
                <w:rFonts w:ascii="Arial Narrow" w:hAnsi="Arial Narrow" w:cs="Arial"/>
                <w:b/>
                <w:kern w:val="2"/>
                <w:sz w:val="20"/>
                <w:szCs w:val="20"/>
                <w:lang w:eastAsia="en-US"/>
                <w14:ligatures w14:val="standardContextual"/>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1009D8A"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 xml:space="preserve">Prescriber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Medical Practitioners </w:t>
            </w:r>
          </w:p>
        </w:tc>
      </w:tr>
      <w:tr w:rsidR="005B0A1E" w14:paraId="3916C21F" w14:textId="7777777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1278E" w14:textId="77777777" w:rsidR="005B0A1E" w:rsidRDefault="005B0A1E" w:rsidP="007A591A">
            <w:pPr>
              <w:spacing w:line="276" w:lineRule="auto"/>
              <w:jc w:val="left"/>
              <w:rPr>
                <w:rFonts w:ascii="Arial Narrow" w:hAnsi="Arial Narrow" w:cs="Arial"/>
                <w:b/>
                <w:kern w:val="2"/>
                <w:sz w:val="20"/>
                <w:szCs w:val="20"/>
                <w:lang w:eastAsia="en-US"/>
                <w14:ligatures w14:val="standardContextual"/>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01872804"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 xml:space="preserve">Benefit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w:t>
            </w:r>
            <w:r>
              <w:rPr>
                <w:rFonts w:ascii="Arial Narrow" w:eastAsia="Calibri" w:hAnsi="Arial Narrow"/>
                <w:kern w:val="2"/>
                <w:sz w:val="20"/>
                <w:szCs w:val="20"/>
                <w:lang w:eastAsia="en-US"/>
              </w:rPr>
              <w:t xml:space="preserve">Authority Required (Telephone/ Online PBS Authorities System) </w:t>
            </w:r>
          </w:p>
        </w:tc>
      </w:tr>
      <w:tr w:rsidR="005B0A1E" w14:paraId="687DAAA5"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hideMark/>
          </w:tcPr>
          <w:p w14:paraId="39220098" w14:textId="64EF63E2" w:rsidR="005B0A1E" w:rsidRDefault="005B0A1E" w:rsidP="007A591A">
            <w:pPr>
              <w:keepNext/>
              <w:spacing w:line="276" w:lineRule="auto"/>
              <w:rPr>
                <w:rFonts w:ascii="Arial Narrow" w:hAnsi="Arial Narrow"/>
                <w:b/>
                <w:kern w:val="2"/>
                <w:sz w:val="20"/>
                <w:szCs w:val="20"/>
                <w:lang w:eastAsia="en-US"/>
              </w:rPr>
            </w:pPr>
            <w:r>
              <w:rPr>
                <w:rFonts w:ascii="Arial Narrow" w:hAnsi="Arial Narrow"/>
                <w:b/>
                <w:kern w:val="2"/>
                <w:sz w:val="20"/>
                <w:szCs w:val="20"/>
                <w:lang w:eastAsia="en-US"/>
              </w:rPr>
              <w:lastRenderedPageBreak/>
              <w:t>Prescribing rule level:</w:t>
            </w:r>
            <w:r w:rsidR="007A591A">
              <w:rPr>
                <w:rFonts w:ascii="Arial Narrow" w:hAnsi="Arial Narrow"/>
                <w:b/>
                <w:kern w:val="2"/>
                <w:sz w:val="20"/>
                <w:szCs w:val="20"/>
                <w:lang w:eastAsia="en-US"/>
              </w:rPr>
              <w:t xml:space="preserve"> </w:t>
            </w:r>
          </w:p>
        </w:tc>
      </w:tr>
      <w:tr w:rsidR="005B0A1E" w14:paraId="5C7D842D"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38087D91" w14:textId="20E961F5"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8C606A8"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1FFA32D9"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bCs/>
                <w:kern w:val="2"/>
                <w:sz w:val="20"/>
                <w:szCs w:val="20"/>
                <w:lang w:eastAsia="en-US"/>
              </w:rPr>
              <w:t>No increase in the maximum quantity or number of units may be authorised.</w:t>
            </w:r>
          </w:p>
        </w:tc>
      </w:tr>
      <w:tr w:rsidR="005B0A1E" w14:paraId="229B9CFB"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564487EA" w14:textId="6B8183E4"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E1F067C"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27487ACC"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color w:val="333333"/>
                <w:kern w:val="2"/>
                <w:sz w:val="20"/>
                <w:szCs w:val="20"/>
                <w:lang w:eastAsia="en-US"/>
              </w:rPr>
              <w:t xml:space="preserve">No increase in the maximum number of repeats may be authorised. </w:t>
            </w:r>
          </w:p>
        </w:tc>
      </w:tr>
      <w:tr w:rsidR="005B0A1E" w14:paraId="2654FCBA"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46E21DDA" w14:textId="18CE68E7"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BA017C6" w14:textId="77777777" w:rsidR="005B0A1E" w:rsidRDefault="005B0A1E" w:rsidP="007A591A">
            <w:pPr>
              <w:keepLines/>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77BCF020" w14:textId="77777777" w:rsidR="005B0A1E" w:rsidRDefault="005B0A1E" w:rsidP="007A591A">
            <w:pPr>
              <w:keepNext/>
              <w:spacing w:line="276" w:lineRule="auto"/>
              <w:rPr>
                <w:rFonts w:ascii="Arial Narrow" w:hAnsi="Arial Narrow"/>
                <w:b/>
                <w:kern w:val="2"/>
                <w:sz w:val="20"/>
                <w:szCs w:val="20"/>
                <w:lang w:eastAsia="en-US"/>
              </w:rPr>
            </w:pPr>
            <w:r>
              <w:rPr>
                <w:rFonts w:ascii="Arial Narrow" w:hAnsi="Arial Narrow"/>
                <w:color w:val="333333"/>
                <w:kern w:val="2"/>
                <w:sz w:val="20"/>
                <w:szCs w:val="20"/>
                <w:lang w:eastAsia="en-US"/>
              </w:rPr>
              <w:t>Special Pricing Arrangements apply.</w:t>
            </w:r>
            <w:r>
              <w:rPr>
                <w:rFonts w:ascii="Arial Narrow" w:hAnsi="Arial Narrow"/>
                <w:b/>
                <w:color w:val="333333"/>
                <w:kern w:val="2"/>
                <w:sz w:val="20"/>
                <w:szCs w:val="20"/>
                <w:lang w:eastAsia="en-US"/>
              </w:rPr>
              <w:t xml:space="preserve"> </w:t>
            </w:r>
          </w:p>
        </w:tc>
      </w:tr>
      <w:tr w:rsidR="005B0A1E" w14:paraId="345E9B68"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25704436" w14:textId="7EA5CB92" w:rsidR="005B0A1E" w:rsidRDefault="005B0A1E" w:rsidP="007A591A">
            <w:pPr>
              <w:keepNext/>
              <w:spacing w:line="276" w:lineRule="auto"/>
              <w:jc w:val="cente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EF5A0E2"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 xml:space="preserve">Administrative Advice: </w:t>
            </w:r>
          </w:p>
          <w:p w14:paraId="1029F311"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kern w:val="2"/>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5B0A1E" w14:paraId="06E9A6B3" w14:textId="77777777">
        <w:trPr>
          <w:trHeight w:val="50"/>
        </w:trPr>
        <w:tc>
          <w:tcPr>
            <w:tcW w:w="1271" w:type="dxa"/>
            <w:tcBorders>
              <w:top w:val="single" w:sz="4" w:space="0" w:color="auto"/>
              <w:left w:val="single" w:sz="4" w:space="0" w:color="auto"/>
              <w:bottom w:val="single" w:sz="4" w:space="0" w:color="auto"/>
              <w:right w:val="single" w:sz="4" w:space="0" w:color="auto"/>
            </w:tcBorders>
            <w:hideMark/>
          </w:tcPr>
          <w:p w14:paraId="2C7CC285" w14:textId="12B96510" w:rsidR="005B0A1E" w:rsidRDefault="005B0A1E" w:rsidP="007A591A">
            <w:pPr>
              <w:keepNext/>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93F24B5" w14:textId="77777777" w:rsidR="005B0A1E" w:rsidRDefault="005B0A1E" w:rsidP="007A591A">
            <w:pPr>
              <w:spacing w:line="276" w:lineRule="auto"/>
              <w:jc w:val="left"/>
              <w:rPr>
                <w:rFonts w:ascii="Arial Narrow" w:hAnsi="Arial Narrow"/>
                <w:b/>
                <w:bCs/>
                <w:kern w:val="2"/>
                <w:sz w:val="20"/>
                <w:szCs w:val="20"/>
                <w:lang w:eastAsia="en-US"/>
              </w:rPr>
            </w:pPr>
            <w:r>
              <w:rPr>
                <w:rFonts w:ascii="Arial Narrow" w:hAnsi="Arial Narrow"/>
                <w:b/>
                <w:bCs/>
                <w:kern w:val="2"/>
                <w:sz w:val="20"/>
                <w:szCs w:val="20"/>
                <w:lang w:eastAsia="en-US"/>
              </w:rPr>
              <w:t>Administrative Advice:</w:t>
            </w:r>
          </w:p>
          <w:p w14:paraId="16701D08" w14:textId="4B5CA343" w:rsidR="005B0A1E" w:rsidRDefault="005B0A1E" w:rsidP="007A591A">
            <w:pPr>
              <w:spacing w:line="276" w:lineRule="auto"/>
              <w:jc w:val="left"/>
              <w:rPr>
                <w:rFonts w:ascii="Arial Narrow" w:hAnsi="Arial Narrow"/>
                <w:kern w:val="2"/>
                <w:sz w:val="20"/>
                <w:szCs w:val="20"/>
                <w:lang w:eastAsia="en-US"/>
              </w:rPr>
            </w:pPr>
            <w:r>
              <w:rPr>
                <w:rFonts w:ascii="Arial Narrow" w:hAnsi="Arial Narrow"/>
                <w:kern w:val="2"/>
                <w:sz w:val="20"/>
                <w:szCs w:val="20"/>
                <w:lang w:eastAsia="en-US"/>
              </w:rPr>
              <w:t xml:space="preserve">The ALS Functional Rating Scale </w:t>
            </w:r>
            <w:r w:rsidR="007A591A">
              <w:rPr>
                <w:rFonts w:ascii="Arial Narrow" w:hAnsi="Arial Narrow"/>
                <w:kern w:val="2"/>
                <w:sz w:val="20"/>
                <w:szCs w:val="20"/>
                <w:lang w:eastAsia="en-US"/>
              </w:rPr>
              <w:noBreakHyphen/>
            </w:r>
            <w:r>
              <w:rPr>
                <w:rFonts w:ascii="Arial Narrow" w:hAnsi="Arial Narrow"/>
                <w:kern w:val="2"/>
                <w:sz w:val="20"/>
                <w:szCs w:val="20"/>
                <w:lang w:eastAsia="en-US"/>
              </w:rPr>
              <w:t xml:space="preserve"> Revised (ALSFRS</w:t>
            </w:r>
            <w:r w:rsidR="007A591A">
              <w:rPr>
                <w:rFonts w:ascii="Arial Narrow" w:hAnsi="Arial Narrow"/>
                <w:kern w:val="2"/>
                <w:sz w:val="20"/>
                <w:szCs w:val="20"/>
                <w:lang w:eastAsia="en-US"/>
              </w:rPr>
              <w:noBreakHyphen/>
            </w:r>
            <w:r>
              <w:rPr>
                <w:rFonts w:ascii="Arial Narrow" w:hAnsi="Arial Narrow"/>
                <w:kern w:val="2"/>
                <w:sz w:val="20"/>
                <w:szCs w:val="20"/>
                <w:lang w:eastAsia="en-US"/>
              </w:rPr>
              <w:t>R) can be accessed online at:</w:t>
            </w:r>
          </w:p>
          <w:p w14:paraId="6616773F" w14:textId="4F7754BB" w:rsidR="005B0A1E" w:rsidRDefault="005B0A1E" w:rsidP="007A591A">
            <w:pPr>
              <w:spacing w:line="276" w:lineRule="auto"/>
              <w:jc w:val="left"/>
              <w:rPr>
                <w:rFonts w:ascii="Arial Narrow" w:hAnsi="Arial Narrow"/>
                <w:b/>
                <w:bCs/>
                <w:kern w:val="2"/>
                <w:sz w:val="20"/>
                <w:szCs w:val="20"/>
                <w:lang w:eastAsia="en-US"/>
              </w:rPr>
            </w:pPr>
            <w:r>
              <w:rPr>
                <w:rFonts w:ascii="Arial Narrow" w:hAnsi="Arial Narrow"/>
                <w:kern w:val="2"/>
                <w:sz w:val="20"/>
                <w:szCs w:val="20"/>
                <w:lang w:eastAsia="en-US"/>
              </w:rPr>
              <w:t>www.mdcalc.com/calc/10166/revised</w:t>
            </w:r>
            <w:r w:rsidR="007A591A">
              <w:rPr>
                <w:rFonts w:ascii="Arial Narrow" w:hAnsi="Arial Narrow"/>
                <w:kern w:val="2"/>
                <w:sz w:val="20"/>
                <w:szCs w:val="20"/>
                <w:lang w:eastAsia="en-US"/>
              </w:rPr>
              <w:noBreakHyphen/>
            </w:r>
            <w:r>
              <w:rPr>
                <w:rFonts w:ascii="Arial Narrow" w:hAnsi="Arial Narrow"/>
                <w:kern w:val="2"/>
                <w:sz w:val="20"/>
                <w:szCs w:val="20"/>
                <w:lang w:eastAsia="en-US"/>
              </w:rPr>
              <w:t>amyotrophic</w:t>
            </w:r>
            <w:r w:rsidR="007A591A">
              <w:rPr>
                <w:rFonts w:ascii="Arial Narrow" w:hAnsi="Arial Narrow"/>
                <w:kern w:val="2"/>
                <w:sz w:val="20"/>
                <w:szCs w:val="20"/>
                <w:lang w:eastAsia="en-US"/>
              </w:rPr>
              <w:noBreakHyphen/>
            </w:r>
            <w:r>
              <w:rPr>
                <w:rFonts w:ascii="Arial Narrow" w:hAnsi="Arial Narrow"/>
                <w:kern w:val="2"/>
                <w:sz w:val="20"/>
                <w:szCs w:val="20"/>
                <w:lang w:eastAsia="en-US"/>
              </w:rPr>
              <w:t>lateral</w:t>
            </w:r>
            <w:r w:rsidR="007A591A">
              <w:rPr>
                <w:rFonts w:ascii="Arial Narrow" w:hAnsi="Arial Narrow"/>
                <w:kern w:val="2"/>
                <w:sz w:val="20"/>
                <w:szCs w:val="20"/>
                <w:lang w:eastAsia="en-US"/>
              </w:rPr>
              <w:noBreakHyphen/>
            </w:r>
            <w:r>
              <w:rPr>
                <w:rFonts w:ascii="Arial Narrow" w:hAnsi="Arial Narrow"/>
                <w:kern w:val="2"/>
                <w:sz w:val="20"/>
                <w:szCs w:val="20"/>
                <w:lang w:eastAsia="en-US"/>
              </w:rPr>
              <w:t>sclerosis</w:t>
            </w:r>
            <w:r w:rsidR="007A591A">
              <w:rPr>
                <w:rFonts w:ascii="Arial Narrow" w:hAnsi="Arial Narrow"/>
                <w:kern w:val="2"/>
                <w:sz w:val="20"/>
                <w:szCs w:val="20"/>
                <w:lang w:eastAsia="en-US"/>
              </w:rPr>
              <w:noBreakHyphen/>
            </w:r>
            <w:r>
              <w:rPr>
                <w:rFonts w:ascii="Arial Narrow" w:hAnsi="Arial Narrow"/>
                <w:kern w:val="2"/>
                <w:sz w:val="20"/>
                <w:szCs w:val="20"/>
                <w:lang w:eastAsia="en-US"/>
              </w:rPr>
              <w:t>functional</w:t>
            </w:r>
            <w:r w:rsidR="007A591A">
              <w:rPr>
                <w:rFonts w:ascii="Arial Narrow" w:hAnsi="Arial Narrow"/>
                <w:kern w:val="2"/>
                <w:sz w:val="20"/>
                <w:szCs w:val="20"/>
                <w:lang w:eastAsia="en-US"/>
              </w:rPr>
              <w:noBreakHyphen/>
            </w:r>
            <w:r>
              <w:rPr>
                <w:rFonts w:ascii="Arial Narrow" w:hAnsi="Arial Narrow"/>
                <w:kern w:val="2"/>
                <w:sz w:val="20"/>
                <w:szCs w:val="20"/>
                <w:lang w:eastAsia="en-US"/>
              </w:rPr>
              <w:t>rating</w:t>
            </w:r>
            <w:r w:rsidR="007A591A">
              <w:rPr>
                <w:rFonts w:ascii="Arial Narrow" w:hAnsi="Arial Narrow"/>
                <w:kern w:val="2"/>
                <w:sz w:val="20"/>
                <w:szCs w:val="20"/>
                <w:lang w:eastAsia="en-US"/>
              </w:rPr>
              <w:noBreakHyphen/>
            </w:r>
            <w:r>
              <w:rPr>
                <w:rFonts w:ascii="Arial Narrow" w:hAnsi="Arial Narrow"/>
                <w:kern w:val="2"/>
                <w:sz w:val="20"/>
                <w:szCs w:val="20"/>
                <w:lang w:eastAsia="en-US"/>
              </w:rPr>
              <w:t>scale</w:t>
            </w:r>
            <w:r w:rsidR="007A591A">
              <w:rPr>
                <w:rFonts w:ascii="Arial Narrow" w:hAnsi="Arial Narrow"/>
                <w:kern w:val="2"/>
                <w:sz w:val="20"/>
                <w:szCs w:val="20"/>
                <w:lang w:eastAsia="en-US"/>
              </w:rPr>
              <w:noBreakHyphen/>
            </w:r>
            <w:r>
              <w:rPr>
                <w:rFonts w:ascii="Arial Narrow" w:hAnsi="Arial Narrow"/>
                <w:kern w:val="2"/>
                <w:sz w:val="20"/>
                <w:szCs w:val="20"/>
                <w:lang w:eastAsia="en-US"/>
              </w:rPr>
              <w:t>alsfrs</w:t>
            </w:r>
            <w:r w:rsidR="007A591A">
              <w:rPr>
                <w:rFonts w:ascii="Arial Narrow" w:hAnsi="Arial Narrow"/>
                <w:kern w:val="2"/>
                <w:sz w:val="20"/>
                <w:szCs w:val="20"/>
                <w:lang w:eastAsia="en-US"/>
              </w:rPr>
              <w:noBreakHyphen/>
            </w:r>
            <w:r>
              <w:rPr>
                <w:rFonts w:ascii="Arial Narrow" w:hAnsi="Arial Narrow"/>
                <w:kern w:val="2"/>
                <w:sz w:val="20"/>
                <w:szCs w:val="20"/>
                <w:lang w:eastAsia="en-US"/>
              </w:rPr>
              <w:t>r or https://neurotoolkit.com/alsfrs</w:t>
            </w:r>
            <w:r w:rsidR="007A591A">
              <w:rPr>
                <w:rFonts w:ascii="Arial Narrow" w:hAnsi="Arial Narrow"/>
                <w:kern w:val="2"/>
                <w:sz w:val="20"/>
                <w:szCs w:val="20"/>
                <w:lang w:eastAsia="en-US"/>
              </w:rPr>
              <w:noBreakHyphen/>
            </w:r>
            <w:r>
              <w:rPr>
                <w:rFonts w:ascii="Arial Narrow" w:hAnsi="Arial Narrow"/>
                <w:kern w:val="2"/>
                <w:sz w:val="20"/>
                <w:szCs w:val="20"/>
                <w:lang w:eastAsia="en-US"/>
              </w:rPr>
              <w:t>r/</w:t>
            </w:r>
          </w:p>
        </w:tc>
      </w:tr>
    </w:tbl>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7790"/>
      </w:tblGrid>
      <w:tr w:rsidR="005B0A1E" w14:paraId="1BB4DDCF" w14:textId="77777777" w:rsidTr="00F36138">
        <w:tc>
          <w:tcPr>
            <w:tcW w:w="90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15" w:type="dxa"/>
              <w:right w:w="15" w:type="dxa"/>
            </w:tcMar>
            <w:vAlign w:val="center"/>
            <w:hideMark/>
          </w:tcPr>
          <w:p w14:paraId="4CACC957" w14:textId="77777777" w:rsidR="005B0A1E" w:rsidRDefault="005B0A1E" w:rsidP="007A591A">
            <w:pPr>
              <w:spacing w:line="276" w:lineRule="auto"/>
              <w:rPr>
                <w:rFonts w:ascii="Arial Narrow" w:hAnsi="Arial Narrow" w:cs="Arial"/>
                <w:b/>
                <w:bCs/>
                <w:kern w:val="2"/>
                <w:sz w:val="20"/>
                <w:szCs w:val="20"/>
                <w:lang w:eastAsia="en-US"/>
                <w14:ligatures w14:val="standardContextual"/>
              </w:rPr>
            </w:pPr>
            <w:r>
              <w:rPr>
                <w:rFonts w:ascii="Arial Narrow" w:hAnsi="Arial Narrow"/>
                <w:b/>
                <w:bCs/>
                <w:kern w:val="2"/>
                <w:sz w:val="20"/>
                <w:szCs w:val="20"/>
                <w:lang w:eastAsia="en-US"/>
              </w:rPr>
              <w:t>Restriction Summary [new4] / Treatment of Concept: [new4A]</w:t>
            </w:r>
          </w:p>
        </w:tc>
      </w:tr>
      <w:tr w:rsidR="005B0A1E" w14:paraId="4FF05909"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AE0174" w14:textId="79FC8823"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7A7BE9" w14:textId="47FF6FF1"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Indication:</w:t>
            </w:r>
            <w:r>
              <w:rPr>
                <w:rFonts w:ascii="Arial Narrow" w:hAnsi="Arial Narrow"/>
                <w:kern w:val="2"/>
                <w:sz w:val="20"/>
                <w:szCs w:val="20"/>
                <w:lang w:eastAsia="en-US"/>
              </w:rPr>
              <w:t xml:space="preserve"> Amyotrophic lateral sclerosis</w:t>
            </w:r>
            <w:r w:rsidR="007A591A">
              <w:rPr>
                <w:rFonts w:ascii="Arial Narrow" w:hAnsi="Arial Narrow"/>
                <w:kern w:val="2"/>
                <w:sz w:val="20"/>
                <w:szCs w:val="20"/>
                <w:lang w:eastAsia="en-US"/>
              </w:rPr>
              <w:t xml:space="preserve"> </w:t>
            </w:r>
          </w:p>
        </w:tc>
      </w:tr>
      <w:tr w:rsidR="005B0A1E" w14:paraId="3311C572"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47B5F" w14:textId="77777777" w:rsidR="005B0A1E" w:rsidRDefault="005B0A1E" w:rsidP="007A591A">
            <w:pPr>
              <w:rPr>
                <w:rFonts w:ascii="Arial Narrow" w:hAnsi="Arial Narrow"/>
                <w:b/>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4DC1D5" w14:textId="2C8401D9" w:rsidR="005B0A1E" w:rsidRDefault="005B0A1E" w:rsidP="007A591A">
            <w:pPr>
              <w:spacing w:line="276" w:lineRule="auto"/>
              <w:rPr>
                <w:rFonts w:ascii="Arial Narrow" w:hAnsi="Arial Narrow" w:cs="Arial"/>
                <w:kern w:val="2"/>
                <w:sz w:val="20"/>
                <w:szCs w:val="20"/>
                <w:lang w:eastAsia="en-US"/>
                <w14:ligatures w14:val="standardContextual"/>
              </w:rPr>
            </w:pPr>
            <w:r>
              <w:rPr>
                <w:rFonts w:ascii="Arial Narrow" w:hAnsi="Arial Narrow"/>
                <w:b/>
                <w:kern w:val="2"/>
                <w:sz w:val="20"/>
                <w:szCs w:val="20"/>
                <w:lang w:eastAsia="en-US"/>
              </w:rPr>
              <w:t>Treatment Phase:</w:t>
            </w:r>
            <w:r>
              <w:rPr>
                <w:rFonts w:ascii="Arial Narrow" w:hAnsi="Arial Narrow"/>
                <w:kern w:val="2"/>
                <w:sz w:val="20"/>
                <w:szCs w:val="20"/>
                <w:lang w:eastAsia="en-US"/>
              </w:rPr>
              <w:t xml:space="preserve"> Subsequent continuing treatment</w:t>
            </w:r>
            <w:r w:rsidR="007A591A">
              <w:rPr>
                <w:rFonts w:ascii="Arial Narrow" w:hAnsi="Arial Narrow"/>
                <w:kern w:val="2"/>
                <w:sz w:val="20"/>
                <w:szCs w:val="20"/>
                <w:lang w:eastAsia="en-US"/>
              </w:rPr>
              <w:t xml:space="preserve"> </w:t>
            </w:r>
          </w:p>
        </w:tc>
      </w:tr>
      <w:tr w:rsidR="005B0A1E" w14:paraId="6FF218D4"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D081AD" w14:textId="2368DF5D"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0BACD5"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385A4446" w14:textId="77777777" w:rsidTr="00F36138">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AF78B9" w14:textId="094DC702"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B726DA" w14:textId="337678BE"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have previously received PBS</w:t>
            </w:r>
            <w:r w:rsidR="007A591A">
              <w:rPr>
                <w:rFonts w:ascii="Arial Narrow" w:hAnsi="Arial Narrow"/>
                <w:kern w:val="2"/>
                <w:sz w:val="20"/>
                <w:szCs w:val="20"/>
                <w:lang w:eastAsia="en-US"/>
              </w:rPr>
              <w:noBreakHyphen/>
            </w:r>
            <w:r>
              <w:rPr>
                <w:rFonts w:ascii="Arial Narrow" w:hAnsi="Arial Narrow"/>
                <w:kern w:val="2"/>
                <w:sz w:val="20"/>
                <w:szCs w:val="20"/>
                <w:lang w:eastAsia="en-US"/>
              </w:rPr>
              <w:t xml:space="preserve">subsidised treatment with this drug for this condition under the first continuing treatment, the extended first continuing treatment or the grandfather treatment restriction. </w:t>
            </w:r>
          </w:p>
        </w:tc>
      </w:tr>
      <w:tr w:rsidR="005B0A1E" w14:paraId="53812AD4"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FA0B6A" w14:textId="77777777"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94E77C"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8D195B3"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54FC5B" w14:textId="4F61A759"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61F3C4"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1484DE6B"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68B24C" w14:textId="023D3B4F"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8CBEE9" w14:textId="333B5E61"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have demonstrated an adequate response to treatment defined as any improvement or stabilisation in the ALSFRS</w:t>
            </w:r>
            <w:r w:rsidR="007A591A">
              <w:rPr>
                <w:rFonts w:ascii="Arial Narrow" w:hAnsi="Arial Narrow"/>
                <w:kern w:val="2"/>
                <w:sz w:val="20"/>
                <w:szCs w:val="20"/>
                <w:lang w:eastAsia="en-US"/>
              </w:rPr>
              <w:noBreakHyphen/>
            </w:r>
            <w:r>
              <w:rPr>
                <w:rFonts w:ascii="Arial Narrow" w:hAnsi="Arial Narrow"/>
                <w:kern w:val="2"/>
                <w:sz w:val="20"/>
                <w:szCs w:val="20"/>
                <w:lang w:eastAsia="en-US"/>
              </w:rPr>
              <w:t>R score (i.e. no more than a 20% decline from the baseline ALSFRS</w:t>
            </w:r>
            <w:r w:rsidR="007A591A">
              <w:rPr>
                <w:rFonts w:ascii="Arial Narrow" w:hAnsi="Arial Narrow"/>
                <w:kern w:val="2"/>
                <w:sz w:val="20"/>
                <w:szCs w:val="20"/>
                <w:lang w:eastAsia="en-US"/>
              </w:rPr>
              <w:noBreakHyphen/>
            </w:r>
            <w:r>
              <w:rPr>
                <w:rFonts w:ascii="Arial Narrow" w:hAnsi="Arial Narrow"/>
                <w:kern w:val="2"/>
                <w:sz w:val="20"/>
                <w:szCs w:val="20"/>
                <w:lang w:eastAsia="en-US"/>
              </w:rPr>
              <w:t>R score), if they have received treatment under the first continuing or extended first continuing restriction</w:t>
            </w:r>
            <w:r w:rsidR="00AA2CDC">
              <w:rPr>
                <w:rFonts w:ascii="Arial Narrow" w:hAnsi="Arial Narrow"/>
                <w:kern w:val="2"/>
                <w:sz w:val="20"/>
                <w:szCs w:val="20"/>
                <w:lang w:eastAsia="en-US"/>
              </w:rPr>
              <w:t>; or</w:t>
            </w:r>
            <w:r>
              <w:rPr>
                <w:rFonts w:ascii="Arial Narrow" w:hAnsi="Arial Narrow"/>
                <w:kern w:val="2"/>
                <w:sz w:val="20"/>
                <w:szCs w:val="20"/>
                <w:lang w:eastAsia="en-US"/>
              </w:rPr>
              <w:t>.</w:t>
            </w:r>
          </w:p>
        </w:tc>
      </w:tr>
      <w:tr w:rsidR="004A4D88" w14:paraId="5BABAA8E" w14:textId="77777777" w:rsidTr="00572473">
        <w:trPr>
          <w:trHeight w:val="5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0A2976" w14:textId="69615E79" w:rsidR="004A4D88" w:rsidRDefault="004A4D88"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E56DA1" w14:textId="12BFBEFB" w:rsidR="004A4D88" w:rsidRDefault="67BEE833" w:rsidP="007A591A">
            <w:pPr>
              <w:spacing w:line="276" w:lineRule="auto"/>
              <w:rPr>
                <w:rFonts w:ascii="Arial Narrow" w:hAnsi="Arial Narrow"/>
                <w:kern w:val="2"/>
                <w:sz w:val="20"/>
                <w:szCs w:val="20"/>
                <w:lang w:eastAsia="en-US"/>
              </w:rPr>
            </w:pPr>
            <w:r w:rsidRPr="7D33A9CC">
              <w:rPr>
                <w:rFonts w:ascii="Arial Narrow" w:hAnsi="Arial Narrow"/>
                <w:sz w:val="20"/>
                <w:szCs w:val="20"/>
                <w:lang w:eastAsia="en-US"/>
              </w:rPr>
              <w:t>Patient must have demonstrated a</w:t>
            </w:r>
            <w:r w:rsidR="00D37EB4">
              <w:rPr>
                <w:rFonts w:ascii="Arial Narrow" w:hAnsi="Arial Narrow"/>
                <w:sz w:val="20"/>
                <w:szCs w:val="20"/>
                <w:lang w:eastAsia="en-US"/>
              </w:rPr>
              <w:t xml:space="preserve"> clinical benefit</w:t>
            </w:r>
            <w:r w:rsidR="69ECFFBE" w:rsidRPr="7D33A9CC">
              <w:rPr>
                <w:rFonts w:ascii="Arial Narrow" w:hAnsi="Arial Narrow"/>
                <w:sz w:val="20"/>
                <w:szCs w:val="20"/>
                <w:lang w:eastAsia="en-US"/>
              </w:rPr>
              <w:t xml:space="preserve"> </w:t>
            </w:r>
            <w:r w:rsidR="009B454D">
              <w:rPr>
                <w:rFonts w:ascii="Arial Narrow" w:hAnsi="Arial Narrow"/>
                <w:sz w:val="20"/>
                <w:szCs w:val="20"/>
                <w:lang w:eastAsia="en-US"/>
              </w:rPr>
              <w:t>from</w:t>
            </w:r>
            <w:r w:rsidR="02D1647E" w:rsidRPr="7D33A9CC">
              <w:rPr>
                <w:rFonts w:ascii="Arial Narrow" w:hAnsi="Arial Narrow"/>
                <w:sz w:val="20"/>
                <w:szCs w:val="20"/>
                <w:lang w:eastAsia="en-US"/>
              </w:rPr>
              <w:t xml:space="preserve"> treatment</w:t>
            </w:r>
            <w:r w:rsidR="3E74ADE2" w:rsidRPr="7D33A9CC">
              <w:rPr>
                <w:rFonts w:ascii="Arial Narrow" w:hAnsi="Arial Narrow"/>
                <w:sz w:val="20"/>
                <w:szCs w:val="20"/>
                <w:lang w:eastAsia="en-US"/>
              </w:rPr>
              <w:t>,</w:t>
            </w:r>
            <w:r w:rsidR="09FEF264" w:rsidRPr="7D33A9CC">
              <w:rPr>
                <w:rFonts w:ascii="Arial Narrow" w:hAnsi="Arial Narrow"/>
                <w:sz w:val="20"/>
                <w:szCs w:val="20"/>
                <w:lang w:eastAsia="en-US"/>
              </w:rPr>
              <w:t xml:space="preserve"> based on clinician </w:t>
            </w:r>
            <w:r w:rsidR="3E74ADE2" w:rsidRPr="7D33A9CC">
              <w:rPr>
                <w:rFonts w:ascii="Arial Narrow" w:hAnsi="Arial Narrow"/>
                <w:sz w:val="20"/>
                <w:szCs w:val="20"/>
                <w:lang w:eastAsia="en-US"/>
              </w:rPr>
              <w:t>judgment, within 12 months of treatment initiation, if they have received treatment under the grandfather listing.</w:t>
            </w:r>
            <w:r w:rsidR="02D1647E" w:rsidRPr="7D33A9CC">
              <w:rPr>
                <w:rFonts w:ascii="Arial Narrow" w:hAnsi="Arial Narrow"/>
                <w:sz w:val="20"/>
                <w:szCs w:val="20"/>
                <w:lang w:eastAsia="en-US"/>
              </w:rPr>
              <w:t xml:space="preserve"> </w:t>
            </w:r>
          </w:p>
        </w:tc>
      </w:tr>
      <w:tr w:rsidR="005B0A1E" w14:paraId="1C7565F6"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556651" w14:textId="77777777"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31B27"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774B3770"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D54A15" w14:textId="5B0FDE82"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87FEEA"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79EB096C"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9ABB20" w14:textId="5D1C129C"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982C9"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have experienced</w:t>
            </w:r>
            <w:r>
              <w:rPr>
                <w:kern w:val="2"/>
                <w:sz w:val="20"/>
                <w:szCs w:val="20"/>
                <w:lang w:eastAsia="en-US"/>
              </w:rPr>
              <w:t xml:space="preserve"> </w:t>
            </w:r>
            <w:r>
              <w:rPr>
                <w:rFonts w:ascii="Arial Narrow" w:hAnsi="Arial Narrow"/>
                <w:kern w:val="2"/>
                <w:sz w:val="20"/>
                <w:szCs w:val="20"/>
                <w:lang w:eastAsia="en-US"/>
              </w:rPr>
              <w:t>respiratory failure,</w:t>
            </w:r>
          </w:p>
        </w:tc>
      </w:tr>
      <w:tr w:rsidR="005B0A1E" w14:paraId="12FEB9A4"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D55B1C" w14:textId="77777777"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152A26"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103781B0"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248724" w14:textId="08E43C52"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1639F"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0399004F"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76F5E2" w14:textId="3ABAFBBF"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C3C63E"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be receiving palliative care,</w:t>
            </w:r>
          </w:p>
        </w:tc>
      </w:tr>
      <w:tr w:rsidR="005B0A1E" w14:paraId="6252BE8C"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D8AA0" w14:textId="77777777"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ABF13E"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C797E1B"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64F7B3" w14:textId="28EC2D33"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F44A7"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55970583"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E79791" w14:textId="5DBED806"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AE73A4"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The treatment must be given concomitantly with best supportive care (including riluzole where appropriate) for this condition,</w:t>
            </w:r>
          </w:p>
        </w:tc>
      </w:tr>
      <w:tr w:rsidR="005B0A1E" w14:paraId="4AA9BAC2"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B4F81" w14:textId="77777777"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E5C455"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69073601"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6E820F" w14:textId="2129B182"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074A1"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74717350"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AFA552" w14:textId="153FA4E9"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661646"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be receiving concomitant treatment with edaravone for this condition.</w:t>
            </w:r>
          </w:p>
        </w:tc>
      </w:tr>
      <w:tr w:rsidR="005B0A1E" w14:paraId="556D4F20"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61B5E1" w14:textId="77777777"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8B4F48"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3B27414A" w14:textId="77777777" w:rsidTr="00F36138">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8173E3" w14:textId="16E145A8"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47AF92"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Treatment criteria:</w:t>
            </w:r>
          </w:p>
        </w:tc>
      </w:tr>
      <w:tr w:rsidR="005B0A1E" w14:paraId="4527E701" w14:textId="77777777" w:rsidTr="00F36138">
        <w:trPr>
          <w:trHeight w:val="35"/>
        </w:trPr>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009822" w14:textId="084983C7" w:rsidR="005B0A1E" w:rsidRDefault="005B0A1E" w:rsidP="007A591A">
            <w:pPr>
              <w:spacing w:line="276" w:lineRule="auto"/>
              <w:jc w:val="center"/>
              <w:rPr>
                <w:rFonts w:ascii="Arial Narrow" w:hAnsi="Arial Narrow"/>
                <w:kern w:val="2"/>
                <w:sz w:val="20"/>
                <w:szCs w:val="20"/>
                <w:lang w:eastAsia="en-US"/>
              </w:rPr>
            </w:pPr>
          </w:p>
        </w:tc>
        <w:tc>
          <w:tcPr>
            <w:tcW w:w="77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951E6"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Must be treated by a specialist with expertise in the diagnosis and management of amyotrophic lateral sclerosis</w:t>
            </w:r>
          </w:p>
        </w:tc>
      </w:tr>
    </w:tbl>
    <w:p w14:paraId="26D5F458" w14:textId="77777777" w:rsidR="005B0A1E" w:rsidRDefault="005B0A1E" w:rsidP="007A591A">
      <w:pPr>
        <w:rPr>
          <w:rFonts w:cs="Arial"/>
          <w14:ligatures w14:val="standardContextual"/>
        </w:rPr>
      </w:pPr>
    </w:p>
    <w:p w14:paraId="790BABC8" w14:textId="727B2CDD" w:rsidR="005B0A1E" w:rsidRDefault="005B0A1E" w:rsidP="007A591A">
      <w:pPr>
        <w:pStyle w:val="Heading2"/>
        <w:rPr>
          <w:rFonts w:ascii="Calibri" w:eastAsia="Times New Roman" w:hAnsi="Calibri" w:cs="Arial"/>
          <w:b/>
          <w:bCs/>
          <w:color w:val="auto"/>
          <w:sz w:val="24"/>
          <w:szCs w:val="24"/>
        </w:rPr>
      </w:pPr>
      <w:r>
        <w:rPr>
          <w:rFonts w:ascii="Calibri" w:eastAsia="Times New Roman" w:hAnsi="Calibri" w:cs="Arial"/>
          <w:b/>
          <w:bCs/>
          <w:color w:val="auto"/>
          <w:sz w:val="24"/>
          <w:szCs w:val="24"/>
        </w:rPr>
        <w:t xml:space="preserve">Grandfather </w:t>
      </w:r>
      <w:r w:rsidR="00C2771B">
        <w:rPr>
          <w:rFonts w:ascii="Calibri" w:eastAsia="Times New Roman" w:hAnsi="Calibri" w:cs="Arial"/>
          <w:b/>
          <w:bCs/>
          <w:color w:val="auto"/>
          <w:sz w:val="24"/>
          <w:szCs w:val="24"/>
        </w:rPr>
        <w:t xml:space="preserve">treatment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randfather treatment "/>
      </w:tblPr>
      <w:tblGrid>
        <w:gridCol w:w="1271"/>
        <w:gridCol w:w="2835"/>
        <w:gridCol w:w="1276"/>
        <w:gridCol w:w="850"/>
        <w:gridCol w:w="851"/>
        <w:gridCol w:w="850"/>
        <w:gridCol w:w="1134"/>
      </w:tblGrid>
      <w:tr w:rsidR="005B0A1E" w14:paraId="2BAC0E35" w14:textId="77777777">
        <w:trPr>
          <w:trHeight w:val="50"/>
        </w:trPr>
        <w:tc>
          <w:tcPr>
            <w:tcW w:w="4106" w:type="dxa"/>
            <w:gridSpan w:val="2"/>
            <w:tcBorders>
              <w:top w:val="single" w:sz="4" w:space="0" w:color="auto"/>
              <w:left w:val="single" w:sz="4" w:space="0" w:color="auto"/>
              <w:bottom w:val="single" w:sz="4" w:space="0" w:color="auto"/>
              <w:right w:val="single" w:sz="4" w:space="0" w:color="auto"/>
            </w:tcBorders>
            <w:hideMark/>
          </w:tcPr>
          <w:p w14:paraId="4FCA135D" w14:textId="77777777" w:rsidR="005B0A1E" w:rsidRDefault="005B0A1E" w:rsidP="007A591A">
            <w:pPr>
              <w:keepNext/>
              <w:spacing w:line="276" w:lineRule="auto"/>
              <w:ind w:left="-57"/>
              <w:rPr>
                <w:rFonts w:ascii="Arial Narrow" w:hAnsi="Arial Narrow" w:cs="Arial"/>
                <w:b/>
                <w:kern w:val="2"/>
                <w:sz w:val="20"/>
                <w:szCs w:val="20"/>
                <w:lang w:eastAsia="en-US"/>
              </w:rPr>
            </w:pPr>
            <w:r>
              <w:rPr>
                <w:rFonts w:ascii="Arial Narrow" w:hAnsi="Arial Narrow"/>
                <w:b/>
                <w:kern w:val="2"/>
                <w:sz w:val="20"/>
                <w:szCs w:val="20"/>
                <w:lang w:eastAsia="en-US"/>
              </w:rPr>
              <w:t>MEDICINAL PRODUCT</w:t>
            </w:r>
          </w:p>
          <w:p w14:paraId="1655AC6E"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b/>
                <w:kern w:val="2"/>
                <w:sz w:val="20"/>
                <w:szCs w:val="20"/>
                <w:lang w:eastAsia="en-US"/>
              </w:rPr>
              <w:t>medicinal product pack</w:t>
            </w:r>
          </w:p>
        </w:tc>
        <w:tc>
          <w:tcPr>
            <w:tcW w:w="1276" w:type="dxa"/>
            <w:tcBorders>
              <w:top w:val="single" w:sz="4" w:space="0" w:color="auto"/>
              <w:left w:val="single" w:sz="4" w:space="0" w:color="auto"/>
              <w:bottom w:val="single" w:sz="4" w:space="0" w:color="auto"/>
              <w:right w:val="single" w:sz="4" w:space="0" w:color="auto"/>
            </w:tcBorders>
            <w:hideMark/>
          </w:tcPr>
          <w:p w14:paraId="6FC4C309"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6A7B309F"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13052373"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Max. qty units</w:t>
            </w:r>
          </w:p>
        </w:tc>
        <w:tc>
          <w:tcPr>
            <w:tcW w:w="850" w:type="dxa"/>
            <w:tcBorders>
              <w:top w:val="single" w:sz="4" w:space="0" w:color="auto"/>
              <w:left w:val="single" w:sz="4" w:space="0" w:color="auto"/>
              <w:bottom w:val="single" w:sz="4" w:space="0" w:color="auto"/>
              <w:right w:val="single" w:sz="4" w:space="0" w:color="auto"/>
            </w:tcBorders>
            <w:hideMark/>
          </w:tcPr>
          <w:p w14:paraId="472DA488"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№.of</w:t>
            </w:r>
          </w:p>
          <w:p w14:paraId="3D0DC043"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Rpts</w:t>
            </w:r>
          </w:p>
        </w:tc>
        <w:tc>
          <w:tcPr>
            <w:tcW w:w="1134" w:type="dxa"/>
            <w:tcBorders>
              <w:top w:val="single" w:sz="4" w:space="0" w:color="auto"/>
              <w:left w:val="single" w:sz="4" w:space="0" w:color="auto"/>
              <w:bottom w:val="single" w:sz="4" w:space="0" w:color="auto"/>
              <w:right w:val="single" w:sz="4" w:space="0" w:color="auto"/>
            </w:tcBorders>
            <w:hideMark/>
          </w:tcPr>
          <w:p w14:paraId="53958F6C"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b/>
                <w:kern w:val="2"/>
                <w:sz w:val="20"/>
                <w:szCs w:val="20"/>
                <w:lang w:eastAsia="en-US"/>
              </w:rPr>
              <w:t>Available brands</w:t>
            </w:r>
          </w:p>
        </w:tc>
      </w:tr>
      <w:tr w:rsidR="005B0A1E" w14:paraId="48B49855"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hideMark/>
          </w:tcPr>
          <w:p w14:paraId="02A9D748" w14:textId="77777777" w:rsidR="005B0A1E" w:rsidRDefault="005B0A1E" w:rsidP="007A591A">
            <w:pPr>
              <w:keepNext/>
              <w:spacing w:line="276" w:lineRule="auto"/>
              <w:ind w:left="-57"/>
              <w:rPr>
                <w:rFonts w:ascii="Arial Narrow" w:hAnsi="Arial Narrow"/>
                <w:kern w:val="2"/>
                <w:sz w:val="20"/>
                <w:szCs w:val="20"/>
                <w:lang w:eastAsia="en-US"/>
              </w:rPr>
            </w:pPr>
            <w:r>
              <w:rPr>
                <w:rFonts w:ascii="Arial Narrow" w:hAnsi="Arial Narrow"/>
                <w:kern w:val="2"/>
                <w:sz w:val="20"/>
                <w:szCs w:val="20"/>
                <w:lang w:eastAsia="en-US"/>
              </w:rPr>
              <w:t>TOFERSEN</w:t>
            </w:r>
          </w:p>
        </w:tc>
      </w:tr>
      <w:tr w:rsidR="005B0A1E" w14:paraId="6F284A9B" w14:textId="77777777">
        <w:trPr>
          <w:trHeight w:val="50"/>
        </w:trPr>
        <w:tc>
          <w:tcPr>
            <w:tcW w:w="4106" w:type="dxa"/>
            <w:gridSpan w:val="2"/>
            <w:tcBorders>
              <w:top w:val="single" w:sz="4" w:space="0" w:color="auto"/>
              <w:left w:val="single" w:sz="4" w:space="0" w:color="auto"/>
              <w:bottom w:val="single" w:sz="4" w:space="0" w:color="auto"/>
              <w:right w:val="single" w:sz="4" w:space="0" w:color="auto"/>
            </w:tcBorders>
            <w:hideMark/>
          </w:tcPr>
          <w:p w14:paraId="5344D10B" w14:textId="77777777" w:rsidR="005B0A1E" w:rsidRDefault="005B0A1E" w:rsidP="007A591A">
            <w:pPr>
              <w:keepNext/>
              <w:spacing w:line="276" w:lineRule="auto"/>
              <w:ind w:left="-57"/>
              <w:rPr>
                <w:rFonts w:ascii="Arial Narrow" w:hAnsi="Arial Narrow"/>
                <w:b/>
                <w:kern w:val="2"/>
                <w:sz w:val="20"/>
                <w:szCs w:val="20"/>
                <w:lang w:eastAsia="en-US"/>
              </w:rPr>
            </w:pPr>
            <w:r>
              <w:rPr>
                <w:rFonts w:ascii="Arial Narrow" w:hAnsi="Arial Narrow"/>
                <w:kern w:val="2"/>
                <w:sz w:val="20"/>
                <w:szCs w:val="20"/>
                <w:lang w:eastAsia="en-US"/>
              </w:rPr>
              <w:t xml:space="preserve">tofersen 100 mg/ 15 mL injection, 15 mL vial </w:t>
            </w:r>
          </w:p>
        </w:tc>
        <w:tc>
          <w:tcPr>
            <w:tcW w:w="1276" w:type="dxa"/>
            <w:tcBorders>
              <w:top w:val="single" w:sz="4" w:space="0" w:color="auto"/>
              <w:left w:val="single" w:sz="4" w:space="0" w:color="auto"/>
              <w:bottom w:val="single" w:sz="4" w:space="0" w:color="auto"/>
              <w:right w:val="single" w:sz="4" w:space="0" w:color="auto"/>
            </w:tcBorders>
            <w:hideMark/>
          </w:tcPr>
          <w:p w14:paraId="12146D83"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(Private)</w:t>
            </w:r>
          </w:p>
          <w:p w14:paraId="34B9FE40" w14:textId="77777777" w:rsidR="005B0A1E" w:rsidRDefault="005B0A1E" w:rsidP="007A591A">
            <w:pPr>
              <w:keepNext/>
              <w:spacing w:line="276" w:lineRule="auto"/>
              <w:jc w:val="center"/>
              <w:rPr>
                <w:rFonts w:ascii="Arial Narrow" w:hAnsi="Arial Narrow"/>
                <w:kern w:val="2"/>
                <w:sz w:val="20"/>
                <w:szCs w:val="20"/>
                <w:lang w:eastAsia="en-US"/>
              </w:rPr>
            </w:pPr>
            <w:r>
              <w:rPr>
                <w:rFonts w:ascii="Arial Narrow" w:hAnsi="Arial Narrow"/>
                <w:kern w:val="2"/>
                <w:sz w:val="20"/>
                <w:szCs w:val="20"/>
                <w:lang w:eastAsia="en-US"/>
              </w:rPr>
              <w:t>NEW (Public)</w:t>
            </w:r>
          </w:p>
        </w:tc>
        <w:tc>
          <w:tcPr>
            <w:tcW w:w="850" w:type="dxa"/>
            <w:tcBorders>
              <w:top w:val="single" w:sz="4" w:space="0" w:color="auto"/>
              <w:left w:val="single" w:sz="4" w:space="0" w:color="auto"/>
              <w:bottom w:val="single" w:sz="4" w:space="0" w:color="auto"/>
              <w:right w:val="single" w:sz="4" w:space="0" w:color="auto"/>
            </w:tcBorders>
            <w:hideMark/>
          </w:tcPr>
          <w:p w14:paraId="5E5BB7E9"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14:paraId="7FAB5D9A"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6C32D5BA" w14:textId="77777777" w:rsidR="005B0A1E" w:rsidRDefault="005B0A1E" w:rsidP="007A591A">
            <w:pPr>
              <w:keepNext/>
              <w:spacing w:line="276" w:lineRule="auto"/>
              <w:ind w:left="-57"/>
              <w:jc w:val="center"/>
              <w:rPr>
                <w:rFonts w:ascii="Arial Narrow" w:hAnsi="Arial Narrow"/>
                <w:kern w:val="2"/>
                <w:sz w:val="20"/>
                <w:szCs w:val="20"/>
                <w:lang w:eastAsia="en-US"/>
              </w:rPr>
            </w:pPr>
            <w:r>
              <w:rPr>
                <w:rFonts w:ascii="Arial Narrow" w:hAnsi="Arial Narrow"/>
                <w:bCs/>
                <w:kern w:val="2"/>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753E3947" w14:textId="77777777" w:rsidR="005B0A1E" w:rsidRDefault="005B0A1E" w:rsidP="007A591A">
            <w:pPr>
              <w:keepNext/>
              <w:spacing w:line="276" w:lineRule="auto"/>
              <w:ind w:left="-57"/>
              <w:jc w:val="center"/>
              <w:rPr>
                <w:rFonts w:ascii="Arial Narrow" w:hAnsi="Arial Narrow"/>
                <w:b/>
                <w:kern w:val="2"/>
                <w:sz w:val="20"/>
                <w:szCs w:val="20"/>
                <w:lang w:eastAsia="en-US"/>
              </w:rPr>
            </w:pPr>
            <w:r>
              <w:rPr>
                <w:rFonts w:ascii="Arial Narrow" w:hAnsi="Arial Narrow"/>
                <w:kern w:val="2"/>
                <w:sz w:val="20"/>
                <w:szCs w:val="20"/>
                <w:lang w:eastAsia="en-US"/>
              </w:rPr>
              <w:t>Qalsody</w:t>
            </w:r>
          </w:p>
        </w:tc>
      </w:tr>
      <w:tr w:rsidR="005B0A1E" w14:paraId="12AB2508" w14:textId="77777777">
        <w:trPr>
          <w:trHeight w:val="50"/>
        </w:trPr>
        <w:tc>
          <w:tcPr>
            <w:tcW w:w="9067" w:type="dxa"/>
            <w:gridSpan w:val="7"/>
            <w:tcBorders>
              <w:top w:val="single" w:sz="4" w:space="0" w:color="auto"/>
              <w:left w:val="single" w:sz="4" w:space="0" w:color="auto"/>
              <w:bottom w:val="single" w:sz="4" w:space="0" w:color="auto"/>
              <w:right w:val="single" w:sz="4" w:space="0" w:color="auto"/>
            </w:tcBorders>
          </w:tcPr>
          <w:p w14:paraId="77C31936" w14:textId="77777777" w:rsidR="005B0A1E" w:rsidRDefault="005B0A1E" w:rsidP="007A591A">
            <w:pPr>
              <w:keepNext/>
              <w:spacing w:line="276" w:lineRule="auto"/>
              <w:ind w:left="-57"/>
              <w:rPr>
                <w:rFonts w:ascii="Arial Narrow" w:hAnsi="Arial Narrow"/>
                <w:b/>
                <w:kern w:val="2"/>
                <w:sz w:val="20"/>
                <w:szCs w:val="20"/>
                <w:lang w:eastAsia="en-US"/>
              </w:rPr>
            </w:pPr>
          </w:p>
        </w:tc>
      </w:tr>
      <w:tr w:rsidR="005B0A1E" w14:paraId="425135F8" w14:textId="77777777">
        <w:trPr>
          <w:trHeight w:val="300"/>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AB8537C" w14:textId="77777777" w:rsidR="005B0A1E" w:rsidRDefault="005B0A1E" w:rsidP="007A591A">
            <w:pPr>
              <w:keepNext/>
              <w:keepLines/>
              <w:spacing w:line="276" w:lineRule="auto"/>
              <w:jc w:val="center"/>
              <w:rPr>
                <w:rFonts w:ascii="Arial Narrow" w:hAnsi="Arial Narrow"/>
                <w:kern w:val="2"/>
                <w:sz w:val="20"/>
                <w:szCs w:val="20"/>
                <w:lang w:eastAsia="en-US"/>
              </w:rPr>
            </w:pPr>
            <w:r>
              <w:rPr>
                <w:rFonts w:ascii="Arial Narrow" w:hAnsi="Arial Narrow"/>
                <w:b/>
                <w:kern w:val="2"/>
                <w:sz w:val="20"/>
                <w:szCs w:val="20"/>
                <w:lang w:eastAsia="en-US"/>
              </w:rPr>
              <w:t>Concept ID</w:t>
            </w:r>
          </w:p>
          <w:p w14:paraId="1C67A300" w14:textId="7F4220AB"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val="en-GB" w:eastAsia="en-US"/>
              </w:rPr>
              <w:t>(For Dept.</w:t>
            </w:r>
            <w:r w:rsidR="00BA3E54">
              <w:rPr>
                <w:rFonts w:ascii="Arial Narrow" w:hAnsi="Arial Narrow"/>
                <w:b/>
                <w:kern w:val="2"/>
                <w:sz w:val="20"/>
                <w:szCs w:val="20"/>
                <w:lang w:val="en-GB" w:eastAsia="en-US"/>
              </w:rPr>
              <w:t xml:space="preserve"> </w:t>
            </w:r>
            <w:r>
              <w:rPr>
                <w:rFonts w:ascii="Arial Narrow" w:hAnsi="Arial Narrow"/>
                <w:b/>
                <w:kern w:val="2"/>
                <w:sz w:val="20"/>
                <w:szCs w:val="20"/>
                <w:lang w:val="en-GB" w:eastAsia="en-US"/>
              </w:rPr>
              <w:t>use}</w:t>
            </w: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EE50081" w14:textId="337D65A9"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Category / Program:</w:t>
            </w:r>
            <w:r>
              <w:rPr>
                <w:rFonts w:ascii="Arial Narrow" w:hAnsi="Arial Narrow"/>
                <w:kern w:val="2"/>
                <w:sz w:val="20"/>
                <w:szCs w:val="20"/>
                <w:lang w:eastAsia="en-US"/>
              </w:rPr>
              <w:t xml:space="preserve"> </w:t>
            </w:r>
            <w:r w:rsidR="00514703">
              <w:rPr>
                <w:rFonts w:ascii="Arial Narrow" w:hAnsi="Arial Narrow"/>
                <w:kern w:val="2"/>
                <w:sz w:val="20"/>
                <w:szCs w:val="20"/>
                <w:lang w:eastAsia="en-US"/>
              </w:rPr>
              <w:fldChar w:fldCharType="begin">
                <w:ffData>
                  <w:name w:val="Check5"/>
                  <w:enabled/>
                  <w:calcOnExit w:val="0"/>
                  <w:checkBox>
                    <w:sizeAuto/>
                    <w:default w:val="1"/>
                  </w:checkBox>
                </w:ffData>
              </w:fldChar>
            </w:r>
            <w:r w:rsidR="00514703">
              <w:rPr>
                <w:rFonts w:ascii="Arial Narrow" w:hAnsi="Arial Narrow"/>
                <w:kern w:val="2"/>
                <w:sz w:val="20"/>
                <w:szCs w:val="20"/>
                <w:lang w:eastAsia="en-US"/>
              </w:rPr>
              <w:instrText xml:space="preserve"> </w:instrText>
            </w:r>
            <w:bookmarkStart w:id="52" w:name="Check5"/>
            <w:r w:rsidR="00514703">
              <w:rPr>
                <w:rFonts w:ascii="Arial Narrow" w:hAnsi="Arial Narrow"/>
                <w:kern w:val="2"/>
                <w:sz w:val="20"/>
                <w:szCs w:val="20"/>
                <w:lang w:eastAsia="en-US"/>
              </w:rPr>
              <w:instrText xml:space="preserve">FORMCHECKBOX </w:instrText>
            </w:r>
            <w:r w:rsidR="00514703">
              <w:rPr>
                <w:rFonts w:ascii="Arial Narrow" w:hAnsi="Arial Narrow"/>
                <w:kern w:val="2"/>
                <w:sz w:val="20"/>
                <w:szCs w:val="20"/>
                <w:lang w:eastAsia="en-US"/>
              </w:rPr>
            </w:r>
            <w:r w:rsidR="00514703">
              <w:rPr>
                <w:rFonts w:ascii="Arial Narrow" w:hAnsi="Arial Narrow"/>
                <w:kern w:val="2"/>
                <w:sz w:val="20"/>
                <w:szCs w:val="20"/>
                <w:lang w:eastAsia="en-US"/>
              </w:rPr>
              <w:fldChar w:fldCharType="separate"/>
            </w:r>
            <w:r w:rsidR="00514703">
              <w:rPr>
                <w:rFonts w:ascii="Arial Narrow" w:hAnsi="Arial Narrow"/>
                <w:kern w:val="2"/>
                <w:sz w:val="20"/>
                <w:szCs w:val="20"/>
                <w:lang w:eastAsia="en-US"/>
              </w:rPr>
              <w:fldChar w:fldCharType="end"/>
            </w:r>
            <w:bookmarkEnd w:id="52"/>
            <w:r>
              <w:rPr>
                <w:rFonts w:ascii="Arial Narrow" w:hAnsi="Arial Narrow"/>
                <w:kern w:val="2"/>
                <w:sz w:val="20"/>
                <w:szCs w:val="20"/>
                <w:lang w:eastAsia="en-US"/>
              </w:rPr>
              <w:t xml:space="preserve"> </w:t>
            </w:r>
            <w:r>
              <w:rPr>
                <w:rFonts w:ascii="Arial Narrow" w:eastAsia="Calibri" w:hAnsi="Arial Narrow"/>
                <w:kern w:val="2"/>
                <w:sz w:val="20"/>
                <w:szCs w:val="20"/>
                <w:lang w:eastAsia="en-US"/>
              </w:rPr>
              <w:t>Section 100 – Highly Specialised Drugs Program – Public (Code HB) / Private (Code HS)</w:t>
            </w:r>
          </w:p>
        </w:tc>
      </w:tr>
      <w:tr w:rsidR="005B0A1E" w14:paraId="3C8628C9"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05485" w14:textId="77777777" w:rsidR="005B0A1E" w:rsidRDefault="005B0A1E" w:rsidP="007A591A">
            <w:pPr>
              <w:spacing w:line="276" w:lineRule="auto"/>
              <w:jc w:val="left"/>
              <w:rPr>
                <w:rFonts w:ascii="Arial Narrow" w:hAnsi="Arial Narrow" w:cs="Arial"/>
                <w:b/>
                <w:kern w:val="2"/>
                <w:sz w:val="20"/>
                <w:szCs w:val="20"/>
                <w:lang w:val="en-GB" w:eastAsia="en-US"/>
                <w14:ligatures w14:val="standardContextual"/>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7C073B98"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 xml:space="preserve">Prescriber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Medical Practitioners </w:t>
            </w:r>
          </w:p>
        </w:tc>
      </w:tr>
      <w:tr w:rsidR="005B0A1E" w14:paraId="605A10B3"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77686" w14:textId="77777777" w:rsidR="005B0A1E" w:rsidRDefault="005B0A1E" w:rsidP="007A591A">
            <w:pPr>
              <w:spacing w:line="276" w:lineRule="auto"/>
              <w:jc w:val="left"/>
              <w:rPr>
                <w:rFonts w:ascii="Arial Narrow" w:hAnsi="Arial Narrow" w:cs="Arial"/>
                <w:b/>
                <w:kern w:val="2"/>
                <w:sz w:val="20"/>
                <w:szCs w:val="20"/>
                <w:lang w:val="en-GB" w:eastAsia="en-US"/>
                <w14:ligatures w14:val="standardContextual"/>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1EA9B71"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 xml:space="preserve">Benefit type: </w:t>
            </w:r>
            <w:r>
              <w:rPr>
                <w:rFonts w:ascii="Arial Narrow" w:hAnsi="Arial Narrow"/>
                <w:kern w:val="2"/>
                <w:sz w:val="20"/>
                <w:szCs w:val="20"/>
                <w:lang w:eastAsia="en-US"/>
              </w:rPr>
              <w:fldChar w:fldCharType="begin">
                <w:ffData>
                  <w:name w:val=""/>
                  <w:enabled/>
                  <w:calcOnExit w:val="0"/>
                  <w:checkBox>
                    <w:sizeAuto/>
                    <w:default w:val="1"/>
                  </w:checkBox>
                </w:ffData>
              </w:fldChar>
            </w:r>
            <w:r>
              <w:rPr>
                <w:rFonts w:ascii="Arial Narrow" w:hAnsi="Arial Narrow"/>
                <w:kern w:val="2"/>
                <w:sz w:val="20"/>
                <w:szCs w:val="20"/>
                <w:lang w:eastAsia="en-US"/>
              </w:rPr>
              <w:instrText xml:space="preserve"> FORMCHECKBOX </w:instrText>
            </w:r>
            <w:r>
              <w:rPr>
                <w:rFonts w:ascii="Arial Narrow" w:hAnsi="Arial Narrow"/>
                <w:kern w:val="2"/>
                <w:sz w:val="20"/>
                <w:szCs w:val="20"/>
                <w:lang w:eastAsia="en-US"/>
              </w:rPr>
            </w:r>
            <w:r>
              <w:rPr>
                <w:rFonts w:ascii="Arial Narrow" w:hAnsi="Arial Narrow"/>
                <w:kern w:val="2"/>
                <w:sz w:val="20"/>
                <w:szCs w:val="20"/>
                <w:lang w:eastAsia="en-US"/>
              </w:rPr>
              <w:fldChar w:fldCharType="separate"/>
            </w:r>
            <w:r>
              <w:rPr>
                <w:rFonts w:ascii="Arial Narrow" w:hAnsi="Arial Narrow"/>
                <w:kern w:val="2"/>
                <w:sz w:val="20"/>
                <w:szCs w:val="20"/>
                <w:lang w:eastAsia="en-US"/>
              </w:rPr>
              <w:fldChar w:fldCharType="end"/>
            </w:r>
            <w:r>
              <w:rPr>
                <w:rFonts w:ascii="Arial Narrow" w:hAnsi="Arial Narrow"/>
                <w:kern w:val="2"/>
                <w:sz w:val="20"/>
                <w:szCs w:val="20"/>
                <w:lang w:eastAsia="en-US"/>
              </w:rPr>
              <w:t xml:space="preserve"> </w:t>
            </w:r>
            <w:r>
              <w:rPr>
                <w:rFonts w:ascii="Arial Narrow" w:eastAsia="Calibri" w:hAnsi="Arial Narrow"/>
                <w:kern w:val="2"/>
                <w:sz w:val="20"/>
                <w:szCs w:val="20"/>
                <w:lang w:eastAsia="en-US"/>
              </w:rPr>
              <w:t xml:space="preserve">Authority Required (Telephone/ Online PBS Authorities System) </w:t>
            </w:r>
          </w:p>
        </w:tc>
      </w:tr>
      <w:tr w:rsidR="005B0A1E" w14:paraId="705B65AE" w14:textId="77777777">
        <w:trPr>
          <w:trHeight w:val="300"/>
        </w:trPr>
        <w:tc>
          <w:tcPr>
            <w:tcW w:w="9067" w:type="dxa"/>
            <w:gridSpan w:val="7"/>
            <w:tcBorders>
              <w:top w:val="single" w:sz="4" w:space="0" w:color="auto"/>
              <w:left w:val="single" w:sz="4" w:space="0" w:color="auto"/>
              <w:bottom w:val="single" w:sz="4" w:space="0" w:color="auto"/>
              <w:right w:val="single" w:sz="4" w:space="0" w:color="auto"/>
            </w:tcBorders>
            <w:hideMark/>
          </w:tcPr>
          <w:p w14:paraId="7A3F7AEA" w14:textId="5CE39392"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Prescribing rule level:</w:t>
            </w:r>
            <w:r w:rsidR="007A591A">
              <w:rPr>
                <w:rFonts w:ascii="Arial Narrow" w:hAnsi="Arial Narrow"/>
                <w:b/>
                <w:kern w:val="2"/>
                <w:sz w:val="20"/>
                <w:szCs w:val="20"/>
                <w:lang w:eastAsia="en-US"/>
              </w:rPr>
              <w:t xml:space="preserve"> </w:t>
            </w:r>
          </w:p>
        </w:tc>
      </w:tr>
      <w:tr w:rsidR="005B0A1E" w14:paraId="7AA014B8"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7D58BC05" w14:textId="7D1A16A5" w:rsidR="005B0A1E" w:rsidRDefault="005B0A1E" w:rsidP="007A591A">
            <w:pPr>
              <w:spacing w:line="276" w:lineRule="auto"/>
              <w:jc w:val="center"/>
              <w:rPr>
                <w:rFonts w:ascii="Arial Narrow" w:hAnsi="Arial Narrow"/>
                <w:b/>
                <w:kern w:val="2"/>
                <w:sz w:val="20"/>
                <w:szCs w:val="20"/>
                <w:lang w:val="en-GB"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031F6BD"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27D3924B"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bCs/>
                <w:kern w:val="2"/>
                <w:sz w:val="20"/>
                <w:szCs w:val="20"/>
                <w:lang w:eastAsia="en-US"/>
              </w:rPr>
              <w:t>No increase in the maximum quantity or number of units may be authorised.</w:t>
            </w:r>
          </w:p>
        </w:tc>
      </w:tr>
      <w:tr w:rsidR="005B0A1E" w14:paraId="10BAC5AB"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6A47D000" w14:textId="1BAC2EE6" w:rsidR="005B0A1E" w:rsidRDefault="005B0A1E" w:rsidP="007A591A">
            <w:pPr>
              <w:spacing w:line="276" w:lineRule="auto"/>
              <w:jc w:val="center"/>
              <w:rPr>
                <w:rFonts w:ascii="Arial Narrow" w:hAnsi="Arial Narrow"/>
                <w:b/>
                <w:kern w:val="2"/>
                <w:sz w:val="20"/>
                <w:szCs w:val="20"/>
                <w:lang w:val="en-GB"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0038543"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021C3F73"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color w:val="333333"/>
                <w:kern w:val="2"/>
                <w:sz w:val="20"/>
                <w:szCs w:val="20"/>
                <w:lang w:eastAsia="en-US"/>
              </w:rPr>
              <w:t xml:space="preserve">No increase in the maximum number of repeats may be authorised. </w:t>
            </w:r>
          </w:p>
        </w:tc>
      </w:tr>
      <w:tr w:rsidR="005B0A1E" w14:paraId="58F5C335"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683DEF03" w14:textId="040951A8" w:rsidR="005B0A1E" w:rsidRDefault="005B0A1E" w:rsidP="007A591A">
            <w:pPr>
              <w:spacing w:line="276" w:lineRule="auto"/>
              <w:jc w:val="center"/>
              <w:rPr>
                <w:rFonts w:ascii="Arial Narrow" w:hAnsi="Arial Narrow"/>
                <w:color w:val="333333"/>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B073848" w14:textId="77777777" w:rsidR="005B0A1E" w:rsidRDefault="005B0A1E" w:rsidP="007A591A">
            <w:pPr>
              <w:keepLines/>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Administrative Advice:</w:t>
            </w:r>
          </w:p>
          <w:p w14:paraId="4F06F51A"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color w:val="333333"/>
                <w:kern w:val="2"/>
                <w:sz w:val="20"/>
                <w:szCs w:val="20"/>
                <w:lang w:eastAsia="en-US"/>
              </w:rPr>
              <w:t>Special Pricing Arrangements apply.</w:t>
            </w:r>
            <w:r>
              <w:rPr>
                <w:rFonts w:ascii="Arial Narrow" w:hAnsi="Arial Narrow"/>
                <w:b/>
                <w:color w:val="333333"/>
                <w:kern w:val="2"/>
                <w:sz w:val="20"/>
                <w:szCs w:val="20"/>
                <w:lang w:eastAsia="en-US"/>
              </w:rPr>
              <w:t xml:space="preserve"> </w:t>
            </w:r>
          </w:p>
        </w:tc>
      </w:tr>
      <w:tr w:rsidR="005B0A1E" w14:paraId="297478B0"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674E9D25" w14:textId="5AB70C9D" w:rsidR="005B0A1E" w:rsidRDefault="005B0A1E" w:rsidP="007A591A">
            <w:pPr>
              <w:spacing w:line="276" w:lineRule="auto"/>
              <w:jc w:val="center"/>
              <w:rPr>
                <w:rFonts w:ascii="Arial Narrow" w:hAnsi="Arial Narrow"/>
                <w:bCs/>
                <w:kern w:val="2"/>
                <w:sz w:val="20"/>
                <w:szCs w:val="20"/>
                <w:lang w:val="en-GB"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DEF8CED" w14:textId="77777777" w:rsidR="005B0A1E" w:rsidRDefault="005B0A1E" w:rsidP="007A591A">
            <w:pPr>
              <w:spacing w:line="276" w:lineRule="auto"/>
              <w:rPr>
                <w:rFonts w:ascii="Arial Narrow" w:hAnsi="Arial Narrow"/>
                <w:b/>
                <w:bCs/>
                <w:color w:val="333333"/>
                <w:kern w:val="2"/>
                <w:sz w:val="20"/>
                <w:szCs w:val="20"/>
                <w:lang w:eastAsia="en-US"/>
              </w:rPr>
            </w:pPr>
            <w:r>
              <w:rPr>
                <w:rFonts w:ascii="Arial Narrow" w:hAnsi="Arial Narrow"/>
                <w:b/>
                <w:bCs/>
                <w:color w:val="333333"/>
                <w:kern w:val="2"/>
                <w:sz w:val="20"/>
                <w:szCs w:val="20"/>
                <w:lang w:eastAsia="en-US"/>
              </w:rPr>
              <w:t xml:space="preserve">Administrative Advice: </w:t>
            </w:r>
          </w:p>
          <w:p w14:paraId="79FE3CEE"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kern w:val="2"/>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5B0A1E" w14:paraId="5A2A2523" w14:textId="77777777">
        <w:trPr>
          <w:trHeight w:val="300"/>
        </w:trPr>
        <w:tc>
          <w:tcPr>
            <w:tcW w:w="9067"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46C616" w14:textId="77777777" w:rsidR="005B0A1E" w:rsidRDefault="005B0A1E" w:rsidP="007A591A">
            <w:pPr>
              <w:spacing w:line="276" w:lineRule="auto"/>
              <w:rPr>
                <w:rFonts w:ascii="Arial Narrow" w:hAnsi="Arial Narrow"/>
                <w:b/>
                <w:kern w:val="2"/>
                <w:sz w:val="20"/>
                <w:szCs w:val="20"/>
                <w:lang w:val="en-GB" w:eastAsia="en-US"/>
              </w:rPr>
            </w:pPr>
            <w:r>
              <w:rPr>
                <w:rFonts w:ascii="Arial Narrow" w:hAnsi="Arial Narrow"/>
                <w:b/>
                <w:kern w:val="2"/>
                <w:sz w:val="20"/>
                <w:szCs w:val="20"/>
                <w:lang w:eastAsia="en-US"/>
              </w:rPr>
              <w:t>Restriction Summary [new4] / Treatment of Concept: [new4A]</w:t>
            </w:r>
          </w:p>
        </w:tc>
      </w:tr>
      <w:tr w:rsidR="005B0A1E" w14:paraId="23763962" w14:textId="77777777">
        <w:trPr>
          <w:trHeight w:val="300"/>
        </w:trPr>
        <w:tc>
          <w:tcPr>
            <w:tcW w:w="1271" w:type="dxa"/>
            <w:tcBorders>
              <w:top w:val="single" w:sz="4" w:space="0" w:color="auto"/>
              <w:left w:val="single" w:sz="4" w:space="0" w:color="auto"/>
              <w:bottom w:val="single" w:sz="4" w:space="0" w:color="auto"/>
              <w:right w:val="single" w:sz="4" w:space="0" w:color="auto"/>
            </w:tcBorders>
            <w:vAlign w:val="center"/>
            <w:hideMark/>
          </w:tcPr>
          <w:p w14:paraId="1DDFA654" w14:textId="4619EB0A"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7FCAC99" w14:textId="3F58327F" w:rsidR="005B0A1E" w:rsidRDefault="005B0A1E" w:rsidP="007A591A">
            <w:pPr>
              <w:spacing w:line="276" w:lineRule="auto"/>
              <w:rPr>
                <w:rFonts w:ascii="Arial Narrow" w:hAnsi="Arial Narrow"/>
                <w:kern w:val="2"/>
                <w:sz w:val="20"/>
                <w:szCs w:val="20"/>
                <w:lang w:eastAsia="en-US"/>
              </w:rPr>
            </w:pPr>
            <w:r>
              <w:rPr>
                <w:rFonts w:ascii="Arial Narrow" w:hAnsi="Arial Narrow"/>
                <w:b/>
                <w:kern w:val="2"/>
                <w:sz w:val="20"/>
                <w:szCs w:val="20"/>
                <w:lang w:eastAsia="en-US"/>
              </w:rPr>
              <w:t>Indication:</w:t>
            </w:r>
            <w:r>
              <w:rPr>
                <w:rFonts w:ascii="Arial Narrow" w:hAnsi="Arial Narrow"/>
                <w:kern w:val="2"/>
                <w:sz w:val="20"/>
                <w:szCs w:val="20"/>
                <w:lang w:eastAsia="en-US"/>
              </w:rPr>
              <w:t xml:space="preserve"> Amyotrophic lateral sclerosis</w:t>
            </w:r>
            <w:r w:rsidR="007A591A">
              <w:rPr>
                <w:rFonts w:ascii="Arial Narrow" w:hAnsi="Arial Narrow"/>
                <w:kern w:val="2"/>
                <w:sz w:val="20"/>
                <w:szCs w:val="20"/>
                <w:lang w:eastAsia="en-US"/>
              </w:rPr>
              <w:t xml:space="preserve"> </w:t>
            </w:r>
          </w:p>
        </w:tc>
      </w:tr>
      <w:tr w:rsidR="005B0A1E" w14:paraId="543AF18A" w14:textId="77777777">
        <w:trPr>
          <w:trHeight w:val="300"/>
        </w:trPr>
        <w:tc>
          <w:tcPr>
            <w:tcW w:w="1271" w:type="dxa"/>
            <w:tcBorders>
              <w:top w:val="single" w:sz="4" w:space="0" w:color="auto"/>
              <w:left w:val="single" w:sz="4" w:space="0" w:color="auto"/>
              <w:bottom w:val="single" w:sz="4" w:space="0" w:color="auto"/>
              <w:right w:val="single" w:sz="4" w:space="0" w:color="auto"/>
            </w:tcBorders>
            <w:vAlign w:val="center"/>
            <w:hideMark/>
          </w:tcPr>
          <w:p w14:paraId="0984293D" w14:textId="77777777" w:rsidR="005B0A1E" w:rsidRDefault="005B0A1E" w:rsidP="007A591A">
            <w:pP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E2ECB53" w14:textId="05C7E484" w:rsidR="005B0A1E" w:rsidRDefault="005B0A1E" w:rsidP="007A591A">
            <w:pPr>
              <w:spacing w:line="276" w:lineRule="auto"/>
              <w:rPr>
                <w:rFonts w:ascii="Arial Narrow" w:hAnsi="Arial Narrow" w:cs="Arial"/>
                <w:kern w:val="2"/>
                <w:sz w:val="20"/>
                <w:szCs w:val="20"/>
                <w:lang w:eastAsia="en-US"/>
                <w14:ligatures w14:val="standardContextual"/>
              </w:rPr>
            </w:pPr>
            <w:r>
              <w:rPr>
                <w:rFonts w:ascii="Arial Narrow" w:hAnsi="Arial Narrow"/>
                <w:b/>
                <w:kern w:val="2"/>
                <w:sz w:val="20"/>
                <w:szCs w:val="20"/>
                <w:lang w:eastAsia="en-US"/>
              </w:rPr>
              <w:t>Treatment Phase:</w:t>
            </w:r>
            <w:r>
              <w:rPr>
                <w:rFonts w:ascii="Arial Narrow" w:hAnsi="Arial Narrow"/>
                <w:kern w:val="2"/>
                <w:sz w:val="20"/>
                <w:szCs w:val="20"/>
                <w:lang w:eastAsia="en-US"/>
              </w:rPr>
              <w:t xml:space="preserve"> Transitioning from non</w:t>
            </w:r>
            <w:r w:rsidR="007A591A">
              <w:rPr>
                <w:rFonts w:ascii="Arial Narrow" w:hAnsi="Arial Narrow"/>
                <w:kern w:val="2"/>
                <w:sz w:val="20"/>
                <w:szCs w:val="20"/>
                <w:lang w:eastAsia="en-US"/>
              </w:rPr>
              <w:noBreakHyphen/>
            </w:r>
            <w:r>
              <w:rPr>
                <w:rFonts w:ascii="Arial Narrow" w:hAnsi="Arial Narrow"/>
                <w:kern w:val="2"/>
                <w:sz w:val="20"/>
                <w:szCs w:val="20"/>
                <w:lang w:eastAsia="en-US"/>
              </w:rPr>
              <w:t>PBS to PBS</w:t>
            </w:r>
            <w:r w:rsidR="007A591A">
              <w:rPr>
                <w:rFonts w:ascii="Arial Narrow" w:hAnsi="Arial Narrow"/>
                <w:kern w:val="2"/>
                <w:sz w:val="20"/>
                <w:szCs w:val="20"/>
                <w:lang w:eastAsia="en-US"/>
              </w:rPr>
              <w:noBreakHyphen/>
            </w:r>
            <w:r>
              <w:rPr>
                <w:rFonts w:ascii="Arial Narrow" w:hAnsi="Arial Narrow"/>
                <w:kern w:val="2"/>
                <w:sz w:val="20"/>
                <w:szCs w:val="20"/>
                <w:lang w:eastAsia="en-US"/>
              </w:rPr>
              <w:t>subsidised treatment – ‘Grandfather’ arrangements</w:t>
            </w:r>
          </w:p>
        </w:tc>
      </w:tr>
      <w:tr w:rsidR="005B0A1E" w14:paraId="6366C918"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7451126C" w14:textId="2E1FBD93"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53CAA86"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bCs/>
                <w:color w:val="333333"/>
                <w:kern w:val="2"/>
                <w:sz w:val="20"/>
                <w:szCs w:val="20"/>
                <w:lang w:eastAsia="en-US"/>
              </w:rPr>
              <w:t xml:space="preserve">Clinical criteria: </w:t>
            </w:r>
          </w:p>
        </w:tc>
      </w:tr>
      <w:tr w:rsidR="005B0A1E" w14:paraId="747C58C7"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793D8591" w14:textId="12B877AA"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hideMark/>
          </w:tcPr>
          <w:p w14:paraId="483A0270" w14:textId="455CD7E9" w:rsidR="005B0A1E" w:rsidRDefault="005B0A1E" w:rsidP="007A591A">
            <w:pPr>
              <w:spacing w:line="276" w:lineRule="auto"/>
              <w:rPr>
                <w:rFonts w:ascii="Arial Narrow" w:hAnsi="Arial Narrow"/>
                <w:b/>
                <w:kern w:val="2"/>
                <w:sz w:val="20"/>
                <w:szCs w:val="20"/>
                <w:lang w:eastAsia="en-US"/>
              </w:rPr>
            </w:pPr>
            <w:r>
              <w:rPr>
                <w:rFonts w:ascii="Arial Narrow" w:hAnsi="Arial Narrow" w:cs="Segoe UI"/>
                <w:kern w:val="2"/>
                <w:sz w:val="20"/>
                <w:szCs w:val="20"/>
                <w:lang w:eastAsia="en-US"/>
              </w:rPr>
              <w:t>Patient must have been receiving non</w:t>
            </w:r>
            <w:r w:rsidR="007A591A">
              <w:rPr>
                <w:rFonts w:ascii="Arial Narrow" w:hAnsi="Arial Narrow" w:cs="Segoe UI"/>
                <w:kern w:val="2"/>
                <w:sz w:val="20"/>
                <w:szCs w:val="20"/>
                <w:lang w:eastAsia="en-US"/>
              </w:rPr>
              <w:noBreakHyphen/>
            </w:r>
            <w:r>
              <w:rPr>
                <w:rFonts w:ascii="Arial Narrow" w:hAnsi="Arial Narrow" w:cs="Segoe UI"/>
                <w:kern w:val="2"/>
                <w:sz w:val="20"/>
                <w:szCs w:val="20"/>
                <w:lang w:eastAsia="en-US"/>
              </w:rPr>
              <w:t>PBS</w:t>
            </w:r>
            <w:r w:rsidR="007A591A">
              <w:rPr>
                <w:rFonts w:ascii="Arial Narrow" w:hAnsi="Arial Narrow" w:cs="Segoe UI"/>
                <w:kern w:val="2"/>
                <w:sz w:val="20"/>
                <w:szCs w:val="20"/>
                <w:lang w:eastAsia="en-US"/>
              </w:rPr>
              <w:noBreakHyphen/>
            </w:r>
            <w:r>
              <w:rPr>
                <w:rFonts w:ascii="Arial Narrow" w:hAnsi="Arial Narrow" w:cs="Segoe UI"/>
                <w:kern w:val="2"/>
                <w:sz w:val="20"/>
                <w:szCs w:val="20"/>
                <w:lang w:eastAsia="en-US"/>
              </w:rPr>
              <w:t>subsidised treatment with this drug for this condition prior to [date of listing]</w:t>
            </w:r>
          </w:p>
        </w:tc>
      </w:tr>
      <w:tr w:rsidR="005B0A1E" w14:paraId="3741D819" w14:textId="77777777">
        <w:trPr>
          <w:trHeight w:val="300"/>
        </w:trPr>
        <w:tc>
          <w:tcPr>
            <w:tcW w:w="1271" w:type="dxa"/>
            <w:tcBorders>
              <w:top w:val="single" w:sz="4" w:space="0" w:color="auto"/>
              <w:left w:val="single" w:sz="4" w:space="0" w:color="auto"/>
              <w:bottom w:val="single" w:sz="4" w:space="0" w:color="auto"/>
              <w:right w:val="single" w:sz="4" w:space="0" w:color="auto"/>
            </w:tcBorders>
            <w:vAlign w:val="center"/>
          </w:tcPr>
          <w:p w14:paraId="6166BF2E" w14:textId="7777777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DC12F56"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333B39B5"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740C1976" w14:textId="41C18718"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0F39B0AB"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52E6BAD3" w14:textId="77777777">
        <w:trPr>
          <w:trHeight w:val="69"/>
        </w:trPr>
        <w:tc>
          <w:tcPr>
            <w:tcW w:w="1271" w:type="dxa"/>
            <w:tcBorders>
              <w:top w:val="single" w:sz="4" w:space="0" w:color="auto"/>
              <w:left w:val="single" w:sz="4" w:space="0" w:color="auto"/>
              <w:bottom w:val="single" w:sz="4" w:space="0" w:color="auto"/>
              <w:right w:val="single" w:sz="4" w:space="0" w:color="auto"/>
            </w:tcBorders>
            <w:hideMark/>
          </w:tcPr>
          <w:p w14:paraId="0221A754" w14:textId="6CC0AE72"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01CFB6F" w14:textId="7C98E50F" w:rsidR="005B0A1E" w:rsidRDefault="005B0A1E" w:rsidP="007A591A">
            <w:pPr>
              <w:spacing w:line="276" w:lineRule="auto"/>
              <w:rPr>
                <w:rFonts w:ascii="Arial Narrow" w:hAnsi="Arial Narrow"/>
                <w:b/>
                <w:bCs/>
                <w:kern w:val="2"/>
                <w:sz w:val="20"/>
                <w:szCs w:val="20"/>
                <w:lang w:eastAsia="en-US"/>
              </w:rPr>
            </w:pPr>
            <w:r>
              <w:rPr>
                <w:rFonts w:ascii="Arial Narrow" w:hAnsi="Arial Narrow"/>
                <w:kern w:val="2"/>
                <w:sz w:val="20"/>
                <w:szCs w:val="20"/>
                <w:lang w:eastAsia="en-US"/>
              </w:rPr>
              <w:t>Patient must have had a clinical symptom(s) of amyotrophic lateral sclerosis prior to commencing non</w:t>
            </w:r>
            <w:r w:rsidR="007A591A">
              <w:rPr>
                <w:rFonts w:ascii="Arial Narrow" w:hAnsi="Arial Narrow"/>
                <w:kern w:val="2"/>
                <w:sz w:val="20"/>
                <w:szCs w:val="20"/>
                <w:lang w:eastAsia="en-US"/>
              </w:rPr>
              <w:noBreakHyphen/>
            </w:r>
            <w:r>
              <w:rPr>
                <w:rFonts w:ascii="Arial Narrow" w:hAnsi="Arial Narrow"/>
                <w:kern w:val="2"/>
                <w:sz w:val="20"/>
                <w:szCs w:val="20"/>
                <w:lang w:eastAsia="en-US"/>
              </w:rPr>
              <w:t>PBS subsidised treatment with this drug,</w:t>
            </w:r>
          </w:p>
        </w:tc>
      </w:tr>
      <w:tr w:rsidR="005B0A1E" w14:paraId="25C3DA4F"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tcPr>
          <w:p w14:paraId="789A17E7" w14:textId="7777777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A93DE4C"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661D4C1B"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659AD43A" w14:textId="36F14240"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7FCC9281"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0829EF6B"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0CFDA1B8" w14:textId="24FE01B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7931D79F"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The condition must have been diagnosed by a neurologist,</w:t>
            </w:r>
          </w:p>
        </w:tc>
      </w:tr>
      <w:tr w:rsidR="005B0A1E" w14:paraId="4D552988"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tcPr>
          <w:p w14:paraId="4BD28AB3" w14:textId="7777777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71FE305"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F49D234"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572723C4" w14:textId="72784331"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393FC7C"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7CDB5BEE"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3E11CE5C" w14:textId="0AB69B73"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C268579"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The condition must have a confirmed pathogenic (class 5) or likely pathogenic (class 4) superoxide dismutase 1 (SOD1) gene variant,</w:t>
            </w:r>
          </w:p>
        </w:tc>
      </w:tr>
      <w:tr w:rsidR="005B0A1E" w14:paraId="10D0648C"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tcPr>
          <w:p w14:paraId="0662A5A9" w14:textId="7777777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17A02F6"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1FFEE75F"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hideMark/>
          </w:tcPr>
          <w:p w14:paraId="25AE05C9" w14:textId="1A764CF1"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020A8F8"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77FF4C51"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hideMark/>
          </w:tcPr>
          <w:p w14:paraId="10FEE09C" w14:textId="07EB497D"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CFB83E3"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have undergone a tracheostomy</w:t>
            </w:r>
            <w:r>
              <w:rPr>
                <w:rFonts w:ascii="Arial Narrow" w:hAnsi="Arial Narrow"/>
                <w:b/>
                <w:kern w:val="2"/>
                <w:sz w:val="20"/>
                <w:szCs w:val="20"/>
                <w:lang w:eastAsia="en-US"/>
              </w:rPr>
              <w:t>,</w:t>
            </w:r>
          </w:p>
        </w:tc>
      </w:tr>
      <w:tr w:rsidR="005B0A1E" w14:paraId="0D0CF716"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tcPr>
          <w:p w14:paraId="181FA9C0" w14:textId="7777777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1BFFB00"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15E51FBF"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hideMark/>
          </w:tcPr>
          <w:p w14:paraId="456FB06D" w14:textId="686EFBE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8D03098"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02C4B0A4"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hideMark/>
          </w:tcPr>
          <w:p w14:paraId="11FFA4C7" w14:textId="222FBFC0"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7611739"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have experienced respiratory failure,</w:t>
            </w:r>
          </w:p>
        </w:tc>
      </w:tr>
      <w:tr w:rsidR="005B0A1E" w14:paraId="79BC17FC"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tcPr>
          <w:p w14:paraId="4EB92944" w14:textId="7777777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070FD8F"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27CD2C4D"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3FF111DD" w14:textId="1CDBE5D2"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E4713BE"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2A965038"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05295C5E" w14:textId="272EE2BA"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1EC94630"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Patient must not be receiving palliative care,</w:t>
            </w:r>
          </w:p>
        </w:tc>
      </w:tr>
      <w:tr w:rsidR="005B0A1E" w14:paraId="740662DE" w14:textId="77777777">
        <w:trPr>
          <w:trHeight w:val="35"/>
        </w:trPr>
        <w:tc>
          <w:tcPr>
            <w:tcW w:w="1271" w:type="dxa"/>
            <w:tcBorders>
              <w:top w:val="single" w:sz="4" w:space="0" w:color="auto"/>
              <w:left w:val="single" w:sz="4" w:space="0" w:color="auto"/>
              <w:bottom w:val="single" w:sz="4" w:space="0" w:color="auto"/>
              <w:right w:val="single" w:sz="4" w:space="0" w:color="auto"/>
            </w:tcBorders>
          </w:tcPr>
          <w:p w14:paraId="63903155" w14:textId="7777777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DC1848A"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b/>
                <w:kern w:val="2"/>
                <w:sz w:val="20"/>
                <w:szCs w:val="20"/>
                <w:lang w:eastAsia="en-US"/>
              </w:rPr>
              <w:t>AND</w:t>
            </w:r>
          </w:p>
        </w:tc>
      </w:tr>
      <w:tr w:rsidR="005B0A1E" w14:paraId="34891B69"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340BDC74" w14:textId="4CBCBDAE"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6152715"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1005D731"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0AED4943" w14:textId="7FC59A51"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4C205912"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The treatment must be given concomitantly with best supportive care (including riluzole where appropriate) for this condition,</w:t>
            </w:r>
          </w:p>
        </w:tc>
      </w:tr>
      <w:tr w:rsidR="005B0A1E" w14:paraId="4CC6CEEB" w14:textId="77777777">
        <w:trPr>
          <w:trHeight w:val="35"/>
        </w:trPr>
        <w:tc>
          <w:tcPr>
            <w:tcW w:w="1271" w:type="dxa"/>
            <w:tcBorders>
              <w:top w:val="single" w:sz="4" w:space="0" w:color="auto"/>
              <w:left w:val="single" w:sz="4" w:space="0" w:color="auto"/>
              <w:bottom w:val="single" w:sz="4" w:space="0" w:color="auto"/>
              <w:right w:val="single" w:sz="4" w:space="0" w:color="auto"/>
            </w:tcBorders>
            <w:vAlign w:val="center"/>
          </w:tcPr>
          <w:p w14:paraId="4B1D2980" w14:textId="77777777"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8CDDDE8"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AND</w:t>
            </w:r>
          </w:p>
        </w:tc>
      </w:tr>
      <w:tr w:rsidR="005B0A1E" w14:paraId="03E3C5B8"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01FCEBB6" w14:textId="5ABE1B06"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EEB4C87"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Clinical criteria:</w:t>
            </w:r>
          </w:p>
        </w:tc>
      </w:tr>
      <w:tr w:rsidR="005B0A1E" w14:paraId="016654D2"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5424D2D3" w14:textId="6F09DFB0"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3B8BE39"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kern w:val="2"/>
                <w:sz w:val="20"/>
                <w:szCs w:val="20"/>
                <w:lang w:eastAsia="en-US"/>
              </w:rPr>
              <w:t>Patient must not be receiving concomitant treatment with edaravone for this condition.</w:t>
            </w:r>
          </w:p>
        </w:tc>
      </w:tr>
      <w:tr w:rsidR="005B0A1E" w14:paraId="055BE100"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4DD0B409" w14:textId="68D742FE"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5A979C81" w14:textId="77777777" w:rsidR="005B0A1E" w:rsidRDefault="005B0A1E" w:rsidP="007A591A">
            <w:pPr>
              <w:spacing w:line="276" w:lineRule="auto"/>
              <w:rPr>
                <w:rFonts w:ascii="Arial Narrow" w:hAnsi="Arial Narrow"/>
                <w:b/>
                <w:kern w:val="2"/>
                <w:sz w:val="20"/>
                <w:szCs w:val="20"/>
                <w:lang w:eastAsia="en-US"/>
              </w:rPr>
            </w:pPr>
            <w:r>
              <w:rPr>
                <w:rFonts w:ascii="Arial Narrow" w:hAnsi="Arial Narrow"/>
                <w:b/>
                <w:kern w:val="2"/>
                <w:sz w:val="20"/>
                <w:szCs w:val="20"/>
                <w:lang w:eastAsia="en-US"/>
              </w:rPr>
              <w:t>Treatment criteria:</w:t>
            </w:r>
          </w:p>
        </w:tc>
      </w:tr>
      <w:tr w:rsidR="005B0A1E" w14:paraId="7B3B7225" w14:textId="77777777">
        <w:trPr>
          <w:trHeight w:val="35"/>
        </w:trPr>
        <w:tc>
          <w:tcPr>
            <w:tcW w:w="1271" w:type="dxa"/>
            <w:tcBorders>
              <w:top w:val="single" w:sz="4" w:space="0" w:color="auto"/>
              <w:left w:val="single" w:sz="4" w:space="0" w:color="auto"/>
              <w:bottom w:val="single" w:sz="4" w:space="0" w:color="auto"/>
              <w:right w:val="single" w:sz="4" w:space="0" w:color="auto"/>
            </w:tcBorders>
            <w:hideMark/>
          </w:tcPr>
          <w:p w14:paraId="30D37233" w14:textId="25320562"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3AD0E705" w14:textId="77777777" w:rsidR="005B0A1E" w:rsidRDefault="005B0A1E" w:rsidP="007A591A">
            <w:pPr>
              <w:spacing w:line="276" w:lineRule="auto"/>
              <w:rPr>
                <w:rFonts w:ascii="Arial Narrow" w:hAnsi="Arial Narrow"/>
                <w:strike/>
                <w:kern w:val="2"/>
                <w:sz w:val="20"/>
                <w:szCs w:val="20"/>
                <w:lang w:eastAsia="en-US"/>
              </w:rPr>
            </w:pPr>
            <w:r>
              <w:rPr>
                <w:rFonts w:ascii="Arial Narrow" w:hAnsi="Arial Narrow"/>
                <w:kern w:val="2"/>
                <w:sz w:val="20"/>
                <w:szCs w:val="20"/>
                <w:lang w:eastAsia="en-US"/>
              </w:rPr>
              <w:t>Must be treated by a specialist with expertise in the diagnosis and management of amyotrophic lateral sclerosis.</w:t>
            </w:r>
          </w:p>
        </w:tc>
      </w:tr>
      <w:tr w:rsidR="005B0A1E" w14:paraId="6061D19A" w14:textId="77777777">
        <w:trPr>
          <w:trHeight w:val="300"/>
        </w:trPr>
        <w:tc>
          <w:tcPr>
            <w:tcW w:w="1271" w:type="dxa"/>
            <w:tcBorders>
              <w:top w:val="single" w:sz="4" w:space="0" w:color="auto"/>
              <w:left w:val="single" w:sz="4" w:space="0" w:color="auto"/>
              <w:bottom w:val="single" w:sz="4" w:space="0" w:color="auto"/>
              <w:right w:val="single" w:sz="4" w:space="0" w:color="auto"/>
            </w:tcBorders>
            <w:vAlign w:val="center"/>
            <w:hideMark/>
          </w:tcPr>
          <w:p w14:paraId="3296F2A6" w14:textId="0B0544CA"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63E791DC" w14:textId="77777777" w:rsidR="005B0A1E" w:rsidRDefault="005B0A1E" w:rsidP="007A591A">
            <w:pPr>
              <w:spacing w:line="276" w:lineRule="auto"/>
              <w:rPr>
                <w:rFonts w:ascii="Arial Narrow" w:hAnsi="Arial Narrow"/>
                <w:kern w:val="2"/>
                <w:sz w:val="20"/>
                <w:szCs w:val="20"/>
                <w:lang w:eastAsia="en-US"/>
              </w:rPr>
            </w:pPr>
            <w:r>
              <w:rPr>
                <w:rFonts w:ascii="Arial Narrow" w:hAnsi="Arial Narrow"/>
                <w:b/>
                <w:kern w:val="2"/>
                <w:sz w:val="20"/>
                <w:szCs w:val="20"/>
                <w:lang w:eastAsia="en-US"/>
              </w:rPr>
              <w:t>Prescribing Instructions:</w:t>
            </w:r>
            <w:r>
              <w:rPr>
                <w:rFonts w:ascii="Arial Narrow" w:hAnsi="Arial Narrow"/>
                <w:kern w:val="2"/>
                <w:sz w:val="20"/>
                <w:szCs w:val="20"/>
                <w:lang w:eastAsia="en-US"/>
              </w:rPr>
              <w:t xml:space="preserve"> </w:t>
            </w:r>
          </w:p>
          <w:p w14:paraId="45D390AB" w14:textId="2B7FD05A" w:rsidR="005B0A1E" w:rsidRDefault="005B0A1E" w:rsidP="007A591A">
            <w:pPr>
              <w:spacing w:after="120" w:line="276" w:lineRule="auto"/>
              <w:rPr>
                <w:rFonts w:ascii="Arial Narrow" w:hAnsi="Arial Narrow"/>
                <w:kern w:val="2"/>
                <w:sz w:val="20"/>
                <w:szCs w:val="20"/>
                <w:lang w:eastAsia="en-US"/>
              </w:rPr>
            </w:pPr>
            <w:r>
              <w:rPr>
                <w:rFonts w:ascii="Arial Narrow" w:hAnsi="Arial Narrow"/>
                <w:kern w:val="2"/>
                <w:sz w:val="20"/>
                <w:szCs w:val="20"/>
                <w:lang w:eastAsia="en-US"/>
              </w:rPr>
              <w:t>The date and details of the patient’s genetic testing confirming the presence of the SOD1</w:t>
            </w:r>
            <w:r w:rsidR="00C3681E">
              <w:rPr>
                <w:rFonts w:ascii="Arial Narrow" w:hAnsi="Arial Narrow"/>
                <w:kern w:val="2"/>
                <w:sz w:val="20"/>
                <w:szCs w:val="20"/>
                <w:lang w:eastAsia="en-US"/>
              </w:rPr>
              <w:t xml:space="preserve"> pathogenic</w:t>
            </w:r>
            <w:r>
              <w:rPr>
                <w:rFonts w:ascii="Arial Narrow" w:hAnsi="Arial Narrow"/>
                <w:kern w:val="2"/>
                <w:sz w:val="20"/>
                <w:szCs w:val="20"/>
                <w:lang w:eastAsia="en-US"/>
              </w:rPr>
              <w:t xml:space="preserve"> gene </w:t>
            </w:r>
            <w:r w:rsidR="00C3681E">
              <w:rPr>
                <w:rFonts w:ascii="Arial Narrow" w:hAnsi="Arial Narrow"/>
                <w:kern w:val="2"/>
                <w:sz w:val="20"/>
                <w:szCs w:val="20"/>
                <w:lang w:eastAsia="en-US"/>
              </w:rPr>
              <w:t xml:space="preserve">variant </w:t>
            </w:r>
            <w:r>
              <w:rPr>
                <w:rFonts w:ascii="Arial Narrow" w:hAnsi="Arial Narrow"/>
                <w:kern w:val="2"/>
                <w:sz w:val="20"/>
                <w:szCs w:val="20"/>
                <w:lang w:eastAsia="en-US"/>
              </w:rPr>
              <w:t xml:space="preserve">must be documented in the patient’s medical records. </w:t>
            </w:r>
          </w:p>
        </w:tc>
      </w:tr>
      <w:tr w:rsidR="005B0A1E" w14:paraId="1641FA2D"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23B2E6DA" w14:textId="642CB819"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214EEDDF" w14:textId="77777777" w:rsidR="005B0A1E" w:rsidRDefault="005B0A1E" w:rsidP="007A591A">
            <w:pPr>
              <w:spacing w:line="276" w:lineRule="auto"/>
              <w:rPr>
                <w:rFonts w:ascii="Arial Narrow" w:eastAsia="Calibri" w:hAnsi="Arial Narrow"/>
                <w:kern w:val="2"/>
                <w:sz w:val="20"/>
                <w:szCs w:val="20"/>
                <w:lang w:eastAsia="en-US"/>
              </w:rPr>
            </w:pPr>
            <w:r>
              <w:rPr>
                <w:rFonts w:ascii="Arial Narrow" w:hAnsi="Arial Narrow"/>
                <w:b/>
                <w:bCs/>
                <w:color w:val="333333"/>
                <w:kern w:val="2"/>
                <w:sz w:val="20"/>
                <w:szCs w:val="20"/>
                <w:lang w:eastAsia="en-US"/>
              </w:rPr>
              <w:t>Prescribing Instructions:</w:t>
            </w:r>
          </w:p>
          <w:p w14:paraId="6C085216" w14:textId="2990BD53" w:rsidR="005B0A1E" w:rsidRDefault="005B0A1E" w:rsidP="007A591A">
            <w:pPr>
              <w:spacing w:line="276" w:lineRule="auto"/>
              <w:rPr>
                <w:rFonts w:ascii="Arial Narrow" w:hAnsi="Arial Narrow"/>
                <w:b/>
                <w:kern w:val="2"/>
                <w:sz w:val="20"/>
                <w:szCs w:val="20"/>
                <w:lang w:eastAsia="en-US"/>
              </w:rPr>
            </w:pPr>
            <w:r>
              <w:rPr>
                <w:rFonts w:ascii="Arial Narrow" w:hAnsi="Arial Narrow"/>
                <w:kern w:val="2"/>
                <w:sz w:val="20"/>
                <w:szCs w:val="20"/>
                <w:lang w:eastAsia="en-US"/>
              </w:rPr>
              <w:t>A patient may qualify for PBS</w:t>
            </w:r>
            <w:r w:rsidR="007A591A">
              <w:rPr>
                <w:rFonts w:ascii="Arial Narrow" w:hAnsi="Arial Narrow"/>
                <w:kern w:val="2"/>
                <w:sz w:val="20"/>
                <w:szCs w:val="20"/>
                <w:lang w:eastAsia="en-US"/>
              </w:rPr>
              <w:noBreakHyphen/>
            </w:r>
            <w:r>
              <w:rPr>
                <w:rFonts w:ascii="Arial Narrow" w:hAnsi="Arial Narrow"/>
                <w:kern w:val="2"/>
                <w:sz w:val="20"/>
                <w:szCs w:val="20"/>
                <w:lang w:eastAsia="en-US"/>
              </w:rPr>
              <w:t>subsidised treatment under this restriction once only. For continuing PBS</w:t>
            </w:r>
            <w:r w:rsidR="007A591A">
              <w:rPr>
                <w:rFonts w:ascii="Arial Narrow" w:hAnsi="Arial Narrow"/>
                <w:kern w:val="2"/>
                <w:sz w:val="20"/>
                <w:szCs w:val="20"/>
                <w:lang w:eastAsia="en-US"/>
              </w:rPr>
              <w:noBreakHyphen/>
            </w:r>
            <w:r>
              <w:rPr>
                <w:rFonts w:ascii="Arial Narrow" w:hAnsi="Arial Narrow"/>
                <w:kern w:val="2"/>
                <w:sz w:val="20"/>
                <w:szCs w:val="20"/>
                <w:lang w:eastAsia="en-US"/>
              </w:rPr>
              <w:t>subsidised treatment, a grandfathered patient must qualify under the Subsequent continuing treatment criteria.</w:t>
            </w:r>
          </w:p>
        </w:tc>
      </w:tr>
      <w:tr w:rsidR="005B0A1E" w14:paraId="46C837B7"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7C273E46" w14:textId="229F7232" w:rsidR="005B0A1E" w:rsidRDefault="005B0A1E" w:rsidP="007A591A">
            <w:pPr>
              <w:spacing w:line="276" w:lineRule="auto"/>
              <w:jc w:val="center"/>
              <w:rPr>
                <w:rFonts w:ascii="Arial Narrow" w:hAnsi="Arial Narrow"/>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vAlign w:val="center"/>
            <w:hideMark/>
          </w:tcPr>
          <w:p w14:paraId="088D10E6" w14:textId="77777777" w:rsidR="005B0A1E" w:rsidRDefault="005B0A1E" w:rsidP="007A591A">
            <w:pPr>
              <w:spacing w:line="276" w:lineRule="auto"/>
              <w:rPr>
                <w:rFonts w:ascii="Arial Narrow" w:eastAsia="Calibri" w:hAnsi="Arial Narrow"/>
                <w:kern w:val="2"/>
                <w:sz w:val="20"/>
                <w:szCs w:val="20"/>
                <w:lang w:eastAsia="en-US"/>
              </w:rPr>
            </w:pPr>
            <w:r>
              <w:rPr>
                <w:rFonts w:ascii="Arial Narrow" w:hAnsi="Arial Narrow"/>
                <w:b/>
                <w:bCs/>
                <w:color w:val="333333"/>
                <w:kern w:val="2"/>
                <w:sz w:val="20"/>
                <w:szCs w:val="20"/>
                <w:lang w:eastAsia="en-US"/>
              </w:rPr>
              <w:t>Prescribing Instructions:</w:t>
            </w:r>
          </w:p>
          <w:p w14:paraId="26CDF8A2" w14:textId="77777777" w:rsidR="005B0A1E" w:rsidRDefault="005B0A1E" w:rsidP="007A591A">
            <w:pPr>
              <w:spacing w:line="276" w:lineRule="auto"/>
              <w:rPr>
                <w:rFonts w:ascii="Arial Narrow" w:hAnsi="Arial Narrow"/>
                <w:b/>
                <w:kern w:val="2"/>
                <w:sz w:val="20"/>
                <w:szCs w:val="20"/>
                <w:lang w:eastAsia="en-US"/>
              </w:rPr>
            </w:pPr>
            <w:r>
              <w:rPr>
                <w:rFonts w:ascii="Arial Narrow" w:eastAsia="Calibri" w:hAnsi="Arial Narrow"/>
                <w:kern w:val="2"/>
                <w:sz w:val="20"/>
                <w:szCs w:val="20"/>
                <w:lang w:eastAsia="en-US"/>
              </w:rPr>
              <w:t>This grandfather restriction will cease to operate from 12 months after the date specified in the clinical criteria.</w:t>
            </w:r>
          </w:p>
        </w:tc>
      </w:tr>
    </w:tbl>
    <w:p w14:paraId="0A0E51A8" w14:textId="77777777" w:rsidR="005B0A1E" w:rsidRDefault="005B0A1E" w:rsidP="007A591A">
      <w:pPr>
        <w:rPr>
          <w:rFonts w:cs="Arial"/>
          <w14:ligatures w14:val="standardContextual"/>
        </w:rPr>
      </w:pPr>
    </w:p>
    <w:p w14:paraId="26FB19DE" w14:textId="2487697B" w:rsidR="008E1167" w:rsidRPr="007E0600" w:rsidRDefault="00C2771B" w:rsidP="007A591A">
      <w:pPr>
        <w:spacing w:before="120"/>
        <w:rPr>
          <w:rFonts w:asciiTheme="minorHAnsi" w:hAnsiTheme="minorHAnsi" w:cstheme="minorHAnsi"/>
          <w:b/>
          <w:snapToGrid w:val="0"/>
        </w:rPr>
      </w:pPr>
      <w:r>
        <w:rPr>
          <w:rFonts w:asciiTheme="minorHAnsi" w:hAnsiTheme="minorHAnsi" w:cstheme="minorHAnsi"/>
          <w:b/>
          <w:snapToGrid w:val="0"/>
        </w:rPr>
        <w:t xml:space="preserve">6.2 </w:t>
      </w:r>
      <w:r w:rsidR="008E1167" w:rsidRPr="007E0600">
        <w:rPr>
          <w:rFonts w:asciiTheme="minorHAnsi" w:hAnsiTheme="minorHAnsi" w:cstheme="minorHAnsi"/>
          <w:b/>
          <w:snapToGrid w:val="0"/>
        </w:rPr>
        <w:t>Flow on changes</w:t>
      </w:r>
    </w:p>
    <w:p w14:paraId="0A1C17B1" w14:textId="77777777" w:rsidR="008E1167" w:rsidRPr="007E0600" w:rsidRDefault="008E1167" w:rsidP="007A591A">
      <w:pPr>
        <w:spacing w:before="120"/>
        <w:rPr>
          <w:rFonts w:ascii="Arial Narrow" w:hAnsi="Arial Narrow" w:cs="Arial"/>
          <w:snapToGrid w:val="0"/>
          <w:sz w:val="20"/>
          <w:szCs w:val="20"/>
        </w:rPr>
      </w:pPr>
    </w:p>
    <w:p w14:paraId="72C5A40F" w14:textId="3520CF0D" w:rsidR="008E1167" w:rsidRPr="009D4B3D" w:rsidRDefault="009D4B3D" w:rsidP="007A591A">
      <w:pPr>
        <w:spacing w:before="120"/>
        <w:ind w:left="720" w:hanging="360"/>
        <w:rPr>
          <w:rFonts w:asciiTheme="minorHAnsi" w:hAnsiTheme="minorHAnsi" w:cstheme="minorHAnsi"/>
          <w:snapToGrid w:val="0"/>
        </w:rPr>
      </w:pPr>
      <w:r>
        <w:rPr>
          <w:rFonts w:asciiTheme="minorHAnsi" w:hAnsiTheme="minorHAnsi" w:cstheme="minorHAnsi"/>
          <w:snapToGrid w:val="0"/>
        </w:rPr>
        <w:t>1</w:t>
      </w:r>
      <w:r>
        <w:rPr>
          <w:rFonts w:asciiTheme="minorHAnsi" w:hAnsiTheme="minorHAnsi" w:cstheme="minorHAnsi"/>
          <w:snapToGrid w:val="0"/>
        </w:rPr>
        <w:tab/>
      </w:r>
      <w:r w:rsidR="008E1167" w:rsidRPr="009D4B3D">
        <w:rPr>
          <w:rFonts w:asciiTheme="minorHAnsi" w:hAnsiTheme="minorHAnsi" w:cstheme="minorHAnsi"/>
          <w:snapToGrid w:val="0"/>
        </w:rPr>
        <w:t>Flow</w:t>
      </w:r>
      <w:r w:rsidR="007A591A">
        <w:rPr>
          <w:rFonts w:asciiTheme="minorHAnsi" w:hAnsiTheme="minorHAnsi" w:cstheme="minorHAnsi"/>
          <w:snapToGrid w:val="0"/>
        </w:rPr>
        <w:noBreakHyphen/>
      </w:r>
      <w:r w:rsidR="008E1167" w:rsidRPr="009D4B3D">
        <w:rPr>
          <w:rFonts w:asciiTheme="minorHAnsi" w:hAnsiTheme="minorHAnsi" w:cstheme="minorHAnsi"/>
          <w:snapToGrid w:val="0"/>
        </w:rPr>
        <w:t xml:space="preserve">on changes to edaravone PBS listings (item codes </w:t>
      </w:r>
      <w:r w:rsidR="00AA74BD" w:rsidRPr="00AA74BD">
        <w:rPr>
          <w:rFonts w:asciiTheme="minorHAnsi" w:hAnsiTheme="minorHAnsi" w:cstheme="minorHAnsi"/>
          <w:snapToGrid w:val="0"/>
        </w:rPr>
        <w:t>14804E</w:t>
      </w:r>
      <w:r w:rsidR="008E1167" w:rsidRPr="009D4B3D">
        <w:rPr>
          <w:rFonts w:asciiTheme="minorHAnsi" w:hAnsiTheme="minorHAnsi" w:cstheme="minorHAnsi"/>
          <w:snapToGrid w:val="0"/>
        </w:rPr>
        <w:t xml:space="preserve">, 14805F, 14806G) for amyotrophic lateral sclerosis to prevent concomitant use with tofersen: </w:t>
      </w:r>
    </w:p>
    <w:p w14:paraId="2333CD96" w14:textId="77777777" w:rsidR="008E1167" w:rsidRPr="007E0600" w:rsidRDefault="008E1167" w:rsidP="007A591A">
      <w:pPr>
        <w:spacing w:before="120"/>
        <w:rPr>
          <w:rFonts w:ascii="Arial Narrow" w:hAnsi="Arial Narrow" w:cs="Arial"/>
          <w:snapToGrid w:val="0"/>
          <w:sz w:val="20"/>
          <w:szCs w:val="20"/>
        </w:rPr>
      </w:pPr>
    </w:p>
    <w:tbl>
      <w:tblPr>
        <w:tblStyle w:val="TableGrid"/>
        <w:tblW w:w="5000" w:type="pct"/>
        <w:tblLook w:val="04A0" w:firstRow="1" w:lastRow="0" w:firstColumn="1" w:lastColumn="0" w:noHBand="0" w:noVBand="1"/>
        <w:tblCaption w:val="Flow on changes"/>
      </w:tblPr>
      <w:tblGrid>
        <w:gridCol w:w="1369"/>
        <w:gridCol w:w="7647"/>
      </w:tblGrid>
      <w:tr w:rsidR="008E1167" w:rsidRPr="008E1167" w14:paraId="1B974939" w14:textId="77777777" w:rsidTr="00693E58">
        <w:tc>
          <w:tcPr>
            <w:tcW w:w="759" w:type="pct"/>
            <w:tcBorders>
              <w:top w:val="single" w:sz="4" w:space="0" w:color="auto"/>
              <w:left w:val="single" w:sz="4" w:space="0" w:color="auto"/>
              <w:bottom w:val="single" w:sz="4" w:space="0" w:color="auto"/>
              <w:right w:val="single" w:sz="4" w:space="0" w:color="auto"/>
            </w:tcBorders>
            <w:hideMark/>
          </w:tcPr>
          <w:p w14:paraId="1562A9F8" w14:textId="59ECBD35" w:rsidR="008E1167" w:rsidRPr="007E0600" w:rsidRDefault="008E1167" w:rsidP="007A591A">
            <w:pPr>
              <w:rPr>
                <w:rFonts w:ascii="Arial Narrow" w:hAnsi="Arial Narrow" w:cs="Arial"/>
                <w:snapToGrid w:val="0"/>
                <w:sz w:val="20"/>
                <w:szCs w:val="20"/>
              </w:rPr>
            </w:pPr>
          </w:p>
        </w:tc>
        <w:tc>
          <w:tcPr>
            <w:tcW w:w="4241" w:type="pct"/>
            <w:tcBorders>
              <w:top w:val="single" w:sz="4" w:space="0" w:color="auto"/>
              <w:left w:val="single" w:sz="4" w:space="0" w:color="auto"/>
              <w:bottom w:val="single" w:sz="4" w:space="0" w:color="auto"/>
              <w:right w:val="single" w:sz="4" w:space="0" w:color="auto"/>
            </w:tcBorders>
            <w:hideMark/>
          </w:tcPr>
          <w:p w14:paraId="051F4499" w14:textId="77777777" w:rsidR="008E1167" w:rsidRPr="007E0600" w:rsidRDefault="008E1167" w:rsidP="007A591A">
            <w:pPr>
              <w:rPr>
                <w:rFonts w:ascii="Arial Narrow" w:hAnsi="Arial Narrow" w:cs="Arial"/>
                <w:snapToGrid w:val="0"/>
                <w:sz w:val="20"/>
                <w:szCs w:val="20"/>
              </w:rPr>
            </w:pPr>
            <w:r w:rsidRPr="007E0600">
              <w:rPr>
                <w:rFonts w:ascii="Arial Narrow" w:hAnsi="Arial Narrow" w:cs="Arial"/>
                <w:b/>
                <w:snapToGrid w:val="0"/>
                <w:sz w:val="20"/>
                <w:szCs w:val="20"/>
              </w:rPr>
              <w:t>Clinical criteria:</w:t>
            </w:r>
          </w:p>
        </w:tc>
      </w:tr>
      <w:tr w:rsidR="008E1167" w:rsidRPr="008E1167" w14:paraId="60D91CDB" w14:textId="77777777" w:rsidTr="00693E58">
        <w:tc>
          <w:tcPr>
            <w:tcW w:w="759" w:type="pct"/>
            <w:tcBorders>
              <w:top w:val="single" w:sz="4" w:space="0" w:color="auto"/>
              <w:left w:val="single" w:sz="4" w:space="0" w:color="auto"/>
              <w:bottom w:val="single" w:sz="4" w:space="0" w:color="auto"/>
              <w:right w:val="single" w:sz="4" w:space="0" w:color="auto"/>
            </w:tcBorders>
            <w:hideMark/>
          </w:tcPr>
          <w:p w14:paraId="15E0C68F" w14:textId="6A237A4F" w:rsidR="008E1167" w:rsidRPr="007E0600" w:rsidRDefault="008E1167" w:rsidP="007A591A">
            <w:pPr>
              <w:rPr>
                <w:rFonts w:ascii="Arial Narrow" w:hAnsi="Arial Narrow" w:cs="Arial"/>
                <w:snapToGrid w:val="0"/>
                <w:sz w:val="20"/>
                <w:szCs w:val="20"/>
              </w:rPr>
            </w:pPr>
          </w:p>
        </w:tc>
        <w:tc>
          <w:tcPr>
            <w:tcW w:w="4241" w:type="pct"/>
            <w:tcBorders>
              <w:top w:val="single" w:sz="4" w:space="0" w:color="auto"/>
              <w:left w:val="single" w:sz="4" w:space="0" w:color="auto"/>
              <w:bottom w:val="single" w:sz="4" w:space="0" w:color="auto"/>
              <w:right w:val="single" w:sz="4" w:space="0" w:color="auto"/>
            </w:tcBorders>
            <w:vAlign w:val="center"/>
            <w:hideMark/>
          </w:tcPr>
          <w:p w14:paraId="6B2E0DED" w14:textId="77777777" w:rsidR="008E1167" w:rsidRPr="007E0600" w:rsidRDefault="008E1167" w:rsidP="007A591A">
            <w:pPr>
              <w:rPr>
                <w:rFonts w:ascii="Arial Narrow" w:hAnsi="Arial Narrow" w:cs="Arial"/>
                <w:snapToGrid w:val="0"/>
                <w:sz w:val="20"/>
                <w:szCs w:val="20"/>
              </w:rPr>
            </w:pPr>
            <w:r w:rsidRPr="007E0600">
              <w:rPr>
                <w:rFonts w:ascii="Arial Narrow" w:hAnsi="Arial Narrow" w:cs="Arial"/>
                <w:snapToGrid w:val="0"/>
                <w:sz w:val="20"/>
                <w:szCs w:val="20"/>
              </w:rPr>
              <w:t>Patient must not be receiving concomitant treatment with tofersen for this condition.</w:t>
            </w:r>
          </w:p>
        </w:tc>
      </w:tr>
    </w:tbl>
    <w:p w14:paraId="2633E4D1" w14:textId="77777777" w:rsidR="008E1167" w:rsidRDefault="008E1167" w:rsidP="007A591A">
      <w:pPr>
        <w:spacing w:before="120"/>
        <w:rPr>
          <w:rFonts w:asciiTheme="minorHAnsi" w:hAnsiTheme="minorHAnsi" w:cs="Arial"/>
          <w:snapToGrid w:val="0"/>
        </w:rPr>
      </w:pPr>
    </w:p>
    <w:p w14:paraId="0BA00496" w14:textId="036999DB" w:rsidR="009F0A6D" w:rsidRDefault="009C0633" w:rsidP="007A591A">
      <w:pPr>
        <w:pStyle w:val="3-BodyText"/>
        <w:numPr>
          <w:ilvl w:val="0"/>
          <w:numId w:val="0"/>
        </w:numPr>
        <w:rPr>
          <w:rFonts w:cs="Arial"/>
          <w:b/>
          <w:i/>
          <w:iCs/>
          <w:snapToGrid w:val="0"/>
          <w:lang w:val="en-GB"/>
        </w:rPr>
      </w:pPr>
      <w:r w:rsidRPr="00907671">
        <w:rPr>
          <w:rFonts w:cs="Arial"/>
          <w:b/>
          <w:i/>
          <w:iCs/>
          <w:snapToGrid w:val="0"/>
          <w:lang w:val="en-GB"/>
        </w:rPr>
        <w:t>These restrictions may be subject to further review. Should there be any changes made to the restriction the sponsor will be informed.</w:t>
      </w:r>
      <w:bookmarkEnd w:id="42"/>
    </w:p>
    <w:p w14:paraId="0B777D3C" w14:textId="4CABB792" w:rsidR="006B7DF3" w:rsidRPr="006B7DF3" w:rsidRDefault="006B7DF3" w:rsidP="006B7DF3">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lastRenderedPageBreak/>
        <w:t>7</w:t>
      </w:r>
      <w:r w:rsidRPr="006B7DF3">
        <w:rPr>
          <w:rFonts w:asciiTheme="minorHAnsi" w:hAnsiTheme="minorHAnsi" w:cs="Arial"/>
          <w:b/>
          <w:snapToGrid w:val="0"/>
          <w:sz w:val="32"/>
          <w:szCs w:val="32"/>
          <w:lang w:eastAsia="en-US"/>
        </w:rPr>
        <w:tab/>
        <w:t>Context for Decision</w:t>
      </w:r>
    </w:p>
    <w:p w14:paraId="020C1735" w14:textId="77777777" w:rsidR="006B7DF3" w:rsidRPr="006B7DF3" w:rsidRDefault="006B7DF3" w:rsidP="006B7DF3">
      <w:pPr>
        <w:spacing w:after="120"/>
        <w:ind w:left="720"/>
        <w:rPr>
          <w:rFonts w:cs="Calibri"/>
          <w:bCs/>
          <w:szCs w:val="22"/>
          <w:lang w:val="en-GB"/>
        </w:rPr>
      </w:pPr>
      <w:r w:rsidRPr="006B7DF3">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4E2FD66" w14:textId="6A805AB2" w:rsidR="006B7DF3" w:rsidRPr="006B7DF3" w:rsidRDefault="006B7DF3" w:rsidP="006B7DF3">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8</w:t>
      </w:r>
      <w:r w:rsidRPr="006B7DF3">
        <w:rPr>
          <w:rFonts w:asciiTheme="minorHAnsi" w:hAnsiTheme="minorHAnsi" w:cs="Arial"/>
          <w:b/>
          <w:snapToGrid w:val="0"/>
          <w:sz w:val="32"/>
          <w:szCs w:val="32"/>
          <w:lang w:eastAsia="en-US"/>
        </w:rPr>
        <w:tab/>
        <w:t>Sponsor’s Comment</w:t>
      </w:r>
    </w:p>
    <w:p w14:paraId="23414132" w14:textId="13BFF65F" w:rsidR="009638ED" w:rsidRDefault="00E858E7" w:rsidP="00F27FE5">
      <w:pPr>
        <w:spacing w:after="120"/>
        <w:ind w:left="720"/>
        <w:rPr>
          <w:rFonts w:cs="Calibri"/>
          <w:bCs/>
          <w:szCs w:val="22"/>
          <w:lang w:eastAsia="en-US"/>
        </w:rPr>
      </w:pPr>
      <w:r w:rsidRPr="00E858E7">
        <w:rPr>
          <w:rFonts w:cs="Calibri"/>
          <w:bCs/>
          <w:szCs w:val="22"/>
          <w:lang w:eastAsia="en-US"/>
        </w:rPr>
        <w:t>Biogen welcomes the PBAC</w:t>
      </w:r>
      <w:r w:rsidR="008610F2">
        <w:rPr>
          <w:rFonts w:cs="Calibri"/>
          <w:bCs/>
          <w:szCs w:val="22"/>
          <w:lang w:eastAsia="en-US"/>
        </w:rPr>
        <w:t>’s positive</w:t>
      </w:r>
      <w:r w:rsidRPr="00E858E7">
        <w:rPr>
          <w:rFonts w:cs="Calibri"/>
          <w:bCs/>
          <w:szCs w:val="22"/>
          <w:lang w:eastAsia="en-US"/>
        </w:rPr>
        <w:t xml:space="preserve"> </w:t>
      </w:r>
      <w:r w:rsidR="00852574">
        <w:rPr>
          <w:rFonts w:cs="Calibri"/>
          <w:bCs/>
          <w:szCs w:val="22"/>
          <w:lang w:eastAsia="en-US"/>
        </w:rPr>
        <w:t>recommend</w:t>
      </w:r>
      <w:r w:rsidR="008610F2">
        <w:rPr>
          <w:rFonts w:cs="Calibri"/>
          <w:bCs/>
          <w:szCs w:val="22"/>
          <w:lang w:eastAsia="en-US"/>
        </w:rPr>
        <w:t>ation</w:t>
      </w:r>
      <w:r w:rsidR="00852574">
        <w:rPr>
          <w:rFonts w:cs="Calibri"/>
          <w:bCs/>
          <w:szCs w:val="22"/>
          <w:lang w:eastAsia="en-US"/>
        </w:rPr>
        <w:t xml:space="preserve"> </w:t>
      </w:r>
      <w:r w:rsidR="005D093C">
        <w:rPr>
          <w:rFonts w:cs="Calibri"/>
          <w:bCs/>
          <w:szCs w:val="22"/>
          <w:lang w:eastAsia="en-US"/>
        </w:rPr>
        <w:t xml:space="preserve">for </w:t>
      </w:r>
      <w:r w:rsidR="00852574">
        <w:rPr>
          <w:rFonts w:cs="Calibri"/>
          <w:bCs/>
          <w:szCs w:val="22"/>
          <w:lang w:eastAsia="en-US"/>
        </w:rPr>
        <w:t xml:space="preserve">tofersen (QALSODY) </w:t>
      </w:r>
      <w:r w:rsidRPr="00E858E7">
        <w:rPr>
          <w:rFonts w:cs="Calibri"/>
          <w:bCs/>
          <w:szCs w:val="22"/>
          <w:lang w:eastAsia="en-US"/>
        </w:rPr>
        <w:t>for people with amyotrophic lateral sclerosis (ALS) who have a superoxide dismutase 1 (SOD1) mutation</w:t>
      </w:r>
      <w:r w:rsidR="0019287D">
        <w:rPr>
          <w:rFonts w:cs="Calibri"/>
          <w:bCs/>
          <w:szCs w:val="22"/>
          <w:lang w:eastAsia="en-US"/>
        </w:rPr>
        <w:t xml:space="preserve">. </w:t>
      </w:r>
    </w:p>
    <w:p w14:paraId="1947C01A" w14:textId="39BDD58E" w:rsidR="005753C3" w:rsidRDefault="005753C3" w:rsidP="001A147F">
      <w:pPr>
        <w:spacing w:after="120"/>
        <w:ind w:left="720"/>
        <w:rPr>
          <w:rFonts w:cs="Calibri"/>
          <w:bCs/>
          <w:szCs w:val="22"/>
          <w:lang w:eastAsia="en-US"/>
        </w:rPr>
      </w:pPr>
      <w:r w:rsidRPr="005753C3">
        <w:rPr>
          <w:rFonts w:cs="Calibri"/>
          <w:bCs/>
          <w:szCs w:val="22"/>
          <w:lang w:eastAsia="en-US"/>
        </w:rPr>
        <w:t xml:space="preserve">Biogen </w:t>
      </w:r>
      <w:r w:rsidR="001A147F">
        <w:rPr>
          <w:rFonts w:cs="Calibri"/>
          <w:bCs/>
          <w:szCs w:val="22"/>
          <w:lang w:eastAsia="en-US"/>
        </w:rPr>
        <w:t>is</w:t>
      </w:r>
      <w:r w:rsidR="00027CB3">
        <w:rPr>
          <w:rFonts w:cs="Calibri"/>
          <w:bCs/>
          <w:szCs w:val="22"/>
          <w:lang w:eastAsia="en-US"/>
        </w:rPr>
        <w:t xml:space="preserve"> </w:t>
      </w:r>
      <w:r w:rsidRPr="005753C3">
        <w:rPr>
          <w:rFonts w:cs="Calibri"/>
          <w:bCs/>
          <w:szCs w:val="22"/>
          <w:lang w:eastAsia="en-US"/>
        </w:rPr>
        <w:t>work</w:t>
      </w:r>
      <w:r w:rsidR="001A147F">
        <w:rPr>
          <w:rFonts w:cs="Calibri"/>
          <w:bCs/>
          <w:szCs w:val="22"/>
          <w:lang w:eastAsia="en-US"/>
        </w:rPr>
        <w:t>ing</w:t>
      </w:r>
      <w:r w:rsidRPr="005753C3">
        <w:rPr>
          <w:rFonts w:cs="Calibri"/>
          <w:bCs/>
          <w:szCs w:val="22"/>
          <w:lang w:eastAsia="en-US"/>
        </w:rPr>
        <w:t xml:space="preserve"> collaboratively with the </w:t>
      </w:r>
      <w:r w:rsidR="001A147F" w:rsidRPr="001A147F">
        <w:rPr>
          <w:rFonts w:cs="Calibri"/>
          <w:bCs/>
          <w:szCs w:val="22"/>
          <w:lang w:eastAsia="en-US"/>
        </w:rPr>
        <w:t xml:space="preserve">Department to progress </w:t>
      </w:r>
      <w:r w:rsidR="001A147F">
        <w:rPr>
          <w:rFonts w:cs="Calibri"/>
          <w:bCs/>
          <w:szCs w:val="22"/>
          <w:lang w:eastAsia="en-US"/>
        </w:rPr>
        <w:t xml:space="preserve">PBS </w:t>
      </w:r>
      <w:r w:rsidR="001A147F" w:rsidRPr="001A147F">
        <w:rPr>
          <w:rFonts w:cs="Calibri"/>
          <w:bCs/>
          <w:szCs w:val="22"/>
          <w:lang w:eastAsia="en-US"/>
        </w:rPr>
        <w:t xml:space="preserve">listing </w:t>
      </w:r>
      <w:r w:rsidR="005D093C">
        <w:rPr>
          <w:rFonts w:cs="Calibri"/>
          <w:bCs/>
          <w:szCs w:val="22"/>
          <w:lang w:eastAsia="en-US"/>
        </w:rPr>
        <w:t>and enable timely equitable access</w:t>
      </w:r>
      <w:r w:rsidRPr="005753C3">
        <w:rPr>
          <w:rFonts w:cs="Calibri"/>
          <w:bCs/>
          <w:szCs w:val="22"/>
          <w:lang w:eastAsia="en-US"/>
        </w:rPr>
        <w:t>.</w:t>
      </w:r>
    </w:p>
    <w:p w14:paraId="0743CA26" w14:textId="743CD193" w:rsidR="006B7DF3" w:rsidRPr="00F27FE5" w:rsidRDefault="00E858E7" w:rsidP="00F27FE5">
      <w:pPr>
        <w:spacing w:after="120"/>
        <w:ind w:left="720"/>
        <w:rPr>
          <w:rFonts w:cs="Calibri"/>
          <w:bCs/>
          <w:szCs w:val="22"/>
          <w:lang w:eastAsia="en-US"/>
        </w:rPr>
      </w:pPr>
      <w:r w:rsidRPr="00E858E7">
        <w:rPr>
          <w:rFonts w:cs="Calibri"/>
          <w:bCs/>
          <w:szCs w:val="22"/>
          <w:lang w:eastAsia="en-US"/>
        </w:rPr>
        <w:t>Biogen would like to take this opportunity to thank the ALS community and healthcare professionals who supported the submission.</w:t>
      </w:r>
    </w:p>
    <w:sectPr w:rsidR="006B7DF3" w:rsidRPr="00F27FE5" w:rsidSect="00C27B5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EEAD" w14:textId="77777777" w:rsidR="0025167F" w:rsidRDefault="0025167F">
      <w:r>
        <w:separator/>
      </w:r>
    </w:p>
    <w:p w14:paraId="2BA049E0" w14:textId="77777777" w:rsidR="0025167F" w:rsidRDefault="0025167F"/>
    <w:p w14:paraId="3F3EE6D9" w14:textId="77777777" w:rsidR="0025167F" w:rsidRDefault="0025167F"/>
  </w:endnote>
  <w:endnote w:type="continuationSeparator" w:id="0">
    <w:p w14:paraId="693F0EB9" w14:textId="77777777" w:rsidR="0025167F" w:rsidRDefault="0025167F">
      <w:r>
        <w:continuationSeparator/>
      </w:r>
    </w:p>
    <w:p w14:paraId="3324BB54" w14:textId="77777777" w:rsidR="0025167F" w:rsidRDefault="0025167F"/>
    <w:p w14:paraId="2333637A" w14:textId="77777777" w:rsidR="0025167F" w:rsidRDefault="0025167F"/>
  </w:endnote>
  <w:endnote w:type="continuationNotice" w:id="1">
    <w:p w14:paraId="03965A50" w14:textId="77777777" w:rsidR="0025167F" w:rsidRDefault="0025167F"/>
    <w:p w14:paraId="3A136B88" w14:textId="77777777" w:rsidR="0025167F" w:rsidRDefault="00251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2F4FFBD0" w:rsidR="00240165" w:rsidRPr="005A3173" w:rsidRDefault="00B457CA" w:rsidP="005A3173">
          <w:pP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2A7C3980" wp14:editId="2D5173A8">
                    <wp:simplePos x="635" y="635"/>
                    <wp:positionH relativeFrom="page">
                      <wp:align>center</wp:align>
                    </wp:positionH>
                    <wp:positionV relativeFrom="page">
                      <wp:align>bottom</wp:align>
                    </wp:positionV>
                    <wp:extent cx="622300" cy="376555"/>
                    <wp:effectExtent l="0" t="0" r="6350" b="0"/>
                    <wp:wrapNone/>
                    <wp:docPr id="11009911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96DD4F" w14:textId="18B5077A"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C398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A96DD4F" w14:textId="18B5077A"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2B8AD63" w:rsidR="00240165" w:rsidRDefault="00240165" w:rsidP="00653D69">
    <w:pPr>
      <w:framePr w:wrap="around" w:vAnchor="text" w:hAnchor="margin" w:xAlign="center" w:y="1"/>
    </w:pPr>
    <w:r>
      <w:fldChar w:fldCharType="begin"/>
    </w:r>
    <w:r>
      <w:instrText xml:space="preserve">PAGE  </w:instrText>
    </w:r>
    <w:r>
      <w:fldChar w:fldCharType="separate"/>
    </w:r>
    <w:r w:rsidR="0047587B">
      <w:rPr>
        <w:noProof/>
      </w:rPr>
      <w:t>1</w: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F7EC" w14:textId="1D475D85" w:rsidR="00292981" w:rsidRDefault="00B457CA">
    <w:pPr>
      <w:pStyle w:val="Footer"/>
      <w:rPr>
        <w:b/>
        <w:bCs/>
      </w:rPr>
    </w:pPr>
    <w:r>
      <w:rPr>
        <w:b/>
        <w:bCs/>
        <w:noProof/>
      </w:rPr>
      <mc:AlternateContent>
        <mc:Choice Requires="wps">
          <w:drawing>
            <wp:anchor distT="0" distB="0" distL="0" distR="0" simplePos="0" relativeHeight="251658245" behindDoc="0" locked="0" layoutInCell="1" allowOverlap="1" wp14:anchorId="55DB6DA3" wp14:editId="1CE4333C">
              <wp:simplePos x="635" y="635"/>
              <wp:positionH relativeFrom="page">
                <wp:align>center</wp:align>
              </wp:positionH>
              <wp:positionV relativeFrom="page">
                <wp:align>bottom</wp:align>
              </wp:positionV>
              <wp:extent cx="622300" cy="376555"/>
              <wp:effectExtent l="0" t="0" r="6350" b="0"/>
              <wp:wrapNone/>
              <wp:docPr id="913690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DBFD1B" w14:textId="7589D144"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DB6DA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FDBFD1B" w14:textId="7589D144"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v:textbox>
              <w10:wrap anchorx="page" anchory="page"/>
            </v:shape>
          </w:pict>
        </mc:Fallback>
      </mc:AlternateContent>
    </w:r>
  </w:p>
  <w:p w14:paraId="3A040888" w14:textId="16A44262" w:rsidR="000F1F83" w:rsidRPr="00292981" w:rsidRDefault="0025167F">
    <w:pPr>
      <w:pStyle w:val="Footer"/>
      <w:rPr>
        <w:b/>
        <w:bCs/>
      </w:rPr>
    </w:pPr>
    <w:sdt>
      <w:sdtPr>
        <w:rPr>
          <w:b/>
          <w:bCs/>
        </w:rPr>
        <w:id w:val="-1614588081"/>
        <w:docPartObj>
          <w:docPartGallery w:val="Page Numbers (Bottom of Page)"/>
          <w:docPartUnique/>
        </w:docPartObj>
      </w:sdtPr>
      <w:sdtEndPr/>
      <w:sdtContent>
        <w:r w:rsidR="000F1F83" w:rsidRPr="00292981">
          <w:rPr>
            <w:b/>
            <w:bCs/>
          </w:rPr>
          <w:fldChar w:fldCharType="begin"/>
        </w:r>
        <w:r w:rsidR="000F1F83" w:rsidRPr="00292981">
          <w:rPr>
            <w:b/>
            <w:bCs/>
          </w:rPr>
          <w:instrText>PAGE   \* MERGEFORMAT</w:instrText>
        </w:r>
        <w:r w:rsidR="000F1F83" w:rsidRPr="00292981">
          <w:rPr>
            <w:b/>
            <w:bCs/>
          </w:rPr>
          <w:fldChar w:fldCharType="separate"/>
        </w:r>
        <w:r w:rsidR="000F1F83" w:rsidRPr="00292981">
          <w:rPr>
            <w:b/>
            <w:bCs/>
            <w:lang w:val="en-GB"/>
          </w:rPr>
          <w:t>2</w:t>
        </w:r>
        <w:r w:rsidR="000F1F83" w:rsidRPr="00292981">
          <w:rPr>
            <w:b/>
            <w:bCs/>
          </w:rPr>
          <w:fldChar w:fldCharType="end"/>
        </w:r>
      </w:sdtContent>
    </w:sdt>
  </w:p>
  <w:p w14:paraId="07DAAF98" w14:textId="64CFAC47" w:rsidR="00CF066B" w:rsidRPr="00292981" w:rsidRDefault="00CF066B" w:rsidP="00774465">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0B3832A0" w:rsidR="00240165" w:rsidRPr="005A3173" w:rsidRDefault="00B457CA" w:rsidP="005A3173">
          <w:pP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05FAE398" wp14:editId="28B4E96F">
                    <wp:simplePos x="635" y="635"/>
                    <wp:positionH relativeFrom="page">
                      <wp:align>center</wp:align>
                    </wp:positionH>
                    <wp:positionV relativeFrom="page">
                      <wp:align>bottom</wp:align>
                    </wp:positionV>
                    <wp:extent cx="622300" cy="376555"/>
                    <wp:effectExtent l="0" t="0" r="6350" b="0"/>
                    <wp:wrapNone/>
                    <wp:docPr id="512364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DCB54C" w14:textId="6823E20C"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AE398"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2DCB54C" w14:textId="6823E20C"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99A76A8" w:rsidR="00240165" w:rsidRPr="007C0F57" w:rsidRDefault="00240165" w:rsidP="007C0F57">
    <w:pPr>
      <w:jc w:val="center"/>
      <w:rPr>
        <w:b/>
        <w:i/>
        <w:sz w:val="20"/>
        <w:szCs w:val="20"/>
      </w:rPr>
    </w:pPr>
    <w:r w:rsidRPr="007C0F57">
      <w:rPr>
        <w:b/>
        <w:i/>
        <w:sz w:val="20"/>
        <w:szCs w:val="20"/>
      </w:rPr>
      <w:t>Commercial</w:t>
    </w:r>
    <w:r w:rsidR="007A591A">
      <w:rPr>
        <w:b/>
        <w:i/>
        <w:sz w:val="20"/>
        <w:szCs w:val="20"/>
      </w:rPr>
      <w:noBreakHyphen/>
    </w:r>
    <w:r w:rsidRPr="007C0F57">
      <w:rPr>
        <w:b/>
        <w:i/>
        <w:sz w:val="20"/>
        <w:szCs w:val="20"/>
      </w:rPr>
      <w:t>in</w:t>
    </w:r>
    <w:r w:rsidR="007A591A">
      <w:rPr>
        <w:b/>
        <w:i/>
        <w:sz w:val="20"/>
        <w:szCs w:val="20"/>
      </w:rPr>
      <w:noBreakHyphen/>
    </w:r>
    <w:r w:rsidRPr="007C0F57">
      <w:rPr>
        <w:b/>
        <w:i/>
        <w:sz w:val="20"/>
        <w:szCs w:val="20"/>
      </w:rPr>
      <w:t>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38F5" w14:textId="77777777" w:rsidR="0025167F" w:rsidRDefault="0025167F">
      <w:r>
        <w:separator/>
      </w:r>
    </w:p>
    <w:p w14:paraId="0DB5D870" w14:textId="77777777" w:rsidR="0025167F" w:rsidRDefault="0025167F"/>
    <w:p w14:paraId="143CF477" w14:textId="77777777" w:rsidR="0025167F" w:rsidRDefault="0025167F"/>
  </w:footnote>
  <w:footnote w:type="continuationSeparator" w:id="0">
    <w:p w14:paraId="7062EB69" w14:textId="77777777" w:rsidR="0025167F" w:rsidRDefault="0025167F">
      <w:r>
        <w:continuationSeparator/>
      </w:r>
    </w:p>
    <w:p w14:paraId="1DEE113C" w14:textId="77777777" w:rsidR="0025167F" w:rsidRDefault="0025167F"/>
    <w:p w14:paraId="5117F400" w14:textId="77777777" w:rsidR="0025167F" w:rsidRDefault="0025167F"/>
  </w:footnote>
  <w:footnote w:type="continuationNotice" w:id="1">
    <w:p w14:paraId="40A9B421" w14:textId="77777777" w:rsidR="0025167F" w:rsidRDefault="0025167F"/>
    <w:p w14:paraId="49701DC5" w14:textId="77777777" w:rsidR="0025167F" w:rsidRDefault="00251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1BF8B5F3" w:rsidR="00240165" w:rsidRPr="00A06225" w:rsidRDefault="00B457CA">
          <w:pP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2F68DC22" wp14:editId="50E00C7A">
                    <wp:simplePos x="635" y="635"/>
                    <wp:positionH relativeFrom="page">
                      <wp:align>center</wp:align>
                    </wp:positionH>
                    <wp:positionV relativeFrom="page">
                      <wp:align>top</wp:align>
                    </wp:positionV>
                    <wp:extent cx="622300" cy="376555"/>
                    <wp:effectExtent l="0" t="0" r="6350" b="4445"/>
                    <wp:wrapNone/>
                    <wp:docPr id="7471830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FE753C" w14:textId="62E46645"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8DC2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EFE753C" w14:textId="62E46645"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2F1CC0A5" w:rsidR="00774465" w:rsidRPr="00C56D78" w:rsidRDefault="00B457CA" w:rsidP="00774465">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19D782F3" wp14:editId="4EFB1C57">
              <wp:simplePos x="635" y="635"/>
              <wp:positionH relativeFrom="page">
                <wp:align>center</wp:align>
              </wp:positionH>
              <wp:positionV relativeFrom="page">
                <wp:align>top</wp:align>
              </wp:positionV>
              <wp:extent cx="622300" cy="376555"/>
              <wp:effectExtent l="0" t="0" r="6350" b="4445"/>
              <wp:wrapNone/>
              <wp:docPr id="3380861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C0A153" w14:textId="00F9A3A1"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782F3"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8C0A153" w14:textId="00F9A3A1"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v:textbox>
              <w10:wrap anchorx="page" anchory="page"/>
            </v:shape>
          </w:pict>
        </mc:Fallback>
      </mc:AlternateContent>
    </w:r>
    <w:r w:rsidR="00577AAB">
      <w:rPr>
        <w:rFonts w:asciiTheme="minorHAnsi" w:eastAsiaTheme="minorEastAsia" w:hAnsiTheme="minorHAnsi" w:cstheme="minorHAnsi"/>
        <w:i/>
        <w:color w:val="808080"/>
      </w:rPr>
      <w:t xml:space="preserve">Public Summary Document </w:t>
    </w:r>
    <w:r w:rsidR="00774465">
      <w:rPr>
        <w:rFonts w:asciiTheme="minorHAnsi" w:eastAsiaTheme="minorEastAsia" w:hAnsiTheme="minorHAnsi" w:cstheme="minorHAnsi"/>
        <w:i/>
        <w:color w:val="808080"/>
      </w:rPr>
      <w:t xml:space="preserve">– </w:t>
    </w:r>
    <w:r w:rsidR="00DE2C95">
      <w:rPr>
        <w:rFonts w:asciiTheme="minorHAnsi" w:eastAsiaTheme="minorEastAsia" w:hAnsiTheme="minorHAnsi" w:cstheme="minorHAnsi"/>
        <w:i/>
        <w:color w:val="808080"/>
      </w:rPr>
      <w:t>March 2026</w:t>
    </w:r>
    <w:r w:rsidR="00774465" w:rsidRPr="00C56D78">
      <w:rPr>
        <w:rFonts w:asciiTheme="minorHAnsi" w:eastAsiaTheme="minorEastAsia" w:hAnsiTheme="minorHAnsi" w:cstheme="minorHAnsi"/>
        <w:i/>
        <w:color w:val="808080"/>
      </w:rPr>
      <w:t xml:space="preserve"> PBAC Meeting</w:t>
    </w:r>
  </w:p>
  <w:p w14:paraId="74A766A4" w14:textId="77777777" w:rsidR="00240165" w:rsidRDefault="00240165" w:rsidP="00C10EC6">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E612" w14:textId="1932E08D" w:rsidR="00852488" w:rsidRDefault="00B457CA">
    <w:pPr>
      <w:pStyle w:val="Header"/>
    </w:pPr>
    <w:r>
      <w:rPr>
        <w:noProof/>
      </w:rPr>
      <mc:AlternateContent>
        <mc:Choice Requires="wps">
          <w:drawing>
            <wp:anchor distT="0" distB="0" distL="0" distR="0" simplePos="0" relativeHeight="251658240" behindDoc="0" locked="0" layoutInCell="1" allowOverlap="1" wp14:anchorId="4FDD44BC" wp14:editId="157250EF">
              <wp:simplePos x="635" y="635"/>
              <wp:positionH relativeFrom="page">
                <wp:align>center</wp:align>
              </wp:positionH>
              <wp:positionV relativeFrom="page">
                <wp:align>top</wp:align>
              </wp:positionV>
              <wp:extent cx="622300" cy="376555"/>
              <wp:effectExtent l="0" t="0" r="6350" b="4445"/>
              <wp:wrapNone/>
              <wp:docPr id="14330462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FBC83D" w14:textId="653DAEFD"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D44BC"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BFBC83D" w14:textId="653DAEFD" w:rsidR="00B457CA" w:rsidRPr="00B457CA" w:rsidRDefault="00B457CA" w:rsidP="00B457CA">
                    <w:pPr>
                      <w:rPr>
                        <w:rFonts w:ascii="Aptos" w:eastAsia="Aptos" w:hAnsi="Aptos" w:cs="Aptos"/>
                        <w:noProof/>
                        <w:color w:val="FF0000"/>
                      </w:rPr>
                    </w:pPr>
                    <w:r w:rsidRPr="00B457C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30824B2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3E2013"/>
    <w:multiLevelType w:val="multilevel"/>
    <w:tmpl w:val="06EC006E"/>
    <w:lvl w:ilvl="0">
      <w:start w:val="5"/>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B83DCB"/>
    <w:multiLevelType w:val="multilevel"/>
    <w:tmpl w:val="6ED20324"/>
    <w:lvl w:ilvl="0">
      <w:start w:val="5"/>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942F3"/>
    <w:multiLevelType w:val="multilevel"/>
    <w:tmpl w:val="655C0F80"/>
    <w:lvl w:ilvl="0">
      <w:start w:val="1"/>
      <w:numFmt w:val="decimal"/>
      <w:lvlText w:val="%1"/>
      <w:lvlJc w:val="left"/>
      <w:pPr>
        <w:ind w:left="720" w:hanging="72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BD608A"/>
    <w:multiLevelType w:val="multilevel"/>
    <w:tmpl w:val="18688B84"/>
    <w:lvl w:ilvl="0">
      <w:start w:val="1"/>
      <w:numFmt w:val="decimal"/>
      <w:lvlText w:val="%1"/>
      <w:lvlJc w:val="left"/>
      <w:pPr>
        <w:ind w:left="720" w:hanging="720"/>
      </w:pPr>
      <w:rPr>
        <w:rFonts w:hint="default"/>
      </w:rPr>
    </w:lvl>
    <w:lvl w:ilvl="1">
      <w:start w:val="7"/>
      <w:numFmt w:val="bullet"/>
      <w:lvlText w:val="-"/>
      <w:lvlJc w:val="left"/>
      <w:pPr>
        <w:ind w:left="360" w:hanging="360"/>
      </w:pPr>
      <w:rPr>
        <w:rFonts w:ascii="Arial Narrow" w:eastAsiaTheme="majorEastAsia" w:hAnsi="Arial Narrow" w:cs="Times New Roman"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41BF6CB3"/>
    <w:multiLevelType w:val="hybridMultilevel"/>
    <w:tmpl w:val="B02E88A2"/>
    <w:lvl w:ilvl="0" w:tplc="92F8D5F4">
      <w:start w:val="7"/>
      <w:numFmt w:val="bullet"/>
      <w:lvlText w:val="-"/>
      <w:lvlJc w:val="left"/>
      <w:pPr>
        <w:ind w:left="720" w:hanging="360"/>
      </w:pPr>
      <w:rPr>
        <w:rFonts w:ascii="Arial Narrow" w:eastAsiaTheme="majorEastAsia"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263A4B"/>
    <w:multiLevelType w:val="hybridMultilevel"/>
    <w:tmpl w:val="2828C956"/>
    <w:lvl w:ilvl="0" w:tplc="04090001">
      <w:start w:val="1"/>
      <w:numFmt w:val="bullet"/>
      <w:lvlText w:val=""/>
      <w:lvlJc w:val="left"/>
      <w:pPr>
        <w:ind w:left="720" w:hanging="720"/>
      </w:pPr>
      <w:rPr>
        <w:rFonts w:ascii="Symbol" w:hAnsi="Symbol" w:hint="default"/>
      </w:rPr>
    </w:lvl>
    <w:lvl w:ilvl="1" w:tplc="A21C8D0C">
      <w:start w:val="1"/>
      <w:numFmt w:val="upperRoman"/>
      <w:lvlText w:val="%2."/>
      <w:lvlJc w:val="left"/>
      <w:pPr>
        <w:ind w:left="1146"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AC5FFD"/>
    <w:multiLevelType w:val="multilevel"/>
    <w:tmpl w:val="F270528E"/>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45511A"/>
    <w:multiLevelType w:val="hybridMultilevel"/>
    <w:tmpl w:val="46663C72"/>
    <w:lvl w:ilvl="0" w:tplc="2BA6E7EA">
      <w:start w:val="1"/>
      <w:numFmt w:val="lowerRoman"/>
      <w:lvlText w:val="%1."/>
      <w:lvlJc w:val="left"/>
      <w:pPr>
        <w:ind w:left="1080" w:hanging="360"/>
      </w:pPr>
      <w:rPr>
        <w:rFonts w:asciiTheme="minorHAnsi" w:eastAsia="Times New Roman" w:hAnsiTheme="minorHAnsi" w:cs="Arial"/>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EC02A8"/>
    <w:multiLevelType w:val="hybridMultilevel"/>
    <w:tmpl w:val="BFE2F65C"/>
    <w:lvl w:ilvl="0" w:tplc="E9804FBC">
      <w:start w:val="1"/>
      <w:numFmt w:val="lowerRoman"/>
      <w:lvlText w:val="%1."/>
      <w:lvlJc w:val="left"/>
      <w:pPr>
        <w:ind w:left="1080" w:hanging="360"/>
      </w:pPr>
      <w:rPr>
        <w:rFonts w:asciiTheme="minorHAnsi" w:eastAsia="Times New Roman" w:hAnsiTheme="minorHAnsi" w:cs="Arial"/>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17F5A89"/>
    <w:multiLevelType w:val="hybridMultilevel"/>
    <w:tmpl w:val="88780D36"/>
    <w:lvl w:ilvl="0" w:tplc="4A2CC748">
      <w:start w:val="7"/>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435B8F"/>
    <w:multiLevelType w:val="hybridMultilevel"/>
    <w:tmpl w:val="01B61E64"/>
    <w:lvl w:ilvl="0" w:tplc="FF8C603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BBB7FF1"/>
    <w:multiLevelType w:val="hybridMultilevel"/>
    <w:tmpl w:val="2D0EB5F2"/>
    <w:lvl w:ilvl="0" w:tplc="B7166134">
      <w:start w:val="1"/>
      <w:numFmt w:val="lowerRoman"/>
      <w:lvlText w:val="%1."/>
      <w:lvlJc w:val="left"/>
      <w:pPr>
        <w:ind w:left="1080" w:hanging="360"/>
      </w:pPr>
      <w:rPr>
        <w:rFonts w:asciiTheme="minorHAnsi" w:eastAsia="Times New Roman" w:hAnsiTheme="minorHAnsi" w:cs="Arial"/>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80194493">
    <w:abstractNumId w:val="27"/>
  </w:num>
  <w:num w:numId="2" w16cid:durableId="1882206996">
    <w:abstractNumId w:val="0"/>
  </w:num>
  <w:num w:numId="3" w16cid:durableId="1742173966">
    <w:abstractNumId w:val="20"/>
  </w:num>
  <w:num w:numId="4" w16cid:durableId="558178083">
    <w:abstractNumId w:val="29"/>
  </w:num>
  <w:num w:numId="5" w16cid:durableId="444814543">
    <w:abstractNumId w:val="25"/>
  </w:num>
  <w:num w:numId="6" w16cid:durableId="856234780">
    <w:abstractNumId w:val="15"/>
  </w:num>
  <w:num w:numId="7" w16cid:durableId="1011836811">
    <w:abstractNumId w:val="13"/>
  </w:num>
  <w:num w:numId="8" w16cid:durableId="1603219091">
    <w:abstractNumId w:val="1"/>
  </w:num>
  <w:num w:numId="9" w16cid:durableId="848836742">
    <w:abstractNumId w:val="27"/>
  </w:num>
  <w:num w:numId="10" w16cid:durableId="1220363501">
    <w:abstractNumId w:val="23"/>
  </w:num>
  <w:num w:numId="11" w16cid:durableId="126514491">
    <w:abstractNumId w:val="11"/>
  </w:num>
  <w:num w:numId="12" w16cid:durableId="1661041264">
    <w:abstractNumId w:val="12"/>
  </w:num>
  <w:num w:numId="13" w16cid:durableId="1284578124">
    <w:abstractNumId w:val="27"/>
  </w:num>
  <w:num w:numId="14" w16cid:durableId="637803714">
    <w:abstractNumId w:val="27"/>
  </w:num>
  <w:num w:numId="15" w16cid:durableId="1724140396">
    <w:abstractNumId w:val="20"/>
  </w:num>
  <w:num w:numId="16" w16cid:durableId="124549745">
    <w:abstractNumId w:val="26"/>
  </w:num>
  <w:num w:numId="17" w16cid:durableId="1651058221">
    <w:abstractNumId w:val="14"/>
  </w:num>
  <w:num w:numId="18" w16cid:durableId="1989282391">
    <w:abstractNumId w:val="22"/>
  </w:num>
  <w:num w:numId="19" w16cid:durableId="1549300145">
    <w:abstractNumId w:val="19"/>
  </w:num>
  <w:num w:numId="20" w16cid:durableId="934215911">
    <w:abstractNumId w:val="16"/>
  </w:num>
  <w:num w:numId="21" w16cid:durableId="1509103637">
    <w:abstractNumId w:val="9"/>
  </w:num>
  <w:num w:numId="22" w16cid:durableId="765885666">
    <w:abstractNumId w:val="6"/>
  </w:num>
  <w:num w:numId="23" w16cid:durableId="1763379669">
    <w:abstractNumId w:val="20"/>
  </w:num>
  <w:num w:numId="24" w16cid:durableId="1573005167">
    <w:abstractNumId w:val="17"/>
  </w:num>
  <w:num w:numId="25" w16cid:durableId="408699874">
    <w:abstractNumId w:val="18"/>
  </w:num>
  <w:num w:numId="26" w16cid:durableId="1569418770">
    <w:abstractNumId w:val="3"/>
  </w:num>
  <w:num w:numId="27" w16cid:durableId="705176722">
    <w:abstractNumId w:val="2"/>
  </w:num>
  <w:num w:numId="28" w16cid:durableId="1926569401">
    <w:abstractNumId w:val="8"/>
  </w:num>
  <w:num w:numId="29" w16cid:durableId="1979457665">
    <w:abstractNumId w:val="10"/>
  </w:num>
  <w:num w:numId="30" w16cid:durableId="2038313566">
    <w:abstractNumId w:val="7"/>
  </w:num>
  <w:num w:numId="31" w16cid:durableId="12974431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97201">
    <w:abstractNumId w:val="24"/>
  </w:num>
  <w:num w:numId="33" w16cid:durableId="1158182089">
    <w:abstractNumId w:val="5"/>
  </w:num>
  <w:num w:numId="34" w16cid:durableId="744834842">
    <w:abstractNumId w:val="4"/>
  </w:num>
  <w:num w:numId="35" w16cid:durableId="18179127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45"/>
    <w:rsid w:val="0000080A"/>
    <w:rsid w:val="000009EA"/>
    <w:rsid w:val="00001663"/>
    <w:rsid w:val="000025AD"/>
    <w:rsid w:val="0000335D"/>
    <w:rsid w:val="00003F42"/>
    <w:rsid w:val="0000423D"/>
    <w:rsid w:val="00004A0D"/>
    <w:rsid w:val="00005732"/>
    <w:rsid w:val="00006034"/>
    <w:rsid w:val="000069E2"/>
    <w:rsid w:val="00006D54"/>
    <w:rsid w:val="000071D8"/>
    <w:rsid w:val="00010235"/>
    <w:rsid w:val="00011129"/>
    <w:rsid w:val="00011A59"/>
    <w:rsid w:val="00011E94"/>
    <w:rsid w:val="00014098"/>
    <w:rsid w:val="000147C1"/>
    <w:rsid w:val="00014803"/>
    <w:rsid w:val="000151CF"/>
    <w:rsid w:val="00016A41"/>
    <w:rsid w:val="00017BD4"/>
    <w:rsid w:val="00020018"/>
    <w:rsid w:val="00020147"/>
    <w:rsid w:val="000214D1"/>
    <w:rsid w:val="00021BB9"/>
    <w:rsid w:val="0002236A"/>
    <w:rsid w:val="00023025"/>
    <w:rsid w:val="00023760"/>
    <w:rsid w:val="00023BA6"/>
    <w:rsid w:val="0002464A"/>
    <w:rsid w:val="000252D2"/>
    <w:rsid w:val="00025684"/>
    <w:rsid w:val="00025A04"/>
    <w:rsid w:val="00026842"/>
    <w:rsid w:val="000275CF"/>
    <w:rsid w:val="00027C35"/>
    <w:rsid w:val="00027CB3"/>
    <w:rsid w:val="0003050E"/>
    <w:rsid w:val="0003106B"/>
    <w:rsid w:val="00031442"/>
    <w:rsid w:val="00032A8D"/>
    <w:rsid w:val="00032C99"/>
    <w:rsid w:val="00032D2E"/>
    <w:rsid w:val="0003343A"/>
    <w:rsid w:val="00033C1D"/>
    <w:rsid w:val="00034905"/>
    <w:rsid w:val="0003590E"/>
    <w:rsid w:val="0003681C"/>
    <w:rsid w:val="000369E7"/>
    <w:rsid w:val="0003719D"/>
    <w:rsid w:val="00040102"/>
    <w:rsid w:val="00040464"/>
    <w:rsid w:val="00040AE5"/>
    <w:rsid w:val="000415E9"/>
    <w:rsid w:val="00041BFB"/>
    <w:rsid w:val="000421A1"/>
    <w:rsid w:val="0004240E"/>
    <w:rsid w:val="000432D4"/>
    <w:rsid w:val="000441AE"/>
    <w:rsid w:val="00044495"/>
    <w:rsid w:val="00044859"/>
    <w:rsid w:val="00044A6F"/>
    <w:rsid w:val="00044EC4"/>
    <w:rsid w:val="00045E26"/>
    <w:rsid w:val="0004743D"/>
    <w:rsid w:val="00047BAC"/>
    <w:rsid w:val="000508B4"/>
    <w:rsid w:val="000514B5"/>
    <w:rsid w:val="0005289A"/>
    <w:rsid w:val="0005322E"/>
    <w:rsid w:val="000539A9"/>
    <w:rsid w:val="000548E8"/>
    <w:rsid w:val="00054E2B"/>
    <w:rsid w:val="00055F94"/>
    <w:rsid w:val="00056635"/>
    <w:rsid w:val="00056A0C"/>
    <w:rsid w:val="00057326"/>
    <w:rsid w:val="00057E99"/>
    <w:rsid w:val="000603AC"/>
    <w:rsid w:val="00060546"/>
    <w:rsid w:val="00060E64"/>
    <w:rsid w:val="00061288"/>
    <w:rsid w:val="00061838"/>
    <w:rsid w:val="0006285E"/>
    <w:rsid w:val="00062CEF"/>
    <w:rsid w:val="00062FD5"/>
    <w:rsid w:val="00063152"/>
    <w:rsid w:val="00064492"/>
    <w:rsid w:val="000646E8"/>
    <w:rsid w:val="0006486E"/>
    <w:rsid w:val="00064C52"/>
    <w:rsid w:val="00064EDA"/>
    <w:rsid w:val="00065D5B"/>
    <w:rsid w:val="00066193"/>
    <w:rsid w:val="00066755"/>
    <w:rsid w:val="000669D0"/>
    <w:rsid w:val="00067B6B"/>
    <w:rsid w:val="00070087"/>
    <w:rsid w:val="00071A5B"/>
    <w:rsid w:val="0007337F"/>
    <w:rsid w:val="000738C8"/>
    <w:rsid w:val="0007447E"/>
    <w:rsid w:val="0007587A"/>
    <w:rsid w:val="00075F08"/>
    <w:rsid w:val="000763D5"/>
    <w:rsid w:val="00076C38"/>
    <w:rsid w:val="00077143"/>
    <w:rsid w:val="00077DF7"/>
    <w:rsid w:val="0008050C"/>
    <w:rsid w:val="00080B5E"/>
    <w:rsid w:val="00080C74"/>
    <w:rsid w:val="00081D26"/>
    <w:rsid w:val="00082169"/>
    <w:rsid w:val="00082C7A"/>
    <w:rsid w:val="00082E17"/>
    <w:rsid w:val="000834BE"/>
    <w:rsid w:val="00083F01"/>
    <w:rsid w:val="000841E6"/>
    <w:rsid w:val="00084CA4"/>
    <w:rsid w:val="00085324"/>
    <w:rsid w:val="00085F71"/>
    <w:rsid w:val="000864A7"/>
    <w:rsid w:val="00086F4E"/>
    <w:rsid w:val="00087C4C"/>
    <w:rsid w:val="000916A0"/>
    <w:rsid w:val="000917EE"/>
    <w:rsid w:val="000918CB"/>
    <w:rsid w:val="00091B06"/>
    <w:rsid w:val="00091EE4"/>
    <w:rsid w:val="0009232C"/>
    <w:rsid w:val="00092761"/>
    <w:rsid w:val="00092E1E"/>
    <w:rsid w:val="0009463D"/>
    <w:rsid w:val="000951C4"/>
    <w:rsid w:val="00095ADA"/>
    <w:rsid w:val="00096147"/>
    <w:rsid w:val="000969AD"/>
    <w:rsid w:val="00096B06"/>
    <w:rsid w:val="00097306"/>
    <w:rsid w:val="000975FB"/>
    <w:rsid w:val="000A00E8"/>
    <w:rsid w:val="000A15B4"/>
    <w:rsid w:val="000A1803"/>
    <w:rsid w:val="000A1DEA"/>
    <w:rsid w:val="000A2A66"/>
    <w:rsid w:val="000A2D56"/>
    <w:rsid w:val="000A3AA2"/>
    <w:rsid w:val="000A434B"/>
    <w:rsid w:val="000A44B2"/>
    <w:rsid w:val="000A4EDE"/>
    <w:rsid w:val="000A52F6"/>
    <w:rsid w:val="000A53BB"/>
    <w:rsid w:val="000A68FB"/>
    <w:rsid w:val="000A776B"/>
    <w:rsid w:val="000A79D4"/>
    <w:rsid w:val="000B06F8"/>
    <w:rsid w:val="000B14F7"/>
    <w:rsid w:val="000B19A5"/>
    <w:rsid w:val="000B29D6"/>
    <w:rsid w:val="000B37B1"/>
    <w:rsid w:val="000B3D91"/>
    <w:rsid w:val="000B44C3"/>
    <w:rsid w:val="000B4AF1"/>
    <w:rsid w:val="000B4DDB"/>
    <w:rsid w:val="000B5220"/>
    <w:rsid w:val="000B558D"/>
    <w:rsid w:val="000B5A89"/>
    <w:rsid w:val="000B65F6"/>
    <w:rsid w:val="000B7767"/>
    <w:rsid w:val="000C0423"/>
    <w:rsid w:val="000C0555"/>
    <w:rsid w:val="000C0C2A"/>
    <w:rsid w:val="000C1C9F"/>
    <w:rsid w:val="000C3864"/>
    <w:rsid w:val="000C571D"/>
    <w:rsid w:val="000C5BFE"/>
    <w:rsid w:val="000C5E4F"/>
    <w:rsid w:val="000C5F95"/>
    <w:rsid w:val="000C61EB"/>
    <w:rsid w:val="000C668D"/>
    <w:rsid w:val="000C6996"/>
    <w:rsid w:val="000C6C88"/>
    <w:rsid w:val="000C78F5"/>
    <w:rsid w:val="000C7C46"/>
    <w:rsid w:val="000D09E9"/>
    <w:rsid w:val="000D113F"/>
    <w:rsid w:val="000D11ED"/>
    <w:rsid w:val="000D1DF1"/>
    <w:rsid w:val="000D2322"/>
    <w:rsid w:val="000D23BA"/>
    <w:rsid w:val="000D47AD"/>
    <w:rsid w:val="000D67D7"/>
    <w:rsid w:val="000D67DC"/>
    <w:rsid w:val="000D6B34"/>
    <w:rsid w:val="000E09F8"/>
    <w:rsid w:val="000E0C53"/>
    <w:rsid w:val="000E19B7"/>
    <w:rsid w:val="000E20FC"/>
    <w:rsid w:val="000E22A4"/>
    <w:rsid w:val="000E2B30"/>
    <w:rsid w:val="000E3DFB"/>
    <w:rsid w:val="000E3F58"/>
    <w:rsid w:val="000E3FA8"/>
    <w:rsid w:val="000E440E"/>
    <w:rsid w:val="000E598B"/>
    <w:rsid w:val="000E5EA1"/>
    <w:rsid w:val="000E6124"/>
    <w:rsid w:val="000E65CA"/>
    <w:rsid w:val="000E681E"/>
    <w:rsid w:val="000E6ACA"/>
    <w:rsid w:val="000E74FE"/>
    <w:rsid w:val="000E799D"/>
    <w:rsid w:val="000E7E52"/>
    <w:rsid w:val="000F0003"/>
    <w:rsid w:val="000F1F83"/>
    <w:rsid w:val="000F23AE"/>
    <w:rsid w:val="000F252E"/>
    <w:rsid w:val="000F260C"/>
    <w:rsid w:val="000F28F7"/>
    <w:rsid w:val="000F2B14"/>
    <w:rsid w:val="000F3384"/>
    <w:rsid w:val="000F427C"/>
    <w:rsid w:val="000F4E6A"/>
    <w:rsid w:val="000F7354"/>
    <w:rsid w:val="001002A1"/>
    <w:rsid w:val="00101775"/>
    <w:rsid w:val="00101ABE"/>
    <w:rsid w:val="00101EAA"/>
    <w:rsid w:val="00102202"/>
    <w:rsid w:val="00102700"/>
    <w:rsid w:val="0010289B"/>
    <w:rsid w:val="001028E0"/>
    <w:rsid w:val="00102A78"/>
    <w:rsid w:val="00103118"/>
    <w:rsid w:val="001033EF"/>
    <w:rsid w:val="0010417A"/>
    <w:rsid w:val="00104227"/>
    <w:rsid w:val="0010521C"/>
    <w:rsid w:val="00107029"/>
    <w:rsid w:val="001076B6"/>
    <w:rsid w:val="001107BF"/>
    <w:rsid w:val="001107C1"/>
    <w:rsid w:val="00111FDA"/>
    <w:rsid w:val="001121DB"/>
    <w:rsid w:val="0011317F"/>
    <w:rsid w:val="00113649"/>
    <w:rsid w:val="001136E9"/>
    <w:rsid w:val="00113C7E"/>
    <w:rsid w:val="00113D5C"/>
    <w:rsid w:val="0011575D"/>
    <w:rsid w:val="00115DBD"/>
    <w:rsid w:val="0011628A"/>
    <w:rsid w:val="00116699"/>
    <w:rsid w:val="00116723"/>
    <w:rsid w:val="001174EC"/>
    <w:rsid w:val="001175C3"/>
    <w:rsid w:val="001177B2"/>
    <w:rsid w:val="00117885"/>
    <w:rsid w:val="00117D6C"/>
    <w:rsid w:val="0012023A"/>
    <w:rsid w:val="00120B23"/>
    <w:rsid w:val="00121649"/>
    <w:rsid w:val="00122E5C"/>
    <w:rsid w:val="00123289"/>
    <w:rsid w:val="001235DC"/>
    <w:rsid w:val="00123A38"/>
    <w:rsid w:val="0012417C"/>
    <w:rsid w:val="0012433B"/>
    <w:rsid w:val="00124570"/>
    <w:rsid w:val="00124AEA"/>
    <w:rsid w:val="00124BF2"/>
    <w:rsid w:val="0012501B"/>
    <w:rsid w:val="0012582A"/>
    <w:rsid w:val="0012597F"/>
    <w:rsid w:val="001259DD"/>
    <w:rsid w:val="00126010"/>
    <w:rsid w:val="0012682C"/>
    <w:rsid w:val="0012749D"/>
    <w:rsid w:val="001278BF"/>
    <w:rsid w:val="001306A5"/>
    <w:rsid w:val="00130723"/>
    <w:rsid w:val="00130915"/>
    <w:rsid w:val="00130919"/>
    <w:rsid w:val="001311AE"/>
    <w:rsid w:val="00131375"/>
    <w:rsid w:val="00132447"/>
    <w:rsid w:val="0013262C"/>
    <w:rsid w:val="00132D53"/>
    <w:rsid w:val="00134FFF"/>
    <w:rsid w:val="00135AA8"/>
    <w:rsid w:val="00135E61"/>
    <w:rsid w:val="001361AD"/>
    <w:rsid w:val="00136719"/>
    <w:rsid w:val="00136962"/>
    <w:rsid w:val="0013726E"/>
    <w:rsid w:val="0013769E"/>
    <w:rsid w:val="001404D2"/>
    <w:rsid w:val="0014096F"/>
    <w:rsid w:val="00140B74"/>
    <w:rsid w:val="00140D94"/>
    <w:rsid w:val="00142395"/>
    <w:rsid w:val="00142714"/>
    <w:rsid w:val="00142C09"/>
    <w:rsid w:val="00142FF3"/>
    <w:rsid w:val="00143ACA"/>
    <w:rsid w:val="00144D09"/>
    <w:rsid w:val="001452ED"/>
    <w:rsid w:val="00147566"/>
    <w:rsid w:val="00147D84"/>
    <w:rsid w:val="001505DC"/>
    <w:rsid w:val="00151836"/>
    <w:rsid w:val="00152554"/>
    <w:rsid w:val="00153BC6"/>
    <w:rsid w:val="001549C1"/>
    <w:rsid w:val="001560B3"/>
    <w:rsid w:val="00156C8D"/>
    <w:rsid w:val="00160B7F"/>
    <w:rsid w:val="00160F23"/>
    <w:rsid w:val="00160F4D"/>
    <w:rsid w:val="0016144B"/>
    <w:rsid w:val="00161B9D"/>
    <w:rsid w:val="00162BDD"/>
    <w:rsid w:val="00162D4E"/>
    <w:rsid w:val="00163037"/>
    <w:rsid w:val="00163329"/>
    <w:rsid w:val="00163694"/>
    <w:rsid w:val="00164623"/>
    <w:rsid w:val="001652DE"/>
    <w:rsid w:val="00165B64"/>
    <w:rsid w:val="001664EC"/>
    <w:rsid w:val="00166933"/>
    <w:rsid w:val="00170980"/>
    <w:rsid w:val="001711D5"/>
    <w:rsid w:val="001714D2"/>
    <w:rsid w:val="00171A06"/>
    <w:rsid w:val="00171ED1"/>
    <w:rsid w:val="00171F13"/>
    <w:rsid w:val="001722CD"/>
    <w:rsid w:val="00172E1B"/>
    <w:rsid w:val="001744EB"/>
    <w:rsid w:val="00174D3D"/>
    <w:rsid w:val="00175E64"/>
    <w:rsid w:val="00176B9D"/>
    <w:rsid w:val="00176C75"/>
    <w:rsid w:val="001774FB"/>
    <w:rsid w:val="00177933"/>
    <w:rsid w:val="001801D7"/>
    <w:rsid w:val="00180713"/>
    <w:rsid w:val="00180720"/>
    <w:rsid w:val="00182E3C"/>
    <w:rsid w:val="001830CE"/>
    <w:rsid w:val="001836E3"/>
    <w:rsid w:val="00184C39"/>
    <w:rsid w:val="00185802"/>
    <w:rsid w:val="001862B2"/>
    <w:rsid w:val="0018643B"/>
    <w:rsid w:val="001868B9"/>
    <w:rsid w:val="00187370"/>
    <w:rsid w:val="00187C4F"/>
    <w:rsid w:val="00191924"/>
    <w:rsid w:val="00191F7A"/>
    <w:rsid w:val="00192397"/>
    <w:rsid w:val="0019287D"/>
    <w:rsid w:val="00193160"/>
    <w:rsid w:val="00196307"/>
    <w:rsid w:val="00197094"/>
    <w:rsid w:val="001973ED"/>
    <w:rsid w:val="00197770"/>
    <w:rsid w:val="001A0357"/>
    <w:rsid w:val="001A0D10"/>
    <w:rsid w:val="001A147F"/>
    <w:rsid w:val="001A14C8"/>
    <w:rsid w:val="001A1A46"/>
    <w:rsid w:val="001A20B2"/>
    <w:rsid w:val="001A27CF"/>
    <w:rsid w:val="001A2AEC"/>
    <w:rsid w:val="001A33EA"/>
    <w:rsid w:val="001A35EE"/>
    <w:rsid w:val="001A3DDF"/>
    <w:rsid w:val="001A4413"/>
    <w:rsid w:val="001A46B2"/>
    <w:rsid w:val="001A4C4F"/>
    <w:rsid w:val="001A4DDF"/>
    <w:rsid w:val="001A4E65"/>
    <w:rsid w:val="001A5A2B"/>
    <w:rsid w:val="001A6417"/>
    <w:rsid w:val="001A76FB"/>
    <w:rsid w:val="001B017F"/>
    <w:rsid w:val="001B0B79"/>
    <w:rsid w:val="001B1396"/>
    <w:rsid w:val="001B1D5F"/>
    <w:rsid w:val="001B271E"/>
    <w:rsid w:val="001B2BBC"/>
    <w:rsid w:val="001B2C01"/>
    <w:rsid w:val="001B2FC1"/>
    <w:rsid w:val="001B3A40"/>
    <w:rsid w:val="001B3DFC"/>
    <w:rsid w:val="001B3FFE"/>
    <w:rsid w:val="001B5026"/>
    <w:rsid w:val="001B5129"/>
    <w:rsid w:val="001B5BAA"/>
    <w:rsid w:val="001B64FA"/>
    <w:rsid w:val="001B6A75"/>
    <w:rsid w:val="001B72B1"/>
    <w:rsid w:val="001C0B4C"/>
    <w:rsid w:val="001C0EC4"/>
    <w:rsid w:val="001C10AE"/>
    <w:rsid w:val="001C1195"/>
    <w:rsid w:val="001C12AE"/>
    <w:rsid w:val="001C165F"/>
    <w:rsid w:val="001C1E84"/>
    <w:rsid w:val="001C2E42"/>
    <w:rsid w:val="001C3783"/>
    <w:rsid w:val="001C53CC"/>
    <w:rsid w:val="001C6D52"/>
    <w:rsid w:val="001C6F5E"/>
    <w:rsid w:val="001C71AA"/>
    <w:rsid w:val="001C758C"/>
    <w:rsid w:val="001C7825"/>
    <w:rsid w:val="001D04DB"/>
    <w:rsid w:val="001D05E5"/>
    <w:rsid w:val="001D0F56"/>
    <w:rsid w:val="001D137D"/>
    <w:rsid w:val="001D1F5F"/>
    <w:rsid w:val="001D27E9"/>
    <w:rsid w:val="001D2863"/>
    <w:rsid w:val="001D38C2"/>
    <w:rsid w:val="001D4EFF"/>
    <w:rsid w:val="001D6146"/>
    <w:rsid w:val="001D61F5"/>
    <w:rsid w:val="001D63D6"/>
    <w:rsid w:val="001D65D6"/>
    <w:rsid w:val="001D6699"/>
    <w:rsid w:val="001D6B8A"/>
    <w:rsid w:val="001E0673"/>
    <w:rsid w:val="001E06D2"/>
    <w:rsid w:val="001E0E8D"/>
    <w:rsid w:val="001E1206"/>
    <w:rsid w:val="001E17C4"/>
    <w:rsid w:val="001E2D72"/>
    <w:rsid w:val="001E2E23"/>
    <w:rsid w:val="001E32C3"/>
    <w:rsid w:val="001E3A53"/>
    <w:rsid w:val="001E3C1C"/>
    <w:rsid w:val="001E3C99"/>
    <w:rsid w:val="001E5498"/>
    <w:rsid w:val="001E641D"/>
    <w:rsid w:val="001E652E"/>
    <w:rsid w:val="001E673A"/>
    <w:rsid w:val="001E6ECC"/>
    <w:rsid w:val="001E7E9D"/>
    <w:rsid w:val="001F005B"/>
    <w:rsid w:val="001F0D7C"/>
    <w:rsid w:val="001F10E4"/>
    <w:rsid w:val="001F1850"/>
    <w:rsid w:val="001F1D9C"/>
    <w:rsid w:val="001F1FBF"/>
    <w:rsid w:val="001F2DA1"/>
    <w:rsid w:val="001F2F1C"/>
    <w:rsid w:val="001F3189"/>
    <w:rsid w:val="001F322C"/>
    <w:rsid w:val="001F45B7"/>
    <w:rsid w:val="001F4B5E"/>
    <w:rsid w:val="001F5729"/>
    <w:rsid w:val="001F5A94"/>
    <w:rsid w:val="001F6D57"/>
    <w:rsid w:val="001F7A42"/>
    <w:rsid w:val="0020016D"/>
    <w:rsid w:val="0020030C"/>
    <w:rsid w:val="00200A78"/>
    <w:rsid w:val="00200F0C"/>
    <w:rsid w:val="002016C0"/>
    <w:rsid w:val="00201FB8"/>
    <w:rsid w:val="002025D2"/>
    <w:rsid w:val="00202B71"/>
    <w:rsid w:val="00202E0A"/>
    <w:rsid w:val="00203F86"/>
    <w:rsid w:val="00203FAC"/>
    <w:rsid w:val="00205BFA"/>
    <w:rsid w:val="002061E5"/>
    <w:rsid w:val="0020681F"/>
    <w:rsid w:val="00207276"/>
    <w:rsid w:val="00210420"/>
    <w:rsid w:val="002110A6"/>
    <w:rsid w:val="00212E93"/>
    <w:rsid w:val="00213C3C"/>
    <w:rsid w:val="00213CFB"/>
    <w:rsid w:val="00213F20"/>
    <w:rsid w:val="00214ECC"/>
    <w:rsid w:val="0021553C"/>
    <w:rsid w:val="0021557B"/>
    <w:rsid w:val="002162E8"/>
    <w:rsid w:val="00216807"/>
    <w:rsid w:val="00216A24"/>
    <w:rsid w:val="002174FD"/>
    <w:rsid w:val="00217BE1"/>
    <w:rsid w:val="00217F19"/>
    <w:rsid w:val="00220536"/>
    <w:rsid w:val="00220735"/>
    <w:rsid w:val="00221448"/>
    <w:rsid w:val="002214B9"/>
    <w:rsid w:val="00222865"/>
    <w:rsid w:val="00223677"/>
    <w:rsid w:val="00226D05"/>
    <w:rsid w:val="00226E9F"/>
    <w:rsid w:val="00227871"/>
    <w:rsid w:val="00227D86"/>
    <w:rsid w:val="002301B7"/>
    <w:rsid w:val="00230850"/>
    <w:rsid w:val="00230BBA"/>
    <w:rsid w:val="00230F63"/>
    <w:rsid w:val="00232D46"/>
    <w:rsid w:val="00234252"/>
    <w:rsid w:val="0023466E"/>
    <w:rsid w:val="002349AD"/>
    <w:rsid w:val="00235229"/>
    <w:rsid w:val="00235EBD"/>
    <w:rsid w:val="00236302"/>
    <w:rsid w:val="00236636"/>
    <w:rsid w:val="002368F8"/>
    <w:rsid w:val="00236AE8"/>
    <w:rsid w:val="00237AC6"/>
    <w:rsid w:val="00240165"/>
    <w:rsid w:val="0024053F"/>
    <w:rsid w:val="00240D0F"/>
    <w:rsid w:val="002426B7"/>
    <w:rsid w:val="002426F5"/>
    <w:rsid w:val="00243959"/>
    <w:rsid w:val="00243FD2"/>
    <w:rsid w:val="00244139"/>
    <w:rsid w:val="002442E1"/>
    <w:rsid w:val="00244490"/>
    <w:rsid w:val="00244808"/>
    <w:rsid w:val="00245B9C"/>
    <w:rsid w:val="00246B56"/>
    <w:rsid w:val="00246B8B"/>
    <w:rsid w:val="00247BF9"/>
    <w:rsid w:val="002508C4"/>
    <w:rsid w:val="002515ED"/>
    <w:rsid w:val="0025167F"/>
    <w:rsid w:val="00253499"/>
    <w:rsid w:val="00253E69"/>
    <w:rsid w:val="00254119"/>
    <w:rsid w:val="00254160"/>
    <w:rsid w:val="002551A4"/>
    <w:rsid w:val="00256B35"/>
    <w:rsid w:val="00257664"/>
    <w:rsid w:val="002604CA"/>
    <w:rsid w:val="002605B4"/>
    <w:rsid w:val="00261058"/>
    <w:rsid w:val="0026357B"/>
    <w:rsid w:val="0026375C"/>
    <w:rsid w:val="0026405E"/>
    <w:rsid w:val="00264CC8"/>
    <w:rsid w:val="00265151"/>
    <w:rsid w:val="0026515C"/>
    <w:rsid w:val="002652D0"/>
    <w:rsid w:val="00265BE1"/>
    <w:rsid w:val="00265C2C"/>
    <w:rsid w:val="00266509"/>
    <w:rsid w:val="0026665C"/>
    <w:rsid w:val="00266BFE"/>
    <w:rsid w:val="00267441"/>
    <w:rsid w:val="00270B44"/>
    <w:rsid w:val="00270CB7"/>
    <w:rsid w:val="00271BA1"/>
    <w:rsid w:val="00271D4C"/>
    <w:rsid w:val="00273149"/>
    <w:rsid w:val="00273AC5"/>
    <w:rsid w:val="002740F0"/>
    <w:rsid w:val="00274455"/>
    <w:rsid w:val="00274839"/>
    <w:rsid w:val="00275553"/>
    <w:rsid w:val="002762FA"/>
    <w:rsid w:val="0027727E"/>
    <w:rsid w:val="00277505"/>
    <w:rsid w:val="002804E9"/>
    <w:rsid w:val="00280DEA"/>
    <w:rsid w:val="00280E3C"/>
    <w:rsid w:val="0028124E"/>
    <w:rsid w:val="0028158C"/>
    <w:rsid w:val="002823B6"/>
    <w:rsid w:val="00283153"/>
    <w:rsid w:val="0028364B"/>
    <w:rsid w:val="00283A89"/>
    <w:rsid w:val="00284A8F"/>
    <w:rsid w:val="00285E52"/>
    <w:rsid w:val="00285ECC"/>
    <w:rsid w:val="00286292"/>
    <w:rsid w:val="00290C03"/>
    <w:rsid w:val="00290F35"/>
    <w:rsid w:val="00291FB6"/>
    <w:rsid w:val="00292981"/>
    <w:rsid w:val="002933E9"/>
    <w:rsid w:val="002935F4"/>
    <w:rsid w:val="00294274"/>
    <w:rsid w:val="0029458F"/>
    <w:rsid w:val="002952E1"/>
    <w:rsid w:val="00296754"/>
    <w:rsid w:val="00296896"/>
    <w:rsid w:val="0029783D"/>
    <w:rsid w:val="002A018F"/>
    <w:rsid w:val="002A0E04"/>
    <w:rsid w:val="002A104C"/>
    <w:rsid w:val="002A114D"/>
    <w:rsid w:val="002A14A3"/>
    <w:rsid w:val="002A1EF7"/>
    <w:rsid w:val="002A2793"/>
    <w:rsid w:val="002A2929"/>
    <w:rsid w:val="002A3D5F"/>
    <w:rsid w:val="002A45D5"/>
    <w:rsid w:val="002A494D"/>
    <w:rsid w:val="002A4960"/>
    <w:rsid w:val="002A53AE"/>
    <w:rsid w:val="002A636A"/>
    <w:rsid w:val="002B073D"/>
    <w:rsid w:val="002B0AE0"/>
    <w:rsid w:val="002B1AE6"/>
    <w:rsid w:val="002B1D51"/>
    <w:rsid w:val="002B204B"/>
    <w:rsid w:val="002B2464"/>
    <w:rsid w:val="002B2576"/>
    <w:rsid w:val="002B2DE8"/>
    <w:rsid w:val="002B30F5"/>
    <w:rsid w:val="002B30F8"/>
    <w:rsid w:val="002B361B"/>
    <w:rsid w:val="002B3681"/>
    <w:rsid w:val="002B388A"/>
    <w:rsid w:val="002B3ECA"/>
    <w:rsid w:val="002B439C"/>
    <w:rsid w:val="002B5596"/>
    <w:rsid w:val="002B5D88"/>
    <w:rsid w:val="002B60A6"/>
    <w:rsid w:val="002B6176"/>
    <w:rsid w:val="002B77D7"/>
    <w:rsid w:val="002C148C"/>
    <w:rsid w:val="002C166A"/>
    <w:rsid w:val="002C1897"/>
    <w:rsid w:val="002C212F"/>
    <w:rsid w:val="002C29EF"/>
    <w:rsid w:val="002C2D96"/>
    <w:rsid w:val="002C2F35"/>
    <w:rsid w:val="002C2F7C"/>
    <w:rsid w:val="002C476E"/>
    <w:rsid w:val="002C5742"/>
    <w:rsid w:val="002C633F"/>
    <w:rsid w:val="002C6AA9"/>
    <w:rsid w:val="002C716C"/>
    <w:rsid w:val="002C7485"/>
    <w:rsid w:val="002D147F"/>
    <w:rsid w:val="002D1883"/>
    <w:rsid w:val="002D1C4B"/>
    <w:rsid w:val="002D24AA"/>
    <w:rsid w:val="002D2641"/>
    <w:rsid w:val="002D283A"/>
    <w:rsid w:val="002D3331"/>
    <w:rsid w:val="002D3718"/>
    <w:rsid w:val="002D4543"/>
    <w:rsid w:val="002D454B"/>
    <w:rsid w:val="002D51E0"/>
    <w:rsid w:val="002D5C4A"/>
    <w:rsid w:val="002D77A8"/>
    <w:rsid w:val="002D7B63"/>
    <w:rsid w:val="002E1A60"/>
    <w:rsid w:val="002E1BA2"/>
    <w:rsid w:val="002E305A"/>
    <w:rsid w:val="002E3153"/>
    <w:rsid w:val="002E3CE6"/>
    <w:rsid w:val="002E40BB"/>
    <w:rsid w:val="002E43BB"/>
    <w:rsid w:val="002E4EC7"/>
    <w:rsid w:val="002E5292"/>
    <w:rsid w:val="002E52AE"/>
    <w:rsid w:val="002E725B"/>
    <w:rsid w:val="002E72CA"/>
    <w:rsid w:val="002E76FA"/>
    <w:rsid w:val="002F0095"/>
    <w:rsid w:val="002F1D07"/>
    <w:rsid w:val="002F331F"/>
    <w:rsid w:val="002F3512"/>
    <w:rsid w:val="002F40BA"/>
    <w:rsid w:val="002F4C65"/>
    <w:rsid w:val="002F600D"/>
    <w:rsid w:val="002F6310"/>
    <w:rsid w:val="002F7CF6"/>
    <w:rsid w:val="002F7E47"/>
    <w:rsid w:val="002F7F6E"/>
    <w:rsid w:val="00300572"/>
    <w:rsid w:val="00300AD6"/>
    <w:rsid w:val="00300B1B"/>
    <w:rsid w:val="00300B62"/>
    <w:rsid w:val="003019D0"/>
    <w:rsid w:val="00302046"/>
    <w:rsid w:val="0030204A"/>
    <w:rsid w:val="0030246A"/>
    <w:rsid w:val="00303121"/>
    <w:rsid w:val="003036F9"/>
    <w:rsid w:val="00304EAA"/>
    <w:rsid w:val="003064AF"/>
    <w:rsid w:val="00307DB0"/>
    <w:rsid w:val="003104CC"/>
    <w:rsid w:val="00310A8B"/>
    <w:rsid w:val="00310B68"/>
    <w:rsid w:val="00311248"/>
    <w:rsid w:val="0031161F"/>
    <w:rsid w:val="003122B0"/>
    <w:rsid w:val="0031236D"/>
    <w:rsid w:val="003125BE"/>
    <w:rsid w:val="0031275E"/>
    <w:rsid w:val="0031344F"/>
    <w:rsid w:val="00314B0F"/>
    <w:rsid w:val="00315752"/>
    <w:rsid w:val="00315AAD"/>
    <w:rsid w:val="003160D2"/>
    <w:rsid w:val="00316E81"/>
    <w:rsid w:val="00317268"/>
    <w:rsid w:val="003173D7"/>
    <w:rsid w:val="003173FC"/>
    <w:rsid w:val="00317A6C"/>
    <w:rsid w:val="00317C6C"/>
    <w:rsid w:val="00320231"/>
    <w:rsid w:val="00320A72"/>
    <w:rsid w:val="00320B80"/>
    <w:rsid w:val="00320CD3"/>
    <w:rsid w:val="00321A13"/>
    <w:rsid w:val="00321A83"/>
    <w:rsid w:val="00321B33"/>
    <w:rsid w:val="00321D3D"/>
    <w:rsid w:val="003235FE"/>
    <w:rsid w:val="00323E03"/>
    <w:rsid w:val="003254ED"/>
    <w:rsid w:val="00325E12"/>
    <w:rsid w:val="003261D1"/>
    <w:rsid w:val="00326560"/>
    <w:rsid w:val="00326B14"/>
    <w:rsid w:val="00326E79"/>
    <w:rsid w:val="0032748A"/>
    <w:rsid w:val="00327789"/>
    <w:rsid w:val="003301B1"/>
    <w:rsid w:val="00331189"/>
    <w:rsid w:val="003320FF"/>
    <w:rsid w:val="003324B4"/>
    <w:rsid w:val="0033263D"/>
    <w:rsid w:val="003349B4"/>
    <w:rsid w:val="0033518A"/>
    <w:rsid w:val="003352EB"/>
    <w:rsid w:val="00335535"/>
    <w:rsid w:val="003367EF"/>
    <w:rsid w:val="00336B1E"/>
    <w:rsid w:val="00337241"/>
    <w:rsid w:val="003412FD"/>
    <w:rsid w:val="00341710"/>
    <w:rsid w:val="00341AE4"/>
    <w:rsid w:val="00341E21"/>
    <w:rsid w:val="003434AD"/>
    <w:rsid w:val="00344022"/>
    <w:rsid w:val="00344782"/>
    <w:rsid w:val="00344BA2"/>
    <w:rsid w:val="00344E1F"/>
    <w:rsid w:val="0034535C"/>
    <w:rsid w:val="00345388"/>
    <w:rsid w:val="0034676E"/>
    <w:rsid w:val="00346899"/>
    <w:rsid w:val="00346FA6"/>
    <w:rsid w:val="003476EE"/>
    <w:rsid w:val="003500FB"/>
    <w:rsid w:val="003511F1"/>
    <w:rsid w:val="00351804"/>
    <w:rsid w:val="00351883"/>
    <w:rsid w:val="0035201B"/>
    <w:rsid w:val="00352DB1"/>
    <w:rsid w:val="0035363A"/>
    <w:rsid w:val="003541DD"/>
    <w:rsid w:val="0035556C"/>
    <w:rsid w:val="00355EF0"/>
    <w:rsid w:val="003561FA"/>
    <w:rsid w:val="00356502"/>
    <w:rsid w:val="00356E5B"/>
    <w:rsid w:val="00357317"/>
    <w:rsid w:val="0035754A"/>
    <w:rsid w:val="00357695"/>
    <w:rsid w:val="00357EBA"/>
    <w:rsid w:val="0036002B"/>
    <w:rsid w:val="003601D2"/>
    <w:rsid w:val="00361006"/>
    <w:rsid w:val="00361546"/>
    <w:rsid w:val="003622A6"/>
    <w:rsid w:val="00362E05"/>
    <w:rsid w:val="00362E86"/>
    <w:rsid w:val="00364BEB"/>
    <w:rsid w:val="00364E6D"/>
    <w:rsid w:val="003656D9"/>
    <w:rsid w:val="003669B4"/>
    <w:rsid w:val="00366FBC"/>
    <w:rsid w:val="00367953"/>
    <w:rsid w:val="00367AE0"/>
    <w:rsid w:val="00367D68"/>
    <w:rsid w:val="00370B5C"/>
    <w:rsid w:val="003721EA"/>
    <w:rsid w:val="00373449"/>
    <w:rsid w:val="003736C9"/>
    <w:rsid w:val="00374378"/>
    <w:rsid w:val="00374B4C"/>
    <w:rsid w:val="0037547F"/>
    <w:rsid w:val="00375B45"/>
    <w:rsid w:val="00376CEF"/>
    <w:rsid w:val="00380E45"/>
    <w:rsid w:val="0038112C"/>
    <w:rsid w:val="003832A9"/>
    <w:rsid w:val="00383B77"/>
    <w:rsid w:val="00384025"/>
    <w:rsid w:val="00384980"/>
    <w:rsid w:val="00384988"/>
    <w:rsid w:val="0038499E"/>
    <w:rsid w:val="00385605"/>
    <w:rsid w:val="00385930"/>
    <w:rsid w:val="0038713E"/>
    <w:rsid w:val="003872CF"/>
    <w:rsid w:val="00390BA2"/>
    <w:rsid w:val="00390F9F"/>
    <w:rsid w:val="003912C4"/>
    <w:rsid w:val="00392CA4"/>
    <w:rsid w:val="00392E10"/>
    <w:rsid w:val="00392EB0"/>
    <w:rsid w:val="003930C9"/>
    <w:rsid w:val="0039426B"/>
    <w:rsid w:val="00394F02"/>
    <w:rsid w:val="0039782C"/>
    <w:rsid w:val="00397AEB"/>
    <w:rsid w:val="00397CEB"/>
    <w:rsid w:val="003A11F8"/>
    <w:rsid w:val="003A13A6"/>
    <w:rsid w:val="003A1857"/>
    <w:rsid w:val="003A3C9C"/>
    <w:rsid w:val="003A5853"/>
    <w:rsid w:val="003A5B4A"/>
    <w:rsid w:val="003A5D95"/>
    <w:rsid w:val="003A5FAE"/>
    <w:rsid w:val="003A7B89"/>
    <w:rsid w:val="003B04EC"/>
    <w:rsid w:val="003B0D3A"/>
    <w:rsid w:val="003B1BF8"/>
    <w:rsid w:val="003B2302"/>
    <w:rsid w:val="003B23C5"/>
    <w:rsid w:val="003B2A75"/>
    <w:rsid w:val="003B311A"/>
    <w:rsid w:val="003B37E1"/>
    <w:rsid w:val="003B49B2"/>
    <w:rsid w:val="003B4A66"/>
    <w:rsid w:val="003B4DC1"/>
    <w:rsid w:val="003B6124"/>
    <w:rsid w:val="003B6A72"/>
    <w:rsid w:val="003B7960"/>
    <w:rsid w:val="003C01F3"/>
    <w:rsid w:val="003C093A"/>
    <w:rsid w:val="003C0CD5"/>
    <w:rsid w:val="003C107C"/>
    <w:rsid w:val="003C19A3"/>
    <w:rsid w:val="003C1ECF"/>
    <w:rsid w:val="003C2237"/>
    <w:rsid w:val="003C2FB5"/>
    <w:rsid w:val="003C4F14"/>
    <w:rsid w:val="003C5F4A"/>
    <w:rsid w:val="003D00F6"/>
    <w:rsid w:val="003D24C5"/>
    <w:rsid w:val="003D2862"/>
    <w:rsid w:val="003D3BA3"/>
    <w:rsid w:val="003D4594"/>
    <w:rsid w:val="003D466B"/>
    <w:rsid w:val="003D48DA"/>
    <w:rsid w:val="003D49E3"/>
    <w:rsid w:val="003D4AC4"/>
    <w:rsid w:val="003D63B7"/>
    <w:rsid w:val="003D649C"/>
    <w:rsid w:val="003D74C5"/>
    <w:rsid w:val="003D7A57"/>
    <w:rsid w:val="003E103B"/>
    <w:rsid w:val="003E15E4"/>
    <w:rsid w:val="003E2324"/>
    <w:rsid w:val="003E3565"/>
    <w:rsid w:val="003E3C10"/>
    <w:rsid w:val="003E42D7"/>
    <w:rsid w:val="003E4374"/>
    <w:rsid w:val="003E468B"/>
    <w:rsid w:val="003E62BD"/>
    <w:rsid w:val="003E7396"/>
    <w:rsid w:val="003E7631"/>
    <w:rsid w:val="003E79DD"/>
    <w:rsid w:val="003F044F"/>
    <w:rsid w:val="003F07F6"/>
    <w:rsid w:val="003F0A0F"/>
    <w:rsid w:val="003F0C3A"/>
    <w:rsid w:val="003F0D77"/>
    <w:rsid w:val="003F15F0"/>
    <w:rsid w:val="003F1ED3"/>
    <w:rsid w:val="003F3228"/>
    <w:rsid w:val="003F3491"/>
    <w:rsid w:val="003F35B5"/>
    <w:rsid w:val="003F3780"/>
    <w:rsid w:val="003F447E"/>
    <w:rsid w:val="003F4E12"/>
    <w:rsid w:val="003F59B9"/>
    <w:rsid w:val="003F5BDD"/>
    <w:rsid w:val="003F5C8C"/>
    <w:rsid w:val="003F6157"/>
    <w:rsid w:val="003F63CE"/>
    <w:rsid w:val="003F775A"/>
    <w:rsid w:val="0040090D"/>
    <w:rsid w:val="00400AD6"/>
    <w:rsid w:val="00400E55"/>
    <w:rsid w:val="0040128E"/>
    <w:rsid w:val="0040216B"/>
    <w:rsid w:val="00402494"/>
    <w:rsid w:val="004024E0"/>
    <w:rsid w:val="0040280F"/>
    <w:rsid w:val="004052FA"/>
    <w:rsid w:val="00405505"/>
    <w:rsid w:val="004056B1"/>
    <w:rsid w:val="00405D75"/>
    <w:rsid w:val="00406FEB"/>
    <w:rsid w:val="004070A3"/>
    <w:rsid w:val="00407E68"/>
    <w:rsid w:val="00410080"/>
    <w:rsid w:val="00410FAE"/>
    <w:rsid w:val="00411150"/>
    <w:rsid w:val="00411378"/>
    <w:rsid w:val="00412B31"/>
    <w:rsid w:val="00412DAA"/>
    <w:rsid w:val="00413104"/>
    <w:rsid w:val="004132CC"/>
    <w:rsid w:val="0041632C"/>
    <w:rsid w:val="00416385"/>
    <w:rsid w:val="00416A1B"/>
    <w:rsid w:val="00420400"/>
    <w:rsid w:val="00421BDE"/>
    <w:rsid w:val="004227EE"/>
    <w:rsid w:val="004232EB"/>
    <w:rsid w:val="00424C14"/>
    <w:rsid w:val="00424E05"/>
    <w:rsid w:val="004252EC"/>
    <w:rsid w:val="0042709C"/>
    <w:rsid w:val="004278DA"/>
    <w:rsid w:val="00430B50"/>
    <w:rsid w:val="00430D39"/>
    <w:rsid w:val="00431F10"/>
    <w:rsid w:val="00432031"/>
    <w:rsid w:val="004354C6"/>
    <w:rsid w:val="00435C66"/>
    <w:rsid w:val="0043622A"/>
    <w:rsid w:val="00436F9B"/>
    <w:rsid w:val="00437A2A"/>
    <w:rsid w:val="00440AE7"/>
    <w:rsid w:val="00441100"/>
    <w:rsid w:val="00441442"/>
    <w:rsid w:val="004417E5"/>
    <w:rsid w:val="00442783"/>
    <w:rsid w:val="00442C91"/>
    <w:rsid w:val="00443B8E"/>
    <w:rsid w:val="0044436C"/>
    <w:rsid w:val="00444BEA"/>
    <w:rsid w:val="0044636B"/>
    <w:rsid w:val="004465BD"/>
    <w:rsid w:val="00446695"/>
    <w:rsid w:val="00446775"/>
    <w:rsid w:val="00446938"/>
    <w:rsid w:val="00447011"/>
    <w:rsid w:val="00447A51"/>
    <w:rsid w:val="00447E80"/>
    <w:rsid w:val="00450028"/>
    <w:rsid w:val="0045056E"/>
    <w:rsid w:val="004518A6"/>
    <w:rsid w:val="00451EE6"/>
    <w:rsid w:val="004528FA"/>
    <w:rsid w:val="004535E3"/>
    <w:rsid w:val="00453B48"/>
    <w:rsid w:val="00453D56"/>
    <w:rsid w:val="0045448F"/>
    <w:rsid w:val="00454950"/>
    <w:rsid w:val="00454A82"/>
    <w:rsid w:val="004550F1"/>
    <w:rsid w:val="004558D3"/>
    <w:rsid w:val="00455C27"/>
    <w:rsid w:val="00455F49"/>
    <w:rsid w:val="004568F0"/>
    <w:rsid w:val="00456CF7"/>
    <w:rsid w:val="0045707B"/>
    <w:rsid w:val="00457DF5"/>
    <w:rsid w:val="00461A44"/>
    <w:rsid w:val="00461F05"/>
    <w:rsid w:val="0046251D"/>
    <w:rsid w:val="00462A4A"/>
    <w:rsid w:val="00462B14"/>
    <w:rsid w:val="00462D26"/>
    <w:rsid w:val="0046385A"/>
    <w:rsid w:val="00463F45"/>
    <w:rsid w:val="00464FF8"/>
    <w:rsid w:val="00465077"/>
    <w:rsid w:val="00465DE0"/>
    <w:rsid w:val="004660E6"/>
    <w:rsid w:val="0046652C"/>
    <w:rsid w:val="00466ADA"/>
    <w:rsid w:val="00467594"/>
    <w:rsid w:val="00467EFF"/>
    <w:rsid w:val="00467FB2"/>
    <w:rsid w:val="004702BB"/>
    <w:rsid w:val="004709D7"/>
    <w:rsid w:val="00471382"/>
    <w:rsid w:val="00471BB0"/>
    <w:rsid w:val="00472712"/>
    <w:rsid w:val="00472D17"/>
    <w:rsid w:val="00473489"/>
    <w:rsid w:val="004737B5"/>
    <w:rsid w:val="00473F53"/>
    <w:rsid w:val="0047494B"/>
    <w:rsid w:val="0047587B"/>
    <w:rsid w:val="00476245"/>
    <w:rsid w:val="00477A9B"/>
    <w:rsid w:val="00477AB1"/>
    <w:rsid w:val="00477F26"/>
    <w:rsid w:val="00481E1D"/>
    <w:rsid w:val="00482933"/>
    <w:rsid w:val="00482CF4"/>
    <w:rsid w:val="00482F82"/>
    <w:rsid w:val="00483035"/>
    <w:rsid w:val="00483E26"/>
    <w:rsid w:val="004845AF"/>
    <w:rsid w:val="00485940"/>
    <w:rsid w:val="004859C7"/>
    <w:rsid w:val="004861FF"/>
    <w:rsid w:val="00486C95"/>
    <w:rsid w:val="004877C2"/>
    <w:rsid w:val="004904B9"/>
    <w:rsid w:val="004920CB"/>
    <w:rsid w:val="004920E0"/>
    <w:rsid w:val="00492861"/>
    <w:rsid w:val="00492C5A"/>
    <w:rsid w:val="00492E3F"/>
    <w:rsid w:val="004936EC"/>
    <w:rsid w:val="00495F61"/>
    <w:rsid w:val="00496662"/>
    <w:rsid w:val="004975CF"/>
    <w:rsid w:val="00497E5B"/>
    <w:rsid w:val="004A16BD"/>
    <w:rsid w:val="004A2484"/>
    <w:rsid w:val="004A2A90"/>
    <w:rsid w:val="004A3EED"/>
    <w:rsid w:val="004A3FEA"/>
    <w:rsid w:val="004A427E"/>
    <w:rsid w:val="004A4D88"/>
    <w:rsid w:val="004A5789"/>
    <w:rsid w:val="004A5A85"/>
    <w:rsid w:val="004A5BCA"/>
    <w:rsid w:val="004A6493"/>
    <w:rsid w:val="004A71D1"/>
    <w:rsid w:val="004A7856"/>
    <w:rsid w:val="004A78FC"/>
    <w:rsid w:val="004A79E9"/>
    <w:rsid w:val="004A7C5B"/>
    <w:rsid w:val="004A7EF5"/>
    <w:rsid w:val="004A7F29"/>
    <w:rsid w:val="004B0240"/>
    <w:rsid w:val="004B03FC"/>
    <w:rsid w:val="004B0FE7"/>
    <w:rsid w:val="004B1845"/>
    <w:rsid w:val="004B2348"/>
    <w:rsid w:val="004B2484"/>
    <w:rsid w:val="004B2E01"/>
    <w:rsid w:val="004B2E98"/>
    <w:rsid w:val="004B3000"/>
    <w:rsid w:val="004B48E4"/>
    <w:rsid w:val="004B5640"/>
    <w:rsid w:val="004B5B41"/>
    <w:rsid w:val="004B6084"/>
    <w:rsid w:val="004B6844"/>
    <w:rsid w:val="004B68C6"/>
    <w:rsid w:val="004B738B"/>
    <w:rsid w:val="004BCF29"/>
    <w:rsid w:val="004C005A"/>
    <w:rsid w:val="004C03D0"/>
    <w:rsid w:val="004C08E4"/>
    <w:rsid w:val="004C0C0E"/>
    <w:rsid w:val="004C13F2"/>
    <w:rsid w:val="004C1BD7"/>
    <w:rsid w:val="004C22D1"/>
    <w:rsid w:val="004C239C"/>
    <w:rsid w:val="004C2AF9"/>
    <w:rsid w:val="004C31FE"/>
    <w:rsid w:val="004C4B22"/>
    <w:rsid w:val="004C524C"/>
    <w:rsid w:val="004C5CFD"/>
    <w:rsid w:val="004C5FFA"/>
    <w:rsid w:val="004C691D"/>
    <w:rsid w:val="004C6C07"/>
    <w:rsid w:val="004C7E15"/>
    <w:rsid w:val="004D1056"/>
    <w:rsid w:val="004D17BB"/>
    <w:rsid w:val="004D19F8"/>
    <w:rsid w:val="004D2CD1"/>
    <w:rsid w:val="004D386D"/>
    <w:rsid w:val="004D459D"/>
    <w:rsid w:val="004D4FF6"/>
    <w:rsid w:val="004D574A"/>
    <w:rsid w:val="004D5ADD"/>
    <w:rsid w:val="004D6619"/>
    <w:rsid w:val="004D6750"/>
    <w:rsid w:val="004E0926"/>
    <w:rsid w:val="004E0BF1"/>
    <w:rsid w:val="004E1574"/>
    <w:rsid w:val="004E1B22"/>
    <w:rsid w:val="004E1BC3"/>
    <w:rsid w:val="004E1E95"/>
    <w:rsid w:val="004E227E"/>
    <w:rsid w:val="004E23D9"/>
    <w:rsid w:val="004E27E8"/>
    <w:rsid w:val="004E2D4A"/>
    <w:rsid w:val="004E3287"/>
    <w:rsid w:val="004E3289"/>
    <w:rsid w:val="004E4DAD"/>
    <w:rsid w:val="004E5B1A"/>
    <w:rsid w:val="004E692D"/>
    <w:rsid w:val="004E7230"/>
    <w:rsid w:val="004E7828"/>
    <w:rsid w:val="004E7D87"/>
    <w:rsid w:val="004F00D2"/>
    <w:rsid w:val="004F0347"/>
    <w:rsid w:val="004F044D"/>
    <w:rsid w:val="004F0A79"/>
    <w:rsid w:val="004F10ED"/>
    <w:rsid w:val="004F24DD"/>
    <w:rsid w:val="004F2553"/>
    <w:rsid w:val="004F25D2"/>
    <w:rsid w:val="004F306A"/>
    <w:rsid w:val="004F39CB"/>
    <w:rsid w:val="004F4C93"/>
    <w:rsid w:val="004F5C3B"/>
    <w:rsid w:val="004F6160"/>
    <w:rsid w:val="004F7F0E"/>
    <w:rsid w:val="00501554"/>
    <w:rsid w:val="005026EB"/>
    <w:rsid w:val="00502ACC"/>
    <w:rsid w:val="00502AFE"/>
    <w:rsid w:val="00502E64"/>
    <w:rsid w:val="00503AD7"/>
    <w:rsid w:val="00503D09"/>
    <w:rsid w:val="0050409B"/>
    <w:rsid w:val="0050435B"/>
    <w:rsid w:val="00504CD9"/>
    <w:rsid w:val="00504E0C"/>
    <w:rsid w:val="00504E13"/>
    <w:rsid w:val="00505970"/>
    <w:rsid w:val="00507F61"/>
    <w:rsid w:val="005109D4"/>
    <w:rsid w:val="00513797"/>
    <w:rsid w:val="00514703"/>
    <w:rsid w:val="005147B1"/>
    <w:rsid w:val="00514CD7"/>
    <w:rsid w:val="00515976"/>
    <w:rsid w:val="005167CF"/>
    <w:rsid w:val="005167EC"/>
    <w:rsid w:val="005170DA"/>
    <w:rsid w:val="00517C98"/>
    <w:rsid w:val="00520D6A"/>
    <w:rsid w:val="00521412"/>
    <w:rsid w:val="0052169D"/>
    <w:rsid w:val="00522475"/>
    <w:rsid w:val="00522DB6"/>
    <w:rsid w:val="005234D2"/>
    <w:rsid w:val="00525CC2"/>
    <w:rsid w:val="0052648A"/>
    <w:rsid w:val="005264A7"/>
    <w:rsid w:val="0052792D"/>
    <w:rsid w:val="00527DC6"/>
    <w:rsid w:val="00530315"/>
    <w:rsid w:val="00530540"/>
    <w:rsid w:val="005311F2"/>
    <w:rsid w:val="00531448"/>
    <w:rsid w:val="0053185D"/>
    <w:rsid w:val="005319B2"/>
    <w:rsid w:val="00531EC7"/>
    <w:rsid w:val="00531F6B"/>
    <w:rsid w:val="00532402"/>
    <w:rsid w:val="00532824"/>
    <w:rsid w:val="00532C74"/>
    <w:rsid w:val="00534E2E"/>
    <w:rsid w:val="005353C5"/>
    <w:rsid w:val="00535874"/>
    <w:rsid w:val="0054064C"/>
    <w:rsid w:val="00540A17"/>
    <w:rsid w:val="00540F47"/>
    <w:rsid w:val="005410D6"/>
    <w:rsid w:val="005426D3"/>
    <w:rsid w:val="0054279A"/>
    <w:rsid w:val="0054290D"/>
    <w:rsid w:val="00543075"/>
    <w:rsid w:val="00543383"/>
    <w:rsid w:val="00543484"/>
    <w:rsid w:val="00543E1C"/>
    <w:rsid w:val="00544552"/>
    <w:rsid w:val="00545130"/>
    <w:rsid w:val="00545EC0"/>
    <w:rsid w:val="00545F33"/>
    <w:rsid w:val="0054675F"/>
    <w:rsid w:val="00546B05"/>
    <w:rsid w:val="005501A7"/>
    <w:rsid w:val="005501FB"/>
    <w:rsid w:val="0055261B"/>
    <w:rsid w:val="0055286A"/>
    <w:rsid w:val="00552D81"/>
    <w:rsid w:val="00553674"/>
    <w:rsid w:val="00553FE1"/>
    <w:rsid w:val="00554C5B"/>
    <w:rsid w:val="00555745"/>
    <w:rsid w:val="00555BBB"/>
    <w:rsid w:val="0055610A"/>
    <w:rsid w:val="00556227"/>
    <w:rsid w:val="005566B5"/>
    <w:rsid w:val="00557473"/>
    <w:rsid w:val="00557D4F"/>
    <w:rsid w:val="005610E7"/>
    <w:rsid w:val="0056122E"/>
    <w:rsid w:val="00561598"/>
    <w:rsid w:val="005628E4"/>
    <w:rsid w:val="0056308C"/>
    <w:rsid w:val="00563B2B"/>
    <w:rsid w:val="0056484E"/>
    <w:rsid w:val="00564945"/>
    <w:rsid w:val="005661C0"/>
    <w:rsid w:val="00566497"/>
    <w:rsid w:val="00567C7F"/>
    <w:rsid w:val="00567D8A"/>
    <w:rsid w:val="00570066"/>
    <w:rsid w:val="00570937"/>
    <w:rsid w:val="00571FED"/>
    <w:rsid w:val="00572473"/>
    <w:rsid w:val="005725FA"/>
    <w:rsid w:val="005727BF"/>
    <w:rsid w:val="00573AA0"/>
    <w:rsid w:val="00574E15"/>
    <w:rsid w:val="005753C3"/>
    <w:rsid w:val="00575DC1"/>
    <w:rsid w:val="00575EB5"/>
    <w:rsid w:val="0057603D"/>
    <w:rsid w:val="005764CD"/>
    <w:rsid w:val="00576A08"/>
    <w:rsid w:val="00576E77"/>
    <w:rsid w:val="00577562"/>
    <w:rsid w:val="00577AAB"/>
    <w:rsid w:val="00577C4D"/>
    <w:rsid w:val="00580532"/>
    <w:rsid w:val="00580F1F"/>
    <w:rsid w:val="00581932"/>
    <w:rsid w:val="005833CC"/>
    <w:rsid w:val="005837D7"/>
    <w:rsid w:val="00583B74"/>
    <w:rsid w:val="0058438C"/>
    <w:rsid w:val="0058446E"/>
    <w:rsid w:val="005902B2"/>
    <w:rsid w:val="005909BF"/>
    <w:rsid w:val="005909ED"/>
    <w:rsid w:val="00590FD8"/>
    <w:rsid w:val="00591445"/>
    <w:rsid w:val="00591C4E"/>
    <w:rsid w:val="00591CCF"/>
    <w:rsid w:val="0059236A"/>
    <w:rsid w:val="0059402A"/>
    <w:rsid w:val="005945E9"/>
    <w:rsid w:val="00595644"/>
    <w:rsid w:val="00595984"/>
    <w:rsid w:val="00596198"/>
    <w:rsid w:val="005961F0"/>
    <w:rsid w:val="005963BB"/>
    <w:rsid w:val="0059650C"/>
    <w:rsid w:val="005966F9"/>
    <w:rsid w:val="00596C3C"/>
    <w:rsid w:val="005A019B"/>
    <w:rsid w:val="005A0F47"/>
    <w:rsid w:val="005A153E"/>
    <w:rsid w:val="005A18E2"/>
    <w:rsid w:val="005A3173"/>
    <w:rsid w:val="005A3223"/>
    <w:rsid w:val="005A3226"/>
    <w:rsid w:val="005A3632"/>
    <w:rsid w:val="005A3796"/>
    <w:rsid w:val="005A3DA3"/>
    <w:rsid w:val="005A52C4"/>
    <w:rsid w:val="005A5C88"/>
    <w:rsid w:val="005A5EC2"/>
    <w:rsid w:val="005A636C"/>
    <w:rsid w:val="005A63A1"/>
    <w:rsid w:val="005A697A"/>
    <w:rsid w:val="005A6ACC"/>
    <w:rsid w:val="005A7778"/>
    <w:rsid w:val="005B01E1"/>
    <w:rsid w:val="005B02B6"/>
    <w:rsid w:val="005B06CF"/>
    <w:rsid w:val="005B0A1E"/>
    <w:rsid w:val="005B35BE"/>
    <w:rsid w:val="005B3D52"/>
    <w:rsid w:val="005B3E92"/>
    <w:rsid w:val="005B46B2"/>
    <w:rsid w:val="005B5213"/>
    <w:rsid w:val="005B7CC5"/>
    <w:rsid w:val="005C08A3"/>
    <w:rsid w:val="005C0A41"/>
    <w:rsid w:val="005C1324"/>
    <w:rsid w:val="005C2329"/>
    <w:rsid w:val="005C3B1E"/>
    <w:rsid w:val="005C3E29"/>
    <w:rsid w:val="005C44ED"/>
    <w:rsid w:val="005C4F73"/>
    <w:rsid w:val="005D03AB"/>
    <w:rsid w:val="005D03AD"/>
    <w:rsid w:val="005D093C"/>
    <w:rsid w:val="005D0AEB"/>
    <w:rsid w:val="005D0B34"/>
    <w:rsid w:val="005D2661"/>
    <w:rsid w:val="005D3C93"/>
    <w:rsid w:val="005D401D"/>
    <w:rsid w:val="005D426E"/>
    <w:rsid w:val="005D4A58"/>
    <w:rsid w:val="005D4C87"/>
    <w:rsid w:val="005D5017"/>
    <w:rsid w:val="005D52B4"/>
    <w:rsid w:val="005D5696"/>
    <w:rsid w:val="005D5CEC"/>
    <w:rsid w:val="005D5EC5"/>
    <w:rsid w:val="005D63FA"/>
    <w:rsid w:val="005D72AA"/>
    <w:rsid w:val="005D72B0"/>
    <w:rsid w:val="005D73C7"/>
    <w:rsid w:val="005D7BB0"/>
    <w:rsid w:val="005D7FDB"/>
    <w:rsid w:val="005E0C2D"/>
    <w:rsid w:val="005E0D82"/>
    <w:rsid w:val="005E110C"/>
    <w:rsid w:val="005E1333"/>
    <w:rsid w:val="005E2B78"/>
    <w:rsid w:val="005E2F1E"/>
    <w:rsid w:val="005E3136"/>
    <w:rsid w:val="005E3B56"/>
    <w:rsid w:val="005E46DD"/>
    <w:rsid w:val="005E507D"/>
    <w:rsid w:val="005E67AE"/>
    <w:rsid w:val="005F0AD0"/>
    <w:rsid w:val="005F1176"/>
    <w:rsid w:val="005F11F1"/>
    <w:rsid w:val="005F163F"/>
    <w:rsid w:val="005F1674"/>
    <w:rsid w:val="005F4505"/>
    <w:rsid w:val="005F4577"/>
    <w:rsid w:val="005F4B7E"/>
    <w:rsid w:val="005F65DC"/>
    <w:rsid w:val="005F6946"/>
    <w:rsid w:val="005F6F02"/>
    <w:rsid w:val="005F7141"/>
    <w:rsid w:val="005F7295"/>
    <w:rsid w:val="00600E1B"/>
    <w:rsid w:val="0060180E"/>
    <w:rsid w:val="00601A91"/>
    <w:rsid w:val="00602BA3"/>
    <w:rsid w:val="00602E93"/>
    <w:rsid w:val="00602FF4"/>
    <w:rsid w:val="00604201"/>
    <w:rsid w:val="006052C8"/>
    <w:rsid w:val="0060547F"/>
    <w:rsid w:val="00605B63"/>
    <w:rsid w:val="00605F9A"/>
    <w:rsid w:val="00606442"/>
    <w:rsid w:val="0060665F"/>
    <w:rsid w:val="00606A51"/>
    <w:rsid w:val="00606EED"/>
    <w:rsid w:val="006073CF"/>
    <w:rsid w:val="006078A6"/>
    <w:rsid w:val="00610181"/>
    <w:rsid w:val="00611DC3"/>
    <w:rsid w:val="00612345"/>
    <w:rsid w:val="006128FB"/>
    <w:rsid w:val="00612A95"/>
    <w:rsid w:val="00612E34"/>
    <w:rsid w:val="0061300D"/>
    <w:rsid w:val="006131B0"/>
    <w:rsid w:val="00614159"/>
    <w:rsid w:val="00614241"/>
    <w:rsid w:val="006144F2"/>
    <w:rsid w:val="00615160"/>
    <w:rsid w:val="006158A3"/>
    <w:rsid w:val="00616709"/>
    <w:rsid w:val="00616C5F"/>
    <w:rsid w:val="00616DAC"/>
    <w:rsid w:val="00616DC1"/>
    <w:rsid w:val="00616F23"/>
    <w:rsid w:val="00617612"/>
    <w:rsid w:val="00617652"/>
    <w:rsid w:val="00617725"/>
    <w:rsid w:val="00617C00"/>
    <w:rsid w:val="00620C00"/>
    <w:rsid w:val="0062237F"/>
    <w:rsid w:val="00622ED0"/>
    <w:rsid w:val="00623639"/>
    <w:rsid w:val="00623A8E"/>
    <w:rsid w:val="00623F88"/>
    <w:rsid w:val="00624DF9"/>
    <w:rsid w:val="00625245"/>
    <w:rsid w:val="00625E60"/>
    <w:rsid w:val="006263BF"/>
    <w:rsid w:val="00626E6A"/>
    <w:rsid w:val="0062748A"/>
    <w:rsid w:val="00627B07"/>
    <w:rsid w:val="00630898"/>
    <w:rsid w:val="00630A2C"/>
    <w:rsid w:val="006311A5"/>
    <w:rsid w:val="00631D53"/>
    <w:rsid w:val="006325E5"/>
    <w:rsid w:val="006338CD"/>
    <w:rsid w:val="00633B2D"/>
    <w:rsid w:val="00633EC3"/>
    <w:rsid w:val="00634096"/>
    <w:rsid w:val="00636166"/>
    <w:rsid w:val="0063682E"/>
    <w:rsid w:val="00637533"/>
    <w:rsid w:val="00637C1A"/>
    <w:rsid w:val="00640088"/>
    <w:rsid w:val="00640ADB"/>
    <w:rsid w:val="00641243"/>
    <w:rsid w:val="006415FC"/>
    <w:rsid w:val="00641987"/>
    <w:rsid w:val="00642405"/>
    <w:rsid w:val="00642672"/>
    <w:rsid w:val="00642DA8"/>
    <w:rsid w:val="00643596"/>
    <w:rsid w:val="006436CD"/>
    <w:rsid w:val="00643758"/>
    <w:rsid w:val="006437B9"/>
    <w:rsid w:val="00644189"/>
    <w:rsid w:val="00645A8B"/>
    <w:rsid w:val="00646F18"/>
    <w:rsid w:val="00647A91"/>
    <w:rsid w:val="0065056C"/>
    <w:rsid w:val="00651169"/>
    <w:rsid w:val="00652234"/>
    <w:rsid w:val="006523DB"/>
    <w:rsid w:val="00653D69"/>
    <w:rsid w:val="00653F3F"/>
    <w:rsid w:val="00654043"/>
    <w:rsid w:val="006546C9"/>
    <w:rsid w:val="0065483D"/>
    <w:rsid w:val="00654DBB"/>
    <w:rsid w:val="00654F6C"/>
    <w:rsid w:val="0065508F"/>
    <w:rsid w:val="006552E6"/>
    <w:rsid w:val="00655794"/>
    <w:rsid w:val="00655D8C"/>
    <w:rsid w:val="0065612E"/>
    <w:rsid w:val="00657757"/>
    <w:rsid w:val="00657C63"/>
    <w:rsid w:val="006608EC"/>
    <w:rsid w:val="00661741"/>
    <w:rsid w:val="00661CBC"/>
    <w:rsid w:val="0066212F"/>
    <w:rsid w:val="006622DD"/>
    <w:rsid w:val="00662B85"/>
    <w:rsid w:val="00663833"/>
    <w:rsid w:val="00663BAF"/>
    <w:rsid w:val="00665E85"/>
    <w:rsid w:val="0066653B"/>
    <w:rsid w:val="00666C49"/>
    <w:rsid w:val="006670BE"/>
    <w:rsid w:val="006670CA"/>
    <w:rsid w:val="0066757F"/>
    <w:rsid w:val="00667644"/>
    <w:rsid w:val="00670A76"/>
    <w:rsid w:val="006711AA"/>
    <w:rsid w:val="0067196F"/>
    <w:rsid w:val="00671A6A"/>
    <w:rsid w:val="00671ADC"/>
    <w:rsid w:val="00672B57"/>
    <w:rsid w:val="006736E6"/>
    <w:rsid w:val="0067396C"/>
    <w:rsid w:val="00673F1F"/>
    <w:rsid w:val="00675622"/>
    <w:rsid w:val="00675821"/>
    <w:rsid w:val="006764C2"/>
    <w:rsid w:val="0067747D"/>
    <w:rsid w:val="006777A0"/>
    <w:rsid w:val="00680029"/>
    <w:rsid w:val="006807DB"/>
    <w:rsid w:val="00680C95"/>
    <w:rsid w:val="006810CD"/>
    <w:rsid w:val="006818D5"/>
    <w:rsid w:val="00681CA4"/>
    <w:rsid w:val="00681E1B"/>
    <w:rsid w:val="0068207E"/>
    <w:rsid w:val="0068218E"/>
    <w:rsid w:val="0068290A"/>
    <w:rsid w:val="00683AF6"/>
    <w:rsid w:val="00687866"/>
    <w:rsid w:val="0068799B"/>
    <w:rsid w:val="00687BC6"/>
    <w:rsid w:val="0069039D"/>
    <w:rsid w:val="006906DB"/>
    <w:rsid w:val="00690D94"/>
    <w:rsid w:val="00690EB5"/>
    <w:rsid w:val="00691900"/>
    <w:rsid w:val="00691B6F"/>
    <w:rsid w:val="00691D28"/>
    <w:rsid w:val="00691E6C"/>
    <w:rsid w:val="00692C9E"/>
    <w:rsid w:val="00692E40"/>
    <w:rsid w:val="0069342D"/>
    <w:rsid w:val="00693DFB"/>
    <w:rsid w:val="00693E58"/>
    <w:rsid w:val="006940A6"/>
    <w:rsid w:val="0069501D"/>
    <w:rsid w:val="00695098"/>
    <w:rsid w:val="00695F93"/>
    <w:rsid w:val="00696129"/>
    <w:rsid w:val="0069727A"/>
    <w:rsid w:val="00697CF2"/>
    <w:rsid w:val="006A0444"/>
    <w:rsid w:val="006A066B"/>
    <w:rsid w:val="006A0FAA"/>
    <w:rsid w:val="006A12A5"/>
    <w:rsid w:val="006A1515"/>
    <w:rsid w:val="006A16A5"/>
    <w:rsid w:val="006A1FC1"/>
    <w:rsid w:val="006A2515"/>
    <w:rsid w:val="006A408C"/>
    <w:rsid w:val="006A51E0"/>
    <w:rsid w:val="006A5E20"/>
    <w:rsid w:val="006B0AF1"/>
    <w:rsid w:val="006B0D94"/>
    <w:rsid w:val="006B0F63"/>
    <w:rsid w:val="006B336B"/>
    <w:rsid w:val="006B485D"/>
    <w:rsid w:val="006B4BCB"/>
    <w:rsid w:val="006B55CE"/>
    <w:rsid w:val="006B58AF"/>
    <w:rsid w:val="006B6D82"/>
    <w:rsid w:val="006B7DF3"/>
    <w:rsid w:val="006C0620"/>
    <w:rsid w:val="006C06D7"/>
    <w:rsid w:val="006C0C45"/>
    <w:rsid w:val="006C2207"/>
    <w:rsid w:val="006C2A45"/>
    <w:rsid w:val="006C2B2D"/>
    <w:rsid w:val="006C334C"/>
    <w:rsid w:val="006C3956"/>
    <w:rsid w:val="006C4825"/>
    <w:rsid w:val="006C4ADD"/>
    <w:rsid w:val="006C5008"/>
    <w:rsid w:val="006C54AF"/>
    <w:rsid w:val="006C5AAB"/>
    <w:rsid w:val="006C5B33"/>
    <w:rsid w:val="006C5C59"/>
    <w:rsid w:val="006C6C10"/>
    <w:rsid w:val="006C708E"/>
    <w:rsid w:val="006C71F7"/>
    <w:rsid w:val="006D0296"/>
    <w:rsid w:val="006D0CDF"/>
    <w:rsid w:val="006D117C"/>
    <w:rsid w:val="006D14E7"/>
    <w:rsid w:val="006D1D5B"/>
    <w:rsid w:val="006D2726"/>
    <w:rsid w:val="006D2A20"/>
    <w:rsid w:val="006D3710"/>
    <w:rsid w:val="006D37E2"/>
    <w:rsid w:val="006D4321"/>
    <w:rsid w:val="006D4444"/>
    <w:rsid w:val="006D50CD"/>
    <w:rsid w:val="006D6493"/>
    <w:rsid w:val="006D650B"/>
    <w:rsid w:val="006D6EC7"/>
    <w:rsid w:val="006D758E"/>
    <w:rsid w:val="006D7A2B"/>
    <w:rsid w:val="006D7C47"/>
    <w:rsid w:val="006D7FED"/>
    <w:rsid w:val="006E0984"/>
    <w:rsid w:val="006E0B45"/>
    <w:rsid w:val="006E1BCD"/>
    <w:rsid w:val="006E2732"/>
    <w:rsid w:val="006E409D"/>
    <w:rsid w:val="006E59CD"/>
    <w:rsid w:val="006E6282"/>
    <w:rsid w:val="006E6FBC"/>
    <w:rsid w:val="006E7A05"/>
    <w:rsid w:val="006F0811"/>
    <w:rsid w:val="006F0A71"/>
    <w:rsid w:val="006F1138"/>
    <w:rsid w:val="006F2548"/>
    <w:rsid w:val="006F287E"/>
    <w:rsid w:val="006F2E5C"/>
    <w:rsid w:val="006F31B9"/>
    <w:rsid w:val="006F3D36"/>
    <w:rsid w:val="006F40C2"/>
    <w:rsid w:val="006F483B"/>
    <w:rsid w:val="006F50D8"/>
    <w:rsid w:val="006F5125"/>
    <w:rsid w:val="006F733D"/>
    <w:rsid w:val="006F75B6"/>
    <w:rsid w:val="006F78CA"/>
    <w:rsid w:val="006F78CD"/>
    <w:rsid w:val="00700E40"/>
    <w:rsid w:val="007011C8"/>
    <w:rsid w:val="007019A5"/>
    <w:rsid w:val="00702B6F"/>
    <w:rsid w:val="00704069"/>
    <w:rsid w:val="007045FB"/>
    <w:rsid w:val="00704905"/>
    <w:rsid w:val="00704BDD"/>
    <w:rsid w:val="0070548B"/>
    <w:rsid w:val="00706046"/>
    <w:rsid w:val="00706A2F"/>
    <w:rsid w:val="00706EC6"/>
    <w:rsid w:val="0070718E"/>
    <w:rsid w:val="007075F7"/>
    <w:rsid w:val="00707E52"/>
    <w:rsid w:val="00710259"/>
    <w:rsid w:val="0071031F"/>
    <w:rsid w:val="00710F32"/>
    <w:rsid w:val="00711440"/>
    <w:rsid w:val="00711ABE"/>
    <w:rsid w:val="0071340B"/>
    <w:rsid w:val="0071436D"/>
    <w:rsid w:val="00715BBB"/>
    <w:rsid w:val="0071653C"/>
    <w:rsid w:val="007172D8"/>
    <w:rsid w:val="007173FE"/>
    <w:rsid w:val="007174BB"/>
    <w:rsid w:val="007177C4"/>
    <w:rsid w:val="00720143"/>
    <w:rsid w:val="0072025D"/>
    <w:rsid w:val="0072071E"/>
    <w:rsid w:val="0072072B"/>
    <w:rsid w:val="00720AFF"/>
    <w:rsid w:val="00721E39"/>
    <w:rsid w:val="007226BD"/>
    <w:rsid w:val="00722DB8"/>
    <w:rsid w:val="00722F3F"/>
    <w:rsid w:val="00723328"/>
    <w:rsid w:val="007233B9"/>
    <w:rsid w:val="0072375D"/>
    <w:rsid w:val="00724527"/>
    <w:rsid w:val="00724FD2"/>
    <w:rsid w:val="00726931"/>
    <w:rsid w:val="007270DC"/>
    <w:rsid w:val="007272CE"/>
    <w:rsid w:val="00727638"/>
    <w:rsid w:val="00727E55"/>
    <w:rsid w:val="00730B2E"/>
    <w:rsid w:val="0073137C"/>
    <w:rsid w:val="00733076"/>
    <w:rsid w:val="00733B68"/>
    <w:rsid w:val="007340B9"/>
    <w:rsid w:val="007353D3"/>
    <w:rsid w:val="007364FD"/>
    <w:rsid w:val="00740013"/>
    <w:rsid w:val="00741174"/>
    <w:rsid w:val="0074156B"/>
    <w:rsid w:val="00741619"/>
    <w:rsid w:val="007428AE"/>
    <w:rsid w:val="00743297"/>
    <w:rsid w:val="0074358F"/>
    <w:rsid w:val="0074419A"/>
    <w:rsid w:val="00744772"/>
    <w:rsid w:val="00745BE2"/>
    <w:rsid w:val="00746BFC"/>
    <w:rsid w:val="00747092"/>
    <w:rsid w:val="007475C7"/>
    <w:rsid w:val="0075050F"/>
    <w:rsid w:val="00751475"/>
    <w:rsid w:val="0075176E"/>
    <w:rsid w:val="0075256A"/>
    <w:rsid w:val="007526E6"/>
    <w:rsid w:val="00754200"/>
    <w:rsid w:val="00754DF9"/>
    <w:rsid w:val="00754E40"/>
    <w:rsid w:val="007555E8"/>
    <w:rsid w:val="007557B5"/>
    <w:rsid w:val="00755CC5"/>
    <w:rsid w:val="007613EE"/>
    <w:rsid w:val="007626C2"/>
    <w:rsid w:val="0076323A"/>
    <w:rsid w:val="00763FB6"/>
    <w:rsid w:val="0076420C"/>
    <w:rsid w:val="00765ADF"/>
    <w:rsid w:val="0076608A"/>
    <w:rsid w:val="00766D33"/>
    <w:rsid w:val="00767B84"/>
    <w:rsid w:val="007706C9"/>
    <w:rsid w:val="007707C2"/>
    <w:rsid w:val="00771BE1"/>
    <w:rsid w:val="00771D07"/>
    <w:rsid w:val="00773BE3"/>
    <w:rsid w:val="00773ED0"/>
    <w:rsid w:val="007743DD"/>
    <w:rsid w:val="00774465"/>
    <w:rsid w:val="00774E2C"/>
    <w:rsid w:val="0077518D"/>
    <w:rsid w:val="007753C2"/>
    <w:rsid w:val="00775E6B"/>
    <w:rsid w:val="0077616B"/>
    <w:rsid w:val="00776E7A"/>
    <w:rsid w:val="00777482"/>
    <w:rsid w:val="00777C3C"/>
    <w:rsid w:val="007821F7"/>
    <w:rsid w:val="007838B8"/>
    <w:rsid w:val="007844F5"/>
    <w:rsid w:val="007859E5"/>
    <w:rsid w:val="0078637E"/>
    <w:rsid w:val="00786C22"/>
    <w:rsid w:val="00787222"/>
    <w:rsid w:val="00790114"/>
    <w:rsid w:val="007915BA"/>
    <w:rsid w:val="00791844"/>
    <w:rsid w:val="00792120"/>
    <w:rsid w:val="00792E80"/>
    <w:rsid w:val="007937FA"/>
    <w:rsid w:val="00793C09"/>
    <w:rsid w:val="007946DB"/>
    <w:rsid w:val="00794F9E"/>
    <w:rsid w:val="00795EF3"/>
    <w:rsid w:val="007968E0"/>
    <w:rsid w:val="0079691D"/>
    <w:rsid w:val="00796C46"/>
    <w:rsid w:val="007979BD"/>
    <w:rsid w:val="00797E63"/>
    <w:rsid w:val="007A06B4"/>
    <w:rsid w:val="007A0800"/>
    <w:rsid w:val="007A1474"/>
    <w:rsid w:val="007A2E51"/>
    <w:rsid w:val="007A2FAD"/>
    <w:rsid w:val="007A4C1B"/>
    <w:rsid w:val="007A4CC2"/>
    <w:rsid w:val="007A4F49"/>
    <w:rsid w:val="007A591A"/>
    <w:rsid w:val="007A66D9"/>
    <w:rsid w:val="007A69F8"/>
    <w:rsid w:val="007A6A2F"/>
    <w:rsid w:val="007A7771"/>
    <w:rsid w:val="007B024E"/>
    <w:rsid w:val="007B0636"/>
    <w:rsid w:val="007B2274"/>
    <w:rsid w:val="007B250C"/>
    <w:rsid w:val="007B2538"/>
    <w:rsid w:val="007B3629"/>
    <w:rsid w:val="007B3DDC"/>
    <w:rsid w:val="007B437F"/>
    <w:rsid w:val="007B6FF6"/>
    <w:rsid w:val="007B72A6"/>
    <w:rsid w:val="007B782C"/>
    <w:rsid w:val="007C04CC"/>
    <w:rsid w:val="007C06D2"/>
    <w:rsid w:val="007C08E0"/>
    <w:rsid w:val="007C0A9E"/>
    <w:rsid w:val="007C0F57"/>
    <w:rsid w:val="007C24A8"/>
    <w:rsid w:val="007C40B6"/>
    <w:rsid w:val="007C4B1D"/>
    <w:rsid w:val="007C608D"/>
    <w:rsid w:val="007C6B0B"/>
    <w:rsid w:val="007C729F"/>
    <w:rsid w:val="007D1792"/>
    <w:rsid w:val="007D37C3"/>
    <w:rsid w:val="007D37DF"/>
    <w:rsid w:val="007D3EDD"/>
    <w:rsid w:val="007D503D"/>
    <w:rsid w:val="007D59E7"/>
    <w:rsid w:val="007D5F2A"/>
    <w:rsid w:val="007D6ED1"/>
    <w:rsid w:val="007D7C92"/>
    <w:rsid w:val="007D7CF8"/>
    <w:rsid w:val="007D7F57"/>
    <w:rsid w:val="007E0600"/>
    <w:rsid w:val="007E1201"/>
    <w:rsid w:val="007E18BA"/>
    <w:rsid w:val="007E1D28"/>
    <w:rsid w:val="007E2EBA"/>
    <w:rsid w:val="007E3F7D"/>
    <w:rsid w:val="007E40AD"/>
    <w:rsid w:val="007E695F"/>
    <w:rsid w:val="007E7542"/>
    <w:rsid w:val="007E7813"/>
    <w:rsid w:val="007F0021"/>
    <w:rsid w:val="007F2641"/>
    <w:rsid w:val="007F2F80"/>
    <w:rsid w:val="007F3409"/>
    <w:rsid w:val="007F4272"/>
    <w:rsid w:val="007F7617"/>
    <w:rsid w:val="007F7C36"/>
    <w:rsid w:val="007F7C69"/>
    <w:rsid w:val="008000A8"/>
    <w:rsid w:val="008018CF"/>
    <w:rsid w:val="008026D9"/>
    <w:rsid w:val="00802C1B"/>
    <w:rsid w:val="00803567"/>
    <w:rsid w:val="008055AF"/>
    <w:rsid w:val="008057CD"/>
    <w:rsid w:val="00805C3C"/>
    <w:rsid w:val="00806796"/>
    <w:rsid w:val="0080780C"/>
    <w:rsid w:val="00810167"/>
    <w:rsid w:val="00810A9B"/>
    <w:rsid w:val="00811CC0"/>
    <w:rsid w:val="008147AE"/>
    <w:rsid w:val="00814A5E"/>
    <w:rsid w:val="008151D6"/>
    <w:rsid w:val="00815B65"/>
    <w:rsid w:val="008162E9"/>
    <w:rsid w:val="00816C6A"/>
    <w:rsid w:val="00816F75"/>
    <w:rsid w:val="00817082"/>
    <w:rsid w:val="008171C1"/>
    <w:rsid w:val="008179A3"/>
    <w:rsid w:val="00817A7E"/>
    <w:rsid w:val="00820B87"/>
    <w:rsid w:val="008211C0"/>
    <w:rsid w:val="00821527"/>
    <w:rsid w:val="0082214C"/>
    <w:rsid w:val="0082240B"/>
    <w:rsid w:val="00822696"/>
    <w:rsid w:val="00822C56"/>
    <w:rsid w:val="00823F56"/>
    <w:rsid w:val="00824AEF"/>
    <w:rsid w:val="008256F9"/>
    <w:rsid w:val="00825A6C"/>
    <w:rsid w:val="0082617E"/>
    <w:rsid w:val="008268BB"/>
    <w:rsid w:val="00826CDF"/>
    <w:rsid w:val="00826F6D"/>
    <w:rsid w:val="00830079"/>
    <w:rsid w:val="00830191"/>
    <w:rsid w:val="008301A3"/>
    <w:rsid w:val="008306F3"/>
    <w:rsid w:val="00830E40"/>
    <w:rsid w:val="00831CCF"/>
    <w:rsid w:val="008324DE"/>
    <w:rsid w:val="00832A1C"/>
    <w:rsid w:val="00832D9A"/>
    <w:rsid w:val="008342B9"/>
    <w:rsid w:val="008343A7"/>
    <w:rsid w:val="00834CB8"/>
    <w:rsid w:val="00835AED"/>
    <w:rsid w:val="00835C62"/>
    <w:rsid w:val="00836521"/>
    <w:rsid w:val="008368A1"/>
    <w:rsid w:val="00840AA9"/>
    <w:rsid w:val="00840EF7"/>
    <w:rsid w:val="00841E70"/>
    <w:rsid w:val="008425AE"/>
    <w:rsid w:val="00844186"/>
    <w:rsid w:val="0084489A"/>
    <w:rsid w:val="008448AF"/>
    <w:rsid w:val="00844C0A"/>
    <w:rsid w:val="008454C6"/>
    <w:rsid w:val="00846056"/>
    <w:rsid w:val="0084681F"/>
    <w:rsid w:val="00847EC0"/>
    <w:rsid w:val="008500F2"/>
    <w:rsid w:val="00851504"/>
    <w:rsid w:val="00851A02"/>
    <w:rsid w:val="00852488"/>
    <w:rsid w:val="00852574"/>
    <w:rsid w:val="008536F7"/>
    <w:rsid w:val="00854B48"/>
    <w:rsid w:val="0085553B"/>
    <w:rsid w:val="00855FD6"/>
    <w:rsid w:val="0085643B"/>
    <w:rsid w:val="00856DDD"/>
    <w:rsid w:val="00856FC8"/>
    <w:rsid w:val="0085701F"/>
    <w:rsid w:val="008571F9"/>
    <w:rsid w:val="0085757C"/>
    <w:rsid w:val="008610F2"/>
    <w:rsid w:val="00861CBC"/>
    <w:rsid w:val="0086204F"/>
    <w:rsid w:val="00862075"/>
    <w:rsid w:val="00862367"/>
    <w:rsid w:val="00863307"/>
    <w:rsid w:val="008636A1"/>
    <w:rsid w:val="00863A20"/>
    <w:rsid w:val="00863E68"/>
    <w:rsid w:val="00864059"/>
    <w:rsid w:val="00864575"/>
    <w:rsid w:val="008647B5"/>
    <w:rsid w:val="00865A4C"/>
    <w:rsid w:val="00866DED"/>
    <w:rsid w:val="0086795F"/>
    <w:rsid w:val="00867D64"/>
    <w:rsid w:val="00870194"/>
    <w:rsid w:val="00870C14"/>
    <w:rsid w:val="008710F3"/>
    <w:rsid w:val="00871F61"/>
    <w:rsid w:val="00872790"/>
    <w:rsid w:val="00873025"/>
    <w:rsid w:val="0087305E"/>
    <w:rsid w:val="00873936"/>
    <w:rsid w:val="00875525"/>
    <w:rsid w:val="00875DCB"/>
    <w:rsid w:val="008761F7"/>
    <w:rsid w:val="00876412"/>
    <w:rsid w:val="00876BBA"/>
    <w:rsid w:val="0087755A"/>
    <w:rsid w:val="00877DBD"/>
    <w:rsid w:val="00880C07"/>
    <w:rsid w:val="00880D5F"/>
    <w:rsid w:val="008814FB"/>
    <w:rsid w:val="00881FB2"/>
    <w:rsid w:val="00882085"/>
    <w:rsid w:val="00883188"/>
    <w:rsid w:val="008839D8"/>
    <w:rsid w:val="00883D6E"/>
    <w:rsid w:val="00883EA0"/>
    <w:rsid w:val="008845C2"/>
    <w:rsid w:val="00884A0C"/>
    <w:rsid w:val="008865CC"/>
    <w:rsid w:val="00886ACA"/>
    <w:rsid w:val="00890171"/>
    <w:rsid w:val="0089031E"/>
    <w:rsid w:val="008904C6"/>
    <w:rsid w:val="00891B87"/>
    <w:rsid w:val="00892758"/>
    <w:rsid w:val="008928FD"/>
    <w:rsid w:val="0089460B"/>
    <w:rsid w:val="008949E1"/>
    <w:rsid w:val="0089551D"/>
    <w:rsid w:val="00895A81"/>
    <w:rsid w:val="00895F9C"/>
    <w:rsid w:val="008962C6"/>
    <w:rsid w:val="0089767D"/>
    <w:rsid w:val="00897D58"/>
    <w:rsid w:val="00897F22"/>
    <w:rsid w:val="008A0B39"/>
    <w:rsid w:val="008A17A3"/>
    <w:rsid w:val="008A1956"/>
    <w:rsid w:val="008A1E85"/>
    <w:rsid w:val="008A2419"/>
    <w:rsid w:val="008A2731"/>
    <w:rsid w:val="008A2806"/>
    <w:rsid w:val="008A3D34"/>
    <w:rsid w:val="008A4937"/>
    <w:rsid w:val="008A4EDE"/>
    <w:rsid w:val="008A50F1"/>
    <w:rsid w:val="008A59D9"/>
    <w:rsid w:val="008A643E"/>
    <w:rsid w:val="008A6819"/>
    <w:rsid w:val="008A6D3C"/>
    <w:rsid w:val="008A70DC"/>
    <w:rsid w:val="008A7A62"/>
    <w:rsid w:val="008B0022"/>
    <w:rsid w:val="008B09FD"/>
    <w:rsid w:val="008B1474"/>
    <w:rsid w:val="008B1726"/>
    <w:rsid w:val="008B1A3E"/>
    <w:rsid w:val="008B1D47"/>
    <w:rsid w:val="008B2EC0"/>
    <w:rsid w:val="008B376C"/>
    <w:rsid w:val="008B3B29"/>
    <w:rsid w:val="008B698A"/>
    <w:rsid w:val="008B6DCF"/>
    <w:rsid w:val="008B7485"/>
    <w:rsid w:val="008C0395"/>
    <w:rsid w:val="008C2EF9"/>
    <w:rsid w:val="008C37C6"/>
    <w:rsid w:val="008C48C2"/>
    <w:rsid w:val="008C4A90"/>
    <w:rsid w:val="008C5CF6"/>
    <w:rsid w:val="008C6981"/>
    <w:rsid w:val="008C763B"/>
    <w:rsid w:val="008C76F4"/>
    <w:rsid w:val="008C7EAB"/>
    <w:rsid w:val="008C7FF7"/>
    <w:rsid w:val="008D0945"/>
    <w:rsid w:val="008D1409"/>
    <w:rsid w:val="008D15CC"/>
    <w:rsid w:val="008D1729"/>
    <w:rsid w:val="008D1B5C"/>
    <w:rsid w:val="008D1D76"/>
    <w:rsid w:val="008D24B2"/>
    <w:rsid w:val="008D25A3"/>
    <w:rsid w:val="008D38A3"/>
    <w:rsid w:val="008D3C82"/>
    <w:rsid w:val="008D3FDA"/>
    <w:rsid w:val="008D4361"/>
    <w:rsid w:val="008D447E"/>
    <w:rsid w:val="008D4C60"/>
    <w:rsid w:val="008D4C79"/>
    <w:rsid w:val="008D504B"/>
    <w:rsid w:val="008D5A88"/>
    <w:rsid w:val="008D678C"/>
    <w:rsid w:val="008D6873"/>
    <w:rsid w:val="008D6ACF"/>
    <w:rsid w:val="008D7856"/>
    <w:rsid w:val="008D7A41"/>
    <w:rsid w:val="008D7A88"/>
    <w:rsid w:val="008D7B47"/>
    <w:rsid w:val="008D7DCC"/>
    <w:rsid w:val="008E0570"/>
    <w:rsid w:val="008E1167"/>
    <w:rsid w:val="008E2C72"/>
    <w:rsid w:val="008E2CB2"/>
    <w:rsid w:val="008E3037"/>
    <w:rsid w:val="008E3680"/>
    <w:rsid w:val="008E3E82"/>
    <w:rsid w:val="008E45EC"/>
    <w:rsid w:val="008E4E3A"/>
    <w:rsid w:val="008E54B0"/>
    <w:rsid w:val="008E5870"/>
    <w:rsid w:val="008E5C5A"/>
    <w:rsid w:val="008E6F42"/>
    <w:rsid w:val="008E77E4"/>
    <w:rsid w:val="008E7864"/>
    <w:rsid w:val="008E7C00"/>
    <w:rsid w:val="008F014A"/>
    <w:rsid w:val="008F0213"/>
    <w:rsid w:val="008F0315"/>
    <w:rsid w:val="008F07ED"/>
    <w:rsid w:val="008F11F8"/>
    <w:rsid w:val="008F1434"/>
    <w:rsid w:val="008F1AEE"/>
    <w:rsid w:val="008F1F8C"/>
    <w:rsid w:val="008F2BB9"/>
    <w:rsid w:val="008F31A3"/>
    <w:rsid w:val="008F3D6A"/>
    <w:rsid w:val="008F3F3A"/>
    <w:rsid w:val="008F47AF"/>
    <w:rsid w:val="008F54C3"/>
    <w:rsid w:val="008F5AEF"/>
    <w:rsid w:val="008F6C37"/>
    <w:rsid w:val="008F7355"/>
    <w:rsid w:val="008F7EAB"/>
    <w:rsid w:val="009023DC"/>
    <w:rsid w:val="00902717"/>
    <w:rsid w:val="009027C5"/>
    <w:rsid w:val="009028D5"/>
    <w:rsid w:val="00902C6A"/>
    <w:rsid w:val="0090323F"/>
    <w:rsid w:val="009039FC"/>
    <w:rsid w:val="00903F03"/>
    <w:rsid w:val="0090409E"/>
    <w:rsid w:val="00904413"/>
    <w:rsid w:val="00905372"/>
    <w:rsid w:val="00905BB7"/>
    <w:rsid w:val="00905E2B"/>
    <w:rsid w:val="009061C1"/>
    <w:rsid w:val="009064F8"/>
    <w:rsid w:val="009067B7"/>
    <w:rsid w:val="00907056"/>
    <w:rsid w:val="0090775A"/>
    <w:rsid w:val="00907871"/>
    <w:rsid w:val="00907D3A"/>
    <w:rsid w:val="00907DFD"/>
    <w:rsid w:val="00910344"/>
    <w:rsid w:val="00910DF5"/>
    <w:rsid w:val="0091410E"/>
    <w:rsid w:val="00914EA2"/>
    <w:rsid w:val="00915725"/>
    <w:rsid w:val="00916967"/>
    <w:rsid w:val="00916E84"/>
    <w:rsid w:val="009170AE"/>
    <w:rsid w:val="00917841"/>
    <w:rsid w:val="00917D69"/>
    <w:rsid w:val="009201BF"/>
    <w:rsid w:val="00920B6D"/>
    <w:rsid w:val="00921097"/>
    <w:rsid w:val="0092160C"/>
    <w:rsid w:val="00921E0F"/>
    <w:rsid w:val="009228AB"/>
    <w:rsid w:val="00924197"/>
    <w:rsid w:val="00925923"/>
    <w:rsid w:val="00925C7B"/>
    <w:rsid w:val="009260C0"/>
    <w:rsid w:val="00926560"/>
    <w:rsid w:val="00926B15"/>
    <w:rsid w:val="0093022C"/>
    <w:rsid w:val="00930291"/>
    <w:rsid w:val="0093041F"/>
    <w:rsid w:val="009305A4"/>
    <w:rsid w:val="00930937"/>
    <w:rsid w:val="00932148"/>
    <w:rsid w:val="009324A6"/>
    <w:rsid w:val="0093283C"/>
    <w:rsid w:val="00933E6C"/>
    <w:rsid w:val="0093415A"/>
    <w:rsid w:val="00934F5D"/>
    <w:rsid w:val="00934F77"/>
    <w:rsid w:val="009350D5"/>
    <w:rsid w:val="0093591E"/>
    <w:rsid w:val="00935A6E"/>
    <w:rsid w:val="00935F17"/>
    <w:rsid w:val="00936AB2"/>
    <w:rsid w:val="00936ACA"/>
    <w:rsid w:val="00937958"/>
    <w:rsid w:val="009406E5"/>
    <w:rsid w:val="00941185"/>
    <w:rsid w:val="00941301"/>
    <w:rsid w:val="00941602"/>
    <w:rsid w:val="0094182B"/>
    <w:rsid w:val="00942160"/>
    <w:rsid w:val="00945617"/>
    <w:rsid w:val="00945EA2"/>
    <w:rsid w:val="00946363"/>
    <w:rsid w:val="009464B7"/>
    <w:rsid w:val="00946921"/>
    <w:rsid w:val="00947AA1"/>
    <w:rsid w:val="00950405"/>
    <w:rsid w:val="0095146F"/>
    <w:rsid w:val="00951DCE"/>
    <w:rsid w:val="00952845"/>
    <w:rsid w:val="00952BE7"/>
    <w:rsid w:val="00952FEF"/>
    <w:rsid w:val="00953679"/>
    <w:rsid w:val="0095395F"/>
    <w:rsid w:val="009542EC"/>
    <w:rsid w:val="00955853"/>
    <w:rsid w:val="00956057"/>
    <w:rsid w:val="00956A3B"/>
    <w:rsid w:val="00957729"/>
    <w:rsid w:val="00957944"/>
    <w:rsid w:val="00957FBB"/>
    <w:rsid w:val="0096021A"/>
    <w:rsid w:val="009602C5"/>
    <w:rsid w:val="009612D4"/>
    <w:rsid w:val="00962223"/>
    <w:rsid w:val="0096252B"/>
    <w:rsid w:val="009627F9"/>
    <w:rsid w:val="009638ED"/>
    <w:rsid w:val="00965D37"/>
    <w:rsid w:val="00966D0D"/>
    <w:rsid w:val="00967046"/>
    <w:rsid w:val="009671C8"/>
    <w:rsid w:val="0096744F"/>
    <w:rsid w:val="00967732"/>
    <w:rsid w:val="0096783C"/>
    <w:rsid w:val="00970EFD"/>
    <w:rsid w:val="00971733"/>
    <w:rsid w:val="00971C03"/>
    <w:rsid w:val="009722B3"/>
    <w:rsid w:val="0097257A"/>
    <w:rsid w:val="009725CE"/>
    <w:rsid w:val="009728E2"/>
    <w:rsid w:val="00973C77"/>
    <w:rsid w:val="00973E24"/>
    <w:rsid w:val="00974C21"/>
    <w:rsid w:val="00975948"/>
    <w:rsid w:val="00976907"/>
    <w:rsid w:val="00977025"/>
    <w:rsid w:val="009771D7"/>
    <w:rsid w:val="00977735"/>
    <w:rsid w:val="00977BF3"/>
    <w:rsid w:val="00977E07"/>
    <w:rsid w:val="00980143"/>
    <w:rsid w:val="009803E4"/>
    <w:rsid w:val="00980B0E"/>
    <w:rsid w:val="009813A3"/>
    <w:rsid w:val="00982F73"/>
    <w:rsid w:val="009836A3"/>
    <w:rsid w:val="009841AE"/>
    <w:rsid w:val="00984F48"/>
    <w:rsid w:val="009855A8"/>
    <w:rsid w:val="00985CC2"/>
    <w:rsid w:val="00985D1A"/>
    <w:rsid w:val="009868B8"/>
    <w:rsid w:val="00987BF1"/>
    <w:rsid w:val="009902B5"/>
    <w:rsid w:val="0099049E"/>
    <w:rsid w:val="009910B2"/>
    <w:rsid w:val="009913F4"/>
    <w:rsid w:val="0099172B"/>
    <w:rsid w:val="00991782"/>
    <w:rsid w:val="009917FD"/>
    <w:rsid w:val="00991D04"/>
    <w:rsid w:val="00992646"/>
    <w:rsid w:val="00992BA8"/>
    <w:rsid w:val="009937F7"/>
    <w:rsid w:val="009940F8"/>
    <w:rsid w:val="0099465B"/>
    <w:rsid w:val="009951A1"/>
    <w:rsid w:val="00995A52"/>
    <w:rsid w:val="00995D3E"/>
    <w:rsid w:val="0099694B"/>
    <w:rsid w:val="009976EE"/>
    <w:rsid w:val="00997A44"/>
    <w:rsid w:val="00997C83"/>
    <w:rsid w:val="009A030E"/>
    <w:rsid w:val="009A0CDD"/>
    <w:rsid w:val="009A292C"/>
    <w:rsid w:val="009A3168"/>
    <w:rsid w:val="009A42E1"/>
    <w:rsid w:val="009A483D"/>
    <w:rsid w:val="009A4FC7"/>
    <w:rsid w:val="009A56E2"/>
    <w:rsid w:val="009A5D04"/>
    <w:rsid w:val="009A60F0"/>
    <w:rsid w:val="009A61CA"/>
    <w:rsid w:val="009A6451"/>
    <w:rsid w:val="009A6BBD"/>
    <w:rsid w:val="009B0C64"/>
    <w:rsid w:val="009B0EF6"/>
    <w:rsid w:val="009B0F67"/>
    <w:rsid w:val="009B17EF"/>
    <w:rsid w:val="009B1ED9"/>
    <w:rsid w:val="009B1F1F"/>
    <w:rsid w:val="009B2395"/>
    <w:rsid w:val="009B2B26"/>
    <w:rsid w:val="009B3F8C"/>
    <w:rsid w:val="009B4143"/>
    <w:rsid w:val="009B454D"/>
    <w:rsid w:val="009B53B3"/>
    <w:rsid w:val="009B56B8"/>
    <w:rsid w:val="009B6ACC"/>
    <w:rsid w:val="009B750F"/>
    <w:rsid w:val="009B7910"/>
    <w:rsid w:val="009B7DC8"/>
    <w:rsid w:val="009B7FDB"/>
    <w:rsid w:val="009C0633"/>
    <w:rsid w:val="009C0689"/>
    <w:rsid w:val="009C07FF"/>
    <w:rsid w:val="009C0E6A"/>
    <w:rsid w:val="009C193C"/>
    <w:rsid w:val="009C56EC"/>
    <w:rsid w:val="009C5B72"/>
    <w:rsid w:val="009C703C"/>
    <w:rsid w:val="009C7272"/>
    <w:rsid w:val="009D206E"/>
    <w:rsid w:val="009D35D7"/>
    <w:rsid w:val="009D3BEE"/>
    <w:rsid w:val="009D3CAA"/>
    <w:rsid w:val="009D3D77"/>
    <w:rsid w:val="009D4B3D"/>
    <w:rsid w:val="009D55E2"/>
    <w:rsid w:val="009D5737"/>
    <w:rsid w:val="009D6532"/>
    <w:rsid w:val="009D71FD"/>
    <w:rsid w:val="009D7BBE"/>
    <w:rsid w:val="009E060B"/>
    <w:rsid w:val="009E2588"/>
    <w:rsid w:val="009E2A7F"/>
    <w:rsid w:val="009E2E8E"/>
    <w:rsid w:val="009E40E1"/>
    <w:rsid w:val="009E4223"/>
    <w:rsid w:val="009E4568"/>
    <w:rsid w:val="009E5154"/>
    <w:rsid w:val="009E545A"/>
    <w:rsid w:val="009E6434"/>
    <w:rsid w:val="009E6D1C"/>
    <w:rsid w:val="009F0A6D"/>
    <w:rsid w:val="009F0EFA"/>
    <w:rsid w:val="009F168F"/>
    <w:rsid w:val="009F3B1D"/>
    <w:rsid w:val="009F421F"/>
    <w:rsid w:val="009F4BCD"/>
    <w:rsid w:val="009F4E46"/>
    <w:rsid w:val="009F5B65"/>
    <w:rsid w:val="009F5F2E"/>
    <w:rsid w:val="009F5F8E"/>
    <w:rsid w:val="009F6917"/>
    <w:rsid w:val="009F6B7D"/>
    <w:rsid w:val="00A00DA5"/>
    <w:rsid w:val="00A0132E"/>
    <w:rsid w:val="00A01432"/>
    <w:rsid w:val="00A01E0D"/>
    <w:rsid w:val="00A052DF"/>
    <w:rsid w:val="00A05C93"/>
    <w:rsid w:val="00A06225"/>
    <w:rsid w:val="00A0658C"/>
    <w:rsid w:val="00A06771"/>
    <w:rsid w:val="00A07C4C"/>
    <w:rsid w:val="00A10BD5"/>
    <w:rsid w:val="00A10E24"/>
    <w:rsid w:val="00A110D1"/>
    <w:rsid w:val="00A1154F"/>
    <w:rsid w:val="00A11D53"/>
    <w:rsid w:val="00A12587"/>
    <w:rsid w:val="00A128E6"/>
    <w:rsid w:val="00A1369B"/>
    <w:rsid w:val="00A13CA7"/>
    <w:rsid w:val="00A14347"/>
    <w:rsid w:val="00A144D3"/>
    <w:rsid w:val="00A147CF"/>
    <w:rsid w:val="00A15FC9"/>
    <w:rsid w:val="00A16E6A"/>
    <w:rsid w:val="00A2041C"/>
    <w:rsid w:val="00A214D2"/>
    <w:rsid w:val="00A22306"/>
    <w:rsid w:val="00A2296C"/>
    <w:rsid w:val="00A22AC3"/>
    <w:rsid w:val="00A23F3F"/>
    <w:rsid w:val="00A24067"/>
    <w:rsid w:val="00A24A4B"/>
    <w:rsid w:val="00A24EA9"/>
    <w:rsid w:val="00A257D0"/>
    <w:rsid w:val="00A2587B"/>
    <w:rsid w:val="00A263E2"/>
    <w:rsid w:val="00A2744D"/>
    <w:rsid w:val="00A27472"/>
    <w:rsid w:val="00A27CB0"/>
    <w:rsid w:val="00A30D16"/>
    <w:rsid w:val="00A32044"/>
    <w:rsid w:val="00A32085"/>
    <w:rsid w:val="00A3393A"/>
    <w:rsid w:val="00A34E6C"/>
    <w:rsid w:val="00A34FD0"/>
    <w:rsid w:val="00A35933"/>
    <w:rsid w:val="00A35AB7"/>
    <w:rsid w:val="00A36398"/>
    <w:rsid w:val="00A36696"/>
    <w:rsid w:val="00A36FB2"/>
    <w:rsid w:val="00A37C8D"/>
    <w:rsid w:val="00A40124"/>
    <w:rsid w:val="00A4020E"/>
    <w:rsid w:val="00A405BD"/>
    <w:rsid w:val="00A40E56"/>
    <w:rsid w:val="00A40FB5"/>
    <w:rsid w:val="00A427A0"/>
    <w:rsid w:val="00A42826"/>
    <w:rsid w:val="00A429B3"/>
    <w:rsid w:val="00A43EFA"/>
    <w:rsid w:val="00A442A5"/>
    <w:rsid w:val="00A4475A"/>
    <w:rsid w:val="00A44EC1"/>
    <w:rsid w:val="00A44FF6"/>
    <w:rsid w:val="00A45D65"/>
    <w:rsid w:val="00A466EA"/>
    <w:rsid w:val="00A46ADF"/>
    <w:rsid w:val="00A477F0"/>
    <w:rsid w:val="00A50141"/>
    <w:rsid w:val="00A51004"/>
    <w:rsid w:val="00A510E4"/>
    <w:rsid w:val="00A51196"/>
    <w:rsid w:val="00A517E5"/>
    <w:rsid w:val="00A52152"/>
    <w:rsid w:val="00A5273B"/>
    <w:rsid w:val="00A53A9D"/>
    <w:rsid w:val="00A54C3A"/>
    <w:rsid w:val="00A54CFA"/>
    <w:rsid w:val="00A55362"/>
    <w:rsid w:val="00A55723"/>
    <w:rsid w:val="00A55FEE"/>
    <w:rsid w:val="00A564A8"/>
    <w:rsid w:val="00A56FFE"/>
    <w:rsid w:val="00A57422"/>
    <w:rsid w:val="00A57BD9"/>
    <w:rsid w:val="00A62163"/>
    <w:rsid w:val="00A624A6"/>
    <w:rsid w:val="00A62C1A"/>
    <w:rsid w:val="00A6325D"/>
    <w:rsid w:val="00A6426D"/>
    <w:rsid w:val="00A644F7"/>
    <w:rsid w:val="00A64D4D"/>
    <w:rsid w:val="00A665C1"/>
    <w:rsid w:val="00A673A4"/>
    <w:rsid w:val="00A7001A"/>
    <w:rsid w:val="00A7025A"/>
    <w:rsid w:val="00A70622"/>
    <w:rsid w:val="00A70977"/>
    <w:rsid w:val="00A70D58"/>
    <w:rsid w:val="00A720AA"/>
    <w:rsid w:val="00A72DE4"/>
    <w:rsid w:val="00A74106"/>
    <w:rsid w:val="00A74253"/>
    <w:rsid w:val="00A744F9"/>
    <w:rsid w:val="00A748DB"/>
    <w:rsid w:val="00A74DA7"/>
    <w:rsid w:val="00A75603"/>
    <w:rsid w:val="00A75A2C"/>
    <w:rsid w:val="00A760EE"/>
    <w:rsid w:val="00A76198"/>
    <w:rsid w:val="00A76311"/>
    <w:rsid w:val="00A765B3"/>
    <w:rsid w:val="00A76A28"/>
    <w:rsid w:val="00A77613"/>
    <w:rsid w:val="00A77B87"/>
    <w:rsid w:val="00A8020A"/>
    <w:rsid w:val="00A80800"/>
    <w:rsid w:val="00A81851"/>
    <w:rsid w:val="00A81A35"/>
    <w:rsid w:val="00A81C0A"/>
    <w:rsid w:val="00A81E12"/>
    <w:rsid w:val="00A821D3"/>
    <w:rsid w:val="00A82316"/>
    <w:rsid w:val="00A823AE"/>
    <w:rsid w:val="00A8260A"/>
    <w:rsid w:val="00A8390C"/>
    <w:rsid w:val="00A846A0"/>
    <w:rsid w:val="00A847E0"/>
    <w:rsid w:val="00A847E5"/>
    <w:rsid w:val="00A8489A"/>
    <w:rsid w:val="00A84E4C"/>
    <w:rsid w:val="00A85664"/>
    <w:rsid w:val="00A85890"/>
    <w:rsid w:val="00A85BC2"/>
    <w:rsid w:val="00A8670D"/>
    <w:rsid w:val="00A86AE0"/>
    <w:rsid w:val="00A86E9E"/>
    <w:rsid w:val="00A87567"/>
    <w:rsid w:val="00A91362"/>
    <w:rsid w:val="00A9151C"/>
    <w:rsid w:val="00A916E9"/>
    <w:rsid w:val="00A919C6"/>
    <w:rsid w:val="00A92180"/>
    <w:rsid w:val="00A928BD"/>
    <w:rsid w:val="00A92A89"/>
    <w:rsid w:val="00A93826"/>
    <w:rsid w:val="00A94057"/>
    <w:rsid w:val="00A94814"/>
    <w:rsid w:val="00A94C96"/>
    <w:rsid w:val="00A94FE4"/>
    <w:rsid w:val="00A9689F"/>
    <w:rsid w:val="00A96BAA"/>
    <w:rsid w:val="00A97DE9"/>
    <w:rsid w:val="00AA12CD"/>
    <w:rsid w:val="00AA2434"/>
    <w:rsid w:val="00AA2CDC"/>
    <w:rsid w:val="00AA4898"/>
    <w:rsid w:val="00AA4993"/>
    <w:rsid w:val="00AA4D1C"/>
    <w:rsid w:val="00AA5241"/>
    <w:rsid w:val="00AA52FD"/>
    <w:rsid w:val="00AA55A4"/>
    <w:rsid w:val="00AA55C2"/>
    <w:rsid w:val="00AA61D3"/>
    <w:rsid w:val="00AA66D5"/>
    <w:rsid w:val="00AA6A06"/>
    <w:rsid w:val="00AA7006"/>
    <w:rsid w:val="00AA74BD"/>
    <w:rsid w:val="00AA76D4"/>
    <w:rsid w:val="00AA771D"/>
    <w:rsid w:val="00AA7DC6"/>
    <w:rsid w:val="00AB020D"/>
    <w:rsid w:val="00AB041B"/>
    <w:rsid w:val="00AB0D70"/>
    <w:rsid w:val="00AB17FC"/>
    <w:rsid w:val="00AB1924"/>
    <w:rsid w:val="00AB5856"/>
    <w:rsid w:val="00AB6561"/>
    <w:rsid w:val="00AB6908"/>
    <w:rsid w:val="00AB6BB5"/>
    <w:rsid w:val="00AB7702"/>
    <w:rsid w:val="00AC0400"/>
    <w:rsid w:val="00AC0770"/>
    <w:rsid w:val="00AC1655"/>
    <w:rsid w:val="00AC193C"/>
    <w:rsid w:val="00AC21A6"/>
    <w:rsid w:val="00AC2A75"/>
    <w:rsid w:val="00AC30C1"/>
    <w:rsid w:val="00AC3588"/>
    <w:rsid w:val="00AC3760"/>
    <w:rsid w:val="00AC4371"/>
    <w:rsid w:val="00AC439A"/>
    <w:rsid w:val="00AC4DE5"/>
    <w:rsid w:val="00AC5206"/>
    <w:rsid w:val="00AC602D"/>
    <w:rsid w:val="00AC6B06"/>
    <w:rsid w:val="00AC7C48"/>
    <w:rsid w:val="00AD023E"/>
    <w:rsid w:val="00AD0535"/>
    <w:rsid w:val="00AD1E66"/>
    <w:rsid w:val="00AD30F7"/>
    <w:rsid w:val="00AD3106"/>
    <w:rsid w:val="00AD3959"/>
    <w:rsid w:val="00AD3B0D"/>
    <w:rsid w:val="00AD3EE8"/>
    <w:rsid w:val="00AD4322"/>
    <w:rsid w:val="00AD44E7"/>
    <w:rsid w:val="00AD652D"/>
    <w:rsid w:val="00AD6AD8"/>
    <w:rsid w:val="00AD6C24"/>
    <w:rsid w:val="00AE0DE4"/>
    <w:rsid w:val="00AE119F"/>
    <w:rsid w:val="00AE11A5"/>
    <w:rsid w:val="00AE13E2"/>
    <w:rsid w:val="00AE22D3"/>
    <w:rsid w:val="00AE41A2"/>
    <w:rsid w:val="00AE4595"/>
    <w:rsid w:val="00AE46AC"/>
    <w:rsid w:val="00AE4A75"/>
    <w:rsid w:val="00AE5A49"/>
    <w:rsid w:val="00AE5A89"/>
    <w:rsid w:val="00AE5F43"/>
    <w:rsid w:val="00AE6283"/>
    <w:rsid w:val="00AE654A"/>
    <w:rsid w:val="00AE675C"/>
    <w:rsid w:val="00AE7411"/>
    <w:rsid w:val="00AE7BC4"/>
    <w:rsid w:val="00AF1116"/>
    <w:rsid w:val="00AF11D8"/>
    <w:rsid w:val="00AF13B9"/>
    <w:rsid w:val="00AF2837"/>
    <w:rsid w:val="00AF2F64"/>
    <w:rsid w:val="00AF334A"/>
    <w:rsid w:val="00AF4B87"/>
    <w:rsid w:val="00AF50E9"/>
    <w:rsid w:val="00AF5867"/>
    <w:rsid w:val="00AF5965"/>
    <w:rsid w:val="00AF62DF"/>
    <w:rsid w:val="00AF68CC"/>
    <w:rsid w:val="00AF70D7"/>
    <w:rsid w:val="00AF7248"/>
    <w:rsid w:val="00B01025"/>
    <w:rsid w:val="00B01FF4"/>
    <w:rsid w:val="00B0229D"/>
    <w:rsid w:val="00B02B79"/>
    <w:rsid w:val="00B0326D"/>
    <w:rsid w:val="00B03C1A"/>
    <w:rsid w:val="00B03FAB"/>
    <w:rsid w:val="00B04E1F"/>
    <w:rsid w:val="00B05C3A"/>
    <w:rsid w:val="00B06478"/>
    <w:rsid w:val="00B06FEA"/>
    <w:rsid w:val="00B07533"/>
    <w:rsid w:val="00B07764"/>
    <w:rsid w:val="00B07CFB"/>
    <w:rsid w:val="00B1059E"/>
    <w:rsid w:val="00B106FA"/>
    <w:rsid w:val="00B10918"/>
    <w:rsid w:val="00B112FD"/>
    <w:rsid w:val="00B11B1D"/>
    <w:rsid w:val="00B12B6A"/>
    <w:rsid w:val="00B12E91"/>
    <w:rsid w:val="00B13EE1"/>
    <w:rsid w:val="00B14114"/>
    <w:rsid w:val="00B148DA"/>
    <w:rsid w:val="00B14A36"/>
    <w:rsid w:val="00B16273"/>
    <w:rsid w:val="00B170A5"/>
    <w:rsid w:val="00B176C8"/>
    <w:rsid w:val="00B17EE5"/>
    <w:rsid w:val="00B205AA"/>
    <w:rsid w:val="00B20F01"/>
    <w:rsid w:val="00B22E84"/>
    <w:rsid w:val="00B233AD"/>
    <w:rsid w:val="00B23E25"/>
    <w:rsid w:val="00B23E59"/>
    <w:rsid w:val="00B24B82"/>
    <w:rsid w:val="00B25283"/>
    <w:rsid w:val="00B25402"/>
    <w:rsid w:val="00B255FB"/>
    <w:rsid w:val="00B25DC1"/>
    <w:rsid w:val="00B25F75"/>
    <w:rsid w:val="00B26B3F"/>
    <w:rsid w:val="00B27195"/>
    <w:rsid w:val="00B2778F"/>
    <w:rsid w:val="00B278BD"/>
    <w:rsid w:val="00B27CE3"/>
    <w:rsid w:val="00B27F77"/>
    <w:rsid w:val="00B30AF1"/>
    <w:rsid w:val="00B31811"/>
    <w:rsid w:val="00B323E8"/>
    <w:rsid w:val="00B32751"/>
    <w:rsid w:val="00B327E2"/>
    <w:rsid w:val="00B33635"/>
    <w:rsid w:val="00B337AE"/>
    <w:rsid w:val="00B33918"/>
    <w:rsid w:val="00B33A9D"/>
    <w:rsid w:val="00B33F29"/>
    <w:rsid w:val="00B34B0A"/>
    <w:rsid w:val="00B34CAA"/>
    <w:rsid w:val="00B35648"/>
    <w:rsid w:val="00B35F90"/>
    <w:rsid w:val="00B365F1"/>
    <w:rsid w:val="00B369E0"/>
    <w:rsid w:val="00B401ED"/>
    <w:rsid w:val="00B402A4"/>
    <w:rsid w:val="00B4074D"/>
    <w:rsid w:val="00B407B2"/>
    <w:rsid w:val="00B408ED"/>
    <w:rsid w:val="00B40B74"/>
    <w:rsid w:val="00B417C3"/>
    <w:rsid w:val="00B41BB5"/>
    <w:rsid w:val="00B41FC9"/>
    <w:rsid w:val="00B42844"/>
    <w:rsid w:val="00B42AF4"/>
    <w:rsid w:val="00B42C2A"/>
    <w:rsid w:val="00B43220"/>
    <w:rsid w:val="00B434AB"/>
    <w:rsid w:val="00B436FE"/>
    <w:rsid w:val="00B43E90"/>
    <w:rsid w:val="00B44A71"/>
    <w:rsid w:val="00B45018"/>
    <w:rsid w:val="00B457CA"/>
    <w:rsid w:val="00B45A33"/>
    <w:rsid w:val="00B465EE"/>
    <w:rsid w:val="00B467DC"/>
    <w:rsid w:val="00B46942"/>
    <w:rsid w:val="00B46C58"/>
    <w:rsid w:val="00B47910"/>
    <w:rsid w:val="00B51081"/>
    <w:rsid w:val="00B52660"/>
    <w:rsid w:val="00B52DB6"/>
    <w:rsid w:val="00B532B2"/>
    <w:rsid w:val="00B5392A"/>
    <w:rsid w:val="00B539CE"/>
    <w:rsid w:val="00B55554"/>
    <w:rsid w:val="00B56118"/>
    <w:rsid w:val="00B566B3"/>
    <w:rsid w:val="00B566E1"/>
    <w:rsid w:val="00B56C15"/>
    <w:rsid w:val="00B60028"/>
    <w:rsid w:val="00B60AB6"/>
    <w:rsid w:val="00B60EC3"/>
    <w:rsid w:val="00B62252"/>
    <w:rsid w:val="00B62475"/>
    <w:rsid w:val="00B62C12"/>
    <w:rsid w:val="00B647CA"/>
    <w:rsid w:val="00B64A3E"/>
    <w:rsid w:val="00B64ACD"/>
    <w:rsid w:val="00B64FD8"/>
    <w:rsid w:val="00B655B7"/>
    <w:rsid w:val="00B66376"/>
    <w:rsid w:val="00B66D33"/>
    <w:rsid w:val="00B6773F"/>
    <w:rsid w:val="00B67D10"/>
    <w:rsid w:val="00B70EB3"/>
    <w:rsid w:val="00B722EA"/>
    <w:rsid w:val="00B7286D"/>
    <w:rsid w:val="00B72906"/>
    <w:rsid w:val="00B72BE1"/>
    <w:rsid w:val="00B73742"/>
    <w:rsid w:val="00B7525E"/>
    <w:rsid w:val="00B756A9"/>
    <w:rsid w:val="00B760FB"/>
    <w:rsid w:val="00B767AB"/>
    <w:rsid w:val="00B77239"/>
    <w:rsid w:val="00B7735A"/>
    <w:rsid w:val="00B801BA"/>
    <w:rsid w:val="00B80C2F"/>
    <w:rsid w:val="00B812D6"/>
    <w:rsid w:val="00B8180D"/>
    <w:rsid w:val="00B81994"/>
    <w:rsid w:val="00B821D6"/>
    <w:rsid w:val="00B83AF8"/>
    <w:rsid w:val="00B83C6D"/>
    <w:rsid w:val="00B84486"/>
    <w:rsid w:val="00B84930"/>
    <w:rsid w:val="00B84D5C"/>
    <w:rsid w:val="00B84DAD"/>
    <w:rsid w:val="00B84FA0"/>
    <w:rsid w:val="00B8508B"/>
    <w:rsid w:val="00B85AF6"/>
    <w:rsid w:val="00B85E01"/>
    <w:rsid w:val="00B866A8"/>
    <w:rsid w:val="00B87516"/>
    <w:rsid w:val="00B87D16"/>
    <w:rsid w:val="00B90A3D"/>
    <w:rsid w:val="00B910A1"/>
    <w:rsid w:val="00B92024"/>
    <w:rsid w:val="00B92E05"/>
    <w:rsid w:val="00B940F2"/>
    <w:rsid w:val="00B956ED"/>
    <w:rsid w:val="00B959F0"/>
    <w:rsid w:val="00B96189"/>
    <w:rsid w:val="00B9677B"/>
    <w:rsid w:val="00B97FA8"/>
    <w:rsid w:val="00BA0C6F"/>
    <w:rsid w:val="00BA194E"/>
    <w:rsid w:val="00BA2132"/>
    <w:rsid w:val="00BA2DA8"/>
    <w:rsid w:val="00BA2F30"/>
    <w:rsid w:val="00BA31DA"/>
    <w:rsid w:val="00BA347C"/>
    <w:rsid w:val="00BA3E54"/>
    <w:rsid w:val="00BA3EE7"/>
    <w:rsid w:val="00BA46A3"/>
    <w:rsid w:val="00BA4AC1"/>
    <w:rsid w:val="00BA5C9B"/>
    <w:rsid w:val="00BA63E3"/>
    <w:rsid w:val="00BA6B70"/>
    <w:rsid w:val="00BA7BF9"/>
    <w:rsid w:val="00BB120D"/>
    <w:rsid w:val="00BB1761"/>
    <w:rsid w:val="00BB20BF"/>
    <w:rsid w:val="00BB3469"/>
    <w:rsid w:val="00BB49DF"/>
    <w:rsid w:val="00BB5987"/>
    <w:rsid w:val="00BB5C49"/>
    <w:rsid w:val="00BB6240"/>
    <w:rsid w:val="00BB6285"/>
    <w:rsid w:val="00BB676D"/>
    <w:rsid w:val="00BB69F5"/>
    <w:rsid w:val="00BB7A61"/>
    <w:rsid w:val="00BB7D01"/>
    <w:rsid w:val="00BB7D08"/>
    <w:rsid w:val="00BB7D41"/>
    <w:rsid w:val="00BB7DAD"/>
    <w:rsid w:val="00BB7EC3"/>
    <w:rsid w:val="00BC05C2"/>
    <w:rsid w:val="00BC171C"/>
    <w:rsid w:val="00BC205E"/>
    <w:rsid w:val="00BC214B"/>
    <w:rsid w:val="00BC25EE"/>
    <w:rsid w:val="00BC2CDE"/>
    <w:rsid w:val="00BC32EC"/>
    <w:rsid w:val="00BC3AC5"/>
    <w:rsid w:val="00BC45C0"/>
    <w:rsid w:val="00BC470E"/>
    <w:rsid w:val="00BC4B9A"/>
    <w:rsid w:val="00BC52E0"/>
    <w:rsid w:val="00BC5E20"/>
    <w:rsid w:val="00BC7287"/>
    <w:rsid w:val="00BC74CB"/>
    <w:rsid w:val="00BC7556"/>
    <w:rsid w:val="00BC7B1E"/>
    <w:rsid w:val="00BD02C3"/>
    <w:rsid w:val="00BD0320"/>
    <w:rsid w:val="00BD1227"/>
    <w:rsid w:val="00BD3E47"/>
    <w:rsid w:val="00BD4360"/>
    <w:rsid w:val="00BD52A5"/>
    <w:rsid w:val="00BD6787"/>
    <w:rsid w:val="00BD695B"/>
    <w:rsid w:val="00BD6B15"/>
    <w:rsid w:val="00BD6FDB"/>
    <w:rsid w:val="00BD7298"/>
    <w:rsid w:val="00BD7483"/>
    <w:rsid w:val="00BD761F"/>
    <w:rsid w:val="00BD784C"/>
    <w:rsid w:val="00BD7D57"/>
    <w:rsid w:val="00BE020A"/>
    <w:rsid w:val="00BE13DF"/>
    <w:rsid w:val="00BE210C"/>
    <w:rsid w:val="00BE2422"/>
    <w:rsid w:val="00BE25D7"/>
    <w:rsid w:val="00BE3810"/>
    <w:rsid w:val="00BE38F0"/>
    <w:rsid w:val="00BE3FC5"/>
    <w:rsid w:val="00BF092C"/>
    <w:rsid w:val="00BF27A0"/>
    <w:rsid w:val="00BF2DC1"/>
    <w:rsid w:val="00BF3745"/>
    <w:rsid w:val="00BF4400"/>
    <w:rsid w:val="00BF47D4"/>
    <w:rsid w:val="00BF4CB6"/>
    <w:rsid w:val="00BF584C"/>
    <w:rsid w:val="00BF5896"/>
    <w:rsid w:val="00BF5A2A"/>
    <w:rsid w:val="00BF759E"/>
    <w:rsid w:val="00C0029E"/>
    <w:rsid w:val="00C00880"/>
    <w:rsid w:val="00C00DA7"/>
    <w:rsid w:val="00C00E61"/>
    <w:rsid w:val="00C022B4"/>
    <w:rsid w:val="00C032D3"/>
    <w:rsid w:val="00C0338D"/>
    <w:rsid w:val="00C03977"/>
    <w:rsid w:val="00C03E8C"/>
    <w:rsid w:val="00C04CDE"/>
    <w:rsid w:val="00C052B5"/>
    <w:rsid w:val="00C056D0"/>
    <w:rsid w:val="00C068A6"/>
    <w:rsid w:val="00C10640"/>
    <w:rsid w:val="00C10EC6"/>
    <w:rsid w:val="00C12768"/>
    <w:rsid w:val="00C127C6"/>
    <w:rsid w:val="00C12D70"/>
    <w:rsid w:val="00C1346D"/>
    <w:rsid w:val="00C13DDC"/>
    <w:rsid w:val="00C148FD"/>
    <w:rsid w:val="00C15B12"/>
    <w:rsid w:val="00C16724"/>
    <w:rsid w:val="00C16985"/>
    <w:rsid w:val="00C169A0"/>
    <w:rsid w:val="00C173CF"/>
    <w:rsid w:val="00C17791"/>
    <w:rsid w:val="00C177A4"/>
    <w:rsid w:val="00C212D9"/>
    <w:rsid w:val="00C21B09"/>
    <w:rsid w:val="00C21E9F"/>
    <w:rsid w:val="00C220A0"/>
    <w:rsid w:val="00C22622"/>
    <w:rsid w:val="00C23108"/>
    <w:rsid w:val="00C23684"/>
    <w:rsid w:val="00C23E23"/>
    <w:rsid w:val="00C2559D"/>
    <w:rsid w:val="00C25F0A"/>
    <w:rsid w:val="00C2673A"/>
    <w:rsid w:val="00C26E48"/>
    <w:rsid w:val="00C26EA6"/>
    <w:rsid w:val="00C2771B"/>
    <w:rsid w:val="00C27B58"/>
    <w:rsid w:val="00C30A60"/>
    <w:rsid w:val="00C31719"/>
    <w:rsid w:val="00C32CEC"/>
    <w:rsid w:val="00C33170"/>
    <w:rsid w:val="00C33186"/>
    <w:rsid w:val="00C33D1A"/>
    <w:rsid w:val="00C33F24"/>
    <w:rsid w:val="00C34510"/>
    <w:rsid w:val="00C34897"/>
    <w:rsid w:val="00C34FCD"/>
    <w:rsid w:val="00C35996"/>
    <w:rsid w:val="00C364F2"/>
    <w:rsid w:val="00C3681E"/>
    <w:rsid w:val="00C37BA3"/>
    <w:rsid w:val="00C411DB"/>
    <w:rsid w:val="00C41546"/>
    <w:rsid w:val="00C418EE"/>
    <w:rsid w:val="00C42F0A"/>
    <w:rsid w:val="00C43044"/>
    <w:rsid w:val="00C45483"/>
    <w:rsid w:val="00C457F1"/>
    <w:rsid w:val="00C45F01"/>
    <w:rsid w:val="00C46893"/>
    <w:rsid w:val="00C4747E"/>
    <w:rsid w:val="00C476E2"/>
    <w:rsid w:val="00C50990"/>
    <w:rsid w:val="00C5151E"/>
    <w:rsid w:val="00C5161D"/>
    <w:rsid w:val="00C51D3F"/>
    <w:rsid w:val="00C5342C"/>
    <w:rsid w:val="00C53B2B"/>
    <w:rsid w:val="00C54FB8"/>
    <w:rsid w:val="00C5550E"/>
    <w:rsid w:val="00C56943"/>
    <w:rsid w:val="00C57465"/>
    <w:rsid w:val="00C57656"/>
    <w:rsid w:val="00C57736"/>
    <w:rsid w:val="00C57ED3"/>
    <w:rsid w:val="00C60272"/>
    <w:rsid w:val="00C603D4"/>
    <w:rsid w:val="00C607CC"/>
    <w:rsid w:val="00C61A27"/>
    <w:rsid w:val="00C6256A"/>
    <w:rsid w:val="00C626F8"/>
    <w:rsid w:val="00C63A33"/>
    <w:rsid w:val="00C63F9E"/>
    <w:rsid w:val="00C6454F"/>
    <w:rsid w:val="00C64953"/>
    <w:rsid w:val="00C64EBC"/>
    <w:rsid w:val="00C6538A"/>
    <w:rsid w:val="00C6546D"/>
    <w:rsid w:val="00C65969"/>
    <w:rsid w:val="00C66452"/>
    <w:rsid w:val="00C664D2"/>
    <w:rsid w:val="00C7012B"/>
    <w:rsid w:val="00C709AB"/>
    <w:rsid w:val="00C710E2"/>
    <w:rsid w:val="00C712A7"/>
    <w:rsid w:val="00C7159B"/>
    <w:rsid w:val="00C71C3F"/>
    <w:rsid w:val="00C71D49"/>
    <w:rsid w:val="00C73EEB"/>
    <w:rsid w:val="00C73F5C"/>
    <w:rsid w:val="00C7409E"/>
    <w:rsid w:val="00C74A74"/>
    <w:rsid w:val="00C74D6D"/>
    <w:rsid w:val="00C74ED7"/>
    <w:rsid w:val="00C76657"/>
    <w:rsid w:val="00C76E76"/>
    <w:rsid w:val="00C76F31"/>
    <w:rsid w:val="00C771A8"/>
    <w:rsid w:val="00C77891"/>
    <w:rsid w:val="00C815E5"/>
    <w:rsid w:val="00C8248B"/>
    <w:rsid w:val="00C82757"/>
    <w:rsid w:val="00C829A9"/>
    <w:rsid w:val="00C8591D"/>
    <w:rsid w:val="00C85D54"/>
    <w:rsid w:val="00C85FD8"/>
    <w:rsid w:val="00C8669C"/>
    <w:rsid w:val="00C87B80"/>
    <w:rsid w:val="00C87FC6"/>
    <w:rsid w:val="00C91243"/>
    <w:rsid w:val="00C91449"/>
    <w:rsid w:val="00C92D10"/>
    <w:rsid w:val="00C932BB"/>
    <w:rsid w:val="00C9507D"/>
    <w:rsid w:val="00C9508B"/>
    <w:rsid w:val="00C95A37"/>
    <w:rsid w:val="00C95C67"/>
    <w:rsid w:val="00C95E53"/>
    <w:rsid w:val="00C97F93"/>
    <w:rsid w:val="00CA00E0"/>
    <w:rsid w:val="00CA183B"/>
    <w:rsid w:val="00CA18F7"/>
    <w:rsid w:val="00CA208C"/>
    <w:rsid w:val="00CA4870"/>
    <w:rsid w:val="00CA48D9"/>
    <w:rsid w:val="00CA555F"/>
    <w:rsid w:val="00CA55C4"/>
    <w:rsid w:val="00CA5637"/>
    <w:rsid w:val="00CA571D"/>
    <w:rsid w:val="00CA5740"/>
    <w:rsid w:val="00CA7055"/>
    <w:rsid w:val="00CA7FF9"/>
    <w:rsid w:val="00CB08B0"/>
    <w:rsid w:val="00CB0DE3"/>
    <w:rsid w:val="00CB1193"/>
    <w:rsid w:val="00CB1C54"/>
    <w:rsid w:val="00CB1CC5"/>
    <w:rsid w:val="00CB2A9F"/>
    <w:rsid w:val="00CB3EDE"/>
    <w:rsid w:val="00CB42D7"/>
    <w:rsid w:val="00CB4767"/>
    <w:rsid w:val="00CB493D"/>
    <w:rsid w:val="00CB53FE"/>
    <w:rsid w:val="00CB6E0B"/>
    <w:rsid w:val="00CB7012"/>
    <w:rsid w:val="00CC203E"/>
    <w:rsid w:val="00CC23CF"/>
    <w:rsid w:val="00CC2B56"/>
    <w:rsid w:val="00CC3364"/>
    <w:rsid w:val="00CC3B97"/>
    <w:rsid w:val="00CC3CA3"/>
    <w:rsid w:val="00CC4B43"/>
    <w:rsid w:val="00CC7180"/>
    <w:rsid w:val="00CC7DE6"/>
    <w:rsid w:val="00CC7F81"/>
    <w:rsid w:val="00CD0AC7"/>
    <w:rsid w:val="00CD3EAC"/>
    <w:rsid w:val="00CD5005"/>
    <w:rsid w:val="00CD5577"/>
    <w:rsid w:val="00CD7C0B"/>
    <w:rsid w:val="00CD7CB5"/>
    <w:rsid w:val="00CD7EC1"/>
    <w:rsid w:val="00CE054C"/>
    <w:rsid w:val="00CE0869"/>
    <w:rsid w:val="00CE09F6"/>
    <w:rsid w:val="00CE10C4"/>
    <w:rsid w:val="00CE176A"/>
    <w:rsid w:val="00CE27B5"/>
    <w:rsid w:val="00CE2A52"/>
    <w:rsid w:val="00CE39AA"/>
    <w:rsid w:val="00CE5824"/>
    <w:rsid w:val="00CE5B91"/>
    <w:rsid w:val="00CE69E3"/>
    <w:rsid w:val="00CE6A2E"/>
    <w:rsid w:val="00CE6DAF"/>
    <w:rsid w:val="00CE7B48"/>
    <w:rsid w:val="00CF066B"/>
    <w:rsid w:val="00CF073F"/>
    <w:rsid w:val="00CF0885"/>
    <w:rsid w:val="00CF34A6"/>
    <w:rsid w:val="00CF410A"/>
    <w:rsid w:val="00CF6074"/>
    <w:rsid w:val="00CF61A5"/>
    <w:rsid w:val="00CF6AA0"/>
    <w:rsid w:val="00CF777E"/>
    <w:rsid w:val="00CF7FA1"/>
    <w:rsid w:val="00D009AE"/>
    <w:rsid w:val="00D0100A"/>
    <w:rsid w:val="00D0145F"/>
    <w:rsid w:val="00D020B8"/>
    <w:rsid w:val="00D02451"/>
    <w:rsid w:val="00D0321E"/>
    <w:rsid w:val="00D03F72"/>
    <w:rsid w:val="00D042EF"/>
    <w:rsid w:val="00D04F92"/>
    <w:rsid w:val="00D0585A"/>
    <w:rsid w:val="00D05B34"/>
    <w:rsid w:val="00D05D2D"/>
    <w:rsid w:val="00D069EB"/>
    <w:rsid w:val="00D06C88"/>
    <w:rsid w:val="00D07A8A"/>
    <w:rsid w:val="00D07FAE"/>
    <w:rsid w:val="00D1025B"/>
    <w:rsid w:val="00D1028A"/>
    <w:rsid w:val="00D11199"/>
    <w:rsid w:val="00D12E46"/>
    <w:rsid w:val="00D143F2"/>
    <w:rsid w:val="00D1455A"/>
    <w:rsid w:val="00D146DD"/>
    <w:rsid w:val="00D14A70"/>
    <w:rsid w:val="00D1575B"/>
    <w:rsid w:val="00D158DB"/>
    <w:rsid w:val="00D1706E"/>
    <w:rsid w:val="00D17683"/>
    <w:rsid w:val="00D2001C"/>
    <w:rsid w:val="00D20071"/>
    <w:rsid w:val="00D22093"/>
    <w:rsid w:val="00D22874"/>
    <w:rsid w:val="00D22F59"/>
    <w:rsid w:val="00D24DE9"/>
    <w:rsid w:val="00D2558B"/>
    <w:rsid w:val="00D25B5C"/>
    <w:rsid w:val="00D26E15"/>
    <w:rsid w:val="00D3000B"/>
    <w:rsid w:val="00D30063"/>
    <w:rsid w:val="00D30360"/>
    <w:rsid w:val="00D30704"/>
    <w:rsid w:val="00D31150"/>
    <w:rsid w:val="00D3138B"/>
    <w:rsid w:val="00D31D44"/>
    <w:rsid w:val="00D31FCE"/>
    <w:rsid w:val="00D3280C"/>
    <w:rsid w:val="00D3297F"/>
    <w:rsid w:val="00D32EF0"/>
    <w:rsid w:val="00D334E8"/>
    <w:rsid w:val="00D34011"/>
    <w:rsid w:val="00D3406A"/>
    <w:rsid w:val="00D35075"/>
    <w:rsid w:val="00D3561E"/>
    <w:rsid w:val="00D364D8"/>
    <w:rsid w:val="00D37256"/>
    <w:rsid w:val="00D37629"/>
    <w:rsid w:val="00D37E32"/>
    <w:rsid w:val="00D37EB4"/>
    <w:rsid w:val="00D400A6"/>
    <w:rsid w:val="00D40479"/>
    <w:rsid w:val="00D40570"/>
    <w:rsid w:val="00D40B11"/>
    <w:rsid w:val="00D40B53"/>
    <w:rsid w:val="00D40C29"/>
    <w:rsid w:val="00D4128D"/>
    <w:rsid w:val="00D41E25"/>
    <w:rsid w:val="00D429EC"/>
    <w:rsid w:val="00D432AE"/>
    <w:rsid w:val="00D43F05"/>
    <w:rsid w:val="00D441F1"/>
    <w:rsid w:val="00D44212"/>
    <w:rsid w:val="00D4572C"/>
    <w:rsid w:val="00D45BE9"/>
    <w:rsid w:val="00D469B2"/>
    <w:rsid w:val="00D46FDA"/>
    <w:rsid w:val="00D5038D"/>
    <w:rsid w:val="00D51890"/>
    <w:rsid w:val="00D525B7"/>
    <w:rsid w:val="00D531D5"/>
    <w:rsid w:val="00D536C4"/>
    <w:rsid w:val="00D53B8B"/>
    <w:rsid w:val="00D5418E"/>
    <w:rsid w:val="00D545CD"/>
    <w:rsid w:val="00D54B09"/>
    <w:rsid w:val="00D54DFC"/>
    <w:rsid w:val="00D5566E"/>
    <w:rsid w:val="00D56142"/>
    <w:rsid w:val="00D5651C"/>
    <w:rsid w:val="00D56EED"/>
    <w:rsid w:val="00D573A6"/>
    <w:rsid w:val="00D60FE2"/>
    <w:rsid w:val="00D61314"/>
    <w:rsid w:val="00D6243E"/>
    <w:rsid w:val="00D62EE6"/>
    <w:rsid w:val="00D63DBF"/>
    <w:rsid w:val="00D63F6A"/>
    <w:rsid w:val="00D64E90"/>
    <w:rsid w:val="00D64F89"/>
    <w:rsid w:val="00D65658"/>
    <w:rsid w:val="00D67E86"/>
    <w:rsid w:val="00D67E9B"/>
    <w:rsid w:val="00D67EB2"/>
    <w:rsid w:val="00D7090B"/>
    <w:rsid w:val="00D70C66"/>
    <w:rsid w:val="00D70D13"/>
    <w:rsid w:val="00D7118B"/>
    <w:rsid w:val="00D712F0"/>
    <w:rsid w:val="00D717B2"/>
    <w:rsid w:val="00D723B0"/>
    <w:rsid w:val="00D72B6F"/>
    <w:rsid w:val="00D741EB"/>
    <w:rsid w:val="00D745BB"/>
    <w:rsid w:val="00D75064"/>
    <w:rsid w:val="00D755CA"/>
    <w:rsid w:val="00D75730"/>
    <w:rsid w:val="00D76146"/>
    <w:rsid w:val="00D7679C"/>
    <w:rsid w:val="00D800AF"/>
    <w:rsid w:val="00D81C21"/>
    <w:rsid w:val="00D820F3"/>
    <w:rsid w:val="00D82136"/>
    <w:rsid w:val="00D83605"/>
    <w:rsid w:val="00D844FB"/>
    <w:rsid w:val="00D84934"/>
    <w:rsid w:val="00D86507"/>
    <w:rsid w:val="00D866EB"/>
    <w:rsid w:val="00D87173"/>
    <w:rsid w:val="00D875AD"/>
    <w:rsid w:val="00D87D1A"/>
    <w:rsid w:val="00D87E41"/>
    <w:rsid w:val="00D87F7F"/>
    <w:rsid w:val="00D90A0B"/>
    <w:rsid w:val="00D91271"/>
    <w:rsid w:val="00D919F5"/>
    <w:rsid w:val="00D92130"/>
    <w:rsid w:val="00D93891"/>
    <w:rsid w:val="00D93C5B"/>
    <w:rsid w:val="00D94315"/>
    <w:rsid w:val="00D945F6"/>
    <w:rsid w:val="00D94F03"/>
    <w:rsid w:val="00D94FE8"/>
    <w:rsid w:val="00D95139"/>
    <w:rsid w:val="00D95161"/>
    <w:rsid w:val="00D953AC"/>
    <w:rsid w:val="00D9562F"/>
    <w:rsid w:val="00D95D7C"/>
    <w:rsid w:val="00DA0036"/>
    <w:rsid w:val="00DA0A82"/>
    <w:rsid w:val="00DA0D14"/>
    <w:rsid w:val="00DA1FC9"/>
    <w:rsid w:val="00DA2083"/>
    <w:rsid w:val="00DA2AD3"/>
    <w:rsid w:val="00DA2CB5"/>
    <w:rsid w:val="00DA30F1"/>
    <w:rsid w:val="00DA4BAC"/>
    <w:rsid w:val="00DA4FE9"/>
    <w:rsid w:val="00DA616A"/>
    <w:rsid w:val="00DA62F5"/>
    <w:rsid w:val="00DA66E9"/>
    <w:rsid w:val="00DA6986"/>
    <w:rsid w:val="00DA69CD"/>
    <w:rsid w:val="00DA7052"/>
    <w:rsid w:val="00DA782F"/>
    <w:rsid w:val="00DA7B67"/>
    <w:rsid w:val="00DB0151"/>
    <w:rsid w:val="00DB0ABC"/>
    <w:rsid w:val="00DB0CAB"/>
    <w:rsid w:val="00DB1945"/>
    <w:rsid w:val="00DB3D9D"/>
    <w:rsid w:val="00DB3E6A"/>
    <w:rsid w:val="00DB50E1"/>
    <w:rsid w:val="00DB5202"/>
    <w:rsid w:val="00DB74AB"/>
    <w:rsid w:val="00DC0514"/>
    <w:rsid w:val="00DC0566"/>
    <w:rsid w:val="00DC0A64"/>
    <w:rsid w:val="00DC1499"/>
    <w:rsid w:val="00DC17E2"/>
    <w:rsid w:val="00DC197C"/>
    <w:rsid w:val="00DC2C3E"/>
    <w:rsid w:val="00DC3137"/>
    <w:rsid w:val="00DC3939"/>
    <w:rsid w:val="00DC39D9"/>
    <w:rsid w:val="00DC3C0B"/>
    <w:rsid w:val="00DC4880"/>
    <w:rsid w:val="00DC64B4"/>
    <w:rsid w:val="00DC6A44"/>
    <w:rsid w:val="00DC6F90"/>
    <w:rsid w:val="00DC71E2"/>
    <w:rsid w:val="00DD0F62"/>
    <w:rsid w:val="00DD13D1"/>
    <w:rsid w:val="00DD20BF"/>
    <w:rsid w:val="00DD2573"/>
    <w:rsid w:val="00DD31DA"/>
    <w:rsid w:val="00DD42AB"/>
    <w:rsid w:val="00DD4C60"/>
    <w:rsid w:val="00DD517D"/>
    <w:rsid w:val="00DD5639"/>
    <w:rsid w:val="00DD6DA6"/>
    <w:rsid w:val="00DD73C7"/>
    <w:rsid w:val="00DE06A1"/>
    <w:rsid w:val="00DE06AF"/>
    <w:rsid w:val="00DE0B5D"/>
    <w:rsid w:val="00DE0FDA"/>
    <w:rsid w:val="00DE20C7"/>
    <w:rsid w:val="00DE2A31"/>
    <w:rsid w:val="00DE2B3A"/>
    <w:rsid w:val="00DE2C95"/>
    <w:rsid w:val="00DE4710"/>
    <w:rsid w:val="00DE5092"/>
    <w:rsid w:val="00DE6703"/>
    <w:rsid w:val="00DE6D27"/>
    <w:rsid w:val="00DE6F6B"/>
    <w:rsid w:val="00DE7183"/>
    <w:rsid w:val="00DE738C"/>
    <w:rsid w:val="00DF01F8"/>
    <w:rsid w:val="00DF021D"/>
    <w:rsid w:val="00DF0A5A"/>
    <w:rsid w:val="00DF193D"/>
    <w:rsid w:val="00DF217D"/>
    <w:rsid w:val="00DF24C8"/>
    <w:rsid w:val="00DF26A7"/>
    <w:rsid w:val="00DF2AA9"/>
    <w:rsid w:val="00DF3277"/>
    <w:rsid w:val="00DF4598"/>
    <w:rsid w:val="00DF4821"/>
    <w:rsid w:val="00DF59BB"/>
    <w:rsid w:val="00DF6FAF"/>
    <w:rsid w:val="00DF70A2"/>
    <w:rsid w:val="00DF7721"/>
    <w:rsid w:val="00DF77A1"/>
    <w:rsid w:val="00DF78C2"/>
    <w:rsid w:val="00DF7919"/>
    <w:rsid w:val="00E00965"/>
    <w:rsid w:val="00E00A16"/>
    <w:rsid w:val="00E0157C"/>
    <w:rsid w:val="00E0207E"/>
    <w:rsid w:val="00E02363"/>
    <w:rsid w:val="00E02AE6"/>
    <w:rsid w:val="00E03560"/>
    <w:rsid w:val="00E03912"/>
    <w:rsid w:val="00E03DF9"/>
    <w:rsid w:val="00E042F7"/>
    <w:rsid w:val="00E04358"/>
    <w:rsid w:val="00E04748"/>
    <w:rsid w:val="00E04A04"/>
    <w:rsid w:val="00E05FF8"/>
    <w:rsid w:val="00E0633D"/>
    <w:rsid w:val="00E078D9"/>
    <w:rsid w:val="00E1005B"/>
    <w:rsid w:val="00E10293"/>
    <w:rsid w:val="00E103A0"/>
    <w:rsid w:val="00E11339"/>
    <w:rsid w:val="00E11416"/>
    <w:rsid w:val="00E1148C"/>
    <w:rsid w:val="00E117B2"/>
    <w:rsid w:val="00E1191B"/>
    <w:rsid w:val="00E11BEE"/>
    <w:rsid w:val="00E12428"/>
    <w:rsid w:val="00E1319A"/>
    <w:rsid w:val="00E1343E"/>
    <w:rsid w:val="00E13ADC"/>
    <w:rsid w:val="00E13CC6"/>
    <w:rsid w:val="00E13E60"/>
    <w:rsid w:val="00E140A2"/>
    <w:rsid w:val="00E14A75"/>
    <w:rsid w:val="00E15627"/>
    <w:rsid w:val="00E15ACE"/>
    <w:rsid w:val="00E161EF"/>
    <w:rsid w:val="00E164B3"/>
    <w:rsid w:val="00E16910"/>
    <w:rsid w:val="00E169E2"/>
    <w:rsid w:val="00E16C00"/>
    <w:rsid w:val="00E16F2C"/>
    <w:rsid w:val="00E17E42"/>
    <w:rsid w:val="00E20B49"/>
    <w:rsid w:val="00E22BEA"/>
    <w:rsid w:val="00E239E2"/>
    <w:rsid w:val="00E24488"/>
    <w:rsid w:val="00E24E09"/>
    <w:rsid w:val="00E252E9"/>
    <w:rsid w:val="00E2625B"/>
    <w:rsid w:val="00E26C09"/>
    <w:rsid w:val="00E26EE0"/>
    <w:rsid w:val="00E27234"/>
    <w:rsid w:val="00E2754B"/>
    <w:rsid w:val="00E30DC3"/>
    <w:rsid w:val="00E3264F"/>
    <w:rsid w:val="00E32790"/>
    <w:rsid w:val="00E334AC"/>
    <w:rsid w:val="00E340CB"/>
    <w:rsid w:val="00E348DE"/>
    <w:rsid w:val="00E3495C"/>
    <w:rsid w:val="00E3501F"/>
    <w:rsid w:val="00E35162"/>
    <w:rsid w:val="00E35E15"/>
    <w:rsid w:val="00E36B94"/>
    <w:rsid w:val="00E40056"/>
    <w:rsid w:val="00E422B9"/>
    <w:rsid w:val="00E42BDB"/>
    <w:rsid w:val="00E439A7"/>
    <w:rsid w:val="00E447E0"/>
    <w:rsid w:val="00E46668"/>
    <w:rsid w:val="00E46887"/>
    <w:rsid w:val="00E46ACF"/>
    <w:rsid w:val="00E46BEC"/>
    <w:rsid w:val="00E503B7"/>
    <w:rsid w:val="00E51366"/>
    <w:rsid w:val="00E55668"/>
    <w:rsid w:val="00E5726D"/>
    <w:rsid w:val="00E577B7"/>
    <w:rsid w:val="00E57EEB"/>
    <w:rsid w:val="00E610B6"/>
    <w:rsid w:val="00E615ED"/>
    <w:rsid w:val="00E62BCE"/>
    <w:rsid w:val="00E62D94"/>
    <w:rsid w:val="00E63CA9"/>
    <w:rsid w:val="00E63D73"/>
    <w:rsid w:val="00E64A9C"/>
    <w:rsid w:val="00E64F37"/>
    <w:rsid w:val="00E65091"/>
    <w:rsid w:val="00E65E54"/>
    <w:rsid w:val="00E661C7"/>
    <w:rsid w:val="00E67347"/>
    <w:rsid w:val="00E67DC6"/>
    <w:rsid w:val="00E67F5D"/>
    <w:rsid w:val="00E67F85"/>
    <w:rsid w:val="00E713EB"/>
    <w:rsid w:val="00E71FFC"/>
    <w:rsid w:val="00E72005"/>
    <w:rsid w:val="00E743DD"/>
    <w:rsid w:val="00E74E41"/>
    <w:rsid w:val="00E75306"/>
    <w:rsid w:val="00E75DF7"/>
    <w:rsid w:val="00E7617D"/>
    <w:rsid w:val="00E76ABB"/>
    <w:rsid w:val="00E76B80"/>
    <w:rsid w:val="00E776C1"/>
    <w:rsid w:val="00E7793D"/>
    <w:rsid w:val="00E80155"/>
    <w:rsid w:val="00E8134B"/>
    <w:rsid w:val="00E819F8"/>
    <w:rsid w:val="00E81E0D"/>
    <w:rsid w:val="00E81F28"/>
    <w:rsid w:val="00E82DF8"/>
    <w:rsid w:val="00E8374A"/>
    <w:rsid w:val="00E848C0"/>
    <w:rsid w:val="00E858E7"/>
    <w:rsid w:val="00E86003"/>
    <w:rsid w:val="00E862E3"/>
    <w:rsid w:val="00E86870"/>
    <w:rsid w:val="00E86992"/>
    <w:rsid w:val="00E87F54"/>
    <w:rsid w:val="00E91B96"/>
    <w:rsid w:val="00E92C68"/>
    <w:rsid w:val="00E92D3D"/>
    <w:rsid w:val="00E92EC2"/>
    <w:rsid w:val="00E931F0"/>
    <w:rsid w:val="00E935DA"/>
    <w:rsid w:val="00E93A9F"/>
    <w:rsid w:val="00E93D1E"/>
    <w:rsid w:val="00E941A1"/>
    <w:rsid w:val="00E95CE3"/>
    <w:rsid w:val="00E96463"/>
    <w:rsid w:val="00E97EE8"/>
    <w:rsid w:val="00EA0828"/>
    <w:rsid w:val="00EA0856"/>
    <w:rsid w:val="00EA0DB2"/>
    <w:rsid w:val="00EA1B02"/>
    <w:rsid w:val="00EA252F"/>
    <w:rsid w:val="00EA2825"/>
    <w:rsid w:val="00EA37AE"/>
    <w:rsid w:val="00EA3F60"/>
    <w:rsid w:val="00EA4148"/>
    <w:rsid w:val="00EA4DAA"/>
    <w:rsid w:val="00EA4ED6"/>
    <w:rsid w:val="00EA50A2"/>
    <w:rsid w:val="00EA584F"/>
    <w:rsid w:val="00EA5D9E"/>
    <w:rsid w:val="00EA5FB8"/>
    <w:rsid w:val="00EA6518"/>
    <w:rsid w:val="00EA6F6A"/>
    <w:rsid w:val="00EA71A2"/>
    <w:rsid w:val="00EA7200"/>
    <w:rsid w:val="00EA7466"/>
    <w:rsid w:val="00EA7EDE"/>
    <w:rsid w:val="00EB0B63"/>
    <w:rsid w:val="00EB1936"/>
    <w:rsid w:val="00EB212B"/>
    <w:rsid w:val="00EB21BA"/>
    <w:rsid w:val="00EB3545"/>
    <w:rsid w:val="00EB37BE"/>
    <w:rsid w:val="00EB5088"/>
    <w:rsid w:val="00EB5860"/>
    <w:rsid w:val="00EB6DF4"/>
    <w:rsid w:val="00EB77B7"/>
    <w:rsid w:val="00EB7F39"/>
    <w:rsid w:val="00EC015A"/>
    <w:rsid w:val="00EC0241"/>
    <w:rsid w:val="00EC0D98"/>
    <w:rsid w:val="00EC0E00"/>
    <w:rsid w:val="00EC2726"/>
    <w:rsid w:val="00EC3C44"/>
    <w:rsid w:val="00EC44AC"/>
    <w:rsid w:val="00EC48A2"/>
    <w:rsid w:val="00EC6709"/>
    <w:rsid w:val="00EC69B7"/>
    <w:rsid w:val="00EC6AA0"/>
    <w:rsid w:val="00EC6C94"/>
    <w:rsid w:val="00EC74A9"/>
    <w:rsid w:val="00ED0206"/>
    <w:rsid w:val="00ED10D8"/>
    <w:rsid w:val="00ED1644"/>
    <w:rsid w:val="00ED1AC3"/>
    <w:rsid w:val="00ED2593"/>
    <w:rsid w:val="00ED28C5"/>
    <w:rsid w:val="00ED50B2"/>
    <w:rsid w:val="00ED5233"/>
    <w:rsid w:val="00ED68EF"/>
    <w:rsid w:val="00ED7D55"/>
    <w:rsid w:val="00ED7D9C"/>
    <w:rsid w:val="00EE026E"/>
    <w:rsid w:val="00EE05BD"/>
    <w:rsid w:val="00EE216E"/>
    <w:rsid w:val="00EE2549"/>
    <w:rsid w:val="00EE2AD0"/>
    <w:rsid w:val="00EE2B0B"/>
    <w:rsid w:val="00EE31A2"/>
    <w:rsid w:val="00EE4B7F"/>
    <w:rsid w:val="00EE5B65"/>
    <w:rsid w:val="00EE69EE"/>
    <w:rsid w:val="00EE7EB0"/>
    <w:rsid w:val="00EF0069"/>
    <w:rsid w:val="00EF0A1F"/>
    <w:rsid w:val="00EF11AA"/>
    <w:rsid w:val="00EF14C4"/>
    <w:rsid w:val="00EF1B70"/>
    <w:rsid w:val="00EF250F"/>
    <w:rsid w:val="00EF26C9"/>
    <w:rsid w:val="00EF292A"/>
    <w:rsid w:val="00EF34B5"/>
    <w:rsid w:val="00EF368B"/>
    <w:rsid w:val="00EF3937"/>
    <w:rsid w:val="00EF3ED9"/>
    <w:rsid w:val="00EF44A0"/>
    <w:rsid w:val="00EF4580"/>
    <w:rsid w:val="00EF4636"/>
    <w:rsid w:val="00EF4FED"/>
    <w:rsid w:val="00EF5027"/>
    <w:rsid w:val="00EF5F45"/>
    <w:rsid w:val="00EF6843"/>
    <w:rsid w:val="00EF6856"/>
    <w:rsid w:val="00EF6FB3"/>
    <w:rsid w:val="00EF7CF9"/>
    <w:rsid w:val="00F00692"/>
    <w:rsid w:val="00F007C6"/>
    <w:rsid w:val="00F0172E"/>
    <w:rsid w:val="00F02857"/>
    <w:rsid w:val="00F02E94"/>
    <w:rsid w:val="00F02F29"/>
    <w:rsid w:val="00F034EA"/>
    <w:rsid w:val="00F050BD"/>
    <w:rsid w:val="00F05562"/>
    <w:rsid w:val="00F05657"/>
    <w:rsid w:val="00F05AB0"/>
    <w:rsid w:val="00F05F9C"/>
    <w:rsid w:val="00F11E5A"/>
    <w:rsid w:val="00F1557E"/>
    <w:rsid w:val="00F1559A"/>
    <w:rsid w:val="00F157F8"/>
    <w:rsid w:val="00F15AA2"/>
    <w:rsid w:val="00F165D2"/>
    <w:rsid w:val="00F16A25"/>
    <w:rsid w:val="00F16B1D"/>
    <w:rsid w:val="00F16BBE"/>
    <w:rsid w:val="00F17ED6"/>
    <w:rsid w:val="00F20676"/>
    <w:rsid w:val="00F208DF"/>
    <w:rsid w:val="00F209E2"/>
    <w:rsid w:val="00F20A6A"/>
    <w:rsid w:val="00F216B6"/>
    <w:rsid w:val="00F216D7"/>
    <w:rsid w:val="00F21EFC"/>
    <w:rsid w:val="00F22931"/>
    <w:rsid w:val="00F23E55"/>
    <w:rsid w:val="00F25578"/>
    <w:rsid w:val="00F258E5"/>
    <w:rsid w:val="00F25B9C"/>
    <w:rsid w:val="00F2675A"/>
    <w:rsid w:val="00F26CC6"/>
    <w:rsid w:val="00F27925"/>
    <w:rsid w:val="00F27BF4"/>
    <w:rsid w:val="00F27FE5"/>
    <w:rsid w:val="00F300BC"/>
    <w:rsid w:val="00F30B4D"/>
    <w:rsid w:val="00F30DDF"/>
    <w:rsid w:val="00F30EB2"/>
    <w:rsid w:val="00F31155"/>
    <w:rsid w:val="00F31A4C"/>
    <w:rsid w:val="00F3263C"/>
    <w:rsid w:val="00F32A60"/>
    <w:rsid w:val="00F3334E"/>
    <w:rsid w:val="00F34B12"/>
    <w:rsid w:val="00F34CF8"/>
    <w:rsid w:val="00F35097"/>
    <w:rsid w:val="00F35FE6"/>
    <w:rsid w:val="00F36138"/>
    <w:rsid w:val="00F36CCB"/>
    <w:rsid w:val="00F36FB8"/>
    <w:rsid w:val="00F37110"/>
    <w:rsid w:val="00F374E5"/>
    <w:rsid w:val="00F37B93"/>
    <w:rsid w:val="00F37BAD"/>
    <w:rsid w:val="00F37CFB"/>
    <w:rsid w:val="00F37ECA"/>
    <w:rsid w:val="00F405F3"/>
    <w:rsid w:val="00F40A1C"/>
    <w:rsid w:val="00F40E9B"/>
    <w:rsid w:val="00F411A2"/>
    <w:rsid w:val="00F42F29"/>
    <w:rsid w:val="00F43187"/>
    <w:rsid w:val="00F432FB"/>
    <w:rsid w:val="00F43AF2"/>
    <w:rsid w:val="00F45216"/>
    <w:rsid w:val="00F461FD"/>
    <w:rsid w:val="00F46912"/>
    <w:rsid w:val="00F470D9"/>
    <w:rsid w:val="00F47482"/>
    <w:rsid w:val="00F47F4D"/>
    <w:rsid w:val="00F5007E"/>
    <w:rsid w:val="00F50EC4"/>
    <w:rsid w:val="00F5176A"/>
    <w:rsid w:val="00F52232"/>
    <w:rsid w:val="00F52546"/>
    <w:rsid w:val="00F5275C"/>
    <w:rsid w:val="00F529B6"/>
    <w:rsid w:val="00F52DC2"/>
    <w:rsid w:val="00F5330E"/>
    <w:rsid w:val="00F53417"/>
    <w:rsid w:val="00F53659"/>
    <w:rsid w:val="00F54175"/>
    <w:rsid w:val="00F5429E"/>
    <w:rsid w:val="00F5466A"/>
    <w:rsid w:val="00F550CF"/>
    <w:rsid w:val="00F5528F"/>
    <w:rsid w:val="00F553D2"/>
    <w:rsid w:val="00F5678B"/>
    <w:rsid w:val="00F57A6D"/>
    <w:rsid w:val="00F61212"/>
    <w:rsid w:val="00F62152"/>
    <w:rsid w:val="00F62F19"/>
    <w:rsid w:val="00F638CC"/>
    <w:rsid w:val="00F64377"/>
    <w:rsid w:val="00F64842"/>
    <w:rsid w:val="00F64C9E"/>
    <w:rsid w:val="00F64CC1"/>
    <w:rsid w:val="00F65327"/>
    <w:rsid w:val="00F65CD0"/>
    <w:rsid w:val="00F670DA"/>
    <w:rsid w:val="00F67767"/>
    <w:rsid w:val="00F708BF"/>
    <w:rsid w:val="00F71F71"/>
    <w:rsid w:val="00F72317"/>
    <w:rsid w:val="00F73DC1"/>
    <w:rsid w:val="00F7499A"/>
    <w:rsid w:val="00F75BB8"/>
    <w:rsid w:val="00F76A30"/>
    <w:rsid w:val="00F80475"/>
    <w:rsid w:val="00F806FE"/>
    <w:rsid w:val="00F81390"/>
    <w:rsid w:val="00F818F4"/>
    <w:rsid w:val="00F81918"/>
    <w:rsid w:val="00F81F7A"/>
    <w:rsid w:val="00F82048"/>
    <w:rsid w:val="00F8217D"/>
    <w:rsid w:val="00F8247A"/>
    <w:rsid w:val="00F82E5C"/>
    <w:rsid w:val="00F82FD3"/>
    <w:rsid w:val="00F83F4C"/>
    <w:rsid w:val="00F83F58"/>
    <w:rsid w:val="00F848DB"/>
    <w:rsid w:val="00F865E2"/>
    <w:rsid w:val="00F86F95"/>
    <w:rsid w:val="00F87AC1"/>
    <w:rsid w:val="00F87C0F"/>
    <w:rsid w:val="00F87C9B"/>
    <w:rsid w:val="00F87CEA"/>
    <w:rsid w:val="00F87D14"/>
    <w:rsid w:val="00F90F22"/>
    <w:rsid w:val="00F91385"/>
    <w:rsid w:val="00F92C65"/>
    <w:rsid w:val="00F92F97"/>
    <w:rsid w:val="00F9429D"/>
    <w:rsid w:val="00F953BD"/>
    <w:rsid w:val="00F9547C"/>
    <w:rsid w:val="00F95514"/>
    <w:rsid w:val="00F9562C"/>
    <w:rsid w:val="00F95982"/>
    <w:rsid w:val="00F95C23"/>
    <w:rsid w:val="00F9629A"/>
    <w:rsid w:val="00F97AD1"/>
    <w:rsid w:val="00F97EFC"/>
    <w:rsid w:val="00FA0C7C"/>
    <w:rsid w:val="00FA1744"/>
    <w:rsid w:val="00FA18C9"/>
    <w:rsid w:val="00FA1BDD"/>
    <w:rsid w:val="00FA2DC4"/>
    <w:rsid w:val="00FA305C"/>
    <w:rsid w:val="00FA34A7"/>
    <w:rsid w:val="00FA3792"/>
    <w:rsid w:val="00FA3C24"/>
    <w:rsid w:val="00FA462E"/>
    <w:rsid w:val="00FA4DD5"/>
    <w:rsid w:val="00FA52D0"/>
    <w:rsid w:val="00FA5332"/>
    <w:rsid w:val="00FA5883"/>
    <w:rsid w:val="00FA6055"/>
    <w:rsid w:val="00FA64B2"/>
    <w:rsid w:val="00FA6591"/>
    <w:rsid w:val="00FA69A7"/>
    <w:rsid w:val="00FA7838"/>
    <w:rsid w:val="00FB0B39"/>
    <w:rsid w:val="00FB0F8B"/>
    <w:rsid w:val="00FB2700"/>
    <w:rsid w:val="00FB31D1"/>
    <w:rsid w:val="00FB322F"/>
    <w:rsid w:val="00FB3657"/>
    <w:rsid w:val="00FB442F"/>
    <w:rsid w:val="00FB4CD3"/>
    <w:rsid w:val="00FB70AE"/>
    <w:rsid w:val="00FB7BE4"/>
    <w:rsid w:val="00FC118C"/>
    <w:rsid w:val="00FC1929"/>
    <w:rsid w:val="00FC1D86"/>
    <w:rsid w:val="00FC33BD"/>
    <w:rsid w:val="00FC3EA5"/>
    <w:rsid w:val="00FC47BF"/>
    <w:rsid w:val="00FC4E77"/>
    <w:rsid w:val="00FC51EB"/>
    <w:rsid w:val="00FC5B46"/>
    <w:rsid w:val="00FC72D6"/>
    <w:rsid w:val="00FD0A5F"/>
    <w:rsid w:val="00FD0E3D"/>
    <w:rsid w:val="00FD1053"/>
    <w:rsid w:val="00FD1161"/>
    <w:rsid w:val="00FD117B"/>
    <w:rsid w:val="00FD1D4F"/>
    <w:rsid w:val="00FD1FAE"/>
    <w:rsid w:val="00FD24BF"/>
    <w:rsid w:val="00FD3206"/>
    <w:rsid w:val="00FD36AA"/>
    <w:rsid w:val="00FD3B6E"/>
    <w:rsid w:val="00FD3F38"/>
    <w:rsid w:val="00FD44E1"/>
    <w:rsid w:val="00FD455F"/>
    <w:rsid w:val="00FD4AA0"/>
    <w:rsid w:val="00FD57EB"/>
    <w:rsid w:val="00FD5A62"/>
    <w:rsid w:val="00FD5C6D"/>
    <w:rsid w:val="00FD6511"/>
    <w:rsid w:val="00FD6D3C"/>
    <w:rsid w:val="00FD6D8E"/>
    <w:rsid w:val="00FE031D"/>
    <w:rsid w:val="00FE0663"/>
    <w:rsid w:val="00FE06FC"/>
    <w:rsid w:val="00FE0E94"/>
    <w:rsid w:val="00FE1569"/>
    <w:rsid w:val="00FE2B56"/>
    <w:rsid w:val="00FE3072"/>
    <w:rsid w:val="00FE348C"/>
    <w:rsid w:val="00FE369C"/>
    <w:rsid w:val="00FE3CD9"/>
    <w:rsid w:val="00FE55A1"/>
    <w:rsid w:val="00FE5B27"/>
    <w:rsid w:val="00FE6D47"/>
    <w:rsid w:val="00FE753F"/>
    <w:rsid w:val="00FE7881"/>
    <w:rsid w:val="00FE7ACA"/>
    <w:rsid w:val="00FF00BD"/>
    <w:rsid w:val="00FF05BD"/>
    <w:rsid w:val="00FF074F"/>
    <w:rsid w:val="00FF0B13"/>
    <w:rsid w:val="00FF1ED4"/>
    <w:rsid w:val="00FF2801"/>
    <w:rsid w:val="00FF2D3C"/>
    <w:rsid w:val="00FF41FD"/>
    <w:rsid w:val="00FF48DE"/>
    <w:rsid w:val="00FF5834"/>
    <w:rsid w:val="012A7082"/>
    <w:rsid w:val="0143FC8B"/>
    <w:rsid w:val="01BAC867"/>
    <w:rsid w:val="0254441C"/>
    <w:rsid w:val="02644B49"/>
    <w:rsid w:val="02D1647E"/>
    <w:rsid w:val="02E816C3"/>
    <w:rsid w:val="032394EB"/>
    <w:rsid w:val="033B2F40"/>
    <w:rsid w:val="04A12F4E"/>
    <w:rsid w:val="04DBE9EA"/>
    <w:rsid w:val="05182518"/>
    <w:rsid w:val="051D99F9"/>
    <w:rsid w:val="05B612E3"/>
    <w:rsid w:val="0605216C"/>
    <w:rsid w:val="063EE9F7"/>
    <w:rsid w:val="069F379E"/>
    <w:rsid w:val="06F7F2C4"/>
    <w:rsid w:val="08185FB9"/>
    <w:rsid w:val="082A09EB"/>
    <w:rsid w:val="09FEF264"/>
    <w:rsid w:val="0A0C7AE1"/>
    <w:rsid w:val="0A663D94"/>
    <w:rsid w:val="0B1BF5E7"/>
    <w:rsid w:val="0C32F41B"/>
    <w:rsid w:val="0CF130DF"/>
    <w:rsid w:val="0CFE1DFD"/>
    <w:rsid w:val="0D4FC7CF"/>
    <w:rsid w:val="0DC4E36E"/>
    <w:rsid w:val="0E5E506F"/>
    <w:rsid w:val="0F5CF529"/>
    <w:rsid w:val="0FC31246"/>
    <w:rsid w:val="1023E0F9"/>
    <w:rsid w:val="123A5B7F"/>
    <w:rsid w:val="1272477B"/>
    <w:rsid w:val="12B95C68"/>
    <w:rsid w:val="12BCEBE4"/>
    <w:rsid w:val="132DBC54"/>
    <w:rsid w:val="15107A79"/>
    <w:rsid w:val="1559BAC6"/>
    <w:rsid w:val="162998A6"/>
    <w:rsid w:val="17FD5F39"/>
    <w:rsid w:val="18657CF4"/>
    <w:rsid w:val="18BDCE06"/>
    <w:rsid w:val="19B44400"/>
    <w:rsid w:val="19F2311B"/>
    <w:rsid w:val="19F4D82C"/>
    <w:rsid w:val="1A0D3C6A"/>
    <w:rsid w:val="1A2D1BE7"/>
    <w:rsid w:val="1A8A0C43"/>
    <w:rsid w:val="1B0BFFE7"/>
    <w:rsid w:val="1B4DABE9"/>
    <w:rsid w:val="1D4E7C25"/>
    <w:rsid w:val="1D6033D6"/>
    <w:rsid w:val="1DDBDA0D"/>
    <w:rsid w:val="1E382E8C"/>
    <w:rsid w:val="1E938E64"/>
    <w:rsid w:val="1F3EECBD"/>
    <w:rsid w:val="1F8383A7"/>
    <w:rsid w:val="1FB6E350"/>
    <w:rsid w:val="1FF3162D"/>
    <w:rsid w:val="2009EB8A"/>
    <w:rsid w:val="20A5D28E"/>
    <w:rsid w:val="210F5AF1"/>
    <w:rsid w:val="212CBC64"/>
    <w:rsid w:val="2147E6FB"/>
    <w:rsid w:val="220F01CF"/>
    <w:rsid w:val="22790BB7"/>
    <w:rsid w:val="22B165F2"/>
    <w:rsid w:val="231C3354"/>
    <w:rsid w:val="238CC620"/>
    <w:rsid w:val="241E06CD"/>
    <w:rsid w:val="244B8CF8"/>
    <w:rsid w:val="24C0A041"/>
    <w:rsid w:val="24CA5046"/>
    <w:rsid w:val="24F49182"/>
    <w:rsid w:val="26615FE7"/>
    <w:rsid w:val="2678B15D"/>
    <w:rsid w:val="27394882"/>
    <w:rsid w:val="29365BD7"/>
    <w:rsid w:val="29882150"/>
    <w:rsid w:val="29B6D462"/>
    <w:rsid w:val="29D8FF66"/>
    <w:rsid w:val="29E0E709"/>
    <w:rsid w:val="2AA490C3"/>
    <w:rsid w:val="2AB2C206"/>
    <w:rsid w:val="2C3DE996"/>
    <w:rsid w:val="2C4C1D68"/>
    <w:rsid w:val="2C7C3DFB"/>
    <w:rsid w:val="2D470254"/>
    <w:rsid w:val="2D614269"/>
    <w:rsid w:val="2E4579D6"/>
    <w:rsid w:val="2EF0545B"/>
    <w:rsid w:val="2FC97F8A"/>
    <w:rsid w:val="300EDF22"/>
    <w:rsid w:val="3079EB0D"/>
    <w:rsid w:val="307D714D"/>
    <w:rsid w:val="3093AC95"/>
    <w:rsid w:val="31C1265F"/>
    <w:rsid w:val="321F658F"/>
    <w:rsid w:val="32FFC29C"/>
    <w:rsid w:val="3320F36F"/>
    <w:rsid w:val="340D0A3D"/>
    <w:rsid w:val="343A4F58"/>
    <w:rsid w:val="34542375"/>
    <w:rsid w:val="34960FBE"/>
    <w:rsid w:val="34E7EA92"/>
    <w:rsid w:val="363425FC"/>
    <w:rsid w:val="373C6128"/>
    <w:rsid w:val="37C1F8E8"/>
    <w:rsid w:val="3805C0E7"/>
    <w:rsid w:val="38168071"/>
    <w:rsid w:val="393376D2"/>
    <w:rsid w:val="395463D1"/>
    <w:rsid w:val="398863F1"/>
    <w:rsid w:val="3A20C143"/>
    <w:rsid w:val="3BA095AD"/>
    <w:rsid w:val="3BDF1348"/>
    <w:rsid w:val="3E74ADE2"/>
    <w:rsid w:val="40771079"/>
    <w:rsid w:val="40930EF5"/>
    <w:rsid w:val="4110CDB4"/>
    <w:rsid w:val="420D71F3"/>
    <w:rsid w:val="42691D0F"/>
    <w:rsid w:val="4372D6C2"/>
    <w:rsid w:val="443448FB"/>
    <w:rsid w:val="44505BFC"/>
    <w:rsid w:val="450F5A46"/>
    <w:rsid w:val="456C4AA2"/>
    <w:rsid w:val="4641A0D0"/>
    <w:rsid w:val="4873567A"/>
    <w:rsid w:val="48F582C0"/>
    <w:rsid w:val="49B7B512"/>
    <w:rsid w:val="4AE86C22"/>
    <w:rsid w:val="4C55667F"/>
    <w:rsid w:val="4D21EA56"/>
    <w:rsid w:val="4DA14906"/>
    <w:rsid w:val="4DD74500"/>
    <w:rsid w:val="4EE3854C"/>
    <w:rsid w:val="4F28A562"/>
    <w:rsid w:val="5057B658"/>
    <w:rsid w:val="517C50E5"/>
    <w:rsid w:val="51A107A9"/>
    <w:rsid w:val="53071AA3"/>
    <w:rsid w:val="53229BC9"/>
    <w:rsid w:val="53B39A2E"/>
    <w:rsid w:val="54C17BA2"/>
    <w:rsid w:val="553311EF"/>
    <w:rsid w:val="55ACD1A0"/>
    <w:rsid w:val="55E2594C"/>
    <w:rsid w:val="564E1F37"/>
    <w:rsid w:val="56AFA43F"/>
    <w:rsid w:val="584C2E2B"/>
    <w:rsid w:val="58963761"/>
    <w:rsid w:val="593F501C"/>
    <w:rsid w:val="5A05D725"/>
    <w:rsid w:val="5A4B80F7"/>
    <w:rsid w:val="5B193FBA"/>
    <w:rsid w:val="5B9D8C93"/>
    <w:rsid w:val="5CB076C8"/>
    <w:rsid w:val="5D5832E9"/>
    <w:rsid w:val="5D80A09E"/>
    <w:rsid w:val="5DF2A876"/>
    <w:rsid w:val="5EBDDC85"/>
    <w:rsid w:val="5F8C18FC"/>
    <w:rsid w:val="600E03FD"/>
    <w:rsid w:val="612DB378"/>
    <w:rsid w:val="62AD93BA"/>
    <w:rsid w:val="63555756"/>
    <w:rsid w:val="644E444D"/>
    <w:rsid w:val="65573E26"/>
    <w:rsid w:val="65AD35BA"/>
    <w:rsid w:val="65C2D45A"/>
    <w:rsid w:val="6657D135"/>
    <w:rsid w:val="66D9E62A"/>
    <w:rsid w:val="6728F4B3"/>
    <w:rsid w:val="673BE400"/>
    <w:rsid w:val="67B6BAF7"/>
    <w:rsid w:val="67BEE833"/>
    <w:rsid w:val="67DE5DCF"/>
    <w:rsid w:val="68962D73"/>
    <w:rsid w:val="68E0347C"/>
    <w:rsid w:val="699B3EBB"/>
    <w:rsid w:val="69ECFFBE"/>
    <w:rsid w:val="6A2AAF49"/>
    <w:rsid w:val="6B05376A"/>
    <w:rsid w:val="6B774974"/>
    <w:rsid w:val="6BAD574D"/>
    <w:rsid w:val="6CA77350"/>
    <w:rsid w:val="6CAF1F7A"/>
    <w:rsid w:val="6CC9102D"/>
    <w:rsid w:val="6E8EBD4A"/>
    <w:rsid w:val="702C3DC3"/>
    <w:rsid w:val="709A626A"/>
    <w:rsid w:val="716D6D8F"/>
    <w:rsid w:val="71EC3AD9"/>
    <w:rsid w:val="731BA24E"/>
    <w:rsid w:val="738D7991"/>
    <w:rsid w:val="73E7CF48"/>
    <w:rsid w:val="764DA178"/>
    <w:rsid w:val="77B642A1"/>
    <w:rsid w:val="78063D85"/>
    <w:rsid w:val="78168F3E"/>
    <w:rsid w:val="78E271BD"/>
    <w:rsid w:val="78E93C4E"/>
    <w:rsid w:val="7967955C"/>
    <w:rsid w:val="79E941EA"/>
    <w:rsid w:val="7A3DE86F"/>
    <w:rsid w:val="7AD6838E"/>
    <w:rsid w:val="7B180F93"/>
    <w:rsid w:val="7B1B6DA9"/>
    <w:rsid w:val="7B349606"/>
    <w:rsid w:val="7C63B7C1"/>
    <w:rsid w:val="7C73E7A8"/>
    <w:rsid w:val="7C7878ED"/>
    <w:rsid w:val="7CDEBC17"/>
    <w:rsid w:val="7D33A9CC"/>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TOC sty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RTI AMCP Table,new style,ASD Table,PBAC table,CMA Table Template,HTAtableplain,MSD Table Grid,Dossier table,Section 3- footnotes,Header Table,NICE instructions,Source table_,HealthConsult,Lash Style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H18,Annotationmark"/>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customStyle="1" w:styleId="FooterTableFigure">
    <w:name w:val="Footer Table/Figure"/>
    <w:basedOn w:val="Normal"/>
    <w:link w:val="FooterTableFigureChar"/>
    <w:rsid w:val="00A15FC9"/>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A15FC9"/>
    <w:rPr>
      <w:rFonts w:ascii="Arial Narrow" w:hAnsi="Arial Narrow" w:cs="Arial"/>
      <w:snapToGrid w:val="0"/>
      <w:sz w:val="18"/>
      <w:szCs w:val="22"/>
    </w:rPr>
  </w:style>
  <w:style w:type="table" w:customStyle="1" w:styleId="PBACtable">
    <w:name w:val="PBAC_table"/>
    <w:basedOn w:val="TableNormal"/>
    <w:uiPriority w:val="99"/>
    <w:rsid w:val="00A15FC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paragraph" w:customStyle="1" w:styleId="PBACTableText">
    <w:name w:val="PBAC Table Text"/>
    <w:basedOn w:val="Normal"/>
    <w:link w:val="PBACTableTextChar"/>
    <w:qFormat/>
    <w:rsid w:val="001E2E23"/>
    <w:pPr>
      <w:spacing w:before="40" w:after="40"/>
      <w:jc w:val="left"/>
    </w:pPr>
    <w:rPr>
      <w:rFonts w:ascii="Arial Narrow" w:hAnsi="Arial Narrow" w:cstheme="minorHAnsi"/>
      <w:sz w:val="20"/>
      <w:szCs w:val="20"/>
      <w:lang w:eastAsia="en-US"/>
    </w:rPr>
  </w:style>
  <w:style w:type="character" w:customStyle="1" w:styleId="PBACTableTextChar">
    <w:name w:val="PBAC Table Text Char"/>
    <w:basedOn w:val="DefaultParagraphFont"/>
    <w:link w:val="PBACTableText"/>
    <w:rsid w:val="001E2E23"/>
    <w:rPr>
      <w:rFonts w:ascii="Arial Narrow" w:hAnsi="Arial Narrow" w:cstheme="minorHAnsi"/>
      <w:lang w:eastAsia="en-US"/>
    </w:rPr>
  </w:style>
  <w:style w:type="paragraph" w:customStyle="1" w:styleId="PBACTblFignote">
    <w:name w:val="PBAC Tbl/Fig note"/>
    <w:qFormat/>
    <w:rsid w:val="00AD44E7"/>
    <w:pPr>
      <w:keepNext/>
      <w:keepLines/>
      <w:spacing w:before="40"/>
      <w:textboxTightWrap w:val="allLines"/>
    </w:pPr>
    <w:rPr>
      <w:rFonts w:ascii="Arial Narrow" w:hAnsi="Arial Narrow" w:cs="Arial"/>
      <w:sz w:val="18"/>
      <w:szCs w:val="24"/>
      <w:lang w:eastAsia="en-GB"/>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692C9E"/>
    <w:pPr>
      <w:keepNext/>
      <w:keepLines/>
    </w:pPr>
    <w:rPr>
      <w:rFonts w:ascii="Arial Narrow" w:hAnsi="Arial Narrow" w:cs="Arial"/>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692C9E"/>
    <w:rPr>
      <w:rFonts w:ascii="Arial Narrow" w:hAnsi="Arial Narrow" w:cs="Arial"/>
      <w:b/>
      <w:bCs/>
      <w:szCs w:val="18"/>
    </w:rPr>
  </w:style>
  <w:style w:type="numbering" w:customStyle="1" w:styleId="SectionBi">
    <w:name w:val="Section Bi"/>
    <w:uiPriority w:val="99"/>
    <w:rsid w:val="00B62252"/>
    <w:pPr>
      <w:numPr>
        <w:numId w:val="20"/>
      </w:numPr>
    </w:pPr>
  </w:style>
  <w:style w:type="table" w:customStyle="1" w:styleId="TableGrid9">
    <w:name w:val="Table Grid9"/>
    <w:basedOn w:val="TableNormal"/>
    <w:next w:val="TableGrid"/>
    <w:uiPriority w:val="59"/>
    <w:rsid w:val="00B6225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Bullet">
    <w:name w:val="List Bullet"/>
    <w:basedOn w:val="Normal"/>
    <w:unhideWhenUsed/>
    <w:rsid w:val="001361AD"/>
    <w:pPr>
      <w:tabs>
        <w:tab w:val="num" w:pos="360"/>
      </w:tabs>
      <w:ind w:left="360" w:hanging="360"/>
      <w:contextualSpacing/>
    </w:pPr>
    <w:rPr>
      <w:rFonts w:cs="Arial"/>
    </w:rPr>
  </w:style>
  <w:style w:type="paragraph" w:customStyle="1" w:styleId="Tabletext0">
    <w:name w:val="Table text"/>
    <w:basedOn w:val="Normal"/>
    <w:link w:val="TabletextChar0"/>
    <w:rsid w:val="009671C8"/>
    <w:pPr>
      <w:jc w:val="left"/>
    </w:pPr>
    <w:rPr>
      <w:rFonts w:ascii="Arial Narrow" w:hAnsi="Arial Narrow"/>
      <w:snapToGrid w:val="0"/>
      <w:sz w:val="20"/>
    </w:rPr>
  </w:style>
  <w:style w:type="character" w:customStyle="1" w:styleId="TabletextChar0">
    <w:name w:val="Table text Char"/>
    <w:link w:val="Tabletext0"/>
    <w:rsid w:val="009671C8"/>
    <w:rPr>
      <w:rFonts w:ascii="Arial Narrow" w:hAnsi="Arial Narrow"/>
      <w:snapToGrid w:val="0"/>
      <w:szCs w:val="24"/>
    </w:rPr>
  </w:style>
  <w:style w:type="table" w:customStyle="1" w:styleId="ASDTable2">
    <w:name w:val="ASD Table2"/>
    <w:basedOn w:val="TableNormal"/>
    <w:next w:val="TableGrid"/>
    <w:uiPriority w:val="39"/>
    <w:rsid w:val="0096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B0636"/>
    <w:rPr>
      <w:color w:val="2B579A"/>
      <w:shd w:val="clear" w:color="auto" w:fill="E1DFDD"/>
    </w:rPr>
  </w:style>
  <w:style w:type="paragraph" w:customStyle="1" w:styleId="3-SubsectionHeading">
    <w:name w:val="3-Subsection Heading"/>
    <w:basedOn w:val="Heading2"/>
    <w:next w:val="Normal"/>
    <w:link w:val="3-SubsectionHeadingChar"/>
    <w:qFormat/>
    <w:rsid w:val="00D56142"/>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D56142"/>
    <w:rPr>
      <w:rFonts w:asciiTheme="minorHAnsi" w:eastAsiaTheme="majorEastAsia" w:hAnsiTheme="minorHAnsi" w:cstheme="majorBidi"/>
      <w:b/>
      <w:i/>
      <w:color w:val="365F91" w:themeColor="accent1" w:themeShade="BF"/>
      <w:spacing w:val="5"/>
      <w:kern w:val="28"/>
      <w:sz w:val="28"/>
      <w:szCs w:val="36"/>
      <w:lang w:eastAsia="en-US"/>
    </w:rPr>
  </w:style>
  <w:style w:type="character" w:styleId="UnresolvedMention">
    <w:name w:val="Unresolved Mention"/>
    <w:basedOn w:val="DefaultParagraphFont"/>
    <w:uiPriority w:val="99"/>
    <w:semiHidden/>
    <w:unhideWhenUsed/>
    <w:rsid w:val="002D1C4B"/>
    <w:rPr>
      <w:color w:val="605E5C"/>
      <w:shd w:val="clear" w:color="auto" w:fill="E1DFDD"/>
    </w:rPr>
  </w:style>
  <w:style w:type="paragraph" w:customStyle="1" w:styleId="paragraph">
    <w:name w:val="paragraph"/>
    <w:basedOn w:val="Normal"/>
    <w:rsid w:val="0012582A"/>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12582A"/>
  </w:style>
  <w:style w:type="character" w:customStyle="1" w:styleId="eop">
    <w:name w:val="eop"/>
    <w:basedOn w:val="DefaultParagraphFont"/>
    <w:rsid w:val="0012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B21793F6-BD73-48B7-95E3-85163805C33A}">
  <ds:schemaRefs>
    <ds:schemaRef ds:uri="http://schemas.microsoft.com/sharepoint/v3/contenttype/forms"/>
  </ds:schemaRefs>
</ds:datastoreItem>
</file>

<file path=customXml/itemProps2.xml><?xml version="1.0" encoding="utf-8"?>
<ds:datastoreItem xmlns:ds="http://schemas.openxmlformats.org/officeDocument/2006/customXml" ds:itemID="{15426DD0-6805-41E7-9473-2B7CDE9AA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customXml/itemProps4.xml><?xml version="1.0" encoding="utf-8"?>
<ds:datastoreItem xmlns:ds="http://schemas.openxmlformats.org/officeDocument/2006/customXml" ds:itemID="{06FB8F95-FBC2-4598-A098-BFF64084639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d28e349f-c68d-46ce-94ba-6d0e8d23db64}" enabled="1" method="Standard" siteId="{7b7466bb-fe1d-47a0-b943-8ded565c8e5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13335</Words>
  <Characters>78546</Characters>
  <Application>Microsoft Office Word</Application>
  <DocSecurity>0</DocSecurity>
  <Lines>2708</Lines>
  <Paragraphs>1733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90148</CharactersWithSpaces>
  <SharedDoc>false</SharedDoc>
  <HLinks>
    <vt:vector size="54" baseType="variant">
      <vt:variant>
        <vt:i4>4456459</vt:i4>
      </vt:variant>
      <vt:variant>
        <vt:i4>153</vt:i4>
      </vt:variant>
      <vt:variant>
        <vt:i4>0</vt:i4>
      </vt:variant>
      <vt:variant>
        <vt:i4>5</vt:i4>
      </vt:variant>
      <vt:variant>
        <vt:lpwstr/>
      </vt:variant>
      <vt:variant>
        <vt:lpwstr>_ENREF_50</vt:lpwstr>
      </vt:variant>
      <vt:variant>
        <vt:i4>4521995</vt:i4>
      </vt:variant>
      <vt:variant>
        <vt:i4>145</vt:i4>
      </vt:variant>
      <vt:variant>
        <vt:i4>0</vt:i4>
      </vt:variant>
      <vt:variant>
        <vt:i4>5</vt:i4>
      </vt:variant>
      <vt:variant>
        <vt:lpwstr/>
      </vt:variant>
      <vt:variant>
        <vt:lpwstr>_ENREF_43</vt:lpwstr>
      </vt:variant>
      <vt:variant>
        <vt:i4>4325387</vt:i4>
      </vt:variant>
      <vt:variant>
        <vt:i4>137</vt:i4>
      </vt:variant>
      <vt:variant>
        <vt:i4>0</vt:i4>
      </vt:variant>
      <vt:variant>
        <vt:i4>5</vt:i4>
      </vt:variant>
      <vt:variant>
        <vt:lpwstr/>
      </vt:variant>
      <vt:variant>
        <vt:lpwstr>_ENREF_32</vt:lpwstr>
      </vt:variant>
      <vt:variant>
        <vt:i4>4390923</vt:i4>
      </vt:variant>
      <vt:variant>
        <vt:i4>131</vt:i4>
      </vt:variant>
      <vt:variant>
        <vt:i4>0</vt:i4>
      </vt:variant>
      <vt:variant>
        <vt:i4>5</vt:i4>
      </vt:variant>
      <vt:variant>
        <vt:lpwstr/>
      </vt:variant>
      <vt:variant>
        <vt:lpwstr>_ENREF_26</vt:lpwstr>
      </vt:variant>
      <vt:variant>
        <vt:i4>4194315</vt:i4>
      </vt:variant>
      <vt:variant>
        <vt:i4>127</vt:i4>
      </vt:variant>
      <vt:variant>
        <vt:i4>0</vt:i4>
      </vt:variant>
      <vt:variant>
        <vt:i4>5</vt:i4>
      </vt:variant>
      <vt:variant>
        <vt:lpwstr/>
      </vt:variant>
      <vt:variant>
        <vt:lpwstr>_ENREF_17</vt:lpwstr>
      </vt:variant>
      <vt:variant>
        <vt:i4>4587531</vt:i4>
      </vt:variant>
      <vt:variant>
        <vt:i4>124</vt:i4>
      </vt:variant>
      <vt:variant>
        <vt:i4>0</vt:i4>
      </vt:variant>
      <vt:variant>
        <vt:i4>5</vt:i4>
      </vt:variant>
      <vt:variant>
        <vt:lpwstr/>
      </vt:variant>
      <vt:variant>
        <vt:lpwstr>_ENREF_7</vt:lpwstr>
      </vt:variant>
      <vt:variant>
        <vt:i4>4521995</vt:i4>
      </vt:variant>
      <vt:variant>
        <vt:i4>114</vt:i4>
      </vt:variant>
      <vt:variant>
        <vt:i4>0</vt:i4>
      </vt:variant>
      <vt:variant>
        <vt:i4>5</vt:i4>
      </vt:variant>
      <vt:variant>
        <vt:lpwstr/>
      </vt:variant>
      <vt:variant>
        <vt:lpwstr>_ENREF_4</vt:lpwstr>
      </vt:variant>
      <vt:variant>
        <vt:i4>4587531</vt:i4>
      </vt:variant>
      <vt:variant>
        <vt:i4>108</vt:i4>
      </vt:variant>
      <vt:variant>
        <vt:i4>0</vt:i4>
      </vt:variant>
      <vt:variant>
        <vt:i4>5</vt:i4>
      </vt:variant>
      <vt:variant>
        <vt:lpwstr/>
      </vt:variant>
      <vt:variant>
        <vt:lpwstr>_ENREF_7</vt:lpwstr>
      </vt:variant>
      <vt:variant>
        <vt:i4>4194315</vt:i4>
      </vt:variant>
      <vt:variant>
        <vt:i4>62</vt:i4>
      </vt:variant>
      <vt:variant>
        <vt:i4>0</vt:i4>
      </vt:variant>
      <vt:variant>
        <vt:i4>5</vt:i4>
      </vt:variant>
      <vt:variant>
        <vt:lpwstr/>
      </vt:variant>
      <vt:variant>
        <vt:lpwstr>_ENREF_14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2026-07-08T01:04:00Z</dcterms:created>
  <dcterms:modified xsi:type="dcterms:W3CDTF">2026-07-08T01:04:00Z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556a8cfc,2c891bbe,1426c8fe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1e8a0f60,419fcadb,5722e56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2026-04-01T04:55:29Z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3f6f41ce-ff61-4589-b4df-5704d33947a7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y fmtid="{D5CDD505-2E9C-101B-9397-08002B2CF9AE}" pid="19" name="Order">
    <vt:r8>59903900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