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83F2237" w:rsidR="00B60939" w:rsidRPr="0098262F" w:rsidRDefault="009B3DA3" w:rsidP="008241B5">
      <w:pPr>
        <w:pStyle w:val="1-MainHeading"/>
      </w:pPr>
      <w:bookmarkStart w:id="0" w:name="_Toc219893542"/>
      <w:r>
        <w:t>6</w:t>
      </w:r>
      <w:r w:rsidR="00433044" w:rsidRPr="0098262F">
        <w:t>.</w:t>
      </w:r>
      <w:r>
        <w:t>13</w:t>
      </w:r>
      <w:r w:rsidR="00163F66" w:rsidRPr="0098262F">
        <w:tab/>
      </w:r>
      <w:r w:rsidR="007A001B">
        <w:t>TRASUTUZUMAB DERUXTECAN</w:t>
      </w:r>
      <w:r w:rsidR="00163F66" w:rsidRPr="0098262F">
        <w:t>,</w:t>
      </w:r>
      <w:r w:rsidR="00163F66" w:rsidRPr="0098262F">
        <w:br/>
      </w:r>
      <w:r w:rsidR="007A001B" w:rsidRPr="007A001B">
        <w:t>Powder for I.V. infusion</w:t>
      </w:r>
      <w:r w:rsidR="00163F66" w:rsidRPr="0098262F">
        <w:t>,</w:t>
      </w:r>
      <w:r w:rsidR="00163F66" w:rsidRPr="0098262F">
        <w:br/>
      </w:r>
      <w:r w:rsidR="007A001B">
        <w:t>100 mg</w:t>
      </w:r>
      <w:r w:rsidR="00163F66" w:rsidRPr="0098262F">
        <w:t>,</w:t>
      </w:r>
      <w:r w:rsidR="00163F66" w:rsidRPr="0098262F">
        <w:br/>
      </w:r>
      <w:proofErr w:type="spellStart"/>
      <w:r w:rsidR="007A001B" w:rsidRPr="007A001B">
        <w:t>Enhertu</w:t>
      </w:r>
      <w:proofErr w:type="spellEnd"/>
      <w:r w:rsidR="007A001B" w:rsidRPr="007A001B">
        <w:t>®</w:t>
      </w:r>
      <w:r w:rsidR="004A6040" w:rsidRPr="0098262F">
        <w:t>,</w:t>
      </w:r>
      <w:r w:rsidR="004A6040" w:rsidRPr="0098262F">
        <w:br/>
      </w:r>
      <w:r w:rsidR="007A001B">
        <w:t>AstraZeneca Pty Ltd</w:t>
      </w:r>
      <w:r w:rsidR="00B60939" w:rsidRPr="0098262F">
        <w:t>.</w:t>
      </w:r>
      <w:bookmarkEnd w:id="0"/>
      <w:r w:rsidR="00F73E08" w:rsidRPr="0098262F">
        <w:t xml:space="preserve"> </w:t>
      </w:r>
    </w:p>
    <w:p w14:paraId="11C00795" w14:textId="3DFB6D23" w:rsidR="00B50DB8" w:rsidRPr="0098262F" w:rsidRDefault="00B50DB8" w:rsidP="008241B5">
      <w:pPr>
        <w:pStyle w:val="2-SectionHeading"/>
      </w:pPr>
      <w:bookmarkStart w:id="1" w:name="_Toc219893544"/>
      <w:r w:rsidRPr="0098262F">
        <w:t xml:space="preserve">Purpose of </w:t>
      </w:r>
      <w:r w:rsidR="00CD7193" w:rsidRPr="0098262F">
        <w:t>s</w:t>
      </w:r>
      <w:r w:rsidR="00BB3A45" w:rsidRPr="0098262F">
        <w:t>ubmission</w:t>
      </w:r>
      <w:bookmarkEnd w:id="1"/>
    </w:p>
    <w:p w14:paraId="2BC6209B" w14:textId="052361CC" w:rsidR="00F96DB0" w:rsidRPr="0098262F" w:rsidRDefault="00F96DB0" w:rsidP="008241B5">
      <w:pPr>
        <w:pStyle w:val="3-BodyText"/>
      </w:pPr>
      <w:r w:rsidRPr="0098262F">
        <w:t xml:space="preserve">The </w:t>
      </w:r>
      <w:r w:rsidR="00AC1C1A">
        <w:t xml:space="preserve">Category 2 </w:t>
      </w:r>
      <w:r w:rsidRPr="0098262F">
        <w:t xml:space="preserve">submission requested </w:t>
      </w:r>
      <w:r w:rsidR="00D21370">
        <w:t xml:space="preserve">a </w:t>
      </w:r>
      <w:r w:rsidRPr="0098262F">
        <w:t>Section 100</w:t>
      </w:r>
      <w:r w:rsidR="00D21370">
        <w:t xml:space="preserve"> (Efficient Funding of Chemotherapy)</w:t>
      </w:r>
      <w:r w:rsidRPr="0098262F">
        <w:t>, Authority Required</w:t>
      </w:r>
      <w:r>
        <w:t xml:space="preserve"> </w:t>
      </w:r>
      <w:r w:rsidRPr="0098262F">
        <w:t xml:space="preserve">listing for </w:t>
      </w:r>
      <w:r>
        <w:t>trastuzumab deruxtecan (T-</w:t>
      </w:r>
      <w:proofErr w:type="spellStart"/>
      <w:r>
        <w:t>DXd</w:t>
      </w:r>
      <w:proofErr w:type="spellEnd"/>
      <w:r>
        <w:t xml:space="preserve">) </w:t>
      </w:r>
      <w:r w:rsidRPr="0098262F">
        <w:t xml:space="preserve">for the treatment of </w:t>
      </w:r>
      <w:r w:rsidRPr="00CA2B57">
        <w:t xml:space="preserve">adult patients with hormone receptor positive (HR-positive) human epidermal growth factor receptor 2 (HER2)-low or HER2-ultralow unresectable and/or metastatic breast cancer who have received at least one prior line of endocrine therapy </w:t>
      </w:r>
      <w:r>
        <w:t xml:space="preserve">(ET) </w:t>
      </w:r>
      <w:r w:rsidRPr="00CA2B57">
        <w:t xml:space="preserve">in the metastatic setting and are no longer suitable for further </w:t>
      </w:r>
      <w:r>
        <w:t>ET</w:t>
      </w:r>
      <w:r w:rsidRPr="00CA2B57">
        <w:t>.</w:t>
      </w:r>
    </w:p>
    <w:p w14:paraId="4E9FBCB5" w14:textId="36C62AE5" w:rsidR="00C2778B" w:rsidRPr="0098262F" w:rsidRDefault="00F96DB0" w:rsidP="008241B5">
      <w:pPr>
        <w:pStyle w:val="3-BodyText"/>
        <w:rPr>
          <w:color w:val="0066FF"/>
        </w:rPr>
      </w:pPr>
      <w:r w:rsidRPr="0098262F">
        <w:t xml:space="preserve">Listing was requested </w:t>
      </w:r>
      <w:proofErr w:type="gramStart"/>
      <w:r w:rsidRPr="0098262F">
        <w:t>on the basis of</w:t>
      </w:r>
      <w:proofErr w:type="gramEnd"/>
      <w:r w:rsidRPr="0098262F">
        <w:t xml:space="preserve"> </w:t>
      </w:r>
      <w:r w:rsidRPr="006B7B96">
        <w:rPr>
          <w:iCs/>
        </w:rPr>
        <w:t>cost-utility and cost-effectiveness analyses</w:t>
      </w:r>
      <w:r>
        <w:rPr>
          <w:iCs/>
        </w:rPr>
        <w:t xml:space="preserve"> </w:t>
      </w:r>
      <w:r w:rsidRPr="0098262F">
        <w:t xml:space="preserve">versus </w:t>
      </w:r>
      <w:r w:rsidR="00D21370">
        <w:t>i</w:t>
      </w:r>
      <w:r>
        <w:t xml:space="preserve">nvestigator’s choice of chemotherapy (ICC) </w:t>
      </w:r>
      <w:r w:rsidR="00557F54">
        <w:t xml:space="preserve">(as a proxy of single-agent chemotherapy), </w:t>
      </w:r>
      <w:r w:rsidRPr="006B7B96">
        <w:t>consisting of capecitabine, paclitaxel and nab-paclitaxel</w:t>
      </w:r>
      <w:r>
        <w:t>. The key components of the clinical issues addressed by the submission are summarised below.</w:t>
      </w:r>
    </w:p>
    <w:p w14:paraId="3718DE61" w14:textId="094A34AD" w:rsidR="008B1757" w:rsidRPr="0098262F" w:rsidRDefault="00696EF9" w:rsidP="008241B5">
      <w:pPr>
        <w:pStyle w:val="TableFigureHeading"/>
        <w:keepLines/>
        <w:rPr>
          <w:rStyle w:val="CommentReference"/>
          <w:b/>
          <w:szCs w:val="24"/>
        </w:rPr>
      </w:pPr>
      <w:r w:rsidRPr="0098262F">
        <w:lastRenderedPageBreak/>
        <w:t xml:space="preserve">Table </w:t>
      </w:r>
      <w:fldSimple w:instr=" SEQ Table \* ARABIC ">
        <w:r w:rsidR="005D3E29">
          <w:rPr>
            <w:noProof/>
          </w:rPr>
          <w:t>1</w:t>
        </w:r>
      </w:fldSimple>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Style w:val="AZTable"/>
        <w:tblW w:w="5000" w:type="pct"/>
        <w:tblLook w:val="04A0" w:firstRow="1" w:lastRow="0" w:firstColumn="1" w:lastColumn="0" w:noHBand="0" w:noVBand="1"/>
        <w:tblCaption w:val="Table 1: Key components of the clinical issue addressed by the submission (as stated in the submission)"/>
      </w:tblPr>
      <w:tblGrid>
        <w:gridCol w:w="1143"/>
        <w:gridCol w:w="7874"/>
      </w:tblGrid>
      <w:tr w:rsidR="00F96DB0" w14:paraId="09E3EE2C" w14:textId="77777777">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14:paraId="24F6A9DE" w14:textId="77777777" w:rsidR="00F96DB0" w:rsidRDefault="00F96DB0" w:rsidP="008241B5">
            <w:pPr>
              <w:keepNext/>
              <w:keepLines/>
              <w:spacing w:before="20" w:after="20" w:line="276" w:lineRule="auto"/>
              <w:rPr>
                <w:rFonts w:ascii="Arial Narrow" w:eastAsiaTheme="majorEastAsia" w:hAnsi="Arial Narrow"/>
                <w:b/>
                <w:sz w:val="20"/>
                <w:szCs w:val="20"/>
                <w:lang w:bidi="en-US"/>
              </w:rPr>
            </w:pPr>
            <w:r>
              <w:rPr>
                <w:rFonts w:ascii="Arial Narrow" w:eastAsiaTheme="majorEastAsia" w:hAnsi="Arial Narrow"/>
                <w:b/>
                <w:sz w:val="20"/>
                <w:szCs w:val="20"/>
                <w:lang w:bidi="en-US"/>
              </w:rPr>
              <w:t>Component</w:t>
            </w:r>
          </w:p>
        </w:tc>
        <w:tc>
          <w:tcPr>
            <w:tcW w:w="0" w:type="auto"/>
            <w:tcBorders>
              <w:top w:val="single" w:sz="4" w:space="0" w:color="auto"/>
              <w:left w:val="single" w:sz="4" w:space="0" w:color="auto"/>
              <w:bottom w:val="single" w:sz="4" w:space="0" w:color="auto"/>
              <w:right w:val="single" w:sz="4" w:space="0" w:color="auto"/>
            </w:tcBorders>
            <w:hideMark/>
          </w:tcPr>
          <w:p w14:paraId="25DF7DA5" w14:textId="77777777" w:rsidR="00F96DB0" w:rsidRDefault="00F96DB0" w:rsidP="008241B5">
            <w:pPr>
              <w:keepNext/>
              <w:keepLines/>
              <w:spacing w:before="20" w:after="20" w:line="276" w:lineRule="auto"/>
              <w:rPr>
                <w:rFonts w:ascii="Arial Narrow" w:eastAsiaTheme="majorEastAsia" w:hAnsi="Arial Narrow"/>
                <w:b/>
                <w:sz w:val="20"/>
                <w:szCs w:val="20"/>
                <w:lang w:bidi="en-US"/>
              </w:rPr>
            </w:pPr>
            <w:r>
              <w:rPr>
                <w:rFonts w:ascii="Arial Narrow" w:eastAsiaTheme="majorEastAsia" w:hAnsi="Arial Narrow"/>
                <w:b/>
                <w:sz w:val="20"/>
                <w:szCs w:val="20"/>
                <w:lang w:bidi="en-US"/>
              </w:rPr>
              <w:t>Description</w:t>
            </w:r>
          </w:p>
        </w:tc>
      </w:tr>
      <w:tr w:rsidR="00F96DB0" w14:paraId="5AD453F7" w14:textId="77777777">
        <w:tc>
          <w:tcPr>
            <w:tcW w:w="0" w:type="auto"/>
            <w:tcBorders>
              <w:top w:val="single" w:sz="4" w:space="0" w:color="auto"/>
              <w:left w:val="single" w:sz="4" w:space="0" w:color="auto"/>
              <w:bottom w:val="single" w:sz="4" w:space="0" w:color="auto"/>
              <w:right w:val="single" w:sz="4" w:space="0" w:color="auto"/>
            </w:tcBorders>
            <w:hideMark/>
          </w:tcPr>
          <w:p w14:paraId="0834CF8D"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Population</w:t>
            </w:r>
          </w:p>
        </w:tc>
        <w:tc>
          <w:tcPr>
            <w:tcW w:w="0" w:type="auto"/>
            <w:tcBorders>
              <w:top w:val="single" w:sz="4" w:space="0" w:color="auto"/>
              <w:left w:val="single" w:sz="4" w:space="0" w:color="auto"/>
              <w:bottom w:val="single" w:sz="4" w:space="0" w:color="auto"/>
              <w:right w:val="single" w:sz="4" w:space="0" w:color="auto"/>
            </w:tcBorders>
            <w:hideMark/>
          </w:tcPr>
          <w:p w14:paraId="6D0B0539"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Patients with HER2-low (IHC 1+ or IHC 2+/ISH-negative) or HER2-ultralow (IHC 0 with membrane staining) unresectable and/or metastatic HR+ BC who have received at least one prior line of ET in the metastatic setting and are no longer considered suitable for ET</w:t>
            </w:r>
          </w:p>
        </w:tc>
      </w:tr>
      <w:tr w:rsidR="00F96DB0" w14:paraId="41D9438C" w14:textId="77777777">
        <w:tc>
          <w:tcPr>
            <w:tcW w:w="0" w:type="auto"/>
            <w:tcBorders>
              <w:top w:val="single" w:sz="4" w:space="0" w:color="auto"/>
              <w:left w:val="single" w:sz="4" w:space="0" w:color="auto"/>
              <w:bottom w:val="single" w:sz="4" w:space="0" w:color="auto"/>
              <w:right w:val="single" w:sz="4" w:space="0" w:color="auto"/>
            </w:tcBorders>
            <w:hideMark/>
          </w:tcPr>
          <w:p w14:paraId="1EA6191A"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Intervention</w:t>
            </w:r>
          </w:p>
        </w:tc>
        <w:tc>
          <w:tcPr>
            <w:tcW w:w="0" w:type="auto"/>
            <w:tcBorders>
              <w:top w:val="single" w:sz="4" w:space="0" w:color="auto"/>
              <w:left w:val="single" w:sz="4" w:space="0" w:color="auto"/>
              <w:bottom w:val="single" w:sz="4" w:space="0" w:color="auto"/>
              <w:right w:val="single" w:sz="4" w:space="0" w:color="auto"/>
            </w:tcBorders>
            <w:hideMark/>
          </w:tcPr>
          <w:p w14:paraId="651DC346" w14:textId="2EEC8C96"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Trastuzumab deruxtecan (T-</w:t>
            </w:r>
            <w:proofErr w:type="spellStart"/>
            <w:r>
              <w:rPr>
                <w:rFonts w:ascii="Arial Narrow" w:eastAsiaTheme="majorEastAsia" w:hAnsi="Arial Narrow"/>
                <w:sz w:val="20"/>
                <w:szCs w:val="20"/>
                <w:lang w:bidi="en-US"/>
              </w:rPr>
              <w:t>DXd</w:t>
            </w:r>
            <w:proofErr w:type="spellEnd"/>
            <w:r>
              <w:rPr>
                <w:rFonts w:ascii="Arial Narrow" w:eastAsiaTheme="majorEastAsia" w:hAnsi="Arial Narrow"/>
                <w:sz w:val="20"/>
                <w:szCs w:val="20"/>
                <w:lang w:bidi="en-US"/>
              </w:rPr>
              <w:t xml:space="preserve">, </w:t>
            </w:r>
            <w:proofErr w:type="spellStart"/>
            <w:r>
              <w:rPr>
                <w:rFonts w:ascii="Arial Narrow" w:eastAsiaTheme="majorEastAsia" w:hAnsi="Arial Narrow"/>
                <w:sz w:val="20"/>
                <w:szCs w:val="20"/>
                <w:lang w:bidi="en-US"/>
              </w:rPr>
              <w:t>Enhertu</w:t>
            </w:r>
            <w:proofErr w:type="spellEnd"/>
            <w:r>
              <w:rPr>
                <w:rFonts w:ascii="Arial Narrow" w:eastAsiaTheme="majorEastAsia" w:hAnsi="Arial Narrow"/>
                <w:sz w:val="20"/>
                <w:szCs w:val="20"/>
                <w:lang w:bidi="en-US"/>
              </w:rPr>
              <w:t>®)</w:t>
            </w:r>
          </w:p>
        </w:tc>
      </w:tr>
      <w:tr w:rsidR="00F96DB0" w14:paraId="53190488" w14:textId="77777777">
        <w:tc>
          <w:tcPr>
            <w:tcW w:w="0" w:type="auto"/>
            <w:tcBorders>
              <w:top w:val="single" w:sz="4" w:space="0" w:color="auto"/>
              <w:left w:val="single" w:sz="4" w:space="0" w:color="auto"/>
              <w:bottom w:val="single" w:sz="4" w:space="0" w:color="auto"/>
              <w:right w:val="single" w:sz="4" w:space="0" w:color="auto"/>
            </w:tcBorders>
            <w:hideMark/>
          </w:tcPr>
          <w:p w14:paraId="47013A02"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Comparator</w:t>
            </w:r>
          </w:p>
        </w:tc>
        <w:tc>
          <w:tcPr>
            <w:tcW w:w="0" w:type="auto"/>
            <w:tcBorders>
              <w:top w:val="single" w:sz="4" w:space="0" w:color="auto"/>
              <w:left w:val="single" w:sz="4" w:space="0" w:color="auto"/>
              <w:bottom w:val="single" w:sz="4" w:space="0" w:color="auto"/>
              <w:right w:val="single" w:sz="4" w:space="0" w:color="auto"/>
            </w:tcBorders>
            <w:hideMark/>
          </w:tcPr>
          <w:p w14:paraId="151B4B00" w14:textId="0884A792"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Investigators choice of chemotherapy (</w:t>
            </w:r>
            <w:r w:rsidR="00324082">
              <w:rPr>
                <w:rFonts w:ascii="Arial Narrow" w:eastAsiaTheme="majorEastAsia" w:hAnsi="Arial Narrow"/>
                <w:sz w:val="20"/>
                <w:szCs w:val="20"/>
                <w:lang w:bidi="en-US"/>
              </w:rPr>
              <w:t>ICC</w:t>
            </w:r>
            <w:r>
              <w:rPr>
                <w:rFonts w:ascii="Arial Narrow" w:eastAsiaTheme="majorEastAsia" w:hAnsi="Arial Narrow"/>
                <w:sz w:val="20"/>
                <w:szCs w:val="20"/>
                <w:lang w:bidi="en-US"/>
              </w:rPr>
              <w:t>), consisting of capecitabine, paclitaxel and nab-paclitaxel</w:t>
            </w:r>
          </w:p>
        </w:tc>
      </w:tr>
      <w:tr w:rsidR="00F96DB0" w14:paraId="31C04A16" w14:textId="77777777">
        <w:tc>
          <w:tcPr>
            <w:tcW w:w="0" w:type="auto"/>
            <w:tcBorders>
              <w:top w:val="single" w:sz="4" w:space="0" w:color="auto"/>
              <w:left w:val="single" w:sz="4" w:space="0" w:color="auto"/>
              <w:bottom w:val="single" w:sz="4" w:space="0" w:color="auto"/>
              <w:right w:val="single" w:sz="4" w:space="0" w:color="auto"/>
            </w:tcBorders>
            <w:hideMark/>
          </w:tcPr>
          <w:p w14:paraId="01CFC4D4"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Outcomes</w:t>
            </w:r>
          </w:p>
        </w:tc>
        <w:tc>
          <w:tcPr>
            <w:tcW w:w="0" w:type="auto"/>
            <w:tcBorders>
              <w:top w:val="single" w:sz="4" w:space="0" w:color="auto"/>
              <w:left w:val="single" w:sz="4" w:space="0" w:color="auto"/>
              <w:bottom w:val="single" w:sz="4" w:space="0" w:color="auto"/>
              <w:right w:val="single" w:sz="4" w:space="0" w:color="auto"/>
            </w:tcBorders>
            <w:hideMark/>
          </w:tcPr>
          <w:p w14:paraId="1ABEB051" w14:textId="77777777" w:rsidR="00F96DB0" w:rsidRDefault="00F96DB0" w:rsidP="008241B5">
            <w:pPr>
              <w:keepNext/>
              <w:keepLines/>
              <w:spacing w:before="20" w:after="20" w:line="276" w:lineRule="auto"/>
              <w:rPr>
                <w:rFonts w:ascii="Arial Narrow" w:eastAsiaTheme="majorEastAsia" w:hAnsi="Arial Narrow"/>
                <w:sz w:val="20"/>
                <w:szCs w:val="20"/>
                <w:u w:val="single"/>
                <w:lang w:bidi="en-US"/>
              </w:rPr>
            </w:pPr>
            <w:r>
              <w:rPr>
                <w:rFonts w:ascii="Arial Narrow" w:eastAsiaTheme="majorEastAsia" w:hAnsi="Arial Narrow"/>
                <w:sz w:val="20"/>
                <w:szCs w:val="20"/>
                <w:u w:val="single"/>
                <w:lang w:bidi="en-US"/>
              </w:rPr>
              <w:t xml:space="preserve">Primary: </w:t>
            </w:r>
          </w:p>
          <w:p w14:paraId="207EC8DB"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PFS by BICR in the HR+ HER2-low population</w:t>
            </w:r>
          </w:p>
          <w:p w14:paraId="3AEC313B"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u w:val="single"/>
                <w:lang w:bidi="en-US"/>
              </w:rPr>
              <w:t>Secondary</w:t>
            </w:r>
            <w:r>
              <w:rPr>
                <w:rFonts w:ascii="Arial Narrow" w:eastAsiaTheme="majorEastAsia" w:hAnsi="Arial Narrow"/>
                <w:sz w:val="20"/>
                <w:szCs w:val="20"/>
                <w:lang w:bidi="en-US"/>
              </w:rPr>
              <w:t xml:space="preserve">: </w:t>
            </w:r>
          </w:p>
          <w:p w14:paraId="12297CB4"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OS in the HR+ HER2-low population</w:t>
            </w:r>
          </w:p>
          <w:p w14:paraId="5CA1B7D1"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PFS by BICR in the ITT population</w:t>
            </w:r>
          </w:p>
          <w:p w14:paraId="4315B022"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OS in the ITT population</w:t>
            </w:r>
          </w:p>
          <w:p w14:paraId="3212CEB6"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 xml:space="preserve">PFS by INV in the HR+ HER2-low population </w:t>
            </w:r>
          </w:p>
          <w:p w14:paraId="1690E51A"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 xml:space="preserve">ORR and </w:t>
            </w:r>
            <w:proofErr w:type="spellStart"/>
            <w:r>
              <w:rPr>
                <w:rFonts w:ascii="Arial Narrow" w:eastAsiaTheme="majorEastAsia" w:hAnsi="Arial Narrow"/>
                <w:sz w:val="20"/>
                <w:szCs w:val="20"/>
                <w:lang w:bidi="en-US"/>
              </w:rPr>
              <w:t>DoR</w:t>
            </w:r>
            <w:proofErr w:type="spellEnd"/>
            <w:r>
              <w:rPr>
                <w:rFonts w:ascii="Arial Narrow" w:eastAsiaTheme="majorEastAsia" w:hAnsi="Arial Narrow"/>
                <w:sz w:val="20"/>
                <w:szCs w:val="20"/>
                <w:lang w:bidi="en-US"/>
              </w:rPr>
              <w:t xml:space="preserve"> by BICR and by INV in the HR+ HER2-low population </w:t>
            </w:r>
          </w:p>
          <w:p w14:paraId="4FB1C6C6"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 xml:space="preserve">ORR and </w:t>
            </w:r>
            <w:proofErr w:type="spellStart"/>
            <w:r>
              <w:rPr>
                <w:rFonts w:ascii="Arial Narrow" w:eastAsiaTheme="majorEastAsia" w:hAnsi="Arial Narrow"/>
                <w:sz w:val="20"/>
                <w:szCs w:val="20"/>
                <w:lang w:bidi="en-US"/>
              </w:rPr>
              <w:t>DoR</w:t>
            </w:r>
            <w:proofErr w:type="spellEnd"/>
            <w:r>
              <w:rPr>
                <w:rFonts w:ascii="Arial Narrow" w:eastAsiaTheme="majorEastAsia" w:hAnsi="Arial Narrow"/>
                <w:sz w:val="20"/>
                <w:szCs w:val="20"/>
                <w:lang w:bidi="en-US"/>
              </w:rPr>
              <w:t xml:space="preserve"> by BICR and by INV in the ITT population</w:t>
            </w:r>
          </w:p>
          <w:p w14:paraId="722379D6"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PFS2 in the HR+ HER2-low population and the ITT population</w:t>
            </w:r>
          </w:p>
          <w:p w14:paraId="5605F3C3"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TFST in the HR+ HER2-low population and the ITT population</w:t>
            </w:r>
          </w:p>
          <w:p w14:paraId="3D6564C5"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TSST in the HR+ HER2-low population and the ITT population</w:t>
            </w:r>
          </w:p>
          <w:p w14:paraId="75D7A6BD"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 xml:space="preserve">Safety </w:t>
            </w:r>
          </w:p>
          <w:p w14:paraId="6D24A44F" w14:textId="77777777" w:rsidR="00F96DB0" w:rsidRDefault="00F96DB0" w:rsidP="008241B5">
            <w:pPr>
              <w:keepNext/>
              <w:keepLines/>
              <w:numPr>
                <w:ilvl w:val="0"/>
                <w:numId w:val="8"/>
              </w:numPr>
              <w:spacing w:before="20" w:after="20" w:line="276" w:lineRule="auto"/>
              <w:jc w:val="left"/>
              <w:rPr>
                <w:rFonts w:ascii="Arial Narrow" w:eastAsiaTheme="majorEastAsia" w:hAnsi="Arial Narrow"/>
                <w:sz w:val="20"/>
                <w:szCs w:val="20"/>
                <w:lang w:bidi="en-US"/>
              </w:rPr>
            </w:pPr>
            <w:r>
              <w:rPr>
                <w:rFonts w:ascii="Arial Narrow" w:eastAsiaTheme="majorEastAsia" w:hAnsi="Arial Narrow"/>
                <w:sz w:val="20"/>
                <w:szCs w:val="20"/>
                <w:lang w:bidi="en-US"/>
              </w:rPr>
              <w:t>HRQoL measured by change in EORTC QLQ-C30 and EORTC QLQ-BR45 scale scores; time to deterioration in EORTC QLQ-C30 scale scores</w:t>
            </w:r>
          </w:p>
        </w:tc>
      </w:tr>
      <w:tr w:rsidR="00F96DB0" w14:paraId="5C8DFB30" w14:textId="77777777">
        <w:tc>
          <w:tcPr>
            <w:tcW w:w="0" w:type="auto"/>
            <w:tcBorders>
              <w:top w:val="single" w:sz="4" w:space="0" w:color="auto"/>
              <w:left w:val="single" w:sz="4" w:space="0" w:color="auto"/>
              <w:bottom w:val="single" w:sz="4" w:space="0" w:color="auto"/>
              <w:right w:val="single" w:sz="4" w:space="0" w:color="auto"/>
            </w:tcBorders>
            <w:hideMark/>
          </w:tcPr>
          <w:p w14:paraId="38E6EA4F"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Clinical claim</w:t>
            </w:r>
          </w:p>
        </w:tc>
        <w:tc>
          <w:tcPr>
            <w:tcW w:w="0" w:type="auto"/>
            <w:tcBorders>
              <w:top w:val="single" w:sz="4" w:space="0" w:color="auto"/>
              <w:left w:val="single" w:sz="4" w:space="0" w:color="auto"/>
              <w:bottom w:val="single" w:sz="4" w:space="0" w:color="auto"/>
              <w:right w:val="single" w:sz="4" w:space="0" w:color="auto"/>
            </w:tcBorders>
            <w:hideMark/>
          </w:tcPr>
          <w:p w14:paraId="0DB7BB02" w14:textId="77777777" w:rsidR="00F96DB0" w:rsidRDefault="00F96DB0" w:rsidP="008241B5">
            <w:pPr>
              <w:keepNext/>
              <w:keepLines/>
              <w:spacing w:before="20" w:after="20" w:line="276" w:lineRule="auto"/>
              <w:rPr>
                <w:rFonts w:ascii="Arial Narrow" w:eastAsiaTheme="majorEastAsia" w:hAnsi="Arial Narrow"/>
                <w:sz w:val="20"/>
                <w:szCs w:val="20"/>
                <w:lang w:bidi="en-US"/>
              </w:rPr>
            </w:pPr>
            <w:r>
              <w:rPr>
                <w:rFonts w:ascii="Arial Narrow" w:eastAsiaTheme="majorEastAsia" w:hAnsi="Arial Narrow"/>
                <w:sz w:val="20"/>
                <w:szCs w:val="20"/>
                <w:lang w:bidi="en-US"/>
              </w:rPr>
              <w:t>In patients with HR+ HER2-low and HR+ HER2-ultralow unresectable and/or metastatic BC, T-</w:t>
            </w:r>
            <w:proofErr w:type="spellStart"/>
            <w:r>
              <w:rPr>
                <w:rFonts w:ascii="Arial Narrow" w:eastAsiaTheme="majorEastAsia" w:hAnsi="Arial Narrow"/>
                <w:sz w:val="20"/>
                <w:szCs w:val="20"/>
                <w:lang w:bidi="en-US"/>
              </w:rPr>
              <w:t>DXd</w:t>
            </w:r>
            <w:proofErr w:type="spellEnd"/>
            <w:r>
              <w:rPr>
                <w:rFonts w:ascii="Arial Narrow" w:eastAsiaTheme="majorEastAsia" w:hAnsi="Arial Narrow"/>
                <w:sz w:val="20"/>
                <w:szCs w:val="20"/>
                <w:lang w:bidi="en-US"/>
              </w:rPr>
              <w:t xml:space="preserve"> has superior efficacy, and an inferior safety profile compared to PC</w:t>
            </w:r>
          </w:p>
        </w:tc>
      </w:tr>
    </w:tbl>
    <w:p w14:paraId="4DEA5ADF" w14:textId="77777777" w:rsidR="00F96DB0" w:rsidRDefault="00F96DB0" w:rsidP="008241B5">
      <w:pPr>
        <w:pStyle w:val="FooterTableFigure"/>
        <w:keepNext/>
        <w:keepLines/>
        <w:spacing w:after="0"/>
      </w:pPr>
      <w:r>
        <w:t>Source: Table 1.2, p14 of the submission.</w:t>
      </w:r>
    </w:p>
    <w:p w14:paraId="32ACEF36" w14:textId="77777777" w:rsidR="00F96DB0" w:rsidRDefault="00F96DB0" w:rsidP="008241B5">
      <w:pPr>
        <w:keepNext/>
        <w:keepLines/>
        <w:rPr>
          <w:rFonts w:ascii="Arial Narrow" w:hAnsi="Arial Narrow"/>
          <w:sz w:val="18"/>
        </w:rPr>
      </w:pPr>
      <w:r>
        <w:rPr>
          <w:rFonts w:ascii="Arial Narrow" w:hAnsi="Arial Narrow"/>
          <w:sz w:val="18"/>
        </w:rPr>
        <w:t xml:space="preserve">BC = breast cancer, BICR = blinded independent central review, </w:t>
      </w:r>
      <w:proofErr w:type="spellStart"/>
      <w:r>
        <w:rPr>
          <w:rFonts w:ascii="Arial Narrow" w:hAnsi="Arial Narrow"/>
          <w:sz w:val="18"/>
        </w:rPr>
        <w:t>DoR</w:t>
      </w:r>
      <w:proofErr w:type="spellEnd"/>
      <w:r>
        <w:rPr>
          <w:rFonts w:ascii="Arial Narrow" w:hAnsi="Arial Narrow"/>
          <w:sz w:val="18"/>
        </w:rPr>
        <w:t xml:space="preserve"> = duration of response, EORTC QLQ = European Organization for the Research and Treatment of Cancer Quality of Life Questionnaire, ET = endocrine therapy, HR = hormone receptor, HRQoL = health-related quality of life, HER2 = human epidermal growth factor receptor 2, IHC = immunohistochemical, ISH = in situ hybridisation, ITT = intent-to-treat, INV = Investigator, ORR = objective response rate, OS = overall survival, PFS = progression-free survival, PFS2 = time from randomisation to second progression or death, TFST = time to first subsequent therapy, TSST = time to second subsequent therapy</w:t>
      </w:r>
    </w:p>
    <w:p w14:paraId="6B4AB6C2" w14:textId="7F01D731" w:rsidR="005C25FF" w:rsidRPr="0098262F" w:rsidRDefault="005C25FF" w:rsidP="008241B5">
      <w:pPr>
        <w:pStyle w:val="2-SectionHeading"/>
      </w:pPr>
      <w:bookmarkStart w:id="2" w:name="_Toc219893545"/>
      <w:r w:rsidRPr="0098262F">
        <w:t>Background</w:t>
      </w:r>
      <w:bookmarkEnd w:id="2"/>
    </w:p>
    <w:p w14:paraId="2C521D6D" w14:textId="78CF03EE" w:rsidR="005C25FF" w:rsidRPr="004757DA" w:rsidRDefault="005C25FF" w:rsidP="008241B5">
      <w:pPr>
        <w:pStyle w:val="4-SubsectionHeading"/>
      </w:pPr>
      <w:bookmarkStart w:id="3" w:name="_Toc22897638"/>
      <w:bookmarkStart w:id="4" w:name="_Toc219893546"/>
      <w:r w:rsidRPr="004757DA">
        <w:t>Registration status</w:t>
      </w:r>
      <w:bookmarkEnd w:id="3"/>
      <w:bookmarkEnd w:id="4"/>
    </w:p>
    <w:p w14:paraId="3C310C74" w14:textId="3F89DFBC" w:rsidR="00F96DB0" w:rsidRPr="004757DA" w:rsidRDefault="00F96DB0" w:rsidP="008241B5">
      <w:pPr>
        <w:pStyle w:val="3-BodyText"/>
      </w:pPr>
      <w:r w:rsidRPr="004757DA">
        <w:rPr>
          <w:iCs/>
        </w:rPr>
        <w:t>A</w:t>
      </w:r>
      <w:r w:rsidR="00830084" w:rsidRPr="004757DA">
        <w:rPr>
          <w:iCs/>
        </w:rPr>
        <w:t xml:space="preserve">t the time of </w:t>
      </w:r>
      <w:r w:rsidR="00A954A2" w:rsidRPr="004757DA">
        <w:rPr>
          <w:iCs/>
        </w:rPr>
        <w:t>PBAC</w:t>
      </w:r>
      <w:r w:rsidR="007604EC" w:rsidRPr="004757DA">
        <w:rPr>
          <w:iCs/>
        </w:rPr>
        <w:t xml:space="preserve"> </w:t>
      </w:r>
      <w:r w:rsidR="00830084" w:rsidRPr="004757DA">
        <w:rPr>
          <w:iCs/>
        </w:rPr>
        <w:t>consideration</w:t>
      </w:r>
      <w:r w:rsidRPr="004757DA">
        <w:t xml:space="preserve"> T-</w:t>
      </w:r>
      <w:proofErr w:type="spellStart"/>
      <w:r w:rsidRPr="004757DA">
        <w:t>DXd</w:t>
      </w:r>
      <w:proofErr w:type="spellEnd"/>
      <w:r w:rsidRPr="004757DA">
        <w:t xml:space="preserve"> </w:t>
      </w:r>
      <w:r w:rsidR="004757DA">
        <w:t>wa</w:t>
      </w:r>
      <w:r w:rsidR="003A3158" w:rsidRPr="004757DA">
        <w:t>s</w:t>
      </w:r>
      <w:r w:rsidRPr="004757DA">
        <w:t xml:space="preserve"> approved by the TGA</w:t>
      </w:r>
      <w:r w:rsidR="00575E44" w:rsidRPr="004757DA">
        <w:t xml:space="preserve"> </w:t>
      </w:r>
      <w:r w:rsidRPr="004757DA">
        <w:t>as monotherapy for adult patients with</w:t>
      </w:r>
      <w:r w:rsidR="007338C0">
        <w:t xml:space="preserve"> metastatic breast cancer</w:t>
      </w:r>
      <w:r w:rsidR="00B513FC">
        <w:t xml:space="preserve"> with the following indications</w:t>
      </w:r>
      <w:r w:rsidRPr="004757DA">
        <w:t>:</w:t>
      </w:r>
    </w:p>
    <w:p w14:paraId="40B78818" w14:textId="00005671" w:rsidR="00F96DB0" w:rsidRPr="004757DA" w:rsidRDefault="00F96DB0" w:rsidP="008241B5">
      <w:pPr>
        <w:pStyle w:val="ListParagraph"/>
        <w:numPr>
          <w:ilvl w:val="0"/>
          <w:numId w:val="9"/>
        </w:numPr>
        <w:snapToGrid w:val="0"/>
        <w:spacing w:before="120"/>
        <w:ind w:left="1134" w:hanging="357"/>
        <w:jc w:val="both"/>
      </w:pPr>
      <w:r w:rsidRPr="004757DA">
        <w:t xml:space="preserve">Unresectable or metastatic HER2-positive </w:t>
      </w:r>
      <w:r w:rsidR="00D21370" w:rsidRPr="004757DA">
        <w:t>breast cancer (</w:t>
      </w:r>
      <w:r w:rsidRPr="004757DA">
        <w:t>BC</w:t>
      </w:r>
      <w:r w:rsidR="00D21370" w:rsidRPr="004757DA">
        <w:t>)</w:t>
      </w:r>
      <w:r w:rsidRPr="004757DA">
        <w:t xml:space="preserve"> who previously received trastuzumab and a taxane for metastatic disease, or one prior anti-HER2-based regimen and developed disease recurrence during or within </w:t>
      </w:r>
      <w:r w:rsidR="009D710B" w:rsidRPr="004757DA">
        <w:t>6</w:t>
      </w:r>
      <w:r w:rsidRPr="004757DA">
        <w:t xml:space="preserve"> months of completing neo-adjuvant or adjuvant therapy.</w:t>
      </w:r>
    </w:p>
    <w:p w14:paraId="5BECE545" w14:textId="16DB234D" w:rsidR="00F96DB0" w:rsidRPr="004757DA" w:rsidRDefault="00F96DB0" w:rsidP="008241B5">
      <w:pPr>
        <w:pStyle w:val="ListParagraph"/>
        <w:numPr>
          <w:ilvl w:val="0"/>
          <w:numId w:val="9"/>
        </w:numPr>
        <w:snapToGrid w:val="0"/>
        <w:ind w:left="1134" w:hanging="357"/>
        <w:jc w:val="both"/>
      </w:pPr>
      <w:r w:rsidRPr="004757DA">
        <w:t xml:space="preserve">Unresectable or metastatic HER2-low (immunochemistry [IHC] 1+ or IHC 2+/in situ hybridisation [ISH]-negative) BC who have received prior chemotherapy in the metastatic setting or developed disease recurrence during or within 6 months of </w:t>
      </w:r>
      <w:r w:rsidRPr="004757DA">
        <w:lastRenderedPageBreak/>
        <w:t>completing adjuvant chemotherapy.</w:t>
      </w:r>
      <w:r w:rsidR="007D6C0A">
        <w:t xml:space="preserve"> </w:t>
      </w:r>
      <w:r w:rsidR="007D6C0A" w:rsidRPr="007D6C0A">
        <w:t>Patients with hormone receptor positive (HR+) breast cancer should additionally have received and no longer be considered eligible for endocrine therapy.</w:t>
      </w:r>
    </w:p>
    <w:p w14:paraId="46C44E01" w14:textId="2AB53513" w:rsidR="000B5CFC" w:rsidRPr="004757DA" w:rsidRDefault="00D53E94" w:rsidP="008241B5">
      <w:pPr>
        <w:pStyle w:val="ListParagraph"/>
        <w:numPr>
          <w:ilvl w:val="0"/>
          <w:numId w:val="9"/>
        </w:numPr>
        <w:snapToGrid w:val="0"/>
        <w:ind w:left="1134" w:hanging="357"/>
        <w:jc w:val="both"/>
      </w:pPr>
      <w:r w:rsidRPr="004757DA">
        <w:t>Unresectable or metastatic HR+ and either HER2-low (IHC 1+ or IHC 2+/ISH-negative) or HER2-ultralow (IHC 0 with membrane staining) breast cancer who have received at least one endocrine therapy in the metastatic setting and who are not considered suitable for endocrine therapy as the next line of treatment.</w:t>
      </w:r>
    </w:p>
    <w:p w14:paraId="552DE084" w14:textId="547D638D" w:rsidR="00F96DB0" w:rsidRDefault="00F96DB0" w:rsidP="008241B5">
      <w:pPr>
        <w:pStyle w:val="3-BodyText"/>
      </w:pPr>
      <w:r w:rsidRPr="00B97999">
        <w:t>The use of T-</w:t>
      </w:r>
      <w:proofErr w:type="spellStart"/>
      <w:r w:rsidRPr="00B97999">
        <w:t>DXd</w:t>
      </w:r>
      <w:proofErr w:type="spellEnd"/>
      <w:r w:rsidRPr="00B97999">
        <w:t xml:space="preserve"> in the proposed indication requires identification of patients through companion diagnostic testing of tumour for HER2 at the newly defined HER2-low (IHC 1+ and IHC 2+/ISH-) and HER2-ultralow (IHC &gt; 0 &lt; 1+) cutoffs.</w:t>
      </w:r>
      <w:r>
        <w:t xml:space="preserve"> </w:t>
      </w:r>
      <w:r w:rsidRPr="00B97999">
        <w:t xml:space="preserve">In the </w:t>
      </w:r>
      <w:r>
        <w:t xml:space="preserve">TGA </w:t>
      </w:r>
      <w:r w:rsidRPr="00B97999">
        <w:t>Delegate’s overview, it was stated that, while HER2 testing is well established for BC in determining</w:t>
      </w:r>
      <w:r>
        <w:t xml:space="preserve"> ‘</w:t>
      </w:r>
      <w:r w:rsidRPr="00B97999">
        <w:t>positiv</w:t>
      </w:r>
      <w:r>
        <w:t>e’</w:t>
      </w:r>
      <w:r w:rsidRPr="00B97999">
        <w:t xml:space="preserve"> from</w:t>
      </w:r>
      <w:r>
        <w:t xml:space="preserve"> ‘</w:t>
      </w:r>
      <w:r w:rsidRPr="00B97999">
        <w:t>negative</w:t>
      </w:r>
      <w:r>
        <w:t>’</w:t>
      </w:r>
      <w:r w:rsidRPr="00B97999">
        <w:t xml:space="preserve"> and has been standardised and in wide use for decades in Australia (same for ISH testing in Australia), the </w:t>
      </w:r>
      <w:r>
        <w:t>‘</w:t>
      </w:r>
      <w:r w:rsidRPr="00B97999">
        <w:t>low</w:t>
      </w:r>
      <w:r>
        <w:t>’</w:t>
      </w:r>
      <w:r w:rsidRPr="00B97999">
        <w:t xml:space="preserve"> and </w:t>
      </w:r>
      <w:r>
        <w:t>‘</w:t>
      </w:r>
      <w:r w:rsidRPr="00B97999">
        <w:t>ultralow</w:t>
      </w:r>
      <w:r>
        <w:t xml:space="preserve">’ </w:t>
      </w:r>
      <w:r w:rsidRPr="00B97999">
        <w:t>sub</w:t>
      </w:r>
      <w:r w:rsidR="00621DB5">
        <w:t>-</w:t>
      </w:r>
      <w:r w:rsidRPr="00B97999">
        <w:t>definitions within HER2-negative, which depend on the IHC component of the HER2 testing, remain more novel than standard.</w:t>
      </w:r>
    </w:p>
    <w:p w14:paraId="5C0B0563" w14:textId="6B99A796" w:rsidR="00F96DB0" w:rsidRDefault="009C6C3F" w:rsidP="008241B5">
      <w:pPr>
        <w:pStyle w:val="3-BodyText"/>
      </w:pPr>
      <w:r w:rsidRPr="002E6F0E">
        <w:t>The recently updated (June 2025) HER2 Testing for Breast Cancer Guidelines published by the Royal College of Pathologists of Australasia (RCPA) provides a succinct summary of the current state of HER2 testing in BC in Australia, including the concepts of HER2-low and HER2-ultralow. The guideline</w:t>
      </w:r>
      <w:r w:rsidR="00D71F63" w:rsidRPr="002E6F0E">
        <w:t>s</w:t>
      </w:r>
      <w:r w:rsidRPr="002E6F0E">
        <w:t xml:space="preserve"> note that HER2-ultralow was not relevant to any TGA approval at the time, and that pathologists will require support, peer training and practice to score consistently BC HER2 IHC patterns at the low end of the protein expression (Delegate’s overview ENHERTU trastuzumab deruxtecan AstraZeneca </w:t>
      </w:r>
      <w:r w:rsidR="00E2167D">
        <w:br/>
      </w:r>
      <w:r w:rsidRPr="002E6F0E">
        <w:t>PM-2024-04768-1-4).</w:t>
      </w:r>
    </w:p>
    <w:p w14:paraId="38F90D45" w14:textId="77777777" w:rsidR="00ED4724" w:rsidRDefault="00ED4724" w:rsidP="008241B5">
      <w:pPr>
        <w:pStyle w:val="3-BodyText"/>
        <w:numPr>
          <w:ilvl w:val="0"/>
          <w:numId w:val="0"/>
        </w:numPr>
      </w:pPr>
    </w:p>
    <w:p w14:paraId="2C670B58" w14:textId="77777777" w:rsidR="00ED4724" w:rsidRPr="00C33D30" w:rsidRDefault="00ED4724" w:rsidP="006B3820">
      <w:pPr>
        <w:ind w:firstLine="720"/>
        <w:rPr>
          <w:rFonts w:asciiTheme="minorHAnsi" w:hAnsiTheme="minorHAnsi"/>
          <w:i/>
        </w:rPr>
      </w:pPr>
      <w:bookmarkStart w:id="5" w:name="_Hlk76375324"/>
      <w:r w:rsidRPr="00C33D30">
        <w:rPr>
          <w:rFonts w:asciiTheme="minorHAnsi" w:hAnsiTheme="minorHAnsi"/>
          <w:i/>
        </w:rPr>
        <w:t>For more detail on PBAC’s view, see section 7 PBAC outcome.</w:t>
      </w:r>
    </w:p>
    <w:bookmarkEnd w:id="5"/>
    <w:p w14:paraId="6AFB78C0" w14:textId="77777777" w:rsidR="00ED4724" w:rsidRPr="002E6F0E" w:rsidRDefault="00ED4724" w:rsidP="008241B5">
      <w:pPr>
        <w:pStyle w:val="3-BodyText"/>
        <w:numPr>
          <w:ilvl w:val="0"/>
          <w:numId w:val="0"/>
        </w:numPr>
      </w:pPr>
    </w:p>
    <w:p w14:paraId="76E4EF3C" w14:textId="13040F70" w:rsidR="00B60939" w:rsidRDefault="00B50DB8" w:rsidP="008241B5">
      <w:pPr>
        <w:pStyle w:val="2-SectionHeading"/>
      </w:pPr>
      <w:bookmarkStart w:id="6" w:name="_Toc107902078"/>
      <w:bookmarkStart w:id="7" w:name="_Toc219893547"/>
      <w:bookmarkEnd w:id="6"/>
      <w:r w:rsidRPr="0098262F">
        <w:t>Requested listing</w:t>
      </w:r>
      <w:bookmarkEnd w:id="7"/>
    </w:p>
    <w:p w14:paraId="544454CD" w14:textId="5F5564F7" w:rsidR="00EA620E" w:rsidRPr="0089198E" w:rsidRDefault="00BE7E5D" w:rsidP="008241B5">
      <w:pPr>
        <w:pStyle w:val="3-BodyText"/>
      </w:pPr>
      <w:r>
        <w:t>The proposed listing with Secretariat s</w:t>
      </w:r>
      <w:r w:rsidR="00EA620E" w:rsidRPr="0089198E">
        <w:t xml:space="preserve">uggested additions in </w:t>
      </w:r>
      <w:r w:rsidR="00EA620E" w:rsidRPr="0089198E">
        <w:rPr>
          <w:iCs/>
        </w:rPr>
        <w:t>italics</w:t>
      </w:r>
      <w:r w:rsidR="00EA620E" w:rsidRPr="0089198E">
        <w:t xml:space="preserve"> and deletions in strikethrough.</w:t>
      </w:r>
    </w:p>
    <w:p w14:paraId="5C761DCE" w14:textId="2EB46CA4" w:rsidR="00EA620E" w:rsidRPr="00EA620E" w:rsidRDefault="00EA620E" w:rsidP="008241B5">
      <w:pPr>
        <w:pStyle w:val="Caption"/>
        <w:rPr>
          <w:highlight w:val="yellow"/>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3"/>
        <w:gridCol w:w="849"/>
        <w:gridCol w:w="1416"/>
        <w:gridCol w:w="1420"/>
        <w:gridCol w:w="2693"/>
        <w:gridCol w:w="1416"/>
      </w:tblGrid>
      <w:tr w:rsidR="00706E09" w:rsidRPr="00706E09" w14:paraId="11274582" w14:textId="77777777" w:rsidTr="00A040D5">
        <w:trPr>
          <w:cantSplit/>
          <w:trHeight w:val="20"/>
        </w:trPr>
        <w:tc>
          <w:tcPr>
            <w:tcW w:w="1170" w:type="pct"/>
            <w:gridSpan w:val="2"/>
            <w:vAlign w:val="center"/>
          </w:tcPr>
          <w:p w14:paraId="3A623FCD" w14:textId="77777777" w:rsidR="000E223F" w:rsidRPr="00706E09" w:rsidRDefault="000E223F" w:rsidP="008241B5">
            <w:pPr>
              <w:keepNext/>
              <w:rPr>
                <w:rFonts w:ascii="Arial Narrow" w:hAnsi="Arial Narrow"/>
                <w:b/>
                <w:bCs/>
                <w:sz w:val="20"/>
                <w:szCs w:val="20"/>
              </w:rPr>
            </w:pPr>
            <w:r w:rsidRPr="00706E09">
              <w:rPr>
                <w:rFonts w:ascii="Arial Narrow" w:hAnsi="Arial Narrow"/>
                <w:b/>
                <w:bCs/>
                <w:sz w:val="20"/>
                <w:szCs w:val="20"/>
              </w:rPr>
              <w:t>MEDICINAL PRODUCT</w:t>
            </w:r>
          </w:p>
          <w:p w14:paraId="66367EC0" w14:textId="77777777" w:rsidR="000E223F" w:rsidRPr="00706E09" w:rsidRDefault="000E223F" w:rsidP="008241B5">
            <w:pPr>
              <w:keepNext/>
              <w:rPr>
                <w:rFonts w:ascii="Arial Narrow" w:hAnsi="Arial Narrow"/>
                <w:b/>
                <w:sz w:val="20"/>
                <w:szCs w:val="20"/>
              </w:rPr>
            </w:pPr>
            <w:r w:rsidRPr="00706E09">
              <w:rPr>
                <w:rFonts w:ascii="Arial Narrow" w:hAnsi="Arial Narrow"/>
                <w:b/>
                <w:sz w:val="20"/>
                <w:szCs w:val="20"/>
              </w:rPr>
              <w:t>Form</w:t>
            </w:r>
          </w:p>
        </w:tc>
        <w:tc>
          <w:tcPr>
            <w:tcW w:w="781" w:type="pct"/>
            <w:vAlign w:val="center"/>
          </w:tcPr>
          <w:p w14:paraId="53A97F70" w14:textId="77777777" w:rsidR="000E223F" w:rsidRPr="00706E09" w:rsidRDefault="000E223F" w:rsidP="008241B5">
            <w:pPr>
              <w:keepNext/>
              <w:jc w:val="center"/>
              <w:rPr>
                <w:rFonts w:ascii="Arial Narrow" w:hAnsi="Arial Narrow"/>
                <w:b/>
                <w:sz w:val="20"/>
                <w:szCs w:val="20"/>
              </w:rPr>
            </w:pPr>
            <w:r w:rsidRPr="00706E09">
              <w:rPr>
                <w:rFonts w:ascii="Arial Narrow" w:hAnsi="Arial Narrow"/>
                <w:b/>
                <w:sz w:val="20"/>
                <w:szCs w:val="20"/>
              </w:rPr>
              <w:t>PBS item code</w:t>
            </w:r>
          </w:p>
        </w:tc>
        <w:tc>
          <w:tcPr>
            <w:tcW w:w="783" w:type="pct"/>
            <w:vAlign w:val="center"/>
          </w:tcPr>
          <w:p w14:paraId="05DECAD1" w14:textId="77777777" w:rsidR="000E223F" w:rsidRPr="00706E09" w:rsidRDefault="000E223F" w:rsidP="008241B5">
            <w:pPr>
              <w:keepNext/>
              <w:jc w:val="center"/>
              <w:rPr>
                <w:rFonts w:ascii="Arial Narrow" w:hAnsi="Arial Narrow"/>
                <w:b/>
                <w:sz w:val="20"/>
                <w:szCs w:val="20"/>
              </w:rPr>
            </w:pPr>
            <w:r w:rsidRPr="00706E09">
              <w:rPr>
                <w:rFonts w:ascii="Arial Narrow" w:hAnsi="Arial Narrow"/>
                <w:b/>
                <w:sz w:val="20"/>
                <w:szCs w:val="20"/>
              </w:rPr>
              <w:t>Max. Amount</w:t>
            </w:r>
          </w:p>
        </w:tc>
        <w:tc>
          <w:tcPr>
            <w:tcW w:w="1485" w:type="pct"/>
            <w:vAlign w:val="center"/>
          </w:tcPr>
          <w:p w14:paraId="288AD6E9" w14:textId="5F91868E" w:rsidR="000E223F" w:rsidRPr="00706E09" w:rsidRDefault="000E223F" w:rsidP="008241B5">
            <w:pPr>
              <w:keepNext/>
              <w:jc w:val="center"/>
              <w:rPr>
                <w:rFonts w:ascii="Arial Narrow" w:hAnsi="Arial Narrow"/>
                <w:b/>
                <w:sz w:val="20"/>
                <w:szCs w:val="20"/>
              </w:rPr>
            </w:pPr>
            <w:r w:rsidRPr="00706E09">
              <w:rPr>
                <w:rFonts w:ascii="Arial Narrow" w:hAnsi="Arial Narrow"/>
                <w:b/>
                <w:sz w:val="20"/>
                <w:szCs w:val="20"/>
              </w:rPr>
              <w:t>Dispensed price for maximum amount (DPMA)</w:t>
            </w:r>
          </w:p>
        </w:tc>
        <w:tc>
          <w:tcPr>
            <w:tcW w:w="781" w:type="pct"/>
            <w:vAlign w:val="center"/>
          </w:tcPr>
          <w:p w14:paraId="71637FB5" w14:textId="77777777" w:rsidR="000E223F" w:rsidRPr="00706E09" w:rsidRDefault="000E223F" w:rsidP="008241B5">
            <w:pPr>
              <w:keepNext/>
              <w:jc w:val="center"/>
              <w:rPr>
                <w:rFonts w:ascii="Arial Narrow" w:hAnsi="Arial Narrow"/>
                <w:b/>
                <w:sz w:val="20"/>
                <w:szCs w:val="20"/>
              </w:rPr>
            </w:pPr>
            <w:proofErr w:type="gramStart"/>
            <w:r w:rsidRPr="00706E09">
              <w:rPr>
                <w:rFonts w:ascii="Arial Narrow" w:hAnsi="Arial Narrow"/>
                <w:b/>
                <w:sz w:val="20"/>
                <w:szCs w:val="20"/>
              </w:rPr>
              <w:t>№.of</w:t>
            </w:r>
            <w:proofErr w:type="gramEnd"/>
            <w:r w:rsidRPr="00706E09">
              <w:rPr>
                <w:rFonts w:ascii="Arial Narrow" w:hAnsi="Arial Narrow"/>
                <w:b/>
                <w:sz w:val="20"/>
                <w:szCs w:val="20"/>
              </w:rPr>
              <w:t xml:space="preserve"> Rpts</w:t>
            </w:r>
          </w:p>
        </w:tc>
      </w:tr>
      <w:tr w:rsidR="00706E09" w:rsidRPr="00706E09" w14:paraId="6F9C9802" w14:textId="77777777" w:rsidTr="00A040D5">
        <w:trPr>
          <w:cantSplit/>
          <w:trHeight w:val="20"/>
        </w:trPr>
        <w:tc>
          <w:tcPr>
            <w:tcW w:w="1170" w:type="pct"/>
            <w:gridSpan w:val="2"/>
            <w:vAlign w:val="center"/>
          </w:tcPr>
          <w:p w14:paraId="2AA23E5B" w14:textId="77777777" w:rsidR="000E223F" w:rsidRPr="00706E09" w:rsidRDefault="000E223F" w:rsidP="008241B5">
            <w:pPr>
              <w:keepNext/>
              <w:rPr>
                <w:rFonts w:ascii="Arial Narrow" w:hAnsi="Arial Narrow"/>
                <w:sz w:val="20"/>
                <w:szCs w:val="20"/>
              </w:rPr>
            </w:pPr>
            <w:r w:rsidRPr="00706E09">
              <w:rPr>
                <w:rFonts w:ascii="Arial Narrow" w:hAnsi="Arial Narrow"/>
                <w:sz w:val="20"/>
                <w:szCs w:val="20"/>
              </w:rPr>
              <w:t xml:space="preserve">TRASTUZUMAB DERUXTECAN </w:t>
            </w:r>
            <w:r w:rsidRPr="00706E09">
              <w:rPr>
                <w:rFonts w:ascii="Arial Narrow" w:hAnsi="Arial Narrow"/>
                <w:sz w:val="20"/>
                <w:szCs w:val="20"/>
              </w:rPr>
              <w:br/>
              <w:t>Injection</w:t>
            </w:r>
          </w:p>
        </w:tc>
        <w:tc>
          <w:tcPr>
            <w:tcW w:w="781" w:type="pct"/>
            <w:vAlign w:val="center"/>
          </w:tcPr>
          <w:p w14:paraId="2D3EF064" w14:textId="77777777" w:rsidR="000E223F" w:rsidRPr="00706E09" w:rsidRDefault="000E223F" w:rsidP="008241B5">
            <w:pPr>
              <w:keepNext/>
              <w:jc w:val="center"/>
              <w:rPr>
                <w:rFonts w:ascii="Arial Narrow" w:hAnsi="Arial Narrow"/>
                <w:sz w:val="20"/>
                <w:szCs w:val="20"/>
              </w:rPr>
            </w:pPr>
            <w:r w:rsidRPr="00706E09">
              <w:rPr>
                <w:rFonts w:ascii="Arial Narrow" w:hAnsi="Arial Narrow"/>
                <w:sz w:val="20"/>
                <w:szCs w:val="20"/>
              </w:rPr>
              <w:t>NEW (Public)</w:t>
            </w:r>
            <w:r w:rsidRPr="00706E09">
              <w:rPr>
                <w:rFonts w:ascii="Arial Narrow" w:hAnsi="Arial Narrow"/>
                <w:sz w:val="20"/>
                <w:szCs w:val="20"/>
              </w:rPr>
              <w:br/>
              <w:t>NEW (Private)</w:t>
            </w:r>
          </w:p>
        </w:tc>
        <w:tc>
          <w:tcPr>
            <w:tcW w:w="783" w:type="pct"/>
            <w:vAlign w:val="center"/>
          </w:tcPr>
          <w:p w14:paraId="453B8461" w14:textId="77777777" w:rsidR="000E223F" w:rsidRPr="00706E09" w:rsidRDefault="000E223F" w:rsidP="008241B5">
            <w:pPr>
              <w:keepNext/>
              <w:jc w:val="center"/>
              <w:rPr>
                <w:rFonts w:ascii="Arial Narrow" w:hAnsi="Arial Narrow"/>
                <w:sz w:val="20"/>
                <w:szCs w:val="20"/>
              </w:rPr>
            </w:pPr>
            <w:r w:rsidRPr="00706E09">
              <w:rPr>
                <w:rFonts w:ascii="Arial Narrow" w:hAnsi="Arial Narrow"/>
                <w:sz w:val="20"/>
                <w:szCs w:val="20"/>
              </w:rPr>
              <w:t xml:space="preserve">675 mg </w:t>
            </w:r>
          </w:p>
        </w:tc>
        <w:tc>
          <w:tcPr>
            <w:tcW w:w="1485" w:type="pct"/>
          </w:tcPr>
          <w:p w14:paraId="6CE3E5C0" w14:textId="77777777" w:rsidR="000E223F" w:rsidRPr="00706E09" w:rsidRDefault="000E223F" w:rsidP="008241B5">
            <w:pPr>
              <w:pStyle w:val="TableText0"/>
              <w:rPr>
                <w:szCs w:val="20"/>
                <w:lang w:val="en-GB"/>
              </w:rPr>
            </w:pPr>
            <w:r w:rsidRPr="00706E09">
              <w:rPr>
                <w:szCs w:val="20"/>
                <w:lang w:val="en-GB"/>
              </w:rPr>
              <w:t>Public hospital:</w:t>
            </w:r>
          </w:p>
          <w:p w14:paraId="7DF1F3BA" w14:textId="77777777" w:rsidR="000E223F" w:rsidRPr="00706E09" w:rsidRDefault="000E223F" w:rsidP="008241B5">
            <w:pPr>
              <w:pStyle w:val="TableText0"/>
              <w:ind w:left="257"/>
              <w:rPr>
                <w:szCs w:val="20"/>
                <w:lang w:val="en-GB"/>
              </w:rPr>
            </w:pPr>
            <w:r w:rsidRPr="00543F23">
              <w:rPr>
                <w:szCs w:val="20"/>
                <w:lang w:val="en-GB"/>
              </w:rPr>
              <w:t>Published: $17,542.65</w:t>
            </w:r>
          </w:p>
          <w:p w14:paraId="462025E0" w14:textId="5709FF23" w:rsidR="000E223F" w:rsidRPr="00706E09" w:rsidRDefault="000E223F" w:rsidP="008241B5">
            <w:pPr>
              <w:pStyle w:val="TableText0"/>
              <w:ind w:left="257"/>
              <w:rPr>
                <w:szCs w:val="20"/>
                <w:lang w:val="en-GB"/>
              </w:rPr>
            </w:pPr>
            <w:r w:rsidRPr="00706E09">
              <w:rPr>
                <w:szCs w:val="20"/>
                <w:lang w:val="en-GB"/>
              </w:rPr>
              <w:t>Effective: $</w:t>
            </w:r>
            <w:r w:rsidR="006340CE" w:rsidRPr="006340CE">
              <w:rPr>
                <w:sz w:val="2"/>
                <w:szCs w:val="20"/>
                <w:highlight w:val="black"/>
                <w:lang w:val="en-GB"/>
              </w:rPr>
              <w:t>redacted content</w:t>
            </w:r>
            <w:r w:rsidRPr="00706E09">
              <w:rPr>
                <w:szCs w:val="20"/>
                <w:lang w:val="en-GB"/>
              </w:rPr>
              <w:t xml:space="preserve"> with SPA</w:t>
            </w:r>
          </w:p>
          <w:p w14:paraId="5A59CD3A" w14:textId="77777777" w:rsidR="000E223F" w:rsidRPr="00706E09" w:rsidRDefault="000E223F" w:rsidP="008241B5">
            <w:pPr>
              <w:pStyle w:val="TableText0"/>
              <w:rPr>
                <w:szCs w:val="20"/>
                <w:lang w:val="en-GB"/>
              </w:rPr>
            </w:pPr>
            <w:r w:rsidRPr="00706E09">
              <w:rPr>
                <w:szCs w:val="20"/>
                <w:lang w:val="en-GB"/>
              </w:rPr>
              <w:t xml:space="preserve">Private hospital: </w:t>
            </w:r>
          </w:p>
          <w:p w14:paraId="42231585" w14:textId="77777777" w:rsidR="000E223F" w:rsidRPr="00706E09" w:rsidRDefault="000E223F" w:rsidP="008241B5">
            <w:pPr>
              <w:pStyle w:val="TableText0"/>
              <w:ind w:left="257"/>
              <w:rPr>
                <w:szCs w:val="20"/>
                <w:lang w:val="en-GB"/>
              </w:rPr>
            </w:pPr>
            <w:r w:rsidRPr="00543F23">
              <w:rPr>
                <w:szCs w:val="20"/>
                <w:lang w:val="en-GB"/>
              </w:rPr>
              <w:t>Published: $17,832.62</w:t>
            </w:r>
          </w:p>
          <w:p w14:paraId="6299032B" w14:textId="1D29BCAD" w:rsidR="000E223F" w:rsidRPr="00706E09" w:rsidRDefault="000E223F" w:rsidP="008241B5">
            <w:pPr>
              <w:pStyle w:val="TableText0"/>
              <w:ind w:left="257"/>
              <w:rPr>
                <w:szCs w:val="20"/>
              </w:rPr>
            </w:pPr>
            <w:r w:rsidRPr="00706E09">
              <w:rPr>
                <w:szCs w:val="20"/>
                <w:lang w:val="en-GB"/>
              </w:rPr>
              <w:t>Effective: $</w:t>
            </w:r>
            <w:r w:rsidR="006340CE" w:rsidRPr="006340CE">
              <w:rPr>
                <w:sz w:val="2"/>
                <w:szCs w:val="20"/>
                <w:highlight w:val="black"/>
                <w:lang w:val="en-GB"/>
              </w:rPr>
              <w:t>redacted content</w:t>
            </w:r>
            <w:r w:rsidRPr="00706E09">
              <w:rPr>
                <w:szCs w:val="20"/>
                <w:lang w:val="en-GB"/>
              </w:rPr>
              <w:t xml:space="preserve"> with SPA</w:t>
            </w:r>
          </w:p>
        </w:tc>
        <w:tc>
          <w:tcPr>
            <w:tcW w:w="781" w:type="pct"/>
            <w:vAlign w:val="center"/>
          </w:tcPr>
          <w:p w14:paraId="231B7678" w14:textId="77777777" w:rsidR="000E223F" w:rsidRPr="00706E09" w:rsidRDefault="000E223F" w:rsidP="008241B5">
            <w:pPr>
              <w:keepNext/>
              <w:jc w:val="center"/>
              <w:rPr>
                <w:rFonts w:ascii="Arial Narrow" w:hAnsi="Arial Narrow"/>
                <w:sz w:val="20"/>
                <w:szCs w:val="20"/>
              </w:rPr>
            </w:pPr>
            <w:r w:rsidRPr="00706E09">
              <w:rPr>
                <w:rFonts w:ascii="Arial Narrow" w:hAnsi="Arial Narrow"/>
                <w:sz w:val="20"/>
                <w:szCs w:val="20"/>
              </w:rPr>
              <w:t>8</w:t>
            </w:r>
          </w:p>
        </w:tc>
      </w:tr>
      <w:tr w:rsidR="00706E09" w:rsidRPr="00706E09" w14:paraId="0A7BFE0C" w14:textId="77777777" w:rsidTr="00A040D5">
        <w:trPr>
          <w:cantSplit/>
          <w:trHeight w:val="20"/>
        </w:trPr>
        <w:tc>
          <w:tcPr>
            <w:tcW w:w="5000" w:type="pct"/>
            <w:gridSpan w:val="6"/>
            <w:vAlign w:val="center"/>
          </w:tcPr>
          <w:p w14:paraId="65806A54" w14:textId="77777777" w:rsidR="00EA620E" w:rsidRPr="00706E09" w:rsidRDefault="00EA620E" w:rsidP="008241B5">
            <w:pPr>
              <w:keepNext/>
              <w:rPr>
                <w:rFonts w:ascii="Arial Narrow" w:hAnsi="Arial Narrow"/>
                <w:b/>
                <w:sz w:val="20"/>
                <w:szCs w:val="20"/>
              </w:rPr>
            </w:pPr>
            <w:r w:rsidRPr="00706E09">
              <w:rPr>
                <w:rFonts w:ascii="Arial Narrow" w:hAnsi="Arial Narrow"/>
                <w:b/>
                <w:sz w:val="20"/>
                <w:szCs w:val="20"/>
              </w:rPr>
              <w:t xml:space="preserve">Available brands </w:t>
            </w:r>
          </w:p>
        </w:tc>
      </w:tr>
      <w:tr w:rsidR="00706E09" w:rsidRPr="00706E09" w14:paraId="5EE08C44" w14:textId="77777777" w:rsidTr="00A040D5">
        <w:trPr>
          <w:cantSplit/>
          <w:trHeight w:val="20"/>
        </w:trPr>
        <w:tc>
          <w:tcPr>
            <w:tcW w:w="5000" w:type="pct"/>
            <w:gridSpan w:val="6"/>
            <w:vAlign w:val="center"/>
          </w:tcPr>
          <w:p w14:paraId="51CDCA8E" w14:textId="77777777" w:rsidR="00EA620E" w:rsidRPr="00706E09" w:rsidRDefault="00EA620E" w:rsidP="008241B5">
            <w:pPr>
              <w:keepNext/>
              <w:rPr>
                <w:rFonts w:ascii="Arial Narrow" w:hAnsi="Arial Narrow"/>
                <w:sz w:val="20"/>
                <w:szCs w:val="20"/>
              </w:rPr>
            </w:pPr>
            <w:proofErr w:type="spellStart"/>
            <w:r w:rsidRPr="00706E09">
              <w:rPr>
                <w:rFonts w:ascii="Arial Narrow" w:hAnsi="Arial Narrow"/>
                <w:sz w:val="20"/>
                <w:szCs w:val="20"/>
              </w:rPr>
              <w:t>Enhertu</w:t>
            </w:r>
            <w:proofErr w:type="spellEnd"/>
            <w:r w:rsidRPr="00706E09">
              <w:rPr>
                <w:rFonts w:ascii="Arial Narrow" w:hAnsi="Arial Narrow"/>
                <w:sz w:val="20"/>
                <w:szCs w:val="20"/>
              </w:rPr>
              <w:br/>
              <w:t>(trastuzumab deruxtecan 100 mg injection, 1 vial)</w:t>
            </w:r>
          </w:p>
        </w:tc>
      </w:tr>
      <w:tr w:rsidR="00706E09" w:rsidRPr="00706E09" w14:paraId="18EB058F" w14:textId="77777777" w:rsidTr="00A040D5">
        <w:trPr>
          <w:cantSplit/>
          <w:trHeight w:val="20"/>
        </w:trPr>
        <w:tc>
          <w:tcPr>
            <w:tcW w:w="5000" w:type="pct"/>
            <w:gridSpan w:val="6"/>
            <w:vAlign w:val="center"/>
          </w:tcPr>
          <w:p w14:paraId="6771EF02" w14:textId="77777777" w:rsidR="00EA620E" w:rsidRPr="00706E09" w:rsidRDefault="00EA620E" w:rsidP="008241B5">
            <w:pPr>
              <w:rPr>
                <w:rFonts w:ascii="Arial Narrow" w:hAnsi="Arial Narrow"/>
                <w:sz w:val="20"/>
                <w:szCs w:val="20"/>
              </w:rPr>
            </w:pPr>
          </w:p>
        </w:tc>
      </w:tr>
      <w:tr w:rsidR="00706E09" w:rsidRPr="00706E09" w14:paraId="54C3BB3A" w14:textId="77777777" w:rsidTr="00A040D5">
        <w:trPr>
          <w:cantSplit/>
          <w:trHeight w:val="20"/>
        </w:trPr>
        <w:tc>
          <w:tcPr>
            <w:tcW w:w="5000" w:type="pct"/>
            <w:gridSpan w:val="6"/>
            <w:vAlign w:val="center"/>
          </w:tcPr>
          <w:p w14:paraId="0B40ECA9" w14:textId="77777777" w:rsidR="00EA620E" w:rsidRPr="00706E09" w:rsidRDefault="00EA620E" w:rsidP="008241B5">
            <w:pPr>
              <w:keepNext/>
              <w:rPr>
                <w:rFonts w:ascii="Arial Narrow" w:hAnsi="Arial Narrow"/>
                <w:sz w:val="20"/>
                <w:szCs w:val="20"/>
              </w:rPr>
            </w:pPr>
            <w:r w:rsidRPr="00706E09">
              <w:rPr>
                <w:rFonts w:ascii="Arial Narrow" w:hAnsi="Arial Narrow"/>
                <w:b/>
                <w:sz w:val="20"/>
                <w:szCs w:val="20"/>
              </w:rPr>
              <w:t>Restriction Summary [new] / Treatment of Concept: [new]</w:t>
            </w:r>
          </w:p>
        </w:tc>
      </w:tr>
      <w:tr w:rsidR="00706E09" w:rsidRPr="00706E09" w14:paraId="2FA34D5A" w14:textId="77777777" w:rsidTr="00A040D5">
        <w:tblPrEx>
          <w:tblCellMar>
            <w:top w:w="15" w:type="dxa"/>
            <w:bottom w:w="15" w:type="dxa"/>
          </w:tblCellMar>
          <w:tblLook w:val="04A0" w:firstRow="1" w:lastRow="0" w:firstColumn="1" w:lastColumn="0" w:noHBand="0" w:noVBand="1"/>
        </w:tblPrEx>
        <w:trPr>
          <w:cantSplit/>
          <w:trHeight w:val="20"/>
        </w:trPr>
        <w:tc>
          <w:tcPr>
            <w:tcW w:w="702" w:type="pct"/>
            <w:vMerge w:val="restart"/>
          </w:tcPr>
          <w:p w14:paraId="73F283DF" w14:textId="77777777" w:rsidR="00EA620E" w:rsidRPr="00706E09" w:rsidRDefault="00EA620E" w:rsidP="008241B5">
            <w:pPr>
              <w:keepNext/>
              <w:jc w:val="center"/>
              <w:rPr>
                <w:rFonts w:ascii="Arial Narrow" w:hAnsi="Arial Narrow"/>
                <w:b/>
                <w:sz w:val="20"/>
                <w:szCs w:val="20"/>
              </w:rPr>
            </w:pPr>
            <w:r w:rsidRPr="00706E09">
              <w:rPr>
                <w:rFonts w:ascii="Arial Narrow" w:hAnsi="Arial Narrow"/>
                <w:b/>
                <w:sz w:val="20"/>
                <w:szCs w:val="20"/>
              </w:rPr>
              <w:t xml:space="preserve">Concept ID </w:t>
            </w:r>
            <w:r w:rsidRPr="00706E09">
              <w:rPr>
                <w:rFonts w:ascii="Arial Narrow" w:hAnsi="Arial Narrow"/>
                <w:sz w:val="20"/>
                <w:szCs w:val="20"/>
              </w:rPr>
              <w:t>(for internal Dept. use)</w:t>
            </w:r>
          </w:p>
        </w:tc>
        <w:tc>
          <w:tcPr>
            <w:tcW w:w="4298" w:type="pct"/>
            <w:gridSpan w:val="5"/>
          </w:tcPr>
          <w:p w14:paraId="39BA001E" w14:textId="77777777" w:rsidR="00EA620E" w:rsidRPr="00706E09" w:rsidRDefault="00EA620E" w:rsidP="008241B5">
            <w:pPr>
              <w:keepNext/>
              <w:rPr>
                <w:rFonts w:ascii="Arial Narrow" w:hAnsi="Arial Narrow"/>
                <w:sz w:val="20"/>
                <w:szCs w:val="20"/>
              </w:rPr>
            </w:pPr>
            <w:r w:rsidRPr="00706E09">
              <w:rPr>
                <w:rFonts w:ascii="Arial Narrow" w:hAnsi="Arial Narrow"/>
                <w:b/>
                <w:sz w:val="20"/>
                <w:szCs w:val="20"/>
              </w:rPr>
              <w:t xml:space="preserve">Category / Program: </w:t>
            </w:r>
            <w:r w:rsidRPr="00706E09">
              <w:rPr>
                <w:rFonts w:ascii="Arial Narrow" w:hAnsi="Arial Narrow"/>
                <w:sz w:val="20"/>
                <w:szCs w:val="20"/>
              </w:rPr>
              <w:t>Section 100 – Efficient Funding of Chemotherapy Public/Private hospitals</w:t>
            </w:r>
          </w:p>
        </w:tc>
      </w:tr>
      <w:tr w:rsidR="00706E09" w:rsidRPr="00706E09" w14:paraId="6C290078" w14:textId="77777777" w:rsidTr="00A040D5">
        <w:tblPrEx>
          <w:tblCellMar>
            <w:top w:w="15" w:type="dxa"/>
            <w:bottom w:w="15" w:type="dxa"/>
          </w:tblCellMar>
          <w:tblLook w:val="04A0" w:firstRow="1" w:lastRow="0" w:firstColumn="1" w:lastColumn="0" w:noHBand="0" w:noVBand="1"/>
        </w:tblPrEx>
        <w:trPr>
          <w:cantSplit/>
          <w:trHeight w:val="20"/>
        </w:trPr>
        <w:tc>
          <w:tcPr>
            <w:tcW w:w="702" w:type="pct"/>
            <w:vMerge/>
          </w:tcPr>
          <w:p w14:paraId="26DB2FFE" w14:textId="77777777" w:rsidR="00EA620E" w:rsidRPr="00706E09" w:rsidRDefault="00EA620E" w:rsidP="008241B5">
            <w:pPr>
              <w:keepNext/>
              <w:rPr>
                <w:rFonts w:ascii="Arial Narrow" w:hAnsi="Arial Narrow"/>
                <w:sz w:val="20"/>
                <w:szCs w:val="20"/>
              </w:rPr>
            </w:pPr>
          </w:p>
        </w:tc>
        <w:tc>
          <w:tcPr>
            <w:tcW w:w="4298" w:type="pct"/>
            <w:gridSpan w:val="5"/>
          </w:tcPr>
          <w:p w14:paraId="41CCE2E3" w14:textId="77777777" w:rsidR="00EA620E" w:rsidRPr="00706E09" w:rsidRDefault="00EA620E" w:rsidP="008241B5">
            <w:pPr>
              <w:keepNext/>
              <w:rPr>
                <w:rFonts w:ascii="Arial Narrow" w:hAnsi="Arial Narrow"/>
                <w:b/>
                <w:sz w:val="20"/>
                <w:szCs w:val="20"/>
              </w:rPr>
            </w:pPr>
            <w:r w:rsidRPr="00706E09">
              <w:rPr>
                <w:rFonts w:ascii="Arial Narrow" w:hAnsi="Arial Narrow"/>
                <w:b/>
                <w:sz w:val="20"/>
                <w:szCs w:val="20"/>
              </w:rPr>
              <w:t xml:space="preserve">Prescriber type: </w:t>
            </w:r>
            <w:r w:rsidRPr="00706E09">
              <w:rPr>
                <w:rFonts w:ascii="Arial Narrow" w:hAnsi="Arial Narrow"/>
                <w:sz w:val="20"/>
                <w:szCs w:val="20"/>
              </w:rPr>
              <w:fldChar w:fldCharType="begin">
                <w:ffData>
                  <w:name w:val=""/>
                  <w:enabled/>
                  <w:calcOnExit w:val="0"/>
                  <w:checkBox>
                    <w:sizeAuto/>
                    <w:default w:val="1"/>
                  </w:checkBox>
                </w:ffData>
              </w:fldChar>
            </w:r>
            <w:r w:rsidRPr="00706E09">
              <w:rPr>
                <w:rFonts w:ascii="Arial Narrow" w:hAnsi="Arial Narrow"/>
                <w:sz w:val="20"/>
                <w:szCs w:val="20"/>
              </w:rPr>
              <w:instrText xml:space="preserve"> FORMCHECKBOX </w:instrText>
            </w:r>
            <w:r w:rsidRPr="00706E09">
              <w:rPr>
                <w:rFonts w:ascii="Arial Narrow" w:hAnsi="Arial Narrow"/>
                <w:sz w:val="20"/>
                <w:szCs w:val="20"/>
              </w:rPr>
            </w:r>
            <w:r w:rsidRPr="00706E09">
              <w:rPr>
                <w:rFonts w:ascii="Arial Narrow" w:hAnsi="Arial Narrow"/>
                <w:sz w:val="20"/>
                <w:szCs w:val="20"/>
              </w:rPr>
              <w:fldChar w:fldCharType="separate"/>
            </w:r>
            <w:r w:rsidRPr="00706E09">
              <w:rPr>
                <w:rFonts w:ascii="Arial Narrow" w:hAnsi="Arial Narrow"/>
                <w:sz w:val="20"/>
                <w:szCs w:val="20"/>
              </w:rPr>
              <w:fldChar w:fldCharType="end"/>
            </w:r>
            <w:r w:rsidRPr="00706E09">
              <w:rPr>
                <w:rFonts w:ascii="Arial Narrow" w:hAnsi="Arial Narrow"/>
                <w:sz w:val="20"/>
                <w:szCs w:val="20"/>
              </w:rPr>
              <w:t>Medical Practitioners</w:t>
            </w:r>
          </w:p>
        </w:tc>
      </w:tr>
      <w:tr w:rsidR="00706E09" w:rsidRPr="00706E09" w14:paraId="2CC20B2C" w14:textId="77777777" w:rsidTr="00A040D5">
        <w:tblPrEx>
          <w:tblCellMar>
            <w:top w:w="15" w:type="dxa"/>
            <w:bottom w:w="15" w:type="dxa"/>
          </w:tblCellMar>
          <w:tblLook w:val="04A0" w:firstRow="1" w:lastRow="0" w:firstColumn="1" w:lastColumn="0" w:noHBand="0" w:noVBand="1"/>
        </w:tblPrEx>
        <w:trPr>
          <w:cantSplit/>
          <w:trHeight w:val="20"/>
        </w:trPr>
        <w:tc>
          <w:tcPr>
            <w:tcW w:w="702" w:type="pct"/>
            <w:vMerge/>
          </w:tcPr>
          <w:p w14:paraId="7C03EBE8" w14:textId="77777777" w:rsidR="00EA620E" w:rsidRPr="00706E09" w:rsidRDefault="00EA620E" w:rsidP="008241B5">
            <w:pPr>
              <w:rPr>
                <w:rFonts w:ascii="Arial Narrow" w:hAnsi="Arial Narrow"/>
                <w:sz w:val="20"/>
                <w:szCs w:val="20"/>
              </w:rPr>
            </w:pPr>
          </w:p>
        </w:tc>
        <w:tc>
          <w:tcPr>
            <w:tcW w:w="4298" w:type="pct"/>
            <w:gridSpan w:val="5"/>
          </w:tcPr>
          <w:p w14:paraId="3D7E2E46" w14:textId="77777777" w:rsidR="00EA620E" w:rsidRPr="00706E09" w:rsidRDefault="00EA620E" w:rsidP="008241B5">
            <w:pPr>
              <w:rPr>
                <w:rFonts w:ascii="Arial Narrow" w:eastAsia="Calibri" w:hAnsi="Arial Narrow"/>
                <w:sz w:val="20"/>
                <w:szCs w:val="20"/>
              </w:rPr>
            </w:pPr>
            <w:r w:rsidRPr="00706E09">
              <w:rPr>
                <w:rFonts w:ascii="Arial Narrow" w:hAnsi="Arial Narrow"/>
                <w:b/>
                <w:sz w:val="20"/>
                <w:szCs w:val="20"/>
              </w:rPr>
              <w:t xml:space="preserve">Restriction type: </w:t>
            </w:r>
            <w:r w:rsidRPr="00706E09">
              <w:rPr>
                <w:rFonts w:ascii="Arial Narrow" w:eastAsia="Calibri" w:hAnsi="Arial Narrow"/>
                <w:sz w:val="20"/>
                <w:szCs w:val="20"/>
              </w:rPr>
              <w:fldChar w:fldCharType="begin">
                <w:ffData>
                  <w:name w:val="Check3"/>
                  <w:enabled/>
                  <w:calcOnExit w:val="0"/>
                  <w:checkBox>
                    <w:sizeAuto/>
                    <w:default w:val="1"/>
                  </w:checkBox>
                </w:ffData>
              </w:fldChar>
            </w:r>
            <w:r w:rsidRPr="00706E09">
              <w:rPr>
                <w:rFonts w:ascii="Arial Narrow" w:eastAsia="Calibri" w:hAnsi="Arial Narrow"/>
                <w:sz w:val="20"/>
                <w:szCs w:val="20"/>
              </w:rPr>
              <w:instrText xml:space="preserve"> FORMCHECKBOX </w:instrText>
            </w:r>
            <w:r w:rsidRPr="00706E09">
              <w:rPr>
                <w:rFonts w:ascii="Arial Narrow" w:eastAsia="Calibri" w:hAnsi="Arial Narrow"/>
                <w:sz w:val="20"/>
                <w:szCs w:val="20"/>
              </w:rPr>
            </w:r>
            <w:r w:rsidRPr="00706E09">
              <w:rPr>
                <w:rFonts w:ascii="Arial Narrow" w:eastAsia="Calibri" w:hAnsi="Arial Narrow"/>
                <w:sz w:val="20"/>
                <w:szCs w:val="20"/>
              </w:rPr>
              <w:fldChar w:fldCharType="separate"/>
            </w:r>
            <w:r w:rsidRPr="00706E09">
              <w:rPr>
                <w:rFonts w:ascii="Arial Narrow" w:eastAsia="Calibri" w:hAnsi="Arial Narrow"/>
                <w:sz w:val="20"/>
                <w:szCs w:val="20"/>
              </w:rPr>
              <w:fldChar w:fldCharType="end"/>
            </w:r>
            <w:r w:rsidRPr="00706E09">
              <w:rPr>
                <w:rFonts w:ascii="Arial Narrow" w:eastAsia="Calibri" w:hAnsi="Arial Narrow"/>
                <w:sz w:val="20"/>
                <w:szCs w:val="20"/>
              </w:rPr>
              <w:t xml:space="preserve">Authority Required (telephone/online PBS Authorities system) </w:t>
            </w:r>
          </w:p>
        </w:tc>
      </w:tr>
      <w:tr w:rsidR="004C1CFB" w:rsidRPr="00706E09" w14:paraId="6D779880" w14:textId="77777777" w:rsidTr="004C1CF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47A058B3" w14:textId="77777777" w:rsidR="004C1CFB" w:rsidRPr="00706E09" w:rsidRDefault="004C1CFB" w:rsidP="008241B5">
            <w:pPr>
              <w:keepLines/>
              <w:rPr>
                <w:rFonts w:ascii="Arial Narrow" w:hAnsi="Arial Narrow"/>
                <w:i/>
                <w:iCs/>
                <w:sz w:val="20"/>
                <w:szCs w:val="20"/>
              </w:rPr>
            </w:pPr>
            <w:r w:rsidRPr="00706E09">
              <w:rPr>
                <w:rFonts w:ascii="Arial Narrow" w:hAnsi="Arial Narrow"/>
                <w:b/>
                <w:bCs/>
                <w:i/>
                <w:iCs/>
                <w:sz w:val="20"/>
                <w:szCs w:val="20"/>
              </w:rPr>
              <w:t xml:space="preserve">Administrative Advice: </w:t>
            </w:r>
            <w:r w:rsidRPr="00706E09">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C1CFB" w:rsidRPr="00706E09" w14:paraId="25B2D3F3" w14:textId="77777777" w:rsidTr="004C1CF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D1E125A" w14:textId="77777777" w:rsidR="004C1CFB" w:rsidRPr="00706E09" w:rsidRDefault="004C1CFB" w:rsidP="008241B5">
            <w:pPr>
              <w:keepLines/>
              <w:rPr>
                <w:rFonts w:ascii="Arial Narrow" w:hAnsi="Arial Narrow"/>
                <w:b/>
                <w:bCs/>
                <w:i/>
                <w:iCs/>
                <w:sz w:val="20"/>
                <w:szCs w:val="20"/>
              </w:rPr>
            </w:pPr>
            <w:r w:rsidRPr="00706E09">
              <w:rPr>
                <w:rFonts w:ascii="Arial Narrow" w:hAnsi="Arial Narrow"/>
                <w:b/>
                <w:bCs/>
                <w:i/>
                <w:iCs/>
                <w:sz w:val="20"/>
                <w:szCs w:val="20"/>
              </w:rPr>
              <w:t>Administrative Advice:</w:t>
            </w:r>
            <w:r w:rsidRPr="00706E09">
              <w:rPr>
                <w:rFonts w:ascii="Open Sans" w:hAnsi="Open Sans" w:cs="Open Sans"/>
                <w:i/>
                <w:iCs/>
                <w:sz w:val="22"/>
                <w:szCs w:val="22"/>
                <w:shd w:val="clear" w:color="auto" w:fill="FFFFFF"/>
              </w:rPr>
              <w:t xml:space="preserve"> </w:t>
            </w:r>
            <w:r w:rsidRPr="00706E09">
              <w:rPr>
                <w:rFonts w:ascii="Arial Narrow" w:hAnsi="Arial Narrow"/>
                <w:i/>
                <w:iCs/>
                <w:sz w:val="20"/>
                <w:szCs w:val="20"/>
              </w:rPr>
              <w:t>No increase in the maximum number of repeats may be authorised</w:t>
            </w:r>
          </w:p>
        </w:tc>
      </w:tr>
      <w:tr w:rsidR="004C1CFB" w:rsidRPr="00706E09" w14:paraId="33C7678E" w14:textId="77777777" w:rsidTr="004C1CF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4ED0437" w14:textId="77777777" w:rsidR="004C1CFB" w:rsidRPr="00706E09" w:rsidRDefault="004C1CFB" w:rsidP="008241B5">
            <w:pPr>
              <w:keepLines/>
              <w:rPr>
                <w:rFonts w:ascii="Arial Narrow" w:hAnsi="Arial Narrow"/>
                <w:b/>
                <w:bCs/>
                <w:sz w:val="20"/>
                <w:szCs w:val="20"/>
              </w:rPr>
            </w:pPr>
            <w:r w:rsidRPr="00706E09">
              <w:rPr>
                <w:rFonts w:ascii="Arial Narrow" w:hAnsi="Arial Narrow"/>
                <w:b/>
                <w:bCs/>
                <w:sz w:val="20"/>
                <w:szCs w:val="20"/>
              </w:rPr>
              <w:t xml:space="preserve">Administrative Advice: </w:t>
            </w:r>
            <w:r w:rsidRPr="00706E09">
              <w:rPr>
                <w:rFonts w:ascii="Arial Narrow" w:hAnsi="Arial Narrow"/>
                <w:sz w:val="20"/>
                <w:szCs w:val="20"/>
              </w:rPr>
              <w:t>Special pricing arrangements apply</w:t>
            </w:r>
            <w:r w:rsidRPr="00706E09">
              <w:rPr>
                <w:rFonts w:ascii="Arial Narrow" w:hAnsi="Arial Narrow"/>
                <w:b/>
                <w:bCs/>
                <w:sz w:val="20"/>
                <w:szCs w:val="20"/>
              </w:rPr>
              <w:t xml:space="preserve"> </w:t>
            </w:r>
          </w:p>
        </w:tc>
      </w:tr>
      <w:tr w:rsidR="004C1CFB" w:rsidRPr="00706E09" w14:paraId="181D6491"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E492BAD" w14:textId="77777777" w:rsidR="004C1CFB" w:rsidRPr="00706E09" w:rsidRDefault="004C1CFB" w:rsidP="008241B5">
            <w:pPr>
              <w:keepLines/>
              <w:rPr>
                <w:rFonts w:ascii="Arial Narrow" w:hAnsi="Arial Narrow"/>
                <w:b/>
                <w:bCs/>
                <w:sz w:val="20"/>
                <w:szCs w:val="20"/>
              </w:rPr>
            </w:pPr>
            <w:r w:rsidRPr="00706E09">
              <w:rPr>
                <w:rFonts w:ascii="Arial Narrow" w:hAnsi="Arial Narrow"/>
                <w:b/>
                <w:bCs/>
                <w:sz w:val="20"/>
                <w:szCs w:val="20"/>
              </w:rPr>
              <w:t xml:space="preserve">Severity: </w:t>
            </w:r>
            <w:r w:rsidRPr="00706E09">
              <w:rPr>
                <w:rFonts w:ascii="Arial Narrow" w:hAnsi="Arial Narrow"/>
                <w:bCs/>
                <w:sz w:val="20"/>
                <w:szCs w:val="20"/>
              </w:rPr>
              <w:t xml:space="preserve">Unresectable and/or metastatic </w:t>
            </w:r>
          </w:p>
        </w:tc>
      </w:tr>
      <w:tr w:rsidR="004C1CFB" w:rsidRPr="00706E09" w14:paraId="24C90500"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12C1FB3" w14:textId="77777777" w:rsidR="004C1CFB" w:rsidRPr="00706E09" w:rsidRDefault="004C1CFB" w:rsidP="008241B5">
            <w:pPr>
              <w:keepLines/>
              <w:rPr>
                <w:rFonts w:ascii="Arial Narrow" w:hAnsi="Arial Narrow"/>
                <w:b/>
                <w:bCs/>
                <w:sz w:val="20"/>
                <w:szCs w:val="20"/>
              </w:rPr>
            </w:pPr>
            <w:r w:rsidRPr="00706E09">
              <w:rPr>
                <w:rFonts w:ascii="Arial Narrow" w:hAnsi="Arial Narrow"/>
                <w:b/>
                <w:bCs/>
                <w:sz w:val="20"/>
                <w:szCs w:val="20"/>
              </w:rPr>
              <w:t xml:space="preserve">Condition: </w:t>
            </w:r>
            <w:r w:rsidRPr="00706E09">
              <w:rPr>
                <w:rFonts w:ascii="Arial Narrow" w:hAnsi="Arial Narrow"/>
                <w:bCs/>
                <w:sz w:val="20"/>
                <w:szCs w:val="20"/>
              </w:rPr>
              <w:t>HR-positive HER-2 low or HER2-ultralow breast cancer</w:t>
            </w:r>
          </w:p>
        </w:tc>
      </w:tr>
      <w:tr w:rsidR="004C1CFB" w:rsidRPr="00706E09" w14:paraId="4789B41E"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6E26D58" w14:textId="77777777" w:rsidR="004C1CFB" w:rsidRPr="00706E09" w:rsidRDefault="004C1CFB" w:rsidP="008241B5">
            <w:pPr>
              <w:keepLines/>
              <w:rPr>
                <w:rFonts w:ascii="Arial Narrow" w:hAnsi="Arial Narrow"/>
                <w:sz w:val="20"/>
                <w:szCs w:val="20"/>
              </w:rPr>
            </w:pPr>
            <w:r w:rsidRPr="00706E09">
              <w:rPr>
                <w:rFonts w:ascii="Arial Narrow" w:hAnsi="Arial Narrow"/>
                <w:b/>
                <w:bCs/>
                <w:sz w:val="20"/>
                <w:szCs w:val="20"/>
              </w:rPr>
              <w:t>Indication:</w:t>
            </w:r>
            <w:r w:rsidRPr="00706E09">
              <w:rPr>
                <w:rFonts w:ascii="Arial Narrow" w:hAnsi="Arial Narrow"/>
                <w:sz w:val="20"/>
                <w:szCs w:val="20"/>
              </w:rPr>
              <w:t xml:space="preserve"> Unresectable and/or metastatic HR-positive HER-2 low or HER2-ultralow breast cancer</w:t>
            </w:r>
          </w:p>
        </w:tc>
      </w:tr>
      <w:tr w:rsidR="004C1CFB" w:rsidRPr="00706E09" w14:paraId="2188807C"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312C125" w14:textId="77777777" w:rsidR="004C1CFB" w:rsidRPr="00706E09" w:rsidRDefault="004C1CFB" w:rsidP="008241B5">
            <w:pPr>
              <w:rPr>
                <w:rFonts w:ascii="Arial Narrow" w:hAnsi="Arial Narrow"/>
                <w:sz w:val="20"/>
                <w:szCs w:val="20"/>
              </w:rPr>
            </w:pPr>
            <w:r w:rsidRPr="00706E09">
              <w:rPr>
                <w:rFonts w:ascii="Arial Narrow" w:hAnsi="Arial Narrow"/>
                <w:b/>
                <w:bCs/>
                <w:sz w:val="20"/>
                <w:szCs w:val="20"/>
              </w:rPr>
              <w:t xml:space="preserve">Clinical criteria: </w:t>
            </w:r>
          </w:p>
        </w:tc>
      </w:tr>
      <w:tr w:rsidR="004C1CFB" w:rsidRPr="00706E09" w14:paraId="15D08225"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7501208" w14:textId="77777777" w:rsidR="004C1CFB" w:rsidRPr="00706E09" w:rsidRDefault="004C1CFB" w:rsidP="008241B5">
            <w:pPr>
              <w:rPr>
                <w:rFonts w:ascii="Arial Narrow" w:hAnsi="Arial Narrow"/>
                <w:sz w:val="20"/>
                <w:szCs w:val="20"/>
              </w:rPr>
            </w:pPr>
            <w:r w:rsidRPr="00706E09">
              <w:rPr>
                <w:rFonts w:ascii="Arial Narrow" w:hAnsi="Arial Narrow"/>
                <w:sz w:val="20"/>
                <w:szCs w:val="20"/>
                <w:lang w:val="en-GB"/>
              </w:rPr>
              <w:t>Patient must have evidence of human epidermal growth factor receptor 2 (HER2)-low or HER2-ultralow disease either in the primary tumour or a metastatic lesion</w:t>
            </w:r>
          </w:p>
        </w:tc>
      </w:tr>
      <w:tr w:rsidR="004C1CFB" w:rsidRPr="00706E09" w14:paraId="61783DB8"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3C32BE8" w14:textId="77777777" w:rsidR="004C1CFB" w:rsidRPr="00706E09" w:rsidRDefault="004C1CFB" w:rsidP="008241B5">
            <w:pPr>
              <w:rPr>
                <w:rFonts w:ascii="Arial Narrow" w:hAnsi="Arial Narrow"/>
                <w:sz w:val="20"/>
                <w:szCs w:val="20"/>
              </w:rPr>
            </w:pPr>
            <w:r w:rsidRPr="00706E09">
              <w:rPr>
                <w:rFonts w:ascii="Arial Narrow" w:hAnsi="Arial Narrow"/>
                <w:b/>
                <w:bCs/>
                <w:sz w:val="20"/>
                <w:szCs w:val="20"/>
              </w:rPr>
              <w:t>AND</w:t>
            </w:r>
          </w:p>
        </w:tc>
      </w:tr>
      <w:tr w:rsidR="004C1CFB" w:rsidRPr="00706E09" w14:paraId="1C3626D5"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9B0BC57" w14:textId="77777777" w:rsidR="004C1CFB" w:rsidRPr="00706E09" w:rsidRDefault="004C1CFB" w:rsidP="008241B5">
            <w:pPr>
              <w:rPr>
                <w:rFonts w:ascii="Arial Narrow" w:hAnsi="Arial Narrow"/>
                <w:strike/>
                <w:sz w:val="20"/>
                <w:szCs w:val="20"/>
              </w:rPr>
            </w:pPr>
            <w:r w:rsidRPr="00706E09">
              <w:rPr>
                <w:rFonts w:ascii="Arial Narrow" w:hAnsi="Arial Narrow"/>
                <w:b/>
                <w:bCs/>
                <w:strike/>
                <w:sz w:val="20"/>
                <w:szCs w:val="20"/>
              </w:rPr>
              <w:t>Clinical criteria:</w:t>
            </w:r>
          </w:p>
        </w:tc>
      </w:tr>
      <w:tr w:rsidR="004C1CFB" w:rsidRPr="00706E09" w14:paraId="2FFB3183"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3D365F5" w14:textId="77777777" w:rsidR="004C1CFB" w:rsidRPr="00706E09" w:rsidRDefault="004C1CFB" w:rsidP="008241B5">
            <w:pPr>
              <w:rPr>
                <w:rFonts w:ascii="Arial Narrow" w:hAnsi="Arial Narrow"/>
                <w:strike/>
                <w:sz w:val="20"/>
                <w:szCs w:val="20"/>
              </w:rPr>
            </w:pPr>
            <w:r w:rsidRPr="00706E09">
              <w:rPr>
                <w:rFonts w:ascii="Arial Narrow" w:hAnsi="Arial Narrow"/>
                <w:strike/>
                <w:sz w:val="20"/>
                <w:szCs w:val="20"/>
                <w:lang w:val="en-GB"/>
              </w:rPr>
              <w:t>Patient must have received at least one prior endocrine therapy in the metastatic setting</w:t>
            </w:r>
          </w:p>
        </w:tc>
      </w:tr>
      <w:tr w:rsidR="004C1CFB" w:rsidRPr="00706E09" w14:paraId="2791F89E"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1E98B4D" w14:textId="77777777" w:rsidR="004C1CFB" w:rsidRPr="00706E09" w:rsidRDefault="004C1CFB" w:rsidP="008241B5">
            <w:pPr>
              <w:rPr>
                <w:rFonts w:ascii="Arial Narrow" w:hAnsi="Arial Narrow"/>
                <w:sz w:val="20"/>
                <w:szCs w:val="20"/>
              </w:rPr>
            </w:pPr>
            <w:r w:rsidRPr="00706E09">
              <w:rPr>
                <w:rFonts w:ascii="Arial Narrow" w:hAnsi="Arial Narrow"/>
                <w:b/>
                <w:bCs/>
                <w:sz w:val="20"/>
                <w:szCs w:val="20"/>
              </w:rPr>
              <w:t>AND</w:t>
            </w:r>
          </w:p>
        </w:tc>
      </w:tr>
      <w:tr w:rsidR="004C1CFB" w:rsidRPr="00706E09" w14:paraId="62F52872"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F13501C" w14:textId="77777777" w:rsidR="004C1CFB" w:rsidRPr="00706E09" w:rsidRDefault="004C1CFB" w:rsidP="008241B5">
            <w:pPr>
              <w:rPr>
                <w:rFonts w:ascii="Arial Narrow" w:hAnsi="Arial Narrow"/>
                <w:sz w:val="20"/>
                <w:szCs w:val="20"/>
              </w:rPr>
            </w:pPr>
            <w:r w:rsidRPr="00706E09">
              <w:rPr>
                <w:rFonts w:ascii="Arial Narrow" w:hAnsi="Arial Narrow"/>
                <w:b/>
                <w:bCs/>
                <w:sz w:val="20"/>
                <w:szCs w:val="20"/>
              </w:rPr>
              <w:t>Clinical criteria:</w:t>
            </w:r>
          </w:p>
        </w:tc>
      </w:tr>
      <w:tr w:rsidR="004C1CFB" w:rsidRPr="00706E09" w14:paraId="20CE2165"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4DB6C14" w14:textId="77777777" w:rsidR="004C1CFB" w:rsidRPr="00706E09" w:rsidRDefault="004C1CFB" w:rsidP="008241B5">
            <w:pPr>
              <w:rPr>
                <w:rFonts w:ascii="Arial Narrow" w:hAnsi="Arial Narrow"/>
                <w:strike/>
                <w:sz w:val="20"/>
                <w:szCs w:val="20"/>
              </w:rPr>
            </w:pPr>
            <w:r w:rsidRPr="00706E09">
              <w:rPr>
                <w:rFonts w:ascii="Arial Narrow" w:hAnsi="Arial Narrow"/>
                <w:strike/>
                <w:sz w:val="20"/>
                <w:szCs w:val="20"/>
                <w:lang w:val="en-GB"/>
              </w:rPr>
              <w:t>Patients must be unsuitable for further endocrine therapy</w:t>
            </w:r>
          </w:p>
        </w:tc>
      </w:tr>
      <w:tr w:rsidR="004C1CFB" w:rsidRPr="00706E09" w14:paraId="2F1B8846"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87BC404" w14:textId="77777777" w:rsidR="004C1CFB" w:rsidRPr="00706E09" w:rsidRDefault="004C1CFB" w:rsidP="008241B5">
            <w:pPr>
              <w:rPr>
                <w:rFonts w:ascii="Arial Narrow" w:hAnsi="Arial Narrow"/>
                <w:i/>
                <w:iCs/>
                <w:sz w:val="20"/>
                <w:szCs w:val="20"/>
                <w:lang w:val="en-GB"/>
              </w:rPr>
            </w:pPr>
            <w:r w:rsidRPr="00706E09">
              <w:rPr>
                <w:rFonts w:ascii="Arial Narrow" w:hAnsi="Arial Narrow"/>
                <w:i/>
                <w:iCs/>
                <w:sz w:val="20"/>
                <w:szCs w:val="20"/>
                <w:lang w:val="en-GB"/>
              </w:rPr>
              <w:t xml:space="preserve">Patient must have received at least one prior endocrine therapy or be ineligible for endocrine therapy in the metastatic setting, </w:t>
            </w:r>
          </w:p>
        </w:tc>
      </w:tr>
      <w:tr w:rsidR="004C1CFB" w:rsidRPr="00706E09" w14:paraId="6DD1641E"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F230707" w14:textId="77777777" w:rsidR="004C1CFB" w:rsidRPr="00706E09" w:rsidRDefault="004C1CFB" w:rsidP="008241B5">
            <w:pPr>
              <w:rPr>
                <w:rFonts w:ascii="Arial Narrow" w:hAnsi="Arial Narrow"/>
                <w:b/>
                <w:bCs/>
                <w:sz w:val="20"/>
                <w:szCs w:val="20"/>
              </w:rPr>
            </w:pPr>
            <w:r w:rsidRPr="00706E09">
              <w:rPr>
                <w:rFonts w:ascii="Arial Narrow" w:hAnsi="Arial Narrow"/>
                <w:b/>
                <w:bCs/>
                <w:sz w:val="20"/>
                <w:szCs w:val="20"/>
              </w:rPr>
              <w:t>AND</w:t>
            </w:r>
          </w:p>
        </w:tc>
      </w:tr>
      <w:tr w:rsidR="004C1CFB" w:rsidRPr="00706E09" w14:paraId="5FDE6E7E"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36AB63E" w14:textId="77777777" w:rsidR="004C1CFB" w:rsidRPr="00706E09" w:rsidRDefault="004C1CFB" w:rsidP="008241B5">
            <w:pPr>
              <w:rPr>
                <w:rFonts w:ascii="Arial Narrow" w:hAnsi="Arial Narrow"/>
                <w:i/>
                <w:iCs/>
                <w:sz w:val="20"/>
                <w:szCs w:val="20"/>
                <w:lang w:val="en-GB"/>
              </w:rPr>
            </w:pPr>
            <w:r w:rsidRPr="00706E09">
              <w:rPr>
                <w:rFonts w:ascii="Arial Narrow" w:hAnsi="Arial Narrow"/>
                <w:b/>
                <w:bCs/>
                <w:i/>
                <w:iCs/>
                <w:sz w:val="20"/>
                <w:szCs w:val="20"/>
              </w:rPr>
              <w:t>Clinical criteria:</w:t>
            </w:r>
          </w:p>
        </w:tc>
      </w:tr>
      <w:tr w:rsidR="004C1CFB" w:rsidRPr="00706E09" w14:paraId="7E98B6FE"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EB9F27F" w14:textId="77777777" w:rsidR="004C1CFB" w:rsidRPr="00706E09" w:rsidRDefault="004C1CFB" w:rsidP="008241B5">
            <w:pPr>
              <w:rPr>
                <w:rFonts w:ascii="Arial Narrow" w:hAnsi="Arial Narrow"/>
                <w:i/>
                <w:iCs/>
                <w:sz w:val="20"/>
                <w:szCs w:val="20"/>
              </w:rPr>
            </w:pPr>
            <w:r w:rsidRPr="00706E09">
              <w:rPr>
                <w:rFonts w:ascii="Arial Narrow" w:hAnsi="Arial Narrow"/>
                <w:i/>
                <w:iCs/>
                <w:sz w:val="20"/>
                <w:szCs w:val="20"/>
              </w:rPr>
              <w:t>Patient must not have received chemotherapy in the advanced/metastatic setting</w:t>
            </w:r>
          </w:p>
        </w:tc>
      </w:tr>
      <w:tr w:rsidR="004C1CFB" w:rsidRPr="00706E09" w14:paraId="6A208E73"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EE674EC" w14:textId="77777777" w:rsidR="004C1CFB" w:rsidRPr="00706E09" w:rsidRDefault="004C1CFB" w:rsidP="008241B5">
            <w:pPr>
              <w:rPr>
                <w:rFonts w:ascii="Arial Narrow" w:hAnsi="Arial Narrow"/>
                <w:b/>
                <w:bCs/>
                <w:i/>
                <w:iCs/>
                <w:sz w:val="20"/>
                <w:szCs w:val="20"/>
              </w:rPr>
            </w:pPr>
            <w:r w:rsidRPr="00706E09">
              <w:rPr>
                <w:rFonts w:ascii="Arial Narrow" w:hAnsi="Arial Narrow"/>
                <w:b/>
                <w:bCs/>
                <w:i/>
                <w:iCs/>
                <w:sz w:val="20"/>
                <w:szCs w:val="20"/>
              </w:rPr>
              <w:t>AND</w:t>
            </w:r>
          </w:p>
        </w:tc>
      </w:tr>
      <w:tr w:rsidR="004C1CFB" w:rsidRPr="00706E09" w14:paraId="2A786B15"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B4D95CB" w14:textId="77777777" w:rsidR="004C1CFB" w:rsidRPr="00706E09" w:rsidRDefault="004C1CFB" w:rsidP="008241B5">
            <w:pPr>
              <w:rPr>
                <w:rFonts w:ascii="Arial Narrow" w:hAnsi="Arial Narrow"/>
                <w:i/>
                <w:iCs/>
                <w:sz w:val="20"/>
                <w:szCs w:val="20"/>
                <w:lang w:val="en-GB"/>
              </w:rPr>
            </w:pPr>
            <w:r w:rsidRPr="00706E09">
              <w:rPr>
                <w:rFonts w:ascii="Arial Narrow" w:hAnsi="Arial Narrow"/>
                <w:b/>
                <w:bCs/>
                <w:i/>
                <w:iCs/>
                <w:sz w:val="20"/>
                <w:szCs w:val="20"/>
              </w:rPr>
              <w:t>Clinical criteria:</w:t>
            </w:r>
          </w:p>
        </w:tc>
      </w:tr>
      <w:tr w:rsidR="004C1CFB" w:rsidRPr="00706E09" w14:paraId="163138B3"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284A816" w14:textId="77777777" w:rsidR="004C1CFB" w:rsidRPr="00706E09" w:rsidRDefault="004C1CFB" w:rsidP="008241B5">
            <w:pPr>
              <w:rPr>
                <w:rFonts w:ascii="Arial Narrow" w:hAnsi="Arial Narrow"/>
                <w:i/>
                <w:iCs/>
                <w:sz w:val="20"/>
                <w:szCs w:val="20"/>
              </w:rPr>
            </w:pPr>
            <w:r w:rsidRPr="00706E09">
              <w:rPr>
                <w:rFonts w:ascii="Arial Narrow" w:hAnsi="Arial Narrow"/>
                <w:i/>
                <w:iCs/>
                <w:sz w:val="20"/>
                <w:szCs w:val="20"/>
              </w:rPr>
              <w:t>Patient must not have received chemotherapy in the neoadjuvant or adjuvant setting where they had a disease-free interval of less than 6 months from completion of chemotherapy</w:t>
            </w:r>
          </w:p>
        </w:tc>
      </w:tr>
      <w:tr w:rsidR="004C1CFB" w:rsidRPr="00706E09" w14:paraId="51B9F64F"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214C442" w14:textId="77777777" w:rsidR="004C1CFB" w:rsidRPr="00706E09" w:rsidRDefault="004C1CFB" w:rsidP="008241B5">
            <w:pPr>
              <w:rPr>
                <w:rFonts w:ascii="Arial Narrow" w:hAnsi="Arial Narrow"/>
                <w:b/>
                <w:bCs/>
                <w:sz w:val="20"/>
                <w:szCs w:val="20"/>
              </w:rPr>
            </w:pPr>
            <w:r w:rsidRPr="00706E09">
              <w:rPr>
                <w:rFonts w:ascii="Arial Narrow" w:hAnsi="Arial Narrow"/>
                <w:b/>
                <w:bCs/>
                <w:sz w:val="20"/>
                <w:szCs w:val="20"/>
              </w:rPr>
              <w:t>Clinical criteria:</w:t>
            </w:r>
          </w:p>
        </w:tc>
      </w:tr>
      <w:tr w:rsidR="004C1CFB" w:rsidRPr="00706E09" w14:paraId="14E008DA"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0CA886A" w14:textId="77777777" w:rsidR="004C1CFB" w:rsidRPr="00706E09" w:rsidRDefault="004C1CFB" w:rsidP="008241B5">
            <w:pPr>
              <w:rPr>
                <w:rFonts w:ascii="Arial Narrow" w:hAnsi="Arial Narrow"/>
                <w:sz w:val="20"/>
                <w:szCs w:val="20"/>
                <w:lang w:val="en-GB"/>
              </w:rPr>
            </w:pPr>
            <w:r w:rsidRPr="00706E09">
              <w:rPr>
                <w:rFonts w:ascii="Arial Narrow" w:hAnsi="Arial Narrow"/>
                <w:sz w:val="20"/>
                <w:szCs w:val="20"/>
                <w:lang w:val="en-GB" w:bidi="en-US"/>
              </w:rPr>
              <w:t xml:space="preserve">Patient </w:t>
            </w:r>
            <w:proofErr w:type="gramStart"/>
            <w:r w:rsidRPr="00706E09">
              <w:rPr>
                <w:rFonts w:ascii="Arial Narrow" w:hAnsi="Arial Narrow"/>
                <w:sz w:val="20"/>
                <w:szCs w:val="20"/>
                <w:lang w:val="en-GB" w:bidi="en-US"/>
              </w:rPr>
              <w:t>must have,</w:t>
            </w:r>
            <w:proofErr w:type="gramEnd"/>
            <w:r w:rsidRPr="00706E09">
              <w:rPr>
                <w:rFonts w:ascii="Arial Narrow" w:hAnsi="Arial Narrow"/>
                <w:sz w:val="20"/>
                <w:szCs w:val="20"/>
                <w:lang w:val="en-GB" w:bidi="en-US"/>
              </w:rPr>
              <w:t xml:space="preserve"> </w:t>
            </w:r>
            <w:r w:rsidRPr="00706E09">
              <w:rPr>
                <w:rFonts w:ascii="Arial Narrow" w:hAnsi="Arial Narrow"/>
                <w:i/>
                <w:iCs/>
                <w:sz w:val="20"/>
                <w:szCs w:val="20"/>
                <w:lang w:val="en-GB" w:bidi="en-US"/>
              </w:rPr>
              <w:t>at the time of initiating treatment with this drug</w:t>
            </w:r>
            <w:r w:rsidRPr="00706E09">
              <w:rPr>
                <w:rFonts w:ascii="Arial Narrow" w:hAnsi="Arial Narrow"/>
                <w:sz w:val="20"/>
                <w:szCs w:val="20"/>
                <w:lang w:val="en-GB" w:bidi="en-US"/>
              </w:rPr>
              <w:t xml:space="preserve">, </w:t>
            </w:r>
            <w:r w:rsidRPr="00706E09">
              <w:rPr>
                <w:rFonts w:ascii="Arial Narrow" w:eastAsiaTheme="majorEastAsia" w:hAnsi="Arial Narrow"/>
                <w:sz w:val="20"/>
                <w:szCs w:val="20"/>
                <w:lang w:val="en-GB" w:bidi="en-US"/>
              </w:rPr>
              <w:t xml:space="preserve">a World Health Organisation (WHO) </w:t>
            </w:r>
            <w:r w:rsidRPr="00706E09">
              <w:rPr>
                <w:rFonts w:ascii="Arial Narrow" w:eastAsiaTheme="majorEastAsia" w:hAnsi="Arial Narrow"/>
                <w:i/>
                <w:iCs/>
                <w:sz w:val="20"/>
                <w:szCs w:val="20"/>
                <w:lang w:val="en-GB" w:bidi="en-US"/>
              </w:rPr>
              <w:t>performance status</w:t>
            </w:r>
            <w:r w:rsidRPr="00706E09">
              <w:rPr>
                <w:rFonts w:ascii="Arial Narrow" w:eastAsiaTheme="majorEastAsia" w:hAnsi="Arial Narrow"/>
                <w:sz w:val="20"/>
                <w:szCs w:val="20"/>
                <w:lang w:val="en-GB" w:bidi="en-US"/>
              </w:rPr>
              <w:t xml:space="preserve"> </w:t>
            </w:r>
            <w:r w:rsidRPr="00706E09">
              <w:rPr>
                <w:rFonts w:ascii="Arial Narrow" w:eastAsiaTheme="majorEastAsia" w:hAnsi="Arial Narrow"/>
                <w:strike/>
                <w:sz w:val="20"/>
                <w:szCs w:val="20"/>
                <w:lang w:val="en-GB" w:bidi="en-US"/>
              </w:rPr>
              <w:t>Eastern Cooperative Oncology Group (ECOG)</w:t>
            </w:r>
            <w:r w:rsidRPr="00706E09">
              <w:rPr>
                <w:rFonts w:ascii="Arial Narrow" w:eastAsiaTheme="majorEastAsia" w:hAnsi="Arial Narrow"/>
                <w:sz w:val="20"/>
                <w:szCs w:val="20"/>
                <w:lang w:val="en-GB" w:bidi="en-US"/>
              </w:rPr>
              <w:t xml:space="preserve"> no higher than 1 </w:t>
            </w:r>
            <w:r w:rsidRPr="00706E09">
              <w:rPr>
                <w:rFonts w:ascii="Arial Narrow" w:eastAsiaTheme="majorEastAsia" w:hAnsi="Arial Narrow"/>
                <w:strike/>
                <w:sz w:val="20"/>
                <w:szCs w:val="20"/>
                <w:lang w:val="en-GB" w:bidi="en-US"/>
              </w:rPr>
              <w:t>at treatment initiation</w:t>
            </w:r>
          </w:p>
        </w:tc>
      </w:tr>
      <w:tr w:rsidR="004C1CFB" w:rsidRPr="00706E09" w14:paraId="41E77F13"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91BFDE0" w14:textId="77777777" w:rsidR="004C1CFB" w:rsidRPr="00706E09" w:rsidRDefault="004C1CFB" w:rsidP="008241B5">
            <w:pPr>
              <w:rPr>
                <w:rFonts w:ascii="Arial Narrow" w:hAnsi="Arial Narrow"/>
                <w:b/>
                <w:bCs/>
                <w:sz w:val="20"/>
                <w:szCs w:val="20"/>
              </w:rPr>
            </w:pPr>
            <w:r w:rsidRPr="00706E09">
              <w:rPr>
                <w:rFonts w:ascii="Arial Narrow" w:hAnsi="Arial Narrow"/>
                <w:b/>
                <w:bCs/>
                <w:sz w:val="20"/>
                <w:szCs w:val="20"/>
              </w:rPr>
              <w:t>AND</w:t>
            </w:r>
          </w:p>
        </w:tc>
      </w:tr>
      <w:tr w:rsidR="004C1CFB" w:rsidRPr="00706E09" w14:paraId="239B768D"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B02C064" w14:textId="77777777" w:rsidR="004C1CFB" w:rsidRPr="00706E09" w:rsidRDefault="004C1CFB" w:rsidP="008241B5">
            <w:pPr>
              <w:rPr>
                <w:rFonts w:ascii="Arial Narrow" w:hAnsi="Arial Narrow"/>
                <w:b/>
                <w:bCs/>
                <w:sz w:val="20"/>
                <w:szCs w:val="20"/>
              </w:rPr>
            </w:pPr>
            <w:r w:rsidRPr="00706E09">
              <w:rPr>
                <w:rFonts w:ascii="Arial Narrow" w:hAnsi="Arial Narrow"/>
                <w:b/>
                <w:bCs/>
                <w:sz w:val="20"/>
                <w:szCs w:val="20"/>
              </w:rPr>
              <w:t>Clinical criteria:</w:t>
            </w:r>
          </w:p>
        </w:tc>
      </w:tr>
      <w:tr w:rsidR="004C1CFB" w:rsidRPr="00706E09" w14:paraId="6F2D8CDF"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1DDA5C7" w14:textId="77777777" w:rsidR="004C1CFB" w:rsidRPr="00706E09" w:rsidRDefault="004C1CFB" w:rsidP="008241B5">
            <w:pPr>
              <w:rPr>
                <w:rFonts w:ascii="Arial Narrow" w:hAnsi="Arial Narrow"/>
                <w:sz w:val="20"/>
                <w:szCs w:val="20"/>
                <w:lang w:val="en-GB" w:bidi="en-US"/>
              </w:rPr>
            </w:pPr>
            <w:r w:rsidRPr="00706E09">
              <w:rPr>
                <w:rFonts w:ascii="Arial Narrow" w:hAnsi="Arial Narrow"/>
                <w:sz w:val="20"/>
                <w:szCs w:val="20"/>
                <w:lang w:val="en-GB"/>
              </w:rPr>
              <w:t xml:space="preserve">The treatment must be the sole PBS-subsidised </w:t>
            </w:r>
            <w:r w:rsidRPr="00706E09">
              <w:rPr>
                <w:rFonts w:ascii="Arial Narrow" w:hAnsi="Arial Narrow"/>
                <w:i/>
                <w:iCs/>
                <w:sz w:val="20"/>
                <w:szCs w:val="20"/>
                <w:lang w:val="en-GB"/>
              </w:rPr>
              <w:t>systemic anti-cancer</w:t>
            </w:r>
            <w:r w:rsidRPr="00706E09">
              <w:rPr>
                <w:rFonts w:ascii="Arial Narrow" w:hAnsi="Arial Narrow"/>
                <w:sz w:val="20"/>
                <w:szCs w:val="20"/>
                <w:lang w:val="en-GB"/>
              </w:rPr>
              <w:t xml:space="preserve"> therapy for this PBS indication.</w:t>
            </w:r>
          </w:p>
        </w:tc>
      </w:tr>
      <w:tr w:rsidR="004C1CFB" w:rsidRPr="00706E09" w14:paraId="742CC122"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A55445F" w14:textId="77777777" w:rsidR="004C1CFB" w:rsidRPr="00706E09" w:rsidRDefault="004C1CFB" w:rsidP="008241B5">
            <w:pPr>
              <w:rPr>
                <w:rFonts w:ascii="Arial Narrow" w:hAnsi="Arial Narrow"/>
                <w:b/>
                <w:bCs/>
                <w:sz w:val="20"/>
                <w:szCs w:val="20"/>
                <w:lang w:val="en-GB"/>
              </w:rPr>
            </w:pPr>
            <w:r w:rsidRPr="00706E09">
              <w:rPr>
                <w:rFonts w:ascii="Arial Narrow" w:hAnsi="Arial Narrow"/>
                <w:b/>
                <w:bCs/>
                <w:sz w:val="20"/>
                <w:szCs w:val="20"/>
                <w:lang w:val="en-GB"/>
              </w:rPr>
              <w:lastRenderedPageBreak/>
              <w:t>AND</w:t>
            </w:r>
          </w:p>
        </w:tc>
      </w:tr>
      <w:tr w:rsidR="004C1CFB" w:rsidRPr="00706E09" w14:paraId="03A9D65E"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DB4FF0F" w14:textId="77777777" w:rsidR="004C1CFB" w:rsidRPr="00706E09" w:rsidRDefault="004C1CFB" w:rsidP="008241B5">
            <w:pPr>
              <w:rPr>
                <w:rFonts w:ascii="Arial Narrow" w:hAnsi="Arial Narrow"/>
                <w:b/>
                <w:bCs/>
                <w:i/>
                <w:iCs/>
                <w:sz w:val="20"/>
                <w:szCs w:val="20"/>
                <w:lang w:val="en-GB"/>
              </w:rPr>
            </w:pPr>
            <w:r w:rsidRPr="00706E09">
              <w:rPr>
                <w:rFonts w:ascii="Arial Narrow" w:hAnsi="Arial Narrow"/>
                <w:b/>
                <w:bCs/>
                <w:i/>
                <w:iCs/>
                <w:sz w:val="20"/>
                <w:szCs w:val="20"/>
                <w:lang w:val="en-GB"/>
              </w:rPr>
              <w:t xml:space="preserve">Clinical criteria </w:t>
            </w:r>
          </w:p>
        </w:tc>
      </w:tr>
      <w:tr w:rsidR="004C1CFB" w:rsidRPr="00706E09" w14:paraId="2852BF9C"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B09F6ED" w14:textId="77777777" w:rsidR="004C1CFB" w:rsidRPr="00706E09" w:rsidRDefault="004C1CFB" w:rsidP="008241B5">
            <w:pPr>
              <w:rPr>
                <w:rFonts w:ascii="Arial Narrow" w:hAnsi="Arial Narrow"/>
                <w:i/>
                <w:iCs/>
                <w:sz w:val="20"/>
                <w:szCs w:val="20"/>
                <w:lang w:val="en-GB"/>
              </w:rPr>
            </w:pPr>
            <w:r w:rsidRPr="00706E09">
              <w:rPr>
                <w:rFonts w:ascii="Arial Narrow" w:hAnsi="Arial Narrow"/>
                <w:i/>
                <w:iCs/>
                <w:sz w:val="20"/>
                <w:szCs w:val="20"/>
              </w:rPr>
              <w:t>The treatment must not be prescribed where any of the following is present: (i) left ventricular ejection fraction of less than 45%, (ii) symptomatic heart failure; confirm cardiac function testing for the first PBS prescription only</w:t>
            </w:r>
          </w:p>
        </w:tc>
      </w:tr>
      <w:tr w:rsidR="004C1CFB" w:rsidRPr="00706E09" w14:paraId="0B09C13A"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71490F5" w14:textId="77777777" w:rsidR="004C1CFB" w:rsidRPr="00706E09" w:rsidRDefault="004C1CFB" w:rsidP="008241B5">
            <w:pPr>
              <w:rPr>
                <w:rFonts w:ascii="Arial Narrow" w:hAnsi="Arial Narrow"/>
                <w:sz w:val="20"/>
                <w:szCs w:val="20"/>
              </w:rPr>
            </w:pPr>
            <w:r w:rsidRPr="00706E09">
              <w:rPr>
                <w:rFonts w:ascii="Arial Narrow" w:hAnsi="Arial Narrow"/>
                <w:b/>
                <w:bCs/>
                <w:sz w:val="20"/>
                <w:szCs w:val="20"/>
              </w:rPr>
              <w:t>Treatment criteria:</w:t>
            </w:r>
          </w:p>
        </w:tc>
      </w:tr>
      <w:tr w:rsidR="004C1CFB" w:rsidRPr="00706E09" w14:paraId="47432A40"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CAB009B" w14:textId="77777777" w:rsidR="004C1CFB" w:rsidRPr="00706E09" w:rsidRDefault="004C1CFB" w:rsidP="008241B5">
            <w:pPr>
              <w:autoSpaceDE w:val="0"/>
              <w:autoSpaceDN w:val="0"/>
              <w:adjustRightInd w:val="0"/>
              <w:rPr>
                <w:rFonts w:ascii="Arial Narrow" w:hAnsi="Arial Narrow" w:cs="Arial Narrow"/>
                <w:i/>
                <w:iCs/>
                <w:sz w:val="20"/>
                <w:szCs w:val="20"/>
              </w:rPr>
            </w:pPr>
            <w:r w:rsidRPr="00706E09">
              <w:rPr>
                <w:rFonts w:ascii="Arial Narrow" w:hAnsi="Arial Narrow"/>
                <w:sz w:val="20"/>
                <w:szCs w:val="20"/>
                <w:lang w:val="en-GB"/>
              </w:rPr>
              <w:t>Patient must be undergoing initial treatment with this drug - the following are true: (i) this is the first prescription for this drug, (ii) this prescription seeks no more than 3 repeat prescriptions; or</w:t>
            </w:r>
          </w:p>
        </w:tc>
      </w:tr>
      <w:tr w:rsidR="004C1CFB" w:rsidRPr="00706E09" w14:paraId="2F099017"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8E33233" w14:textId="77777777" w:rsidR="004C1CFB" w:rsidRPr="00706E09" w:rsidRDefault="004C1CFB" w:rsidP="008241B5">
            <w:pPr>
              <w:autoSpaceDE w:val="0"/>
              <w:autoSpaceDN w:val="0"/>
              <w:adjustRightInd w:val="0"/>
              <w:rPr>
                <w:rFonts w:ascii="Arial Narrow" w:hAnsi="Arial Narrow" w:cs="Arial Narrow"/>
                <w:i/>
                <w:iCs/>
                <w:sz w:val="20"/>
                <w:szCs w:val="20"/>
              </w:rPr>
            </w:pPr>
            <w:r w:rsidRPr="00706E09">
              <w:rPr>
                <w:rFonts w:ascii="Arial Narrow" w:hAnsi="Arial Narrow"/>
                <w:sz w:val="20"/>
                <w:szCs w:val="20"/>
                <w:lang w:val="en-GB"/>
              </w:rPr>
              <w:t>Patient must be undergoing continuing treatment with drug - the following are true: (i) there has been an absence of further disease progression whilst on active treatment with this drug, (ii) this prescription does not seek to re-treat after disease progression, (iii) this prescription seeks no more than 8 repeat prescriptions; or</w:t>
            </w:r>
          </w:p>
        </w:tc>
      </w:tr>
      <w:tr w:rsidR="004C1CFB" w:rsidRPr="00706E09" w14:paraId="4DCB73BD"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8BB201A" w14:textId="77777777" w:rsidR="004C1CFB" w:rsidRPr="00706E09" w:rsidRDefault="004C1CFB" w:rsidP="008241B5">
            <w:pPr>
              <w:rPr>
                <w:rFonts w:ascii="Arial Narrow" w:hAnsi="Arial Narrow"/>
                <w:b/>
                <w:bCs/>
                <w:sz w:val="20"/>
                <w:szCs w:val="20"/>
              </w:rPr>
            </w:pPr>
            <w:r w:rsidRPr="00706E09">
              <w:rPr>
                <w:rFonts w:ascii="Arial Narrow" w:hAnsi="Arial Narrow"/>
                <w:sz w:val="20"/>
                <w:szCs w:val="20"/>
                <w:lang w:val="en-GB"/>
              </w:rPr>
              <w:t>Patient must be each of: (i) currently receiving non-PBS-subsidised supply for this drug for this PBS indication, (ii) free of disease progression since commencing on non-PBS-subsidised supply</w:t>
            </w:r>
          </w:p>
        </w:tc>
      </w:tr>
      <w:tr w:rsidR="004C1CFB" w:rsidRPr="00706E09" w14:paraId="3723A762"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D692E58" w14:textId="77777777" w:rsidR="004C1CFB" w:rsidRPr="00706E09" w:rsidRDefault="004C1CFB" w:rsidP="008241B5">
            <w:pPr>
              <w:rPr>
                <w:rFonts w:ascii="Arial Narrow" w:hAnsi="Arial Narrow"/>
                <w:strike/>
                <w:sz w:val="20"/>
                <w:szCs w:val="20"/>
              </w:rPr>
            </w:pPr>
            <w:r w:rsidRPr="00706E09">
              <w:rPr>
                <w:rFonts w:ascii="Arial Narrow" w:hAnsi="Arial Narrow"/>
                <w:b/>
                <w:bCs/>
                <w:strike/>
                <w:sz w:val="20"/>
                <w:szCs w:val="20"/>
              </w:rPr>
              <w:t>Population criteria:</w:t>
            </w:r>
          </w:p>
        </w:tc>
      </w:tr>
      <w:tr w:rsidR="004C1CFB" w:rsidRPr="00706E09" w14:paraId="7028909D"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E48210C" w14:textId="77777777" w:rsidR="004C1CFB" w:rsidRPr="00706E09" w:rsidRDefault="004C1CFB" w:rsidP="008241B5">
            <w:pPr>
              <w:rPr>
                <w:rFonts w:ascii="Arial Narrow" w:hAnsi="Arial Narrow"/>
                <w:strike/>
                <w:sz w:val="20"/>
                <w:szCs w:val="20"/>
              </w:rPr>
            </w:pPr>
            <w:r w:rsidRPr="00706E09">
              <w:rPr>
                <w:rFonts w:ascii="Arial Narrow" w:hAnsi="Arial Narrow"/>
                <w:strike/>
                <w:sz w:val="20"/>
                <w:szCs w:val="20"/>
                <w:lang w:val="en-GB"/>
              </w:rPr>
              <w:t>The treatment must not be used in a patient with a left ventricular ejection fraction (LVEF) of less than 45% and/or with symptomatic heart failure.</w:t>
            </w:r>
          </w:p>
        </w:tc>
      </w:tr>
      <w:tr w:rsidR="004C1CFB" w:rsidRPr="00706E09" w14:paraId="7B99510C"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40FC22E" w14:textId="77777777" w:rsidR="004C1CFB" w:rsidRPr="00706E09" w:rsidRDefault="004C1CFB" w:rsidP="008241B5">
            <w:pPr>
              <w:rPr>
                <w:rFonts w:ascii="Arial Narrow" w:hAnsi="Arial Narrow"/>
                <w:bCs/>
                <w:sz w:val="20"/>
                <w:szCs w:val="20"/>
                <w:lang w:val="en-GB"/>
              </w:rPr>
            </w:pPr>
            <w:r w:rsidRPr="00706E09">
              <w:rPr>
                <w:rFonts w:ascii="Arial Narrow" w:hAnsi="Arial Narrow"/>
                <w:b/>
                <w:bCs/>
                <w:sz w:val="20"/>
                <w:szCs w:val="20"/>
              </w:rPr>
              <w:t xml:space="preserve">Prescribing Instructions: </w:t>
            </w:r>
            <w:r w:rsidRPr="00706E09">
              <w:rPr>
                <w:rFonts w:ascii="Arial Narrow" w:hAnsi="Arial Narrow"/>
                <w:sz w:val="20"/>
                <w:szCs w:val="20"/>
                <w:lang w:val="en-GB"/>
              </w:rPr>
              <w:t xml:space="preserve">HER2-low is </w:t>
            </w:r>
            <w:r w:rsidRPr="00706E09">
              <w:rPr>
                <w:rFonts w:ascii="Arial Narrow" w:hAnsi="Arial Narrow"/>
                <w:bCs/>
                <w:sz w:val="20"/>
                <w:szCs w:val="20"/>
                <w:lang w:val="en-GB"/>
              </w:rPr>
              <w:t>defined as an immunohistochemical [IHC] score of 1+ or an IHC score of 2+ and a negative result on in situ hybridisation [ISH]).</w:t>
            </w:r>
          </w:p>
        </w:tc>
      </w:tr>
      <w:tr w:rsidR="004C1CFB" w:rsidRPr="00706E09" w14:paraId="630DD087"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E064EE7" w14:textId="77777777" w:rsidR="004C1CFB" w:rsidRPr="00706E09" w:rsidRDefault="004C1CFB" w:rsidP="008241B5">
            <w:pPr>
              <w:rPr>
                <w:rFonts w:ascii="Arial Narrow" w:hAnsi="Arial Narrow"/>
                <w:b/>
                <w:bCs/>
                <w:sz w:val="20"/>
                <w:szCs w:val="20"/>
              </w:rPr>
            </w:pPr>
            <w:r w:rsidRPr="00706E09">
              <w:rPr>
                <w:rFonts w:ascii="Arial Narrow" w:hAnsi="Arial Narrow"/>
                <w:b/>
                <w:bCs/>
                <w:sz w:val="20"/>
                <w:szCs w:val="20"/>
                <w:lang w:val="en-GB"/>
              </w:rPr>
              <w:t>Prescribing Instructions:</w:t>
            </w:r>
            <w:r w:rsidRPr="00706E09">
              <w:rPr>
                <w:rFonts w:ascii="Arial Narrow" w:hAnsi="Arial Narrow"/>
                <w:sz w:val="20"/>
                <w:szCs w:val="20"/>
                <w:lang w:val="en-GB"/>
              </w:rPr>
              <w:t xml:space="preserve"> HER2-ultralow is defined as an immunohistochemical [IHC] score of 0 with membrane staining</w:t>
            </w:r>
          </w:p>
        </w:tc>
      </w:tr>
      <w:tr w:rsidR="004C1CFB" w:rsidRPr="00706E09" w14:paraId="08D4EA7A"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A7EA227" w14:textId="77777777" w:rsidR="004C1CFB" w:rsidRPr="00706E09" w:rsidRDefault="004C1CFB" w:rsidP="008241B5">
            <w:pPr>
              <w:rPr>
                <w:rFonts w:ascii="Arial Narrow" w:hAnsi="Arial Narrow"/>
                <w:b/>
                <w:bCs/>
                <w:sz w:val="20"/>
                <w:szCs w:val="20"/>
              </w:rPr>
            </w:pPr>
            <w:r w:rsidRPr="00706E09">
              <w:rPr>
                <w:rFonts w:ascii="Arial Narrow" w:hAnsi="Arial Narrow"/>
                <w:b/>
                <w:bCs/>
                <w:sz w:val="20"/>
                <w:szCs w:val="20"/>
              </w:rPr>
              <w:t>Prescribing Instructions:</w:t>
            </w:r>
          </w:p>
          <w:p w14:paraId="371F67E4" w14:textId="77777777" w:rsidR="004C1CFB" w:rsidRPr="00706E09" w:rsidRDefault="004C1CFB" w:rsidP="008241B5">
            <w:pPr>
              <w:rPr>
                <w:rFonts w:ascii="Arial Narrow" w:hAnsi="Arial Narrow"/>
                <w:sz w:val="20"/>
                <w:szCs w:val="20"/>
              </w:rPr>
            </w:pPr>
            <w:r w:rsidRPr="00706E09">
              <w:rPr>
                <w:rFonts w:ascii="Arial Narrow" w:hAnsi="Arial Narrow"/>
                <w:sz w:val="20"/>
                <w:szCs w:val="20"/>
              </w:rPr>
              <w:t>Confirm that the following information is documented/retained in the patient's medical records once only with the first PBS prescription:</w:t>
            </w:r>
          </w:p>
          <w:p w14:paraId="4AE178BC" w14:textId="77777777" w:rsidR="004C1CFB" w:rsidRPr="00706E09" w:rsidRDefault="004C1CFB" w:rsidP="008241B5">
            <w:pPr>
              <w:rPr>
                <w:rFonts w:ascii="Arial Narrow" w:hAnsi="Arial Narrow"/>
                <w:sz w:val="20"/>
                <w:szCs w:val="20"/>
              </w:rPr>
            </w:pPr>
            <w:r w:rsidRPr="00706E09">
              <w:rPr>
                <w:rFonts w:ascii="Arial Narrow" w:hAnsi="Arial Narrow"/>
                <w:sz w:val="20"/>
                <w:szCs w:val="20"/>
              </w:rPr>
              <w:t>1) Evidence of HER2-low OR HER2-ultralow status</w:t>
            </w:r>
          </w:p>
          <w:p w14:paraId="46E19525" w14:textId="77777777" w:rsidR="004C1CFB" w:rsidRPr="00706E09" w:rsidRDefault="004C1CFB" w:rsidP="008241B5">
            <w:pPr>
              <w:rPr>
                <w:rFonts w:ascii="Arial Narrow" w:hAnsi="Arial Narrow"/>
                <w:sz w:val="20"/>
                <w:szCs w:val="20"/>
              </w:rPr>
            </w:pPr>
            <w:r w:rsidRPr="00706E09">
              <w:rPr>
                <w:rFonts w:ascii="Arial Narrow" w:hAnsi="Arial Narrow"/>
                <w:sz w:val="20"/>
                <w:szCs w:val="20"/>
              </w:rPr>
              <w:t>2) Details of prior drug regimens prescribed for the patient</w:t>
            </w:r>
          </w:p>
          <w:p w14:paraId="572385E8" w14:textId="77777777" w:rsidR="004C1CFB" w:rsidRPr="00706E09" w:rsidRDefault="004C1CFB" w:rsidP="008241B5">
            <w:pPr>
              <w:rPr>
                <w:rFonts w:ascii="Arial Narrow" w:hAnsi="Arial Narrow"/>
                <w:b/>
                <w:bCs/>
                <w:sz w:val="20"/>
                <w:szCs w:val="20"/>
              </w:rPr>
            </w:pPr>
            <w:r w:rsidRPr="00706E09">
              <w:rPr>
                <w:rFonts w:ascii="Arial Narrow" w:hAnsi="Arial Narrow"/>
                <w:sz w:val="20"/>
                <w:szCs w:val="20"/>
              </w:rPr>
              <w:t>3) Cardiac function test results</w:t>
            </w:r>
          </w:p>
        </w:tc>
      </w:tr>
      <w:tr w:rsidR="004C1CFB" w:rsidRPr="00706E09" w14:paraId="42CFB700" w14:textId="77777777" w:rsidTr="004C1CF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B37B2B6" w14:textId="77777777" w:rsidR="004C1CFB" w:rsidRPr="00706E09" w:rsidRDefault="004C1CFB" w:rsidP="008241B5">
            <w:pPr>
              <w:rPr>
                <w:rFonts w:ascii="Arial Narrow" w:hAnsi="Arial Narrow"/>
                <w:b/>
                <w:bCs/>
                <w:sz w:val="20"/>
                <w:szCs w:val="20"/>
              </w:rPr>
            </w:pPr>
            <w:r w:rsidRPr="00706E09">
              <w:rPr>
                <w:rFonts w:ascii="Arial Narrow" w:hAnsi="Arial Narrow"/>
                <w:b/>
                <w:bCs/>
                <w:sz w:val="20"/>
                <w:szCs w:val="20"/>
              </w:rPr>
              <w:t>Prescribing Instructions:</w:t>
            </w:r>
            <w:r w:rsidRPr="00706E09">
              <w:t xml:space="preserve"> </w:t>
            </w:r>
            <w:r w:rsidRPr="00706E09">
              <w:rPr>
                <w:rFonts w:ascii="Arial Narrow" w:hAnsi="Arial Narrow"/>
                <w:sz w:val="20"/>
                <w:szCs w:val="20"/>
              </w:rPr>
              <w:t>Increased maximum amounts can be requested where a patient's weight is greater than 125 kg</w:t>
            </w:r>
          </w:p>
        </w:tc>
      </w:tr>
    </w:tbl>
    <w:p w14:paraId="5FCECC6A" w14:textId="50140524" w:rsidR="006E6574" w:rsidRPr="00904162" w:rsidRDefault="006E6574" w:rsidP="008241B5">
      <w:pPr>
        <w:pStyle w:val="3-BodyText"/>
      </w:pPr>
      <w:r w:rsidRPr="00904162">
        <w:t xml:space="preserve">The </w:t>
      </w:r>
      <w:r w:rsidR="00BE5EAD" w:rsidRPr="00904162">
        <w:t>submission requested a special pricing arrangement (SPA). The proposed effective ex-manufacturer price per 100 mg vial of T-</w:t>
      </w:r>
      <w:proofErr w:type="spellStart"/>
      <w:r w:rsidR="00BE5EAD" w:rsidRPr="00904162">
        <w:t>DXd</w:t>
      </w:r>
      <w:proofErr w:type="spellEnd"/>
      <w:r w:rsidR="00BE5EAD" w:rsidRPr="00904162">
        <w:t xml:space="preserve"> </w:t>
      </w:r>
      <w:r w:rsidR="00C926A3">
        <w:t>wa</w:t>
      </w:r>
      <w:r w:rsidR="00157933" w:rsidRPr="00904162">
        <w:t>s</w:t>
      </w:r>
      <w:r w:rsidR="00BE5EAD" w:rsidRPr="00904162">
        <w:t xml:space="preserve"> $</w:t>
      </w:r>
      <w:r w:rsidR="006340CE" w:rsidRPr="006340CE">
        <w:rPr>
          <w:sz w:val="2"/>
          <w:highlight w:val="black"/>
        </w:rPr>
        <w:t>redacted content</w:t>
      </w:r>
      <w:r w:rsidR="00BE5EAD" w:rsidRPr="00904162">
        <w:t xml:space="preserve">, </w:t>
      </w:r>
      <w:r w:rsidR="00C148CB" w:rsidRPr="00904162">
        <w:t xml:space="preserve">compared with the approved </w:t>
      </w:r>
      <w:r w:rsidR="00BE5EAD" w:rsidRPr="00904162">
        <w:t xml:space="preserve">effective price </w:t>
      </w:r>
      <w:r w:rsidR="00C148CB" w:rsidRPr="00904162">
        <w:t>of $</w:t>
      </w:r>
      <w:r w:rsidR="006340CE" w:rsidRPr="006340CE">
        <w:rPr>
          <w:sz w:val="2"/>
          <w:highlight w:val="black"/>
        </w:rPr>
        <w:t>redacted content</w:t>
      </w:r>
      <w:r w:rsidR="00C148CB" w:rsidRPr="00904162">
        <w:t xml:space="preserve"> per 100 mg vial </w:t>
      </w:r>
      <w:r w:rsidR="00BD1604">
        <w:t>(</w:t>
      </w:r>
      <w:r w:rsidR="0015112C">
        <w:t xml:space="preserve">intended </w:t>
      </w:r>
      <w:r w:rsidR="00BD1604">
        <w:t>$</w:t>
      </w:r>
      <w:r w:rsidR="006340CE" w:rsidRPr="006340CE">
        <w:rPr>
          <w:sz w:val="2"/>
          <w:highlight w:val="black"/>
        </w:rPr>
        <w:t>redacted content</w:t>
      </w:r>
      <w:r w:rsidR="00A07E70">
        <w:t xml:space="preserve"> </w:t>
      </w:r>
      <w:r w:rsidR="00111BCB">
        <w:t>through the Risk Sharing</w:t>
      </w:r>
      <w:r w:rsidR="006340CE">
        <w:t xml:space="preserve"> </w:t>
      </w:r>
      <w:r w:rsidR="00111BCB">
        <w:t xml:space="preserve">Arrangement) </w:t>
      </w:r>
      <w:r w:rsidR="00157933" w:rsidRPr="00904162">
        <w:t>for use of T-</w:t>
      </w:r>
      <w:proofErr w:type="spellStart"/>
      <w:r w:rsidR="00157933" w:rsidRPr="00904162">
        <w:t>DXd</w:t>
      </w:r>
      <w:proofErr w:type="spellEnd"/>
      <w:r w:rsidR="00157933" w:rsidRPr="00904162">
        <w:t xml:space="preserve"> for HER2-low BC following chemotherapy</w:t>
      </w:r>
      <w:r w:rsidR="00C148CB" w:rsidRPr="00904162">
        <w:t xml:space="preserve"> (in a later-line treatment setting)</w:t>
      </w:r>
      <w:r w:rsidR="00157933" w:rsidRPr="00904162">
        <w:t xml:space="preserve">. </w:t>
      </w:r>
    </w:p>
    <w:p w14:paraId="7AF483BD" w14:textId="411038F1" w:rsidR="00157933" w:rsidRPr="00904162" w:rsidRDefault="00F96DB0" w:rsidP="008241B5">
      <w:pPr>
        <w:pStyle w:val="3-BodyText"/>
      </w:pPr>
      <w:r w:rsidRPr="00904162">
        <w:t>The proposed PBS restrictions for T-</w:t>
      </w:r>
      <w:proofErr w:type="spellStart"/>
      <w:r w:rsidRPr="00904162">
        <w:t>DXd</w:t>
      </w:r>
      <w:proofErr w:type="spellEnd"/>
      <w:r w:rsidRPr="00904162">
        <w:t xml:space="preserve"> did not align with the eligibility criteria of the pivotal DB-06 trial</w:t>
      </w:r>
      <w:r w:rsidR="00157933" w:rsidRPr="00904162">
        <w:t>:</w:t>
      </w:r>
    </w:p>
    <w:p w14:paraId="5FD9753B" w14:textId="01D9758D" w:rsidR="00577146" w:rsidRPr="00904162" w:rsidRDefault="00557F54" w:rsidP="008241B5">
      <w:pPr>
        <w:pStyle w:val="ListParagraph"/>
        <w:ind w:left="1304" w:hanging="227"/>
        <w:jc w:val="both"/>
      </w:pPr>
      <w:r w:rsidRPr="00904162">
        <w:t xml:space="preserve">In DB-06, patients had to have disease progression within 6 months after starting ET + </w:t>
      </w:r>
      <w:r w:rsidR="00677B56" w:rsidRPr="00904162">
        <w:t xml:space="preserve">cyclin-dependent kinase 4/6 inhibitor (CDK4/6i) </w:t>
      </w:r>
      <w:r w:rsidRPr="00904162">
        <w:t>as the first</w:t>
      </w:r>
      <w:r w:rsidR="00677B56" w:rsidRPr="00904162">
        <w:t>-</w:t>
      </w:r>
      <w:r w:rsidRPr="00904162">
        <w:t>line treatment for metastatic disease</w:t>
      </w:r>
      <w:r w:rsidRPr="00904162">
        <w:rPr>
          <w:vertAlign w:val="superscript"/>
        </w:rPr>
        <w:footnoteReference w:id="1"/>
      </w:r>
      <w:r w:rsidRPr="00904162">
        <w:t xml:space="preserve"> or have disease progression on </w:t>
      </w:r>
      <w:r w:rsidR="00C85FF9" w:rsidRPr="00904162">
        <w:t>at least two</w:t>
      </w:r>
      <w:r w:rsidRPr="00904162">
        <w:t xml:space="preserve"> previous lines of ET</w:t>
      </w:r>
      <w:r w:rsidRPr="00904162">
        <w:rPr>
          <w:vertAlign w:val="superscript"/>
        </w:rPr>
        <w:footnoteReference w:id="2"/>
      </w:r>
      <w:r w:rsidRPr="00904162">
        <w:t xml:space="preserve"> with or without a targeted therapy in the metastatic setting to be eligible. The proposed </w:t>
      </w:r>
      <w:r w:rsidR="00677B56" w:rsidRPr="00904162">
        <w:t xml:space="preserve">PBS </w:t>
      </w:r>
      <w:r w:rsidRPr="00904162">
        <w:t>restriction only require</w:t>
      </w:r>
      <w:r w:rsidR="00C85FF9" w:rsidRPr="00904162">
        <w:t>s</w:t>
      </w:r>
      <w:r w:rsidRPr="00904162">
        <w:t xml:space="preserve"> that patients are no longer eligible for ET following at least one prior line of ET. Patients in DB-06 may have more advanced disease compared with those eligible according to the proposed restriction. </w:t>
      </w:r>
      <w:r w:rsidR="00577146" w:rsidRPr="00B13CE3">
        <w:rPr>
          <w:iCs/>
        </w:rPr>
        <w:t>The</w:t>
      </w:r>
      <w:r w:rsidR="0066285F">
        <w:rPr>
          <w:iCs/>
        </w:rPr>
        <w:t xml:space="preserve"> Pre-Sub-Committee-Response</w:t>
      </w:r>
      <w:r w:rsidR="00577146" w:rsidRPr="00B13CE3">
        <w:rPr>
          <w:iCs/>
        </w:rPr>
        <w:t xml:space="preserve"> </w:t>
      </w:r>
      <w:r w:rsidR="0066285F">
        <w:rPr>
          <w:iCs/>
        </w:rPr>
        <w:t>(</w:t>
      </w:r>
      <w:r w:rsidR="00577146" w:rsidRPr="00B13CE3">
        <w:rPr>
          <w:iCs/>
        </w:rPr>
        <w:t>PSCR</w:t>
      </w:r>
      <w:r w:rsidR="0066285F">
        <w:rPr>
          <w:iCs/>
        </w:rPr>
        <w:t>)</w:t>
      </w:r>
      <w:r w:rsidR="00296C5A" w:rsidRPr="00B13CE3">
        <w:rPr>
          <w:iCs/>
        </w:rPr>
        <w:t xml:space="preserve"> </w:t>
      </w:r>
      <w:r w:rsidR="00577146" w:rsidRPr="00B13CE3">
        <w:rPr>
          <w:iCs/>
        </w:rPr>
        <w:t xml:space="preserve">stated that the proposed restriction aligned with Australian clinical practice and international </w:t>
      </w:r>
      <w:r w:rsidR="00577146" w:rsidRPr="00B13CE3">
        <w:rPr>
          <w:iCs/>
        </w:rPr>
        <w:lastRenderedPageBreak/>
        <w:t>guidelines</w:t>
      </w:r>
      <w:r w:rsidR="00A54260" w:rsidRPr="00B13CE3">
        <w:rPr>
          <w:iCs/>
        </w:rPr>
        <w:t>. The PSCR argued that</w:t>
      </w:r>
      <w:r w:rsidR="00577146" w:rsidRPr="00B13CE3">
        <w:rPr>
          <w:iCs/>
        </w:rPr>
        <w:t xml:space="preserve"> requiring additional </w:t>
      </w:r>
      <w:r w:rsidR="000053C8" w:rsidRPr="00B13CE3">
        <w:rPr>
          <w:iCs/>
        </w:rPr>
        <w:t xml:space="preserve">lines of </w:t>
      </w:r>
      <w:r w:rsidR="00577146" w:rsidRPr="00B13CE3">
        <w:rPr>
          <w:iCs/>
        </w:rPr>
        <w:t>ET</w:t>
      </w:r>
      <w:r w:rsidR="00AD0C57" w:rsidRPr="00B13CE3">
        <w:rPr>
          <w:iCs/>
        </w:rPr>
        <w:t xml:space="preserve"> </w:t>
      </w:r>
      <w:r w:rsidR="000053C8" w:rsidRPr="00B13CE3">
        <w:rPr>
          <w:iCs/>
        </w:rPr>
        <w:t xml:space="preserve">was not consistent with </w:t>
      </w:r>
      <w:r w:rsidR="003A59A1" w:rsidRPr="00B13CE3">
        <w:rPr>
          <w:iCs/>
        </w:rPr>
        <w:t xml:space="preserve">clinical practice and </w:t>
      </w:r>
      <w:r w:rsidR="00577146" w:rsidRPr="00B13CE3">
        <w:rPr>
          <w:iCs/>
        </w:rPr>
        <w:t xml:space="preserve">could create treatment delays. The </w:t>
      </w:r>
      <w:r w:rsidR="00D85B8B" w:rsidRPr="00B13CE3">
        <w:rPr>
          <w:iCs/>
        </w:rPr>
        <w:t>Sub-Committees</w:t>
      </w:r>
      <w:r w:rsidR="006E34F6" w:rsidRPr="00B13CE3">
        <w:rPr>
          <w:iCs/>
        </w:rPr>
        <w:t xml:space="preserve"> </w:t>
      </w:r>
      <w:r w:rsidR="00577146" w:rsidRPr="00B13CE3">
        <w:rPr>
          <w:iCs/>
        </w:rPr>
        <w:t xml:space="preserve">advised that the sponsor’s </w:t>
      </w:r>
      <w:r w:rsidR="0028102A" w:rsidRPr="00B13CE3">
        <w:rPr>
          <w:iCs/>
        </w:rPr>
        <w:t>proposed criteria</w:t>
      </w:r>
      <w:r w:rsidR="00577146" w:rsidRPr="00B13CE3">
        <w:rPr>
          <w:iCs/>
        </w:rPr>
        <w:t xml:space="preserve"> </w:t>
      </w:r>
      <w:r w:rsidR="0028102A" w:rsidRPr="00B13CE3">
        <w:rPr>
          <w:iCs/>
        </w:rPr>
        <w:t xml:space="preserve">(one prior </w:t>
      </w:r>
      <w:r w:rsidR="00474F54" w:rsidRPr="00B13CE3">
        <w:rPr>
          <w:iCs/>
        </w:rPr>
        <w:t>ET</w:t>
      </w:r>
      <w:r w:rsidR="0028102A" w:rsidRPr="00B13CE3">
        <w:rPr>
          <w:iCs/>
        </w:rPr>
        <w:t xml:space="preserve"> in the metastatic setting and </w:t>
      </w:r>
      <w:r w:rsidR="00474F54" w:rsidRPr="00B13CE3">
        <w:rPr>
          <w:iCs/>
        </w:rPr>
        <w:t xml:space="preserve">unsuitable for further </w:t>
      </w:r>
      <w:r w:rsidR="0028102A" w:rsidRPr="00B13CE3">
        <w:rPr>
          <w:iCs/>
        </w:rPr>
        <w:t xml:space="preserve">were </w:t>
      </w:r>
      <w:r w:rsidR="00474F54" w:rsidRPr="00B13CE3">
        <w:rPr>
          <w:iCs/>
        </w:rPr>
        <w:t xml:space="preserve">ET) were </w:t>
      </w:r>
      <w:r w:rsidR="008E62CE" w:rsidRPr="00B13CE3">
        <w:rPr>
          <w:iCs/>
        </w:rPr>
        <w:t>reasonable and</w:t>
      </w:r>
      <w:r w:rsidR="00474F54" w:rsidRPr="00B13CE3">
        <w:rPr>
          <w:iCs/>
        </w:rPr>
        <w:t xml:space="preserve"> would capture the appropriate population for treatment</w:t>
      </w:r>
      <w:r w:rsidR="00491F9F" w:rsidRPr="00B13CE3">
        <w:rPr>
          <w:iCs/>
        </w:rPr>
        <w:t xml:space="preserve"> as per clinical guidelines</w:t>
      </w:r>
      <w:r w:rsidR="00577146" w:rsidRPr="00B13CE3">
        <w:rPr>
          <w:iCs/>
        </w:rPr>
        <w:t>.</w:t>
      </w:r>
    </w:p>
    <w:p w14:paraId="6E350BEE" w14:textId="760955DA" w:rsidR="000B7C8C" w:rsidRPr="00B13CE3" w:rsidRDefault="00157933" w:rsidP="008241B5">
      <w:pPr>
        <w:pStyle w:val="ListParagraph"/>
        <w:ind w:left="1304" w:hanging="227"/>
        <w:jc w:val="both"/>
        <w:rPr>
          <w:iCs/>
        </w:rPr>
      </w:pPr>
      <w:r w:rsidRPr="00904162">
        <w:t xml:space="preserve">DB-06 only enrolled chemotherapy naïve patients, however the proposed restriction did not require </w:t>
      </w:r>
      <w:r w:rsidR="00C148CB" w:rsidRPr="00904162">
        <w:t xml:space="preserve">no prior chemotherapy </w:t>
      </w:r>
      <w:r w:rsidRPr="00904162">
        <w:t>in the metastatic setting.</w:t>
      </w:r>
      <w:r w:rsidR="00293EDD" w:rsidRPr="00B13CE3">
        <w:rPr>
          <w:iCs/>
        </w:rPr>
        <w:t xml:space="preserve"> </w:t>
      </w:r>
      <w:r w:rsidR="00577146" w:rsidRPr="00B13CE3">
        <w:rPr>
          <w:iCs/>
        </w:rPr>
        <w:t>The PSCR</w:t>
      </w:r>
      <w:r w:rsidR="000B7C8C" w:rsidRPr="00B13CE3">
        <w:rPr>
          <w:iCs/>
        </w:rPr>
        <w:t xml:space="preserve"> </w:t>
      </w:r>
      <w:r w:rsidR="00577146" w:rsidRPr="00B13CE3">
        <w:rPr>
          <w:iCs/>
        </w:rPr>
        <w:t xml:space="preserve">stated that the sponsor is amenable to the addition of </w:t>
      </w:r>
      <w:r w:rsidR="00CD3559" w:rsidRPr="00B13CE3">
        <w:rPr>
          <w:iCs/>
        </w:rPr>
        <w:t>“no prior chemotherapy for metastatic disease’ to the proposed restriction.</w:t>
      </w:r>
      <w:r w:rsidR="000D6C9E" w:rsidRPr="00B13CE3">
        <w:rPr>
          <w:iCs/>
        </w:rPr>
        <w:t xml:space="preserve"> The </w:t>
      </w:r>
      <w:r w:rsidR="00D85B8B" w:rsidRPr="00B13CE3">
        <w:rPr>
          <w:iCs/>
        </w:rPr>
        <w:t>Sub-Committees</w:t>
      </w:r>
      <w:r w:rsidR="006E34F6" w:rsidRPr="00B13CE3">
        <w:rPr>
          <w:iCs/>
        </w:rPr>
        <w:t xml:space="preserve"> </w:t>
      </w:r>
      <w:r w:rsidR="000B7C8C" w:rsidRPr="00B13CE3">
        <w:rPr>
          <w:iCs/>
        </w:rPr>
        <w:t>considered</w:t>
      </w:r>
      <w:r w:rsidR="000D6C9E" w:rsidRPr="00B13CE3">
        <w:rPr>
          <w:iCs/>
        </w:rPr>
        <w:t xml:space="preserve"> that this</w:t>
      </w:r>
      <w:r w:rsidR="000B7C8C" w:rsidRPr="00B13CE3">
        <w:rPr>
          <w:iCs/>
        </w:rPr>
        <w:t xml:space="preserve"> addition</w:t>
      </w:r>
      <w:r w:rsidR="000D6C9E" w:rsidRPr="00B13CE3">
        <w:rPr>
          <w:iCs/>
        </w:rPr>
        <w:t xml:space="preserve"> was reasonable.</w:t>
      </w:r>
    </w:p>
    <w:p w14:paraId="50DF3000" w14:textId="3D11ECD5" w:rsidR="00CC35EA" w:rsidRDefault="00557F54" w:rsidP="008241B5">
      <w:pPr>
        <w:pStyle w:val="3-BodyText"/>
      </w:pPr>
      <w:r w:rsidRPr="00904162">
        <w:t>T-</w:t>
      </w:r>
      <w:proofErr w:type="spellStart"/>
      <w:r w:rsidRPr="00904162">
        <w:t>DXd</w:t>
      </w:r>
      <w:proofErr w:type="spellEnd"/>
      <w:r w:rsidRPr="00904162">
        <w:t xml:space="preserve"> is currently listed on the PBS for patients with unresectable and/or metastatic HR-positive HER2-low BC who </w:t>
      </w:r>
      <w:r w:rsidR="008B2953" w:rsidRPr="00904162">
        <w:t xml:space="preserve">have </w:t>
      </w:r>
      <w:r w:rsidRPr="00904162">
        <w:t xml:space="preserve">received ET or </w:t>
      </w:r>
      <w:r w:rsidR="0081631D">
        <w:t xml:space="preserve">are </w:t>
      </w:r>
      <w:r w:rsidRPr="00904162">
        <w:t xml:space="preserve">ineligible for ET in the metastatic setting and have either (1) disease progression during or within 6 months of completing adjuvant chemotherapy, or (2) disease progression on a prior chemotherapy in the metastatic setting. </w:t>
      </w:r>
      <w:r w:rsidR="002E7052">
        <w:t>A</w:t>
      </w:r>
      <w:r w:rsidRPr="00904162">
        <w:t xml:space="preserve"> flow-on change to the current listing of T</w:t>
      </w:r>
      <w:r w:rsidR="00913A60">
        <w:noBreakHyphen/>
      </w:r>
      <w:proofErr w:type="spellStart"/>
      <w:r w:rsidRPr="00904162">
        <w:t>DXd</w:t>
      </w:r>
      <w:proofErr w:type="spellEnd"/>
      <w:r w:rsidRPr="00904162">
        <w:t xml:space="preserve"> </w:t>
      </w:r>
      <w:r w:rsidR="002E7052">
        <w:t>may be</w:t>
      </w:r>
      <w:r w:rsidRPr="00904162">
        <w:t xml:space="preserve"> needed to avoid re-treatment, if T</w:t>
      </w:r>
      <w:r w:rsidR="001B6015">
        <w:noBreakHyphen/>
      </w:r>
      <w:proofErr w:type="spellStart"/>
      <w:r w:rsidRPr="00904162">
        <w:t>DXd</w:t>
      </w:r>
      <w:proofErr w:type="spellEnd"/>
      <w:r w:rsidRPr="00904162">
        <w:t xml:space="preserve"> </w:t>
      </w:r>
      <w:r w:rsidR="00B62942" w:rsidRPr="00904162">
        <w:t xml:space="preserve">is </w:t>
      </w:r>
      <w:r w:rsidRPr="00904162">
        <w:t xml:space="preserve">listed for the proposed population (i.e., HR-positive HER2-low or HER2-ultralow unresectable and/or metastatic BC). </w:t>
      </w:r>
    </w:p>
    <w:p w14:paraId="2487AB0D" w14:textId="77777777" w:rsidR="00ED4724" w:rsidRDefault="00ED4724" w:rsidP="008241B5">
      <w:pPr>
        <w:pStyle w:val="3-BodyText"/>
        <w:numPr>
          <w:ilvl w:val="0"/>
          <w:numId w:val="0"/>
        </w:numPr>
      </w:pPr>
    </w:p>
    <w:p w14:paraId="534F5F0F" w14:textId="011ED2BA" w:rsidR="00ED4724" w:rsidRPr="00ED4724" w:rsidRDefault="00ED4724" w:rsidP="006B3820">
      <w:pPr>
        <w:ind w:firstLine="720"/>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904162" w:rsidDel="00195452" w:rsidRDefault="00203181" w:rsidP="008241B5">
      <w:pPr>
        <w:pStyle w:val="2-SectionHeading"/>
      </w:pPr>
      <w:bookmarkStart w:id="8" w:name="_Toc219893548"/>
      <w:r w:rsidRPr="00904162" w:rsidDel="00195452">
        <w:t xml:space="preserve">Population and </w:t>
      </w:r>
      <w:r w:rsidR="008E0D3C" w:rsidRPr="00904162" w:rsidDel="00195452">
        <w:t>d</w:t>
      </w:r>
      <w:r w:rsidRPr="00904162" w:rsidDel="00195452">
        <w:t>isease</w:t>
      </w:r>
      <w:bookmarkEnd w:id="8"/>
    </w:p>
    <w:p w14:paraId="3C5E153C" w14:textId="3C09C518" w:rsidR="00F96DB0" w:rsidRPr="00E76C5E" w:rsidRDefault="00F96DB0" w:rsidP="008241B5">
      <w:pPr>
        <w:pStyle w:val="3-BodyText"/>
      </w:pPr>
      <w:r w:rsidRPr="00E76C5E">
        <w:t xml:space="preserve">BC is the </w:t>
      </w:r>
      <w:bookmarkStart w:id="9" w:name="_Hlk219712992"/>
      <w:r w:rsidR="00C00217" w:rsidRPr="00E76C5E">
        <w:t xml:space="preserve">second </w:t>
      </w:r>
      <w:proofErr w:type="gramStart"/>
      <w:r w:rsidR="00C00217" w:rsidRPr="00E76C5E">
        <w:t>most commonly diagnosed</w:t>
      </w:r>
      <w:proofErr w:type="gramEnd"/>
      <w:r w:rsidR="00C00217" w:rsidRPr="00E76C5E">
        <w:t xml:space="preserve"> cancer in Australia (following prostate cancer) and is the </w:t>
      </w:r>
      <w:bookmarkEnd w:id="9"/>
      <w:proofErr w:type="gramStart"/>
      <w:r w:rsidRPr="00E76C5E">
        <w:t>most commonly diagnosed</w:t>
      </w:r>
      <w:proofErr w:type="gramEnd"/>
      <w:r w:rsidRPr="00E76C5E">
        <w:t xml:space="preserve"> cancer in Australian women. In 2025, an estimated 20,336 </w:t>
      </w:r>
      <w:r w:rsidR="00C00217" w:rsidRPr="00E76C5E">
        <w:t xml:space="preserve">new cases of </w:t>
      </w:r>
      <w:r w:rsidR="00DB2037" w:rsidRPr="00E76C5E">
        <w:t>BC</w:t>
      </w:r>
      <w:r w:rsidR="00C00217" w:rsidRPr="00E76C5E">
        <w:t xml:space="preserve"> </w:t>
      </w:r>
      <w:r w:rsidRPr="00E76C5E">
        <w:t xml:space="preserve">were diagnosed </w:t>
      </w:r>
      <w:r w:rsidR="00EA225A" w:rsidRPr="00E76C5E">
        <w:t xml:space="preserve">(207 males and 20,129 females) </w:t>
      </w:r>
      <w:r w:rsidRPr="00E76C5E">
        <w:t>and 3,353 died from the cancer</w:t>
      </w:r>
      <w:r w:rsidR="00D63A3A" w:rsidRPr="00E76C5E">
        <w:t xml:space="preserve"> (40 males and 3,313 females)</w:t>
      </w:r>
      <w:r w:rsidRPr="00E76C5E">
        <w:rPr>
          <w:rStyle w:val="FootnoteReference"/>
        </w:rPr>
        <w:footnoteReference w:id="3"/>
      </w:r>
      <w:r w:rsidRPr="00E76C5E">
        <w:t xml:space="preserve">. The median age of diagnosis among non-Aboriginal and Torres Strait Islander women was 61 years, with an overall 5-year survival rate of 93% in 2017 to 2021 (improved from 75% in 1987 to 1991). Despite this overall high survival rate, the 5-year survival rate for patients diagnosed with </w:t>
      </w:r>
      <w:r w:rsidR="00E05707" w:rsidRPr="00E76C5E">
        <w:t>metastatic breast cancer (</w:t>
      </w:r>
      <w:r w:rsidRPr="00E76C5E">
        <w:t>mBC</w:t>
      </w:r>
      <w:r w:rsidR="00E05707" w:rsidRPr="00E76C5E">
        <w:t>)</w:t>
      </w:r>
      <w:r w:rsidRPr="00E76C5E">
        <w:t xml:space="preserve"> </w:t>
      </w:r>
      <w:r w:rsidR="00AD172D" w:rsidRPr="00E76C5E">
        <w:t xml:space="preserve">was reported to be </w:t>
      </w:r>
      <w:r w:rsidRPr="00E76C5E">
        <w:t>an average of 32%</w:t>
      </w:r>
      <w:r w:rsidRPr="00E76C5E">
        <w:rPr>
          <w:rStyle w:val="FootnoteReference"/>
        </w:rPr>
        <w:footnoteReference w:id="4"/>
      </w:r>
      <w:r w:rsidRPr="00E76C5E">
        <w:t>.</w:t>
      </w:r>
      <w:r w:rsidR="00D63A3A" w:rsidRPr="00E76C5E">
        <w:t xml:space="preserve"> Aboriginal and Torres Strait Islander women </w:t>
      </w:r>
      <w:r w:rsidR="00987826" w:rsidRPr="00E76C5E">
        <w:t>were</w:t>
      </w:r>
      <w:r w:rsidR="00D63A3A" w:rsidRPr="00E76C5E">
        <w:t xml:space="preserve"> diagnosed with BC at a </w:t>
      </w:r>
      <w:r w:rsidR="00D63A3A" w:rsidRPr="00E76C5E">
        <w:lastRenderedPageBreak/>
        <w:t>younger median age (56 year</w:t>
      </w:r>
      <w:r w:rsidR="00B0169D" w:rsidRPr="00E76C5E">
        <w:t>s</w:t>
      </w:r>
      <w:r w:rsidR="00D63A3A" w:rsidRPr="00E76C5E">
        <w:t>)</w:t>
      </w:r>
      <w:r w:rsidR="00B0169D" w:rsidRPr="00E76C5E">
        <w:t>,</w:t>
      </w:r>
      <w:r w:rsidR="00D63A3A" w:rsidRPr="00E76C5E">
        <w:t xml:space="preserve"> and </w:t>
      </w:r>
      <w:r w:rsidR="00987826" w:rsidRPr="00E76C5E">
        <w:t xml:space="preserve">the </w:t>
      </w:r>
      <w:r w:rsidR="00D63A3A" w:rsidRPr="00E76C5E">
        <w:t xml:space="preserve">age-adjusted mortality </w:t>
      </w:r>
      <w:r w:rsidR="00987826" w:rsidRPr="00E76C5E">
        <w:t>was 1.3 times the rate of non-Indigenous women</w:t>
      </w:r>
      <w:r w:rsidR="00987826" w:rsidRPr="00E76C5E">
        <w:rPr>
          <w:rStyle w:val="FootnoteReference"/>
        </w:rPr>
        <w:footnoteReference w:id="5"/>
      </w:r>
      <w:r w:rsidR="00987826" w:rsidRPr="00E76C5E">
        <w:rPr>
          <w:vertAlign w:val="superscript"/>
        </w:rPr>
        <w:t>,</w:t>
      </w:r>
      <w:r w:rsidR="00987826" w:rsidRPr="00E76C5E">
        <w:rPr>
          <w:rStyle w:val="FootnoteReference"/>
        </w:rPr>
        <w:footnoteReference w:id="6"/>
      </w:r>
      <w:r w:rsidR="00C10D64" w:rsidRPr="00E76C5E">
        <w:t>.</w:t>
      </w:r>
    </w:p>
    <w:p w14:paraId="0061696E" w14:textId="13460012" w:rsidR="00F96DB0" w:rsidRPr="00904162" w:rsidRDefault="00F96DB0" w:rsidP="008241B5">
      <w:pPr>
        <w:pStyle w:val="3-BodyText"/>
        <w:rPr>
          <w:color w:val="0066FF"/>
        </w:rPr>
      </w:pPr>
      <w:r w:rsidRPr="00E76C5E">
        <w:t>BC is a heterogenous disease, and the prognosis largely relies on the pathological and molecular characterisation of the disease</w:t>
      </w:r>
      <w:r w:rsidRPr="00E76C5E">
        <w:rPr>
          <w:rStyle w:val="FootnoteReference"/>
        </w:rPr>
        <w:footnoteReference w:id="7"/>
      </w:r>
      <w:r w:rsidRPr="00E76C5E">
        <w:rPr>
          <w:vertAlign w:val="superscript"/>
        </w:rPr>
        <w:t>,</w:t>
      </w:r>
      <w:r w:rsidRPr="00E76C5E">
        <w:rPr>
          <w:rStyle w:val="FootnoteReference"/>
        </w:rPr>
        <w:footnoteReference w:id="8"/>
      </w:r>
      <w:r w:rsidRPr="00E76C5E">
        <w:rPr>
          <w:vertAlign w:val="subscript"/>
        </w:rPr>
        <w:t xml:space="preserve">. </w:t>
      </w:r>
      <w:r w:rsidRPr="00E76C5E">
        <w:t xml:space="preserve">HR (including estrogen receptor [ER] and progesterone receptor [PR]) and HER2 are important prognostic and therapeutic predictive factors for invasive BC. The majority of BC are HR-positive, accounting for </w:t>
      </w:r>
      <w:r w:rsidRPr="00904162">
        <w:rPr>
          <w:color w:val="000000" w:themeColor="text1"/>
        </w:rPr>
        <w:t>approximate</w:t>
      </w:r>
      <w:r w:rsidR="00DE42AB">
        <w:rPr>
          <w:color w:val="000000" w:themeColor="text1"/>
        </w:rPr>
        <w:t>ly</w:t>
      </w:r>
      <w:r w:rsidRPr="00904162">
        <w:rPr>
          <w:color w:val="000000" w:themeColor="text1"/>
        </w:rPr>
        <w:t xml:space="preserve"> 80% of the cases</w:t>
      </w:r>
      <w:r w:rsidRPr="00904162">
        <w:rPr>
          <w:rStyle w:val="FootnoteReference"/>
          <w:color w:val="000000" w:themeColor="text1"/>
        </w:rPr>
        <w:footnoteReference w:id="9"/>
      </w:r>
      <w:r w:rsidRPr="00904162">
        <w:rPr>
          <w:color w:val="000000" w:themeColor="text1"/>
        </w:rPr>
        <w:t>.</w:t>
      </w:r>
      <w:r w:rsidRPr="00904162">
        <w:t xml:space="preserve"> </w:t>
      </w:r>
      <w:r w:rsidRPr="00904162">
        <w:rPr>
          <w:color w:val="000000" w:themeColor="text1"/>
        </w:rPr>
        <w:t xml:space="preserve">HR-positive BCs can be treated with </w:t>
      </w:r>
      <w:r w:rsidR="009D11B6" w:rsidRPr="00904162">
        <w:rPr>
          <w:color w:val="000000" w:themeColor="text1"/>
        </w:rPr>
        <w:t>ET</w:t>
      </w:r>
      <w:r w:rsidRPr="00904162">
        <w:rPr>
          <w:color w:val="000000" w:themeColor="text1"/>
        </w:rPr>
        <w:t xml:space="preserve">, including aromatase inhibitors (AIs). </w:t>
      </w:r>
      <w:r w:rsidR="00557F54" w:rsidRPr="00904162">
        <w:rPr>
          <w:color w:val="000000" w:themeColor="text1"/>
        </w:rPr>
        <w:t>HER2 expression has been traditionally categorised dichotomously as HER2-positive (defined as IHC 3+ staining of HER2 protein on cancer cells or IHC 2+ staining confirmed by a positive ISH testing for the HER2 gene amplification)</w:t>
      </w:r>
      <w:r w:rsidR="00557F54" w:rsidRPr="00904162">
        <w:rPr>
          <w:color w:val="000000" w:themeColor="text1"/>
          <w:vertAlign w:val="superscript"/>
        </w:rPr>
        <w:t xml:space="preserve"> </w:t>
      </w:r>
      <w:r w:rsidR="00557F54" w:rsidRPr="00904162">
        <w:rPr>
          <w:color w:val="000000" w:themeColor="text1"/>
        </w:rPr>
        <w:t xml:space="preserve">or HER2-negative (defined as IHC 0 or IHC 1+, or IHC 2+ with a negative ISH testing for the HER2 gene </w:t>
      </w:r>
      <w:r w:rsidRPr="00904162">
        <w:rPr>
          <w:color w:val="000000" w:themeColor="text1"/>
        </w:rPr>
        <w:t>amplification)</w:t>
      </w:r>
      <w:r w:rsidRPr="00904162">
        <w:rPr>
          <w:rStyle w:val="FootnoteReference"/>
          <w:color w:val="000000" w:themeColor="text1"/>
        </w:rPr>
        <w:footnoteReference w:id="10"/>
      </w:r>
      <w:r w:rsidRPr="00904162">
        <w:rPr>
          <w:color w:val="000000" w:themeColor="text1"/>
        </w:rPr>
        <w:t>. HER2 is overexpressed in approximately 20% to 30% of all BCs and is associated with aggressive tumour behaviour, higher recurrence rates, shorter disease-free survival and overall survival without treatment</w:t>
      </w:r>
      <w:r w:rsidRPr="00904162">
        <w:rPr>
          <w:rStyle w:val="FootnoteReference"/>
          <w:color w:val="000000" w:themeColor="text1"/>
        </w:rPr>
        <w:footnoteReference w:id="11"/>
      </w:r>
      <w:r w:rsidRPr="00904162">
        <w:rPr>
          <w:color w:val="000000" w:themeColor="text1"/>
          <w:vertAlign w:val="superscript"/>
        </w:rPr>
        <w:t>,</w:t>
      </w:r>
      <w:r w:rsidRPr="00904162">
        <w:rPr>
          <w:rStyle w:val="FootnoteReference"/>
          <w:color w:val="000000" w:themeColor="text1"/>
        </w:rPr>
        <w:footnoteReference w:id="12"/>
      </w:r>
      <w:r w:rsidRPr="00904162">
        <w:rPr>
          <w:color w:val="000000" w:themeColor="text1"/>
        </w:rPr>
        <w:t>.</w:t>
      </w:r>
    </w:p>
    <w:p w14:paraId="34165124" w14:textId="46E5155F" w:rsidR="00F96DB0" w:rsidRPr="00904162" w:rsidRDefault="00F96DB0" w:rsidP="008241B5">
      <w:pPr>
        <w:pStyle w:val="3-BodyText"/>
        <w:rPr>
          <w:color w:val="000000" w:themeColor="text1"/>
        </w:rPr>
      </w:pPr>
      <w:bookmarkStart w:id="10" w:name="_Ref226458624"/>
      <w:r w:rsidRPr="00904162">
        <w:rPr>
          <w:color w:val="000000" w:themeColor="text1"/>
        </w:rPr>
        <w:t xml:space="preserve">The </w:t>
      </w:r>
      <w:r w:rsidR="00557F54" w:rsidRPr="00904162">
        <w:rPr>
          <w:color w:val="000000" w:themeColor="text1"/>
        </w:rPr>
        <w:t xml:space="preserve">historical “HER2-negative” expression status </w:t>
      </w:r>
      <w:r w:rsidR="00F15C5F">
        <w:rPr>
          <w:color w:val="000000" w:themeColor="text1"/>
        </w:rPr>
        <w:t>has recently been</w:t>
      </w:r>
      <w:r w:rsidR="00557F54" w:rsidRPr="00904162">
        <w:rPr>
          <w:color w:val="000000" w:themeColor="text1"/>
        </w:rPr>
        <w:t xml:space="preserve"> </w:t>
      </w:r>
      <w:r w:rsidR="007E0B67">
        <w:rPr>
          <w:color w:val="000000" w:themeColor="text1"/>
        </w:rPr>
        <w:t>identified as</w:t>
      </w:r>
      <w:r w:rsidR="00557F54" w:rsidRPr="00904162">
        <w:rPr>
          <w:color w:val="000000" w:themeColor="text1"/>
        </w:rPr>
        <w:t xml:space="preserve"> </w:t>
      </w:r>
      <w:r w:rsidR="004B2BAF">
        <w:rPr>
          <w:color w:val="000000" w:themeColor="text1"/>
        </w:rPr>
        <w:t>includ</w:t>
      </w:r>
      <w:r w:rsidR="007E0B67">
        <w:rPr>
          <w:color w:val="000000" w:themeColor="text1"/>
        </w:rPr>
        <w:t>ing</w:t>
      </w:r>
      <w:r w:rsidR="00557F54" w:rsidRPr="00904162">
        <w:rPr>
          <w:color w:val="000000" w:themeColor="text1"/>
        </w:rPr>
        <w:t xml:space="preserve"> </w:t>
      </w:r>
      <w:r w:rsidRPr="00904162">
        <w:rPr>
          <w:color w:val="000000" w:themeColor="text1"/>
        </w:rPr>
        <w:t>HER2-low status, defined as IHC 1+ or IHC 2+ staining and a negative result of ISH</w:t>
      </w:r>
      <w:r w:rsidRPr="00904162">
        <w:rPr>
          <w:rStyle w:val="FootnoteReference"/>
          <w:color w:val="000000" w:themeColor="text1"/>
        </w:rPr>
        <w:footnoteReference w:id="13"/>
      </w:r>
      <w:r w:rsidRPr="00904162">
        <w:rPr>
          <w:color w:val="000000" w:themeColor="text1"/>
          <w:vertAlign w:val="superscript"/>
        </w:rPr>
        <w:t>,</w:t>
      </w:r>
      <w:r w:rsidRPr="00904162">
        <w:rPr>
          <w:rStyle w:val="FootnoteReference"/>
          <w:color w:val="000000" w:themeColor="text1"/>
        </w:rPr>
        <w:footnoteReference w:id="14"/>
      </w:r>
      <w:r w:rsidR="00557F54" w:rsidRPr="00904162">
        <w:rPr>
          <w:color w:val="000000" w:themeColor="text1"/>
        </w:rPr>
        <w:t>, and HER2-ultralow status, defined as IHC &gt; 0 but &lt; 1+ (i.e., tumours with incomplete or faint/barely perceptible staining in ≤ 10% of BC cells)</w:t>
      </w:r>
      <w:r w:rsidR="00557F54" w:rsidRPr="00904162">
        <w:rPr>
          <w:rStyle w:val="FootnoteReference"/>
          <w:color w:val="000000" w:themeColor="text1"/>
        </w:rPr>
        <w:footnoteReference w:id="15"/>
      </w:r>
      <w:r w:rsidR="00557F54" w:rsidRPr="00904162">
        <w:rPr>
          <w:color w:val="000000" w:themeColor="text1"/>
        </w:rPr>
        <w:t xml:space="preserve">. </w:t>
      </w:r>
      <w:r w:rsidRPr="00904162">
        <w:rPr>
          <w:color w:val="000000" w:themeColor="text1"/>
        </w:rPr>
        <w:t xml:space="preserve">The proportion </w:t>
      </w:r>
      <w:r w:rsidRPr="00904162">
        <w:rPr>
          <w:color w:val="000000" w:themeColor="text1"/>
        </w:rPr>
        <w:lastRenderedPageBreak/>
        <w:t xml:space="preserve">of HER2-low BC was found to be 65.4% in HR-positive cases and 36.6% in triple negative </w:t>
      </w:r>
      <w:r w:rsidR="009D11B6" w:rsidRPr="00904162">
        <w:rPr>
          <w:color w:val="000000" w:themeColor="text1"/>
        </w:rPr>
        <w:t>breast cancers (TNBC</w:t>
      </w:r>
      <w:r w:rsidRPr="00904162">
        <w:rPr>
          <w:color w:val="000000" w:themeColor="text1"/>
        </w:rPr>
        <w:t>s</w:t>
      </w:r>
      <w:r w:rsidR="009D11B6" w:rsidRPr="00904162">
        <w:rPr>
          <w:color w:val="000000" w:themeColor="text1"/>
        </w:rPr>
        <w:t>)</w:t>
      </w:r>
      <w:r w:rsidRPr="00904162">
        <w:rPr>
          <w:color w:val="000000" w:themeColor="text1"/>
          <w:vertAlign w:val="superscript"/>
        </w:rPr>
        <w:t>10</w:t>
      </w:r>
      <w:r w:rsidRPr="00904162">
        <w:rPr>
          <w:color w:val="000000" w:themeColor="text1"/>
        </w:rPr>
        <w:t>.</w:t>
      </w:r>
      <w:r w:rsidR="00631981" w:rsidRPr="00904162">
        <w:rPr>
          <w:color w:val="000000" w:themeColor="text1"/>
        </w:rPr>
        <w:t xml:space="preserve"> HER2-ultralow B</w:t>
      </w:r>
      <w:r w:rsidR="009D11B6" w:rsidRPr="00904162">
        <w:rPr>
          <w:color w:val="000000" w:themeColor="text1"/>
        </w:rPr>
        <w:t>C</w:t>
      </w:r>
      <w:r w:rsidRPr="00904162">
        <w:t xml:space="preserve"> </w:t>
      </w:r>
      <w:r w:rsidRPr="00904162">
        <w:rPr>
          <w:color w:val="000000" w:themeColor="text1"/>
        </w:rPr>
        <w:t>was found in 29% of the HER2-negative BCs in a Chinese study and 35-40% in a US study</w:t>
      </w:r>
      <w:r w:rsidRPr="00904162">
        <w:rPr>
          <w:rStyle w:val="FootnoteReference"/>
          <w:color w:val="000000" w:themeColor="text1"/>
        </w:rPr>
        <w:footnoteReference w:id="16"/>
      </w:r>
      <w:r w:rsidRPr="00904162">
        <w:rPr>
          <w:color w:val="000000" w:themeColor="text1"/>
          <w:vertAlign w:val="superscript"/>
        </w:rPr>
        <w:t>,</w:t>
      </w:r>
      <w:r w:rsidRPr="00904162">
        <w:rPr>
          <w:rStyle w:val="FootnoteReference"/>
          <w:color w:val="000000" w:themeColor="text1"/>
        </w:rPr>
        <w:footnoteReference w:id="17"/>
      </w:r>
      <w:r w:rsidRPr="00904162">
        <w:rPr>
          <w:color w:val="000000" w:themeColor="text1"/>
        </w:rPr>
        <w:t>.</w:t>
      </w:r>
      <w:bookmarkEnd w:id="10"/>
    </w:p>
    <w:p w14:paraId="5733A40D" w14:textId="6806B206" w:rsidR="00F96DB0" w:rsidRPr="00904162" w:rsidRDefault="00F96DB0" w:rsidP="008241B5">
      <w:pPr>
        <w:pStyle w:val="3-BodyText"/>
        <w:rPr>
          <w:color w:val="000000" w:themeColor="text1"/>
        </w:rPr>
      </w:pPr>
      <w:r w:rsidRPr="00904162">
        <w:rPr>
          <w:color w:val="000000" w:themeColor="text1"/>
        </w:rPr>
        <w:t xml:space="preserve">The DB-04 trial </w:t>
      </w:r>
      <w:r w:rsidR="00631981" w:rsidRPr="00904162">
        <w:rPr>
          <w:color w:val="000000" w:themeColor="text1"/>
        </w:rPr>
        <w:t>reported</w:t>
      </w:r>
      <w:r w:rsidRPr="00904162">
        <w:rPr>
          <w:color w:val="000000" w:themeColor="text1"/>
        </w:rPr>
        <w:t xml:space="preserve"> a significantly prolonged survival in patients with </w:t>
      </w:r>
      <w:r w:rsidR="00324082" w:rsidRPr="00904162">
        <w:t>H</w:t>
      </w:r>
      <w:r w:rsidR="00631981" w:rsidRPr="00904162">
        <w:t>R</w:t>
      </w:r>
      <w:r w:rsidR="00324082" w:rsidRPr="00904162">
        <w:t>-positive</w:t>
      </w:r>
      <w:r w:rsidRPr="00904162">
        <w:rPr>
          <w:color w:val="000000" w:themeColor="text1"/>
        </w:rPr>
        <w:t xml:space="preserve"> HER2-low </w:t>
      </w:r>
      <w:proofErr w:type="spellStart"/>
      <w:r w:rsidRPr="00904162">
        <w:rPr>
          <w:color w:val="000000" w:themeColor="text1"/>
        </w:rPr>
        <w:t>mBC</w:t>
      </w:r>
      <w:proofErr w:type="spellEnd"/>
      <w:r w:rsidRPr="00904162">
        <w:rPr>
          <w:color w:val="000000" w:themeColor="text1"/>
        </w:rPr>
        <w:t xml:space="preserve"> treated with T-</w:t>
      </w:r>
      <w:proofErr w:type="spellStart"/>
      <w:r w:rsidRPr="00904162">
        <w:rPr>
          <w:color w:val="000000" w:themeColor="text1"/>
        </w:rPr>
        <w:t>DXd</w:t>
      </w:r>
      <w:proofErr w:type="spellEnd"/>
      <w:r w:rsidR="00AD172D" w:rsidRPr="00904162">
        <w:rPr>
          <w:color w:val="000000" w:themeColor="text1"/>
        </w:rPr>
        <w:t xml:space="preserve"> following chemotherapy</w:t>
      </w:r>
      <w:r w:rsidRPr="00904162">
        <w:rPr>
          <w:rStyle w:val="FootnoteReference"/>
          <w:color w:val="000000" w:themeColor="text1"/>
        </w:rPr>
        <w:footnoteReference w:id="18"/>
      </w:r>
      <w:r w:rsidRPr="00904162">
        <w:rPr>
          <w:color w:val="000000" w:themeColor="text1"/>
        </w:rPr>
        <w:t>. The DB-06 trial (presented as key evidence in the submission) further investigated the survival benefit of T-</w:t>
      </w:r>
      <w:proofErr w:type="spellStart"/>
      <w:r w:rsidRPr="00904162">
        <w:rPr>
          <w:color w:val="000000" w:themeColor="text1"/>
        </w:rPr>
        <w:t>DXd</w:t>
      </w:r>
      <w:proofErr w:type="spellEnd"/>
      <w:r w:rsidRPr="00904162">
        <w:rPr>
          <w:color w:val="000000" w:themeColor="text1"/>
        </w:rPr>
        <w:t xml:space="preserve"> in </w:t>
      </w:r>
      <w:r w:rsidR="00F618E3" w:rsidRPr="00904162">
        <w:rPr>
          <w:color w:val="000000" w:themeColor="text1"/>
        </w:rPr>
        <w:t xml:space="preserve">chemotherapy naïve </w:t>
      </w:r>
      <w:r w:rsidRPr="00904162">
        <w:rPr>
          <w:color w:val="000000" w:themeColor="text1"/>
        </w:rPr>
        <w:t>patient</w:t>
      </w:r>
      <w:r w:rsidR="00F618E3" w:rsidRPr="00904162">
        <w:rPr>
          <w:color w:val="000000" w:themeColor="text1"/>
        </w:rPr>
        <w:t xml:space="preserve">s with </w:t>
      </w:r>
      <w:r w:rsidR="00324082" w:rsidRPr="00904162">
        <w:t>H</w:t>
      </w:r>
      <w:r w:rsidR="00631981" w:rsidRPr="00904162">
        <w:t>R</w:t>
      </w:r>
      <w:r w:rsidR="00324082" w:rsidRPr="00904162">
        <w:t>-positive</w:t>
      </w:r>
      <w:r w:rsidRPr="00904162">
        <w:rPr>
          <w:color w:val="000000" w:themeColor="text1"/>
        </w:rPr>
        <w:t xml:space="preserve"> </w:t>
      </w:r>
      <w:r w:rsidR="00C14712">
        <w:rPr>
          <w:color w:val="000000" w:themeColor="text1"/>
        </w:rPr>
        <w:t xml:space="preserve">HER2-low or </w:t>
      </w:r>
      <w:r w:rsidRPr="00904162">
        <w:rPr>
          <w:color w:val="000000" w:themeColor="text1"/>
        </w:rPr>
        <w:t xml:space="preserve">HER2-ultralow </w:t>
      </w:r>
      <w:r w:rsidR="00F618E3" w:rsidRPr="00904162">
        <w:rPr>
          <w:color w:val="000000" w:themeColor="text1"/>
        </w:rPr>
        <w:t>unresectable and/or mBC</w:t>
      </w:r>
      <w:r w:rsidRPr="00904162">
        <w:rPr>
          <w:color w:val="000000" w:themeColor="text1"/>
        </w:rPr>
        <w:t>.</w:t>
      </w:r>
    </w:p>
    <w:p w14:paraId="73296401" w14:textId="2D25DA3B" w:rsidR="00F96DB0" w:rsidRPr="00904162" w:rsidRDefault="00F96DB0" w:rsidP="008241B5">
      <w:pPr>
        <w:pStyle w:val="3-BodyText"/>
        <w:rPr>
          <w:color w:val="000000" w:themeColor="text1"/>
        </w:rPr>
      </w:pPr>
      <w:r w:rsidRPr="00904162">
        <w:rPr>
          <w:color w:val="000000" w:themeColor="text1"/>
        </w:rPr>
        <w:t>T-</w:t>
      </w:r>
      <w:proofErr w:type="spellStart"/>
      <w:r w:rsidRPr="00904162">
        <w:rPr>
          <w:color w:val="000000" w:themeColor="text1"/>
        </w:rPr>
        <w:t>DXd</w:t>
      </w:r>
      <w:proofErr w:type="spellEnd"/>
      <w:r w:rsidRPr="00904162">
        <w:rPr>
          <w:color w:val="000000" w:themeColor="text1"/>
        </w:rPr>
        <w:t xml:space="preserve"> is an antibody drug conjugate (ADC) that is HER2-directed and acts through dual mechanisms: firstly, the monoclonal antibody of the ADC binds to the HER2 receptors, which leads to the inhibition of the </w:t>
      </w:r>
      <w:r w:rsidR="00F618E3" w:rsidRPr="00904162">
        <w:rPr>
          <w:color w:val="000000" w:themeColor="text1"/>
        </w:rPr>
        <w:t>protein kinase B (PKB, also known as Akt)</w:t>
      </w:r>
      <w:r w:rsidRPr="00904162">
        <w:rPr>
          <w:color w:val="000000" w:themeColor="text1"/>
        </w:rPr>
        <w:t xml:space="preserve"> phosphorylation by interrupting the phosphatidylinositol 3-kinase (PI3K)/</w:t>
      </w:r>
      <w:r w:rsidR="00F618E3" w:rsidRPr="00904162">
        <w:rPr>
          <w:color w:val="000000" w:themeColor="text1"/>
        </w:rPr>
        <w:t>Akt</w:t>
      </w:r>
      <w:r w:rsidRPr="00904162">
        <w:rPr>
          <w:color w:val="000000" w:themeColor="text1"/>
        </w:rPr>
        <w:t xml:space="preserve"> signalling pathway. Secondly, the topoisomerase 1 inhibitor</w:t>
      </w:r>
      <w:r w:rsidR="00A23F3F">
        <w:rPr>
          <w:color w:val="000000" w:themeColor="text1"/>
        </w:rPr>
        <w:t>’</w:t>
      </w:r>
      <w:r w:rsidRPr="00904162">
        <w:rPr>
          <w:color w:val="000000" w:themeColor="text1"/>
        </w:rPr>
        <w:t>s payload permeates the cell nucleus and act</w:t>
      </w:r>
      <w:r w:rsidR="00631981" w:rsidRPr="00904162">
        <w:rPr>
          <w:color w:val="000000" w:themeColor="text1"/>
        </w:rPr>
        <w:t>s</w:t>
      </w:r>
      <w:r w:rsidRPr="00904162">
        <w:rPr>
          <w:color w:val="000000" w:themeColor="text1"/>
        </w:rPr>
        <w:t xml:space="preserve"> to stop the re-ligation of </w:t>
      </w:r>
      <w:r w:rsidR="00F618E3" w:rsidRPr="00904162">
        <w:rPr>
          <w:color w:val="000000" w:themeColor="text1"/>
        </w:rPr>
        <w:t>deoxyribonucleic acid (</w:t>
      </w:r>
      <w:r w:rsidRPr="00904162">
        <w:rPr>
          <w:color w:val="000000" w:themeColor="text1"/>
        </w:rPr>
        <w:t>DNA</w:t>
      </w:r>
      <w:r w:rsidR="00F618E3" w:rsidRPr="00904162">
        <w:rPr>
          <w:color w:val="000000" w:themeColor="text1"/>
        </w:rPr>
        <w:t>)</w:t>
      </w:r>
      <w:r w:rsidRPr="00904162">
        <w:rPr>
          <w:color w:val="000000" w:themeColor="text1"/>
        </w:rPr>
        <w:t>, leading to strand breaks and cell death, resulting in apoptosis of the target tumour cell. The topoisomerase 1 inhibitor payload also act</w:t>
      </w:r>
      <w:r w:rsidR="00631981" w:rsidRPr="00904162">
        <w:rPr>
          <w:color w:val="000000" w:themeColor="text1"/>
        </w:rPr>
        <w:t>s</w:t>
      </w:r>
      <w:r w:rsidRPr="00904162">
        <w:rPr>
          <w:color w:val="000000" w:themeColor="text1"/>
        </w:rPr>
        <w:t xml:space="preserve"> on neighbouring tumour cells via membrane permeability.</w:t>
      </w:r>
    </w:p>
    <w:p w14:paraId="11FCAAEE" w14:textId="223C55CB" w:rsidR="007627BE" w:rsidRDefault="00F96DB0" w:rsidP="008241B5">
      <w:pPr>
        <w:pStyle w:val="3-BodyText"/>
      </w:pPr>
      <w:r w:rsidRPr="00904162">
        <w:rPr>
          <w:color w:val="000000" w:themeColor="text1"/>
        </w:rPr>
        <w:t>The submission proposed T-</w:t>
      </w:r>
      <w:proofErr w:type="spellStart"/>
      <w:r w:rsidRPr="00904162">
        <w:rPr>
          <w:color w:val="000000" w:themeColor="text1"/>
        </w:rPr>
        <w:t>DXd</w:t>
      </w:r>
      <w:proofErr w:type="spellEnd"/>
      <w:r w:rsidRPr="00904162">
        <w:rPr>
          <w:color w:val="000000" w:themeColor="text1"/>
        </w:rPr>
        <w:t xml:space="preserve"> use in the second line setting (i.e., prior to chemotherapy) for patients with </w:t>
      </w:r>
      <w:r w:rsidR="00326089" w:rsidRPr="00904162">
        <w:t>H</w:t>
      </w:r>
      <w:r w:rsidR="00326089">
        <w:t>R</w:t>
      </w:r>
      <w:r w:rsidR="00324082" w:rsidRPr="00904162">
        <w:t>-positive</w:t>
      </w:r>
      <w:r w:rsidRPr="00904162">
        <w:rPr>
          <w:color w:val="000000" w:themeColor="text1"/>
        </w:rPr>
        <w:t xml:space="preserve"> HER2-low or </w:t>
      </w:r>
      <w:r w:rsidR="00C63C81" w:rsidRPr="00904162">
        <w:t>H</w:t>
      </w:r>
      <w:r w:rsidR="00C63C81">
        <w:t>R</w:t>
      </w:r>
      <w:r w:rsidR="00324082" w:rsidRPr="00904162">
        <w:t>-positive</w:t>
      </w:r>
      <w:r w:rsidRPr="00904162">
        <w:rPr>
          <w:color w:val="000000" w:themeColor="text1"/>
        </w:rPr>
        <w:t xml:space="preserve"> HER2-ultralow unresectable and/or mBC who have received at least one prior line of ET in the metastatic setting and are no longer considered suitable for further ET</w:t>
      </w:r>
      <w:r w:rsidRPr="00904162">
        <w:t>.</w:t>
      </w:r>
    </w:p>
    <w:p w14:paraId="5CD1B381" w14:textId="77777777" w:rsidR="00ED4724" w:rsidRDefault="00ED4724" w:rsidP="008241B5">
      <w:pPr>
        <w:pStyle w:val="3-BodyText"/>
        <w:numPr>
          <w:ilvl w:val="0"/>
          <w:numId w:val="0"/>
        </w:numPr>
      </w:pPr>
    </w:p>
    <w:p w14:paraId="0D92B73D" w14:textId="77777777" w:rsidR="00ED4724" w:rsidRPr="00C33D30" w:rsidRDefault="00ED4724" w:rsidP="006B3820">
      <w:pPr>
        <w:ind w:firstLine="720"/>
        <w:rPr>
          <w:rFonts w:asciiTheme="minorHAnsi" w:hAnsiTheme="minorHAnsi"/>
          <w:i/>
        </w:rPr>
      </w:pPr>
      <w:r w:rsidRPr="00C33D30">
        <w:rPr>
          <w:rFonts w:asciiTheme="minorHAnsi" w:hAnsiTheme="minorHAnsi"/>
          <w:i/>
        </w:rPr>
        <w:t>For more detail on PBAC’s view, see section 7 PBAC outcome.</w:t>
      </w:r>
    </w:p>
    <w:p w14:paraId="4D5F781A" w14:textId="77777777" w:rsidR="00ED4724" w:rsidRPr="00904162" w:rsidDel="00195452" w:rsidRDefault="00ED4724" w:rsidP="008241B5">
      <w:pPr>
        <w:pStyle w:val="3-BodyText"/>
        <w:numPr>
          <w:ilvl w:val="0"/>
          <w:numId w:val="0"/>
        </w:numPr>
        <w:ind w:left="720"/>
      </w:pPr>
    </w:p>
    <w:p w14:paraId="51E5AE96" w14:textId="136A63B1" w:rsidR="00B50DB8" w:rsidRPr="00904162" w:rsidRDefault="00B50DB8" w:rsidP="008241B5">
      <w:pPr>
        <w:pStyle w:val="2-SectionHeading"/>
      </w:pPr>
      <w:bookmarkStart w:id="11" w:name="_Toc219893549"/>
      <w:r w:rsidRPr="00904162">
        <w:t>Comparator</w:t>
      </w:r>
      <w:bookmarkEnd w:id="11"/>
    </w:p>
    <w:p w14:paraId="268DFDB0" w14:textId="3BA7722B" w:rsidR="00AB6578" w:rsidRPr="00904162" w:rsidRDefault="00F96DB0" w:rsidP="008241B5">
      <w:pPr>
        <w:pStyle w:val="3-BodyText"/>
      </w:pPr>
      <w:r w:rsidRPr="00904162">
        <w:t>The submission nominated ICC</w:t>
      </w:r>
      <w:r w:rsidR="00631981" w:rsidRPr="00904162">
        <w:t xml:space="preserve"> (as a proxy of single-agent chemotherapy) </w:t>
      </w:r>
      <w:r w:rsidRPr="00904162">
        <w:t xml:space="preserve">as the main comparator. </w:t>
      </w:r>
      <w:r w:rsidR="00AB6578" w:rsidRPr="00904162">
        <w:t xml:space="preserve">The selection of the main comparator was appropriate. </w:t>
      </w:r>
    </w:p>
    <w:p w14:paraId="30A067BB" w14:textId="360B60D0" w:rsidR="00B50DB8" w:rsidRPr="00ED4724" w:rsidRDefault="00AB6578" w:rsidP="008241B5">
      <w:pPr>
        <w:pStyle w:val="3-BodyText"/>
      </w:pPr>
      <w:r w:rsidRPr="00904162">
        <w:t>Single-agent chemotherap</w:t>
      </w:r>
      <w:r w:rsidR="00224278" w:rsidRPr="00904162">
        <w:t>ies</w:t>
      </w:r>
      <w:r w:rsidRPr="00904162">
        <w:t xml:space="preserve"> used in the key trial DB-06 and in the economic model included oral capecitabine and intravenous (IV) paclitaxel and nab-paclitaxel. </w:t>
      </w:r>
      <w:r w:rsidR="00F96DB0" w:rsidRPr="00904162">
        <w:t xml:space="preserve">However, </w:t>
      </w:r>
      <w:r w:rsidRPr="00904162">
        <w:t>in the financial analysis, it was assumed that T-</w:t>
      </w:r>
      <w:proofErr w:type="spellStart"/>
      <w:r w:rsidRPr="00904162">
        <w:t>DXd</w:t>
      </w:r>
      <w:proofErr w:type="spellEnd"/>
      <w:r w:rsidRPr="00904162">
        <w:t xml:space="preserve"> will replace IV chemotherapy options but not oral capecitabine.</w:t>
      </w:r>
      <w:r w:rsidR="00F96DB0" w:rsidRPr="00904162">
        <w:t xml:space="preserve"> </w:t>
      </w:r>
      <w:r w:rsidR="00AD172D" w:rsidRPr="00904162">
        <w:t>B</w:t>
      </w:r>
      <w:r w:rsidR="003643A4" w:rsidRPr="00904162">
        <w:t xml:space="preserve">ased on the data from the PBS sample, </w:t>
      </w:r>
      <w:r w:rsidR="00AD172D" w:rsidRPr="00904162">
        <w:t xml:space="preserve">it was estimated that </w:t>
      </w:r>
      <w:r w:rsidR="003643A4" w:rsidRPr="00904162">
        <w:t>approximately 70% of mBC patients receive oral capecitabine, but only 30% of patients choose to receive IV chemotherapy as the post-</w:t>
      </w:r>
      <w:r w:rsidR="003643A4" w:rsidRPr="00904162">
        <w:lastRenderedPageBreak/>
        <w:t>ET chemotherapy in the second line treatment setting</w:t>
      </w:r>
      <w:r w:rsidR="00AD172D" w:rsidRPr="00904162">
        <w:t xml:space="preserve">; whilst </w:t>
      </w:r>
      <w:r w:rsidR="003643A4" w:rsidRPr="00904162">
        <w:t xml:space="preserve">in the third line setting 53.8% of patients choose oral capecitabine and 46.2% choose IV chemotherapy. The submission argued that, according to medical oncologists, patients with disease that is not aggressive and patients who are feeling otherwise well or are still in paid employment may prefer oral capecitabine because of the convenience, perceived efficacy, and the </w:t>
      </w:r>
      <w:r w:rsidR="00F5200D">
        <w:t>lower</w:t>
      </w:r>
      <w:r w:rsidR="003643A4" w:rsidRPr="00904162">
        <w:t xml:space="preserve"> impact on quality of life associated with oral chemotherapy. For other patients, especially those who have received oral therapies (e.g. AI plus CDK4/6i) in the prior line, alopecia associated with IV chemotherapy may be a key concern. </w:t>
      </w:r>
      <w:r w:rsidR="0005420C" w:rsidRPr="00904162">
        <w:t xml:space="preserve">However, </w:t>
      </w:r>
      <w:r w:rsidR="001422AD">
        <w:t xml:space="preserve">a </w:t>
      </w:r>
      <w:r w:rsidR="00AD172D" w:rsidRPr="00904162">
        <w:t xml:space="preserve">patient’s preference between IV chemotherapy and oral chemotherapy </w:t>
      </w:r>
      <w:r w:rsidR="0005420C" w:rsidRPr="00904162">
        <w:t>may not be applicable to IV T-</w:t>
      </w:r>
      <w:proofErr w:type="spellStart"/>
      <w:r w:rsidR="0005420C" w:rsidRPr="00904162">
        <w:t>DXd</w:t>
      </w:r>
      <w:proofErr w:type="spellEnd"/>
      <w:r w:rsidR="00E1605A" w:rsidRPr="00904162">
        <w:t xml:space="preserve"> versus oral chemotherapy</w:t>
      </w:r>
      <w:r w:rsidR="0005420C" w:rsidRPr="00904162">
        <w:t xml:space="preserve">. </w:t>
      </w:r>
      <w:r w:rsidR="00EA4365" w:rsidRPr="00904162">
        <w:t>P</w:t>
      </w:r>
      <w:r w:rsidR="0005420C" w:rsidRPr="00904162">
        <w:t xml:space="preserve">atients with </w:t>
      </w:r>
      <w:r w:rsidR="00E1605A" w:rsidRPr="00904162">
        <w:t>metastatic disease</w:t>
      </w:r>
      <w:r w:rsidR="0005420C" w:rsidRPr="00904162">
        <w:t xml:space="preserve"> who have failed prior ET may </w:t>
      </w:r>
      <w:r w:rsidR="00E1605A" w:rsidRPr="00904162">
        <w:t xml:space="preserve">opt for </w:t>
      </w:r>
      <w:r w:rsidR="0005420C" w:rsidRPr="00904162">
        <w:t>IV T-</w:t>
      </w:r>
      <w:proofErr w:type="spellStart"/>
      <w:r w:rsidR="0005420C" w:rsidRPr="00904162">
        <w:t>DXd</w:t>
      </w:r>
      <w:proofErr w:type="spellEnd"/>
      <w:r w:rsidR="0005420C" w:rsidRPr="00904162">
        <w:t xml:space="preserve"> </w:t>
      </w:r>
      <w:r w:rsidR="00E1605A" w:rsidRPr="00904162">
        <w:t xml:space="preserve">rather than </w:t>
      </w:r>
      <w:r w:rsidR="0005420C" w:rsidRPr="00904162">
        <w:t>oral capecitabine if T-</w:t>
      </w:r>
      <w:proofErr w:type="spellStart"/>
      <w:r w:rsidR="0005420C" w:rsidRPr="00904162">
        <w:t>DXd</w:t>
      </w:r>
      <w:proofErr w:type="spellEnd"/>
      <w:r w:rsidR="0005420C" w:rsidRPr="00904162">
        <w:t xml:space="preserve"> </w:t>
      </w:r>
      <w:r w:rsidR="00E1605A" w:rsidRPr="00904162">
        <w:t xml:space="preserve">shows benefits </w:t>
      </w:r>
      <w:r w:rsidR="00EA4365" w:rsidRPr="00904162">
        <w:t xml:space="preserve">in </w:t>
      </w:r>
      <w:r w:rsidR="00E1605A" w:rsidRPr="00904162">
        <w:t xml:space="preserve">terms of </w:t>
      </w:r>
      <w:r w:rsidR="00EA4365" w:rsidRPr="00904162">
        <w:t xml:space="preserve">progression-free survival (PFS) and overall survival (OS) </w:t>
      </w:r>
      <w:r w:rsidR="008E08B5">
        <w:t>(</w:t>
      </w:r>
      <w:r w:rsidR="00EA4365" w:rsidRPr="00904162">
        <w:t>as per the superior efficacy claim in the submission</w:t>
      </w:r>
      <w:r w:rsidR="008E08B5">
        <w:t>)</w:t>
      </w:r>
      <w:r w:rsidR="00EA4365" w:rsidRPr="00904162">
        <w:t xml:space="preserve">. </w:t>
      </w:r>
      <w:r w:rsidR="008F66CE" w:rsidRPr="00B13CE3">
        <w:rPr>
          <w:iCs/>
        </w:rPr>
        <w:t xml:space="preserve">The </w:t>
      </w:r>
      <w:r w:rsidR="00D85B8B" w:rsidRPr="00B13CE3">
        <w:rPr>
          <w:iCs/>
        </w:rPr>
        <w:t>Sub-Committees</w:t>
      </w:r>
      <w:r w:rsidR="006E34F6" w:rsidRPr="00B13CE3">
        <w:rPr>
          <w:iCs/>
        </w:rPr>
        <w:t xml:space="preserve"> </w:t>
      </w:r>
      <w:r w:rsidR="00AF5335" w:rsidRPr="00B13CE3">
        <w:rPr>
          <w:iCs/>
        </w:rPr>
        <w:t xml:space="preserve">also </w:t>
      </w:r>
      <w:r w:rsidR="00C7401C" w:rsidRPr="00B13CE3">
        <w:rPr>
          <w:iCs/>
        </w:rPr>
        <w:t xml:space="preserve">considered that for some patients there may be a preference to receive </w:t>
      </w:r>
      <w:r w:rsidR="00FD1BEF" w:rsidRPr="00B13CE3">
        <w:rPr>
          <w:iCs/>
        </w:rPr>
        <w:t>the more toxic drug (T-</w:t>
      </w:r>
      <w:proofErr w:type="spellStart"/>
      <w:r w:rsidR="00FD1BEF" w:rsidRPr="00B13CE3">
        <w:rPr>
          <w:iCs/>
        </w:rPr>
        <w:t>DXd</w:t>
      </w:r>
      <w:proofErr w:type="spellEnd"/>
      <w:r w:rsidR="00FD1BEF" w:rsidRPr="00B13CE3">
        <w:rPr>
          <w:iCs/>
        </w:rPr>
        <w:t>) earlier</w:t>
      </w:r>
      <w:r w:rsidR="00816E9E" w:rsidRPr="00B13CE3">
        <w:rPr>
          <w:iCs/>
        </w:rPr>
        <w:t xml:space="preserve">, </w:t>
      </w:r>
      <w:r w:rsidR="00287085" w:rsidRPr="00B13CE3">
        <w:rPr>
          <w:iCs/>
        </w:rPr>
        <w:t>as they may be better able to tolerate</w:t>
      </w:r>
      <w:r w:rsidR="00283640" w:rsidRPr="00B13CE3">
        <w:rPr>
          <w:iCs/>
        </w:rPr>
        <w:t xml:space="preserve"> treatment </w:t>
      </w:r>
      <w:r w:rsidR="00E82780" w:rsidRPr="00B13CE3">
        <w:rPr>
          <w:iCs/>
        </w:rPr>
        <w:t xml:space="preserve">in the </w:t>
      </w:r>
      <w:r w:rsidR="00E74CEA" w:rsidRPr="00B13CE3">
        <w:rPr>
          <w:iCs/>
        </w:rPr>
        <w:t>earlier</w:t>
      </w:r>
      <w:r w:rsidR="00E82780" w:rsidRPr="00B13CE3">
        <w:rPr>
          <w:iCs/>
        </w:rPr>
        <w:t xml:space="preserve"> line</w:t>
      </w:r>
      <w:r w:rsidR="00973510" w:rsidRPr="00B13CE3">
        <w:rPr>
          <w:iCs/>
        </w:rPr>
        <w:t xml:space="preserve">, reserving </w:t>
      </w:r>
      <w:r w:rsidR="00F9245D" w:rsidRPr="00B13CE3">
        <w:rPr>
          <w:iCs/>
        </w:rPr>
        <w:t xml:space="preserve">oral </w:t>
      </w:r>
      <w:r w:rsidR="00973510" w:rsidRPr="00B13CE3">
        <w:rPr>
          <w:iCs/>
        </w:rPr>
        <w:t xml:space="preserve">capecitabine for </w:t>
      </w:r>
      <w:r w:rsidR="00B77BD7" w:rsidRPr="00B13CE3">
        <w:rPr>
          <w:iCs/>
        </w:rPr>
        <w:t xml:space="preserve">a </w:t>
      </w:r>
      <w:r w:rsidR="002647EF" w:rsidRPr="00B13CE3">
        <w:rPr>
          <w:iCs/>
        </w:rPr>
        <w:t>later line</w:t>
      </w:r>
      <w:r w:rsidR="00B77BD7" w:rsidRPr="00B13CE3">
        <w:rPr>
          <w:iCs/>
        </w:rPr>
        <w:t xml:space="preserve"> of therapy</w:t>
      </w:r>
      <w:r w:rsidR="002647EF" w:rsidRPr="00B13CE3">
        <w:rPr>
          <w:iCs/>
        </w:rPr>
        <w:t>.</w:t>
      </w:r>
      <w:r w:rsidR="00E74CEA" w:rsidRPr="00B13CE3">
        <w:rPr>
          <w:iCs/>
        </w:rPr>
        <w:t xml:space="preserve"> </w:t>
      </w:r>
    </w:p>
    <w:p w14:paraId="48D9B705" w14:textId="77777777" w:rsidR="00ED4724" w:rsidRPr="00ED4724" w:rsidRDefault="00ED4724" w:rsidP="008241B5">
      <w:pPr>
        <w:pStyle w:val="3-BodyText"/>
        <w:numPr>
          <w:ilvl w:val="0"/>
          <w:numId w:val="0"/>
        </w:numPr>
      </w:pPr>
    </w:p>
    <w:p w14:paraId="3405475C" w14:textId="77777777" w:rsidR="00ED4724" w:rsidRPr="00C33D30" w:rsidRDefault="00ED4724" w:rsidP="006B3820">
      <w:pPr>
        <w:ind w:firstLine="720"/>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Default="00223D5A" w:rsidP="008241B5">
      <w:pPr>
        <w:pStyle w:val="2-SectionHeading"/>
        <w:numPr>
          <w:ilvl w:val="0"/>
          <w:numId w:val="1"/>
        </w:numPr>
      </w:pPr>
      <w:bookmarkStart w:id="12" w:name="_Toc219893550"/>
      <w:bookmarkStart w:id="13" w:name="_Toc22897640"/>
      <w:r w:rsidRPr="00904162">
        <w:t>Consideration of the evidence</w:t>
      </w:r>
      <w:bookmarkEnd w:id="12"/>
    </w:p>
    <w:p w14:paraId="6E1D9412" w14:textId="26757BF4" w:rsidR="001720A5" w:rsidRDefault="00D27BC9" w:rsidP="008241B5">
      <w:pPr>
        <w:pStyle w:val="4-SubsectionHeading"/>
      </w:pPr>
      <w:r>
        <w:t>Sponsor Hearing</w:t>
      </w:r>
    </w:p>
    <w:p w14:paraId="5166BBA6" w14:textId="4ABD860F" w:rsidR="003E2874" w:rsidRPr="000C3C8A" w:rsidRDefault="003E2874" w:rsidP="008241B5">
      <w:pPr>
        <w:pStyle w:val="3-BodyText"/>
        <w:rPr>
          <w:snapToGrid w:val="0"/>
        </w:rPr>
      </w:pPr>
      <w:r w:rsidRPr="000C3C8A">
        <w:rPr>
          <w:rFonts w:cs="Calibri"/>
          <w:bCs/>
          <w:snapToGrid w:val="0"/>
        </w:rPr>
        <w:t xml:space="preserve">The </w:t>
      </w:r>
      <w:r w:rsidR="00BC2FB0" w:rsidRPr="000C3C8A">
        <w:rPr>
          <w:rFonts w:cs="Calibri"/>
          <w:bCs/>
          <w:snapToGrid w:val="0"/>
        </w:rPr>
        <w:t xml:space="preserve">sponsor </w:t>
      </w:r>
      <w:r w:rsidR="004C71E9" w:rsidRPr="000C3C8A">
        <w:rPr>
          <w:rFonts w:cs="Calibri"/>
          <w:bCs/>
          <w:snapToGrid w:val="0"/>
        </w:rPr>
        <w:t>provided a written</w:t>
      </w:r>
      <w:r w:rsidRPr="000C3C8A">
        <w:rPr>
          <w:rFonts w:cs="Calibri"/>
          <w:bCs/>
          <w:snapToGrid w:val="0"/>
        </w:rPr>
        <w:t xml:space="preserve"> hearing </w:t>
      </w:r>
      <w:r w:rsidR="00DE15B3" w:rsidRPr="000C3C8A">
        <w:rPr>
          <w:rFonts w:cs="Calibri"/>
          <w:bCs/>
          <w:snapToGrid w:val="0"/>
        </w:rPr>
        <w:t xml:space="preserve">statement </w:t>
      </w:r>
      <w:r w:rsidR="00BC2FB0" w:rsidRPr="000C3C8A">
        <w:rPr>
          <w:rFonts w:cs="Calibri"/>
          <w:bCs/>
          <w:snapToGrid w:val="0"/>
        </w:rPr>
        <w:t>for this item</w:t>
      </w:r>
      <w:r w:rsidR="00F26493" w:rsidRPr="000C3C8A">
        <w:rPr>
          <w:rFonts w:cs="Calibri"/>
          <w:bCs/>
          <w:snapToGrid w:val="0"/>
        </w:rPr>
        <w:t>. The clinician</w:t>
      </w:r>
      <w:r w:rsidRPr="000C3C8A">
        <w:rPr>
          <w:rFonts w:cs="Calibri"/>
          <w:bCs/>
          <w:snapToGrid w:val="0"/>
        </w:rPr>
        <w:t xml:space="preserve"> outlined </w:t>
      </w:r>
      <w:r w:rsidR="00E77C81" w:rsidRPr="000C3C8A">
        <w:rPr>
          <w:rFonts w:cs="Calibri"/>
          <w:bCs/>
          <w:snapToGrid w:val="0"/>
        </w:rPr>
        <w:t>th</w:t>
      </w:r>
      <w:r w:rsidR="00EB4FDA" w:rsidRPr="000C3C8A">
        <w:rPr>
          <w:rFonts w:cs="Calibri"/>
          <w:bCs/>
          <w:snapToGrid w:val="0"/>
        </w:rPr>
        <w:t xml:space="preserve">e significance of improved PFS for patients treated with </w:t>
      </w:r>
      <w:r w:rsidR="00E77C81" w:rsidRPr="000C3C8A">
        <w:rPr>
          <w:rFonts w:cs="Calibri"/>
          <w:bCs/>
          <w:snapToGrid w:val="0"/>
        </w:rPr>
        <w:t>T-</w:t>
      </w:r>
      <w:proofErr w:type="spellStart"/>
      <w:r w:rsidR="00671385" w:rsidRPr="000C3C8A">
        <w:rPr>
          <w:rFonts w:cs="Calibri"/>
          <w:bCs/>
          <w:snapToGrid w:val="0"/>
        </w:rPr>
        <w:t>DXd</w:t>
      </w:r>
      <w:proofErr w:type="spellEnd"/>
      <w:r w:rsidR="00644AFF" w:rsidRPr="000C3C8A">
        <w:rPr>
          <w:rFonts w:cs="Calibri"/>
          <w:bCs/>
          <w:snapToGrid w:val="0"/>
        </w:rPr>
        <w:t xml:space="preserve"> and </w:t>
      </w:r>
      <w:r w:rsidR="0022540A" w:rsidRPr="000C3C8A">
        <w:rPr>
          <w:rFonts w:cs="Calibri"/>
          <w:bCs/>
          <w:snapToGrid w:val="0"/>
        </w:rPr>
        <w:t>stated that T</w:t>
      </w:r>
      <w:r w:rsidR="00A860F2">
        <w:rPr>
          <w:rFonts w:cs="Calibri"/>
          <w:bCs/>
          <w:snapToGrid w:val="0"/>
        </w:rPr>
        <w:noBreakHyphen/>
      </w:r>
      <w:proofErr w:type="spellStart"/>
      <w:r w:rsidR="0022540A" w:rsidRPr="000C3C8A">
        <w:rPr>
          <w:rFonts w:cs="Calibri"/>
          <w:bCs/>
          <w:snapToGrid w:val="0"/>
        </w:rPr>
        <w:t>DXd</w:t>
      </w:r>
      <w:proofErr w:type="spellEnd"/>
      <w:r w:rsidR="00644AFF" w:rsidRPr="000C3C8A">
        <w:rPr>
          <w:rFonts w:cs="Calibri"/>
          <w:bCs/>
          <w:snapToGrid w:val="0"/>
        </w:rPr>
        <w:t xml:space="preserve"> </w:t>
      </w:r>
      <w:r w:rsidR="000C3C8A" w:rsidRPr="000C3C8A">
        <w:rPr>
          <w:rFonts w:cs="Calibri"/>
          <w:bCs/>
          <w:snapToGrid w:val="0"/>
        </w:rPr>
        <w:t>would</w:t>
      </w:r>
      <w:r w:rsidR="00644AFF" w:rsidRPr="000C3C8A">
        <w:rPr>
          <w:rFonts w:cs="Calibri"/>
          <w:bCs/>
          <w:snapToGrid w:val="0"/>
        </w:rPr>
        <w:t xml:space="preserve"> be a useful addition to the suite of new agents which are emerging for patients with </w:t>
      </w:r>
      <w:r w:rsidR="00261961">
        <w:rPr>
          <w:rFonts w:cs="Calibri"/>
          <w:bCs/>
          <w:snapToGrid w:val="0"/>
        </w:rPr>
        <w:t>m</w:t>
      </w:r>
      <w:r w:rsidR="00644AFF" w:rsidRPr="000C3C8A">
        <w:rPr>
          <w:rFonts w:cs="Calibri"/>
          <w:bCs/>
          <w:snapToGrid w:val="0"/>
        </w:rPr>
        <w:t>BC</w:t>
      </w:r>
      <w:r w:rsidR="000C3C8A">
        <w:rPr>
          <w:rFonts w:cs="Calibri"/>
          <w:bCs/>
          <w:snapToGrid w:val="0"/>
        </w:rPr>
        <w:t xml:space="preserve">. </w:t>
      </w:r>
      <w:r w:rsidR="0030758B" w:rsidRPr="000C3C8A">
        <w:rPr>
          <w:snapToGrid w:val="0"/>
        </w:rPr>
        <w:t xml:space="preserve">The hearing largely focused on </w:t>
      </w:r>
      <w:r w:rsidR="00234D14" w:rsidRPr="000C3C8A">
        <w:rPr>
          <w:snapToGrid w:val="0"/>
        </w:rPr>
        <w:t xml:space="preserve">the preference for patient and clinician choice to </w:t>
      </w:r>
      <w:r w:rsidR="00741936" w:rsidRPr="000C3C8A">
        <w:rPr>
          <w:snapToGrid w:val="0"/>
        </w:rPr>
        <w:t>de</w:t>
      </w:r>
      <w:r w:rsidR="001479E8" w:rsidRPr="000C3C8A">
        <w:rPr>
          <w:snapToGrid w:val="0"/>
        </w:rPr>
        <w:t xml:space="preserve">termining the order </w:t>
      </w:r>
      <w:r w:rsidR="00721CD3" w:rsidRPr="000C3C8A">
        <w:rPr>
          <w:snapToGrid w:val="0"/>
        </w:rPr>
        <w:t xml:space="preserve">of treatments for </w:t>
      </w:r>
      <w:r w:rsidR="00261961">
        <w:rPr>
          <w:snapToGrid w:val="0"/>
        </w:rPr>
        <w:t>m</w:t>
      </w:r>
      <w:r w:rsidR="00283151">
        <w:rPr>
          <w:snapToGrid w:val="0"/>
        </w:rPr>
        <w:t>BC</w:t>
      </w:r>
      <w:r w:rsidR="00721CD3" w:rsidRPr="000C3C8A">
        <w:rPr>
          <w:snapToGrid w:val="0"/>
        </w:rPr>
        <w:t xml:space="preserve">. </w:t>
      </w:r>
      <w:r w:rsidR="00053AAC" w:rsidRPr="000C3C8A">
        <w:rPr>
          <w:snapToGrid w:val="0"/>
        </w:rPr>
        <w:t xml:space="preserve">The clinician noted that </w:t>
      </w:r>
      <w:r w:rsidR="002D70E5" w:rsidRPr="000C3C8A">
        <w:rPr>
          <w:snapToGrid w:val="0"/>
        </w:rPr>
        <w:t xml:space="preserve">earlier </w:t>
      </w:r>
      <w:r w:rsidR="00F70500" w:rsidRPr="000C3C8A">
        <w:rPr>
          <w:snapToGrid w:val="0"/>
        </w:rPr>
        <w:t>use of a more intense regimen such as T-</w:t>
      </w:r>
      <w:proofErr w:type="spellStart"/>
      <w:r w:rsidR="00F70500" w:rsidRPr="000C3C8A">
        <w:rPr>
          <w:snapToGrid w:val="0"/>
        </w:rPr>
        <w:t>DXd</w:t>
      </w:r>
      <w:proofErr w:type="spellEnd"/>
      <w:r w:rsidR="00F70500" w:rsidRPr="000C3C8A">
        <w:rPr>
          <w:snapToGrid w:val="0"/>
        </w:rPr>
        <w:t xml:space="preserve"> </w:t>
      </w:r>
      <w:r w:rsidR="00326BF6" w:rsidRPr="000C3C8A">
        <w:rPr>
          <w:snapToGrid w:val="0"/>
        </w:rPr>
        <w:t xml:space="preserve">may be preferred </w:t>
      </w:r>
      <w:r w:rsidR="00391E41" w:rsidRPr="000C3C8A">
        <w:rPr>
          <w:snapToGrid w:val="0"/>
        </w:rPr>
        <w:t xml:space="preserve">in patients with good hepatic and bone marrow function </w:t>
      </w:r>
      <w:r w:rsidR="00697ACB" w:rsidRPr="000C3C8A">
        <w:rPr>
          <w:snapToGrid w:val="0"/>
        </w:rPr>
        <w:t>as patients may not be well enough to tolerate it after IV chemotherapy</w:t>
      </w:r>
      <w:r w:rsidR="00E960B5">
        <w:rPr>
          <w:snapToGrid w:val="0"/>
        </w:rPr>
        <w:t>, w</w:t>
      </w:r>
      <w:r w:rsidR="000C7611">
        <w:rPr>
          <w:snapToGrid w:val="0"/>
        </w:rPr>
        <w:t xml:space="preserve">hereas other patients may prefer </w:t>
      </w:r>
      <w:r w:rsidR="00AD01CA">
        <w:rPr>
          <w:snapToGrid w:val="0"/>
        </w:rPr>
        <w:t xml:space="preserve">an oral therapy to enable travel and work </w:t>
      </w:r>
      <w:r w:rsidR="00710825">
        <w:rPr>
          <w:snapToGrid w:val="0"/>
        </w:rPr>
        <w:t>wit</w:t>
      </w:r>
      <w:r w:rsidR="00AD01CA">
        <w:rPr>
          <w:snapToGrid w:val="0"/>
        </w:rPr>
        <w:t>h fewer side effects</w:t>
      </w:r>
      <w:r w:rsidR="00710825">
        <w:rPr>
          <w:snapToGrid w:val="0"/>
        </w:rPr>
        <w:t>. The clinician</w:t>
      </w:r>
      <w:r w:rsidR="009E7D41">
        <w:rPr>
          <w:snapToGrid w:val="0"/>
        </w:rPr>
        <w:t xml:space="preserve"> noted that there was a</w:t>
      </w:r>
      <w:r w:rsidR="002E73A4">
        <w:rPr>
          <w:snapToGrid w:val="0"/>
        </w:rPr>
        <w:t>n increased</w:t>
      </w:r>
      <w:r w:rsidR="009E7D41">
        <w:rPr>
          <w:snapToGrid w:val="0"/>
        </w:rPr>
        <w:t xml:space="preserve"> </w:t>
      </w:r>
      <w:r w:rsidR="00B179CD" w:rsidRPr="000C3C8A">
        <w:rPr>
          <w:snapToGrid w:val="0"/>
        </w:rPr>
        <w:t xml:space="preserve">risk of </w:t>
      </w:r>
      <w:r w:rsidR="00BF128A" w:rsidRPr="00904162">
        <w:t>interstitial lung disease</w:t>
      </w:r>
      <w:r w:rsidR="00BF128A">
        <w:t xml:space="preserve"> (ILD) </w:t>
      </w:r>
      <w:r w:rsidR="009E7D41">
        <w:t>with T-</w:t>
      </w:r>
      <w:proofErr w:type="spellStart"/>
      <w:proofErr w:type="gramStart"/>
      <w:r w:rsidR="009E7D41">
        <w:t>DXd</w:t>
      </w:r>
      <w:proofErr w:type="spellEnd"/>
      <w:r w:rsidR="009E7D41">
        <w:t>, but</w:t>
      </w:r>
      <w:proofErr w:type="gramEnd"/>
      <w:r w:rsidR="009E7D41">
        <w:t xml:space="preserve"> </w:t>
      </w:r>
      <w:r w:rsidR="00A860F2">
        <w:t xml:space="preserve">stated </w:t>
      </w:r>
      <w:r w:rsidR="009E7D41">
        <w:t xml:space="preserve">that clinicians </w:t>
      </w:r>
      <w:r w:rsidR="004737EF">
        <w:t>are now familiar with the need for monitoring and early intervention if this occurs</w:t>
      </w:r>
      <w:r w:rsidR="00BF128A">
        <w:t xml:space="preserve">. </w:t>
      </w:r>
    </w:p>
    <w:p w14:paraId="16A68D95" w14:textId="1994E2C9" w:rsidR="00BC2996" w:rsidRDefault="00BC2996" w:rsidP="008241B5">
      <w:pPr>
        <w:pStyle w:val="4-SubsectionHeading"/>
        <w:rPr>
          <w:snapToGrid w:val="0"/>
        </w:rPr>
      </w:pPr>
      <w:r>
        <w:rPr>
          <w:snapToGrid w:val="0"/>
        </w:rPr>
        <w:t>Consumer input</w:t>
      </w:r>
    </w:p>
    <w:p w14:paraId="1AA723CF" w14:textId="3CB238D5" w:rsidR="00F31A6F" w:rsidRPr="00836F75" w:rsidRDefault="00F31A6F" w:rsidP="008241B5">
      <w:pPr>
        <w:numPr>
          <w:ilvl w:val="1"/>
          <w:numId w:val="1"/>
        </w:numPr>
        <w:spacing w:after="120"/>
        <w:rPr>
          <w:rFonts w:asciiTheme="minorHAnsi" w:hAnsiTheme="minorHAnsi"/>
          <w:bCs/>
          <w:snapToGrid w:val="0"/>
        </w:rPr>
      </w:pPr>
      <w:bookmarkStart w:id="14" w:name="_Hlk76382618"/>
      <w:r w:rsidRPr="00836F75">
        <w:rPr>
          <w:rFonts w:asciiTheme="minorHAnsi" w:hAnsiTheme="minorHAnsi"/>
          <w:bCs/>
          <w:snapToGrid w:val="0"/>
        </w:rPr>
        <w:t>The PBAC noted and welcomed the input from</w:t>
      </w:r>
      <w:r w:rsidR="0037493B">
        <w:rPr>
          <w:rFonts w:asciiTheme="minorHAnsi" w:hAnsiTheme="minorHAnsi"/>
          <w:bCs/>
          <w:snapToGrid w:val="0"/>
        </w:rPr>
        <w:t xml:space="preserve"> a</w:t>
      </w:r>
      <w:r w:rsidRPr="00836F75">
        <w:rPr>
          <w:rFonts w:asciiTheme="minorHAnsi" w:hAnsiTheme="minorHAnsi"/>
          <w:bCs/>
          <w:snapToGrid w:val="0"/>
        </w:rPr>
        <w:t xml:space="preserve"> health care professional (</w:t>
      </w:r>
      <w:r w:rsidR="0037493B">
        <w:rPr>
          <w:rFonts w:asciiTheme="minorHAnsi" w:hAnsiTheme="minorHAnsi"/>
          <w:bCs/>
          <w:snapToGrid w:val="0"/>
        </w:rPr>
        <w:t>1</w:t>
      </w:r>
      <w:r w:rsidRPr="00836F75">
        <w:rPr>
          <w:rFonts w:asciiTheme="minorHAnsi" w:hAnsiTheme="minorHAnsi"/>
          <w:bCs/>
          <w:snapToGrid w:val="0"/>
        </w:rPr>
        <w:t>) and organisations (</w:t>
      </w:r>
      <w:r w:rsidR="0037493B">
        <w:rPr>
          <w:rFonts w:asciiTheme="minorHAnsi" w:hAnsiTheme="minorHAnsi"/>
          <w:bCs/>
          <w:snapToGrid w:val="0"/>
        </w:rPr>
        <w:t>2</w:t>
      </w:r>
      <w:r w:rsidRPr="00836F75">
        <w:rPr>
          <w:rFonts w:asciiTheme="minorHAnsi" w:hAnsiTheme="minorHAnsi"/>
          <w:bCs/>
          <w:snapToGrid w:val="0"/>
        </w:rPr>
        <w:t xml:space="preserve">) via the </w:t>
      </w:r>
      <w:r w:rsidRPr="00A46D6F">
        <w:rPr>
          <w:rFonts w:asciiTheme="minorHAnsi" w:hAnsiTheme="minorHAnsi"/>
          <w:bCs/>
          <w:snapToGrid w:val="0"/>
        </w:rPr>
        <w:t>Office of Health Technology Assessment Consultation Hub</w:t>
      </w:r>
      <w:r w:rsidRPr="00836F75">
        <w:rPr>
          <w:rFonts w:asciiTheme="minorHAnsi" w:hAnsiTheme="minorHAnsi"/>
          <w:bCs/>
          <w:snapToGrid w:val="0"/>
        </w:rPr>
        <w:t>.</w:t>
      </w:r>
      <w:r w:rsidR="008241B5">
        <w:rPr>
          <w:rFonts w:asciiTheme="minorHAnsi" w:hAnsiTheme="minorHAnsi"/>
          <w:bCs/>
          <w:snapToGrid w:val="0"/>
        </w:rPr>
        <w:t xml:space="preserve"> </w:t>
      </w:r>
      <w:r w:rsidRPr="00836F75">
        <w:rPr>
          <w:rFonts w:asciiTheme="minorHAnsi" w:hAnsiTheme="minorHAnsi"/>
          <w:bCs/>
          <w:snapToGrid w:val="0"/>
        </w:rPr>
        <w:t xml:space="preserve">The </w:t>
      </w:r>
      <w:r>
        <w:rPr>
          <w:rFonts w:asciiTheme="minorHAnsi" w:hAnsiTheme="minorHAnsi"/>
          <w:bCs/>
          <w:snapToGrid w:val="0"/>
        </w:rPr>
        <w:t>input</w:t>
      </w:r>
      <w:r w:rsidRPr="00836F75">
        <w:rPr>
          <w:rFonts w:asciiTheme="minorHAnsi" w:hAnsiTheme="minorHAnsi"/>
          <w:bCs/>
          <w:snapToGrid w:val="0"/>
        </w:rPr>
        <w:t xml:space="preserve"> </w:t>
      </w:r>
      <w:r w:rsidR="0037493B">
        <w:rPr>
          <w:rFonts w:asciiTheme="minorHAnsi" w:hAnsiTheme="minorHAnsi"/>
          <w:bCs/>
          <w:snapToGrid w:val="0"/>
        </w:rPr>
        <w:t xml:space="preserve">from </w:t>
      </w:r>
      <w:r w:rsidR="009518BA">
        <w:rPr>
          <w:rFonts w:asciiTheme="minorHAnsi" w:hAnsiTheme="minorHAnsi"/>
          <w:bCs/>
          <w:snapToGrid w:val="0"/>
        </w:rPr>
        <w:t>the health professional highlighted</w:t>
      </w:r>
      <w:r w:rsidR="00465219">
        <w:rPr>
          <w:rFonts w:asciiTheme="minorHAnsi" w:hAnsiTheme="minorHAnsi"/>
          <w:bCs/>
          <w:snapToGrid w:val="0"/>
        </w:rPr>
        <w:t xml:space="preserve"> </w:t>
      </w:r>
      <w:r w:rsidR="000A4533">
        <w:rPr>
          <w:rFonts w:asciiTheme="minorHAnsi" w:hAnsiTheme="minorHAnsi"/>
          <w:bCs/>
          <w:snapToGrid w:val="0"/>
        </w:rPr>
        <w:t xml:space="preserve">the importance of ensuring PBS-subsided </w:t>
      </w:r>
      <w:r w:rsidR="00905A5E">
        <w:rPr>
          <w:rFonts w:asciiTheme="minorHAnsi" w:hAnsiTheme="minorHAnsi"/>
          <w:bCs/>
          <w:snapToGrid w:val="0"/>
        </w:rPr>
        <w:t>options to ensure choice based on clinical considerations</w:t>
      </w:r>
      <w:r w:rsidR="003F7DA7">
        <w:rPr>
          <w:rFonts w:asciiTheme="minorHAnsi" w:hAnsiTheme="minorHAnsi"/>
          <w:bCs/>
          <w:snapToGrid w:val="0"/>
        </w:rPr>
        <w:t xml:space="preserve"> </w:t>
      </w:r>
      <w:r w:rsidR="00905A5E">
        <w:rPr>
          <w:rFonts w:asciiTheme="minorHAnsi" w:hAnsiTheme="minorHAnsi"/>
          <w:bCs/>
          <w:snapToGrid w:val="0"/>
        </w:rPr>
        <w:t>and</w:t>
      </w:r>
      <w:r w:rsidR="00360D19">
        <w:rPr>
          <w:rFonts w:asciiTheme="minorHAnsi" w:hAnsiTheme="minorHAnsi"/>
          <w:bCs/>
          <w:snapToGrid w:val="0"/>
        </w:rPr>
        <w:t xml:space="preserve"> </w:t>
      </w:r>
      <w:r w:rsidR="003F7DA7">
        <w:rPr>
          <w:rFonts w:asciiTheme="minorHAnsi" w:hAnsiTheme="minorHAnsi"/>
          <w:bCs/>
          <w:snapToGrid w:val="0"/>
        </w:rPr>
        <w:t xml:space="preserve">the </w:t>
      </w:r>
      <w:r w:rsidR="00360D19">
        <w:rPr>
          <w:rFonts w:asciiTheme="minorHAnsi" w:hAnsiTheme="minorHAnsi"/>
          <w:bCs/>
          <w:snapToGrid w:val="0"/>
        </w:rPr>
        <w:t>need for shared decision making</w:t>
      </w:r>
      <w:r w:rsidR="00465219">
        <w:rPr>
          <w:rFonts w:asciiTheme="minorHAnsi" w:hAnsiTheme="minorHAnsi"/>
          <w:bCs/>
          <w:snapToGrid w:val="0"/>
        </w:rPr>
        <w:t xml:space="preserve"> </w:t>
      </w:r>
      <w:r w:rsidR="00CF1E73">
        <w:rPr>
          <w:rFonts w:asciiTheme="minorHAnsi" w:hAnsiTheme="minorHAnsi"/>
          <w:bCs/>
          <w:snapToGrid w:val="0"/>
        </w:rPr>
        <w:t>to tailor treatment to patient needs</w:t>
      </w:r>
      <w:r w:rsidR="00465219">
        <w:rPr>
          <w:rFonts w:asciiTheme="minorHAnsi" w:hAnsiTheme="minorHAnsi"/>
          <w:bCs/>
          <w:snapToGrid w:val="0"/>
        </w:rPr>
        <w:t>.</w:t>
      </w:r>
      <w:r w:rsidR="0081406C">
        <w:rPr>
          <w:rFonts w:asciiTheme="minorHAnsi" w:hAnsiTheme="minorHAnsi"/>
          <w:bCs/>
          <w:snapToGrid w:val="0"/>
        </w:rPr>
        <w:t xml:space="preserve"> The health professional noted that </w:t>
      </w:r>
      <w:r w:rsidR="00864725">
        <w:rPr>
          <w:rFonts w:asciiTheme="minorHAnsi" w:hAnsiTheme="minorHAnsi"/>
          <w:bCs/>
          <w:snapToGrid w:val="0"/>
        </w:rPr>
        <w:t>T-</w:t>
      </w:r>
      <w:proofErr w:type="spellStart"/>
      <w:r w:rsidR="00864725">
        <w:rPr>
          <w:rFonts w:asciiTheme="minorHAnsi" w:hAnsiTheme="minorHAnsi"/>
          <w:bCs/>
          <w:snapToGrid w:val="0"/>
        </w:rPr>
        <w:t>DXd</w:t>
      </w:r>
      <w:proofErr w:type="spellEnd"/>
      <w:r w:rsidR="0081406C">
        <w:rPr>
          <w:rFonts w:asciiTheme="minorHAnsi" w:hAnsiTheme="minorHAnsi"/>
          <w:bCs/>
          <w:snapToGrid w:val="0"/>
        </w:rPr>
        <w:t xml:space="preserve"> offers</w:t>
      </w:r>
      <w:r w:rsidR="00465219">
        <w:rPr>
          <w:rFonts w:asciiTheme="minorHAnsi" w:hAnsiTheme="minorHAnsi"/>
          <w:bCs/>
          <w:snapToGrid w:val="0"/>
        </w:rPr>
        <w:t xml:space="preserve"> </w:t>
      </w:r>
      <w:r w:rsidR="009518BA">
        <w:rPr>
          <w:rFonts w:asciiTheme="minorHAnsi" w:hAnsiTheme="minorHAnsi"/>
          <w:bCs/>
          <w:snapToGrid w:val="0"/>
        </w:rPr>
        <w:t>rapid and meaningful tumour shrinkage</w:t>
      </w:r>
      <w:r w:rsidR="00133968">
        <w:rPr>
          <w:rFonts w:asciiTheme="minorHAnsi" w:hAnsiTheme="minorHAnsi"/>
          <w:bCs/>
          <w:snapToGrid w:val="0"/>
        </w:rPr>
        <w:t>, setting it apart from the other 2L options</w:t>
      </w:r>
      <w:r w:rsidR="00280B21">
        <w:rPr>
          <w:rFonts w:asciiTheme="minorHAnsi" w:hAnsiTheme="minorHAnsi"/>
          <w:bCs/>
          <w:snapToGrid w:val="0"/>
        </w:rPr>
        <w:t xml:space="preserve">, </w:t>
      </w:r>
      <w:r w:rsidR="00442D83">
        <w:rPr>
          <w:rFonts w:asciiTheme="minorHAnsi" w:hAnsiTheme="minorHAnsi"/>
          <w:bCs/>
          <w:snapToGrid w:val="0"/>
        </w:rPr>
        <w:t>and</w:t>
      </w:r>
      <w:r w:rsidR="00C403A7">
        <w:rPr>
          <w:rFonts w:asciiTheme="minorHAnsi" w:hAnsiTheme="minorHAnsi"/>
          <w:bCs/>
          <w:snapToGrid w:val="0"/>
        </w:rPr>
        <w:t xml:space="preserve"> that by extending the duration of disease control in 2L, </w:t>
      </w:r>
      <w:r w:rsidR="0048597B">
        <w:rPr>
          <w:rFonts w:asciiTheme="minorHAnsi" w:hAnsiTheme="minorHAnsi"/>
          <w:bCs/>
          <w:snapToGrid w:val="0"/>
        </w:rPr>
        <w:t xml:space="preserve">more </w:t>
      </w:r>
      <w:r w:rsidR="0048597B">
        <w:rPr>
          <w:rFonts w:asciiTheme="minorHAnsi" w:hAnsiTheme="minorHAnsi"/>
          <w:bCs/>
          <w:snapToGrid w:val="0"/>
        </w:rPr>
        <w:lastRenderedPageBreak/>
        <w:t xml:space="preserve">options are likely to become available in 3L with further gradual improvements in OS. </w:t>
      </w:r>
      <w:r w:rsidR="00D91B4D">
        <w:rPr>
          <w:rFonts w:asciiTheme="minorHAnsi" w:hAnsiTheme="minorHAnsi"/>
          <w:bCs/>
          <w:snapToGrid w:val="0"/>
        </w:rPr>
        <w:t xml:space="preserve">The input noted that </w:t>
      </w:r>
      <w:r w:rsidR="006C7F3E">
        <w:rPr>
          <w:rFonts w:asciiTheme="minorHAnsi" w:hAnsiTheme="minorHAnsi"/>
          <w:bCs/>
          <w:snapToGrid w:val="0"/>
        </w:rPr>
        <w:t>high response rates and improved PFS</w:t>
      </w:r>
      <w:r w:rsidR="00D91B4D">
        <w:rPr>
          <w:rFonts w:asciiTheme="minorHAnsi" w:hAnsiTheme="minorHAnsi"/>
          <w:bCs/>
          <w:snapToGrid w:val="0"/>
        </w:rPr>
        <w:t xml:space="preserve"> is</w:t>
      </w:r>
      <w:r w:rsidR="006C7F3E">
        <w:rPr>
          <w:rFonts w:asciiTheme="minorHAnsi" w:hAnsiTheme="minorHAnsi"/>
          <w:bCs/>
          <w:snapToGrid w:val="0"/>
        </w:rPr>
        <w:t xml:space="preserve"> important for patients with visceral disease who require fast treatment response.</w:t>
      </w:r>
      <w:r w:rsidR="00D91B4D">
        <w:rPr>
          <w:rFonts w:asciiTheme="minorHAnsi" w:hAnsiTheme="minorHAnsi"/>
          <w:bCs/>
          <w:snapToGrid w:val="0"/>
        </w:rPr>
        <w:t xml:space="preserve"> </w:t>
      </w:r>
      <w:r w:rsidR="00A97253">
        <w:rPr>
          <w:rFonts w:asciiTheme="minorHAnsi" w:hAnsiTheme="minorHAnsi"/>
          <w:bCs/>
          <w:snapToGrid w:val="0"/>
        </w:rPr>
        <w:t xml:space="preserve">The input also noted that </w:t>
      </w:r>
      <w:r w:rsidR="00A97253" w:rsidRPr="00B13CE3">
        <w:rPr>
          <w:iCs/>
        </w:rPr>
        <w:t>nausea and vomiting were relevant considerations for patients and that they could be hard to control for some patients.</w:t>
      </w:r>
      <w:r w:rsidR="008241B5">
        <w:t xml:space="preserve"> </w:t>
      </w:r>
    </w:p>
    <w:p w14:paraId="19157B11" w14:textId="3A5CD12B" w:rsidR="00F31A6F" w:rsidRDefault="00F31A6F" w:rsidP="008241B5">
      <w:pPr>
        <w:numPr>
          <w:ilvl w:val="1"/>
          <w:numId w:val="1"/>
        </w:numPr>
        <w:spacing w:after="120"/>
        <w:rPr>
          <w:rFonts w:asciiTheme="minorHAnsi" w:hAnsiTheme="minorHAnsi"/>
          <w:bCs/>
          <w:snapToGrid w:val="0"/>
        </w:rPr>
      </w:pPr>
      <w:r w:rsidRPr="00BA2739">
        <w:rPr>
          <w:rFonts w:asciiTheme="minorHAnsi" w:hAnsiTheme="minorHAnsi"/>
          <w:bCs/>
          <w:snapToGrid w:val="0"/>
        </w:rPr>
        <w:t xml:space="preserve">The PBAC noted the advice received from </w:t>
      </w:r>
      <w:r w:rsidR="00BE165C" w:rsidRPr="00BA2739">
        <w:rPr>
          <w:rFonts w:asciiTheme="minorHAnsi" w:hAnsiTheme="minorHAnsi"/>
          <w:bCs/>
          <w:snapToGrid w:val="0"/>
        </w:rPr>
        <w:t>Metastatic Breast Cancer Action Australia</w:t>
      </w:r>
      <w:r w:rsidR="00AC3844" w:rsidRPr="00BA2739">
        <w:rPr>
          <w:rFonts w:asciiTheme="minorHAnsi" w:hAnsiTheme="minorHAnsi"/>
          <w:bCs/>
          <w:snapToGrid w:val="0"/>
        </w:rPr>
        <w:t xml:space="preserve"> (MBCAA)</w:t>
      </w:r>
      <w:r w:rsidR="00BE165C" w:rsidRPr="00BA2739">
        <w:rPr>
          <w:rFonts w:asciiTheme="minorHAnsi" w:hAnsiTheme="minorHAnsi"/>
          <w:bCs/>
          <w:snapToGrid w:val="0"/>
        </w:rPr>
        <w:t xml:space="preserve">, </w:t>
      </w:r>
      <w:r w:rsidR="00451B49" w:rsidRPr="00BA2739">
        <w:rPr>
          <w:rFonts w:asciiTheme="minorHAnsi" w:hAnsiTheme="minorHAnsi"/>
          <w:bCs/>
          <w:snapToGrid w:val="0"/>
        </w:rPr>
        <w:t xml:space="preserve">which </w:t>
      </w:r>
      <w:r w:rsidR="00D9618E">
        <w:rPr>
          <w:rFonts w:asciiTheme="minorHAnsi" w:hAnsiTheme="minorHAnsi"/>
          <w:bCs/>
          <w:snapToGrid w:val="0"/>
        </w:rPr>
        <w:t xml:space="preserve">described the </w:t>
      </w:r>
      <w:r w:rsidR="00B3561A">
        <w:rPr>
          <w:rFonts w:asciiTheme="minorHAnsi" w:hAnsiTheme="minorHAnsi"/>
          <w:bCs/>
          <w:snapToGrid w:val="0"/>
        </w:rPr>
        <w:t xml:space="preserve">burden of </w:t>
      </w:r>
      <w:r w:rsidR="00EB4F8C">
        <w:rPr>
          <w:rFonts w:asciiTheme="minorHAnsi" w:hAnsiTheme="minorHAnsi"/>
          <w:bCs/>
          <w:snapToGrid w:val="0"/>
        </w:rPr>
        <w:t>mBC</w:t>
      </w:r>
      <w:r w:rsidR="00B3561A">
        <w:rPr>
          <w:rFonts w:asciiTheme="minorHAnsi" w:hAnsiTheme="minorHAnsi"/>
          <w:bCs/>
          <w:snapToGrid w:val="0"/>
        </w:rPr>
        <w:t xml:space="preserve"> on many aspects of life</w:t>
      </w:r>
      <w:r w:rsidR="00504347" w:rsidRPr="00BA2739">
        <w:rPr>
          <w:rFonts w:asciiTheme="minorHAnsi" w:hAnsiTheme="minorHAnsi"/>
          <w:bCs/>
          <w:snapToGrid w:val="0"/>
        </w:rPr>
        <w:t xml:space="preserve">. </w:t>
      </w:r>
      <w:r w:rsidR="00877A18" w:rsidRPr="00BA2739">
        <w:rPr>
          <w:rFonts w:asciiTheme="minorHAnsi" w:hAnsiTheme="minorHAnsi"/>
          <w:bCs/>
          <w:snapToGrid w:val="0"/>
        </w:rPr>
        <w:t xml:space="preserve">The </w:t>
      </w:r>
      <w:r w:rsidR="00282296" w:rsidRPr="00BA2739">
        <w:rPr>
          <w:rFonts w:asciiTheme="minorHAnsi" w:hAnsiTheme="minorHAnsi"/>
          <w:bCs/>
          <w:snapToGrid w:val="0"/>
        </w:rPr>
        <w:t>input noted th</w:t>
      </w:r>
      <w:r w:rsidR="00ED6591">
        <w:rPr>
          <w:rFonts w:asciiTheme="minorHAnsi" w:hAnsiTheme="minorHAnsi"/>
          <w:bCs/>
          <w:snapToGrid w:val="0"/>
        </w:rPr>
        <w:t xml:space="preserve">at patients would like to have choice regarding the order </w:t>
      </w:r>
      <w:r w:rsidR="005773B4">
        <w:rPr>
          <w:rFonts w:asciiTheme="minorHAnsi" w:hAnsiTheme="minorHAnsi"/>
          <w:bCs/>
          <w:snapToGrid w:val="0"/>
        </w:rPr>
        <w:t>of treatments</w:t>
      </w:r>
      <w:r w:rsidR="001F5914">
        <w:rPr>
          <w:rFonts w:asciiTheme="minorHAnsi" w:hAnsiTheme="minorHAnsi"/>
          <w:bCs/>
          <w:snapToGrid w:val="0"/>
        </w:rPr>
        <w:t xml:space="preserve"> and </w:t>
      </w:r>
      <w:r w:rsidR="00E029A6">
        <w:rPr>
          <w:rFonts w:asciiTheme="minorHAnsi" w:hAnsiTheme="minorHAnsi"/>
          <w:bCs/>
          <w:snapToGrid w:val="0"/>
        </w:rPr>
        <w:t>the preference to avoid</w:t>
      </w:r>
      <w:r w:rsidR="00E62BEB">
        <w:rPr>
          <w:rFonts w:asciiTheme="minorHAnsi" w:hAnsiTheme="minorHAnsi"/>
          <w:bCs/>
          <w:snapToGrid w:val="0"/>
        </w:rPr>
        <w:t xml:space="preserve"> or delay</w:t>
      </w:r>
      <w:r w:rsidR="00E029A6">
        <w:rPr>
          <w:rFonts w:asciiTheme="minorHAnsi" w:hAnsiTheme="minorHAnsi"/>
          <w:bCs/>
          <w:snapToGrid w:val="0"/>
        </w:rPr>
        <w:t xml:space="preserve"> chemotherapy for as long as possible</w:t>
      </w:r>
      <w:r w:rsidR="00AC3729">
        <w:rPr>
          <w:rFonts w:asciiTheme="minorHAnsi" w:hAnsiTheme="minorHAnsi"/>
          <w:bCs/>
          <w:snapToGrid w:val="0"/>
        </w:rPr>
        <w:t xml:space="preserve">. </w:t>
      </w:r>
      <w:r w:rsidR="00555D97">
        <w:rPr>
          <w:rFonts w:asciiTheme="minorHAnsi" w:hAnsiTheme="minorHAnsi"/>
          <w:bCs/>
          <w:snapToGrid w:val="0"/>
        </w:rPr>
        <w:t xml:space="preserve">Comments noted that chemotherapy is perceived as less effective and </w:t>
      </w:r>
      <w:r w:rsidR="00145956">
        <w:rPr>
          <w:rFonts w:asciiTheme="minorHAnsi" w:hAnsiTheme="minorHAnsi"/>
          <w:bCs/>
          <w:snapToGrid w:val="0"/>
        </w:rPr>
        <w:t>with a higher side-effect burden than T-</w:t>
      </w:r>
      <w:proofErr w:type="spellStart"/>
      <w:r w:rsidR="00145956">
        <w:rPr>
          <w:rFonts w:asciiTheme="minorHAnsi" w:hAnsiTheme="minorHAnsi"/>
          <w:bCs/>
          <w:snapToGrid w:val="0"/>
        </w:rPr>
        <w:t>D</w:t>
      </w:r>
      <w:r w:rsidR="00AD08AA">
        <w:rPr>
          <w:rFonts w:asciiTheme="minorHAnsi" w:hAnsiTheme="minorHAnsi"/>
          <w:bCs/>
          <w:snapToGrid w:val="0"/>
        </w:rPr>
        <w:t>Xd</w:t>
      </w:r>
      <w:proofErr w:type="spellEnd"/>
      <w:r w:rsidR="00AD08AA">
        <w:rPr>
          <w:rFonts w:asciiTheme="minorHAnsi" w:hAnsiTheme="minorHAnsi"/>
          <w:bCs/>
          <w:snapToGrid w:val="0"/>
        </w:rPr>
        <w:t xml:space="preserve">. </w:t>
      </w:r>
      <w:proofErr w:type="gramStart"/>
      <w:r w:rsidR="00D90DA8">
        <w:rPr>
          <w:rFonts w:asciiTheme="minorHAnsi" w:hAnsiTheme="minorHAnsi"/>
          <w:bCs/>
          <w:snapToGrid w:val="0"/>
        </w:rPr>
        <w:t>However</w:t>
      </w:r>
      <w:proofErr w:type="gramEnd"/>
      <w:r w:rsidR="00D90DA8">
        <w:rPr>
          <w:rFonts w:asciiTheme="minorHAnsi" w:hAnsiTheme="minorHAnsi"/>
          <w:bCs/>
          <w:snapToGrid w:val="0"/>
        </w:rPr>
        <w:t xml:space="preserve"> </w:t>
      </w:r>
      <w:r w:rsidR="00AC3844" w:rsidRPr="00BA2739">
        <w:rPr>
          <w:rFonts w:asciiTheme="minorHAnsi" w:hAnsiTheme="minorHAnsi"/>
          <w:bCs/>
          <w:snapToGrid w:val="0"/>
        </w:rPr>
        <w:t>MBCAA</w:t>
      </w:r>
      <w:r w:rsidR="00982379" w:rsidRPr="00BA2739">
        <w:rPr>
          <w:rFonts w:asciiTheme="minorHAnsi" w:hAnsiTheme="minorHAnsi"/>
          <w:bCs/>
          <w:snapToGrid w:val="0"/>
        </w:rPr>
        <w:t xml:space="preserve"> also noted the disadvantages </w:t>
      </w:r>
      <w:r w:rsidR="00E62BEB">
        <w:rPr>
          <w:rFonts w:asciiTheme="minorHAnsi" w:hAnsiTheme="minorHAnsi"/>
          <w:bCs/>
          <w:snapToGrid w:val="0"/>
        </w:rPr>
        <w:t>of T</w:t>
      </w:r>
      <w:r w:rsidR="00D90DA8">
        <w:rPr>
          <w:rFonts w:asciiTheme="minorHAnsi" w:hAnsiTheme="minorHAnsi"/>
          <w:bCs/>
          <w:snapToGrid w:val="0"/>
        </w:rPr>
        <w:noBreakHyphen/>
      </w:r>
      <w:proofErr w:type="spellStart"/>
      <w:r w:rsidR="00E62BEB">
        <w:rPr>
          <w:rFonts w:asciiTheme="minorHAnsi" w:hAnsiTheme="minorHAnsi"/>
          <w:bCs/>
          <w:snapToGrid w:val="0"/>
        </w:rPr>
        <w:t>DXd</w:t>
      </w:r>
      <w:proofErr w:type="spellEnd"/>
      <w:r w:rsidR="00E62BEB" w:rsidRPr="00BA2739">
        <w:rPr>
          <w:rFonts w:asciiTheme="minorHAnsi" w:hAnsiTheme="minorHAnsi"/>
          <w:bCs/>
          <w:snapToGrid w:val="0"/>
        </w:rPr>
        <w:t xml:space="preserve"> </w:t>
      </w:r>
      <w:r w:rsidR="00982379" w:rsidRPr="00BA2739">
        <w:rPr>
          <w:rFonts w:asciiTheme="minorHAnsi" w:hAnsiTheme="minorHAnsi"/>
          <w:bCs/>
          <w:snapToGrid w:val="0"/>
        </w:rPr>
        <w:t xml:space="preserve">being </w:t>
      </w:r>
      <w:r w:rsidR="00D82069" w:rsidRPr="00BA2739">
        <w:rPr>
          <w:rFonts w:asciiTheme="minorHAnsi" w:hAnsiTheme="minorHAnsi"/>
          <w:bCs/>
          <w:snapToGrid w:val="0"/>
        </w:rPr>
        <w:t>the safety profile</w:t>
      </w:r>
      <w:r w:rsidR="00FB59E5">
        <w:rPr>
          <w:rFonts w:asciiTheme="minorHAnsi" w:hAnsiTheme="minorHAnsi"/>
          <w:bCs/>
          <w:snapToGrid w:val="0"/>
        </w:rPr>
        <w:t xml:space="preserve"> and side effects</w:t>
      </w:r>
      <w:r w:rsidR="00B06D01" w:rsidRPr="00BA2739">
        <w:rPr>
          <w:rFonts w:asciiTheme="minorHAnsi" w:hAnsiTheme="minorHAnsi"/>
          <w:bCs/>
          <w:snapToGrid w:val="0"/>
        </w:rPr>
        <w:t xml:space="preserve">, </w:t>
      </w:r>
      <w:r w:rsidR="00E72C97">
        <w:rPr>
          <w:rFonts w:asciiTheme="minorHAnsi" w:hAnsiTheme="minorHAnsi"/>
          <w:bCs/>
          <w:snapToGrid w:val="0"/>
        </w:rPr>
        <w:t>the potential for misclassification of</w:t>
      </w:r>
      <w:r w:rsidR="00090F9F" w:rsidRPr="00BA2739">
        <w:rPr>
          <w:rFonts w:asciiTheme="minorHAnsi" w:hAnsiTheme="minorHAnsi"/>
          <w:bCs/>
          <w:snapToGrid w:val="0"/>
        </w:rPr>
        <w:t xml:space="preserve"> HER2-low and HER2-ultralow</w:t>
      </w:r>
      <w:r w:rsidR="00E72C97">
        <w:rPr>
          <w:rFonts w:asciiTheme="minorHAnsi" w:hAnsiTheme="minorHAnsi"/>
          <w:bCs/>
          <w:snapToGrid w:val="0"/>
        </w:rPr>
        <w:t xml:space="preserve"> pathology</w:t>
      </w:r>
      <w:r w:rsidR="007F0AE3">
        <w:rPr>
          <w:rFonts w:asciiTheme="minorHAnsi" w:hAnsiTheme="minorHAnsi"/>
          <w:bCs/>
          <w:snapToGrid w:val="0"/>
        </w:rPr>
        <w:t xml:space="preserve">, </w:t>
      </w:r>
      <w:r w:rsidR="00090F9F" w:rsidRPr="00BA2739">
        <w:rPr>
          <w:rFonts w:asciiTheme="minorHAnsi" w:hAnsiTheme="minorHAnsi"/>
          <w:bCs/>
          <w:snapToGrid w:val="0"/>
        </w:rPr>
        <w:t xml:space="preserve">and </w:t>
      </w:r>
      <w:r w:rsidR="000977CC" w:rsidRPr="00BA2739">
        <w:rPr>
          <w:rFonts w:asciiTheme="minorHAnsi" w:hAnsiTheme="minorHAnsi"/>
          <w:bCs/>
          <w:snapToGrid w:val="0"/>
        </w:rPr>
        <w:t xml:space="preserve">the </w:t>
      </w:r>
      <w:r w:rsidR="006438DC">
        <w:rPr>
          <w:rFonts w:asciiTheme="minorHAnsi" w:hAnsiTheme="minorHAnsi"/>
          <w:bCs/>
          <w:snapToGrid w:val="0"/>
        </w:rPr>
        <w:t xml:space="preserve">need </w:t>
      </w:r>
      <w:r w:rsidR="00515E2F">
        <w:rPr>
          <w:rFonts w:asciiTheme="minorHAnsi" w:hAnsiTheme="minorHAnsi"/>
          <w:bCs/>
          <w:snapToGrid w:val="0"/>
        </w:rPr>
        <w:t xml:space="preserve">for </w:t>
      </w:r>
      <w:r w:rsidR="000977CC" w:rsidRPr="00BA2739">
        <w:rPr>
          <w:rFonts w:asciiTheme="minorHAnsi" w:hAnsiTheme="minorHAnsi"/>
          <w:bCs/>
          <w:snapToGrid w:val="0"/>
        </w:rPr>
        <w:t>IV administration</w:t>
      </w:r>
      <w:r w:rsidR="00D53955" w:rsidRPr="00BA2739">
        <w:rPr>
          <w:rFonts w:asciiTheme="minorHAnsi" w:hAnsiTheme="minorHAnsi"/>
          <w:bCs/>
          <w:snapToGrid w:val="0"/>
        </w:rPr>
        <w:t xml:space="preserve"> (particularly affecting regional patients). </w:t>
      </w:r>
      <w:r w:rsidR="006B0DED" w:rsidRPr="00BA2739">
        <w:rPr>
          <w:rFonts w:asciiTheme="minorHAnsi" w:hAnsiTheme="minorHAnsi"/>
          <w:bCs/>
          <w:snapToGrid w:val="0"/>
        </w:rPr>
        <w:t xml:space="preserve">The PBAC also noted </w:t>
      </w:r>
      <w:r w:rsidR="008F4783" w:rsidRPr="00BA2739">
        <w:rPr>
          <w:rFonts w:asciiTheme="minorHAnsi" w:hAnsiTheme="minorHAnsi"/>
          <w:bCs/>
          <w:snapToGrid w:val="0"/>
        </w:rPr>
        <w:t>the advice</w:t>
      </w:r>
      <w:r w:rsidR="00111639" w:rsidRPr="00BA2739">
        <w:rPr>
          <w:rFonts w:asciiTheme="minorHAnsi" w:hAnsiTheme="minorHAnsi"/>
          <w:bCs/>
          <w:snapToGrid w:val="0"/>
        </w:rPr>
        <w:t xml:space="preserve"> received from Rare Cancers Australia</w:t>
      </w:r>
      <w:r w:rsidR="00AC3844" w:rsidRPr="00BA2739">
        <w:rPr>
          <w:rFonts w:asciiTheme="minorHAnsi" w:hAnsiTheme="minorHAnsi"/>
          <w:bCs/>
          <w:snapToGrid w:val="0"/>
        </w:rPr>
        <w:t xml:space="preserve"> (RCA)</w:t>
      </w:r>
      <w:r w:rsidR="00AC47CE" w:rsidRPr="00BA2739">
        <w:rPr>
          <w:rFonts w:asciiTheme="minorHAnsi" w:hAnsiTheme="minorHAnsi"/>
          <w:bCs/>
          <w:snapToGrid w:val="0"/>
        </w:rPr>
        <w:t xml:space="preserve">, which highlighted the </w:t>
      </w:r>
      <w:r w:rsidR="0059017E" w:rsidRPr="00BA2739">
        <w:rPr>
          <w:rFonts w:asciiTheme="minorHAnsi" w:hAnsiTheme="minorHAnsi"/>
          <w:bCs/>
          <w:snapToGrid w:val="0"/>
        </w:rPr>
        <w:t>significant challenges</w:t>
      </w:r>
      <w:r w:rsidR="00706EFE" w:rsidRPr="00BA2739">
        <w:rPr>
          <w:rFonts w:asciiTheme="minorHAnsi" w:hAnsiTheme="minorHAnsi"/>
          <w:bCs/>
          <w:snapToGrid w:val="0"/>
        </w:rPr>
        <w:t xml:space="preserve"> experienced by patients</w:t>
      </w:r>
      <w:r w:rsidR="00AE226A">
        <w:rPr>
          <w:rFonts w:asciiTheme="minorHAnsi" w:hAnsiTheme="minorHAnsi"/>
          <w:bCs/>
          <w:snapToGrid w:val="0"/>
        </w:rPr>
        <w:t xml:space="preserve"> with </w:t>
      </w:r>
      <w:r w:rsidR="00261961">
        <w:rPr>
          <w:rFonts w:asciiTheme="minorHAnsi" w:hAnsiTheme="minorHAnsi"/>
          <w:bCs/>
          <w:snapToGrid w:val="0"/>
        </w:rPr>
        <w:t>m</w:t>
      </w:r>
      <w:r w:rsidR="00C40D9B">
        <w:rPr>
          <w:rFonts w:asciiTheme="minorHAnsi" w:hAnsiTheme="minorHAnsi"/>
          <w:bCs/>
          <w:snapToGrid w:val="0"/>
        </w:rPr>
        <w:t>BC</w:t>
      </w:r>
      <w:r w:rsidR="00706EFE" w:rsidRPr="00BA2739">
        <w:rPr>
          <w:rFonts w:asciiTheme="minorHAnsi" w:hAnsiTheme="minorHAnsi"/>
          <w:bCs/>
          <w:snapToGrid w:val="0"/>
        </w:rPr>
        <w:t xml:space="preserve">, including </w:t>
      </w:r>
      <w:r w:rsidR="00613187" w:rsidRPr="00BA2739">
        <w:rPr>
          <w:rFonts w:asciiTheme="minorHAnsi" w:hAnsiTheme="minorHAnsi"/>
          <w:bCs/>
          <w:snapToGrid w:val="0"/>
        </w:rPr>
        <w:t>the</w:t>
      </w:r>
      <w:r w:rsidR="00B9356E" w:rsidRPr="00BA2739">
        <w:rPr>
          <w:rFonts w:asciiTheme="minorHAnsi" w:hAnsiTheme="minorHAnsi"/>
          <w:bCs/>
          <w:snapToGrid w:val="0"/>
        </w:rPr>
        <w:t xml:space="preserve"> burden of </w:t>
      </w:r>
      <w:r w:rsidR="00613187" w:rsidRPr="00BA2739">
        <w:rPr>
          <w:rFonts w:asciiTheme="minorHAnsi" w:hAnsiTheme="minorHAnsi"/>
          <w:bCs/>
          <w:snapToGrid w:val="0"/>
        </w:rPr>
        <w:t>treatment</w:t>
      </w:r>
      <w:r w:rsidR="00CF0794" w:rsidRPr="00BA2739">
        <w:rPr>
          <w:rFonts w:asciiTheme="minorHAnsi" w:hAnsiTheme="minorHAnsi"/>
          <w:bCs/>
          <w:snapToGrid w:val="0"/>
        </w:rPr>
        <w:t xml:space="preserve">. </w:t>
      </w:r>
      <w:r w:rsidR="00AC3844" w:rsidRPr="00BA2739">
        <w:rPr>
          <w:rFonts w:asciiTheme="minorHAnsi" w:hAnsiTheme="minorHAnsi"/>
          <w:bCs/>
          <w:snapToGrid w:val="0"/>
        </w:rPr>
        <w:t>RCA</w:t>
      </w:r>
      <w:r w:rsidR="008843A3" w:rsidRPr="00BA2739">
        <w:rPr>
          <w:rFonts w:asciiTheme="minorHAnsi" w:hAnsiTheme="minorHAnsi"/>
          <w:bCs/>
          <w:snapToGrid w:val="0"/>
        </w:rPr>
        <w:t xml:space="preserve"> noted that </w:t>
      </w:r>
      <w:r w:rsidR="003A3C25" w:rsidRPr="00BA2739">
        <w:rPr>
          <w:rFonts w:asciiTheme="minorHAnsi" w:hAnsiTheme="minorHAnsi"/>
          <w:bCs/>
          <w:snapToGrid w:val="0"/>
        </w:rPr>
        <w:t>patients</w:t>
      </w:r>
      <w:r w:rsidR="00887719" w:rsidRPr="00BA2739">
        <w:rPr>
          <w:rFonts w:asciiTheme="minorHAnsi" w:hAnsiTheme="minorHAnsi"/>
          <w:bCs/>
          <w:snapToGrid w:val="0"/>
        </w:rPr>
        <w:t xml:space="preserve"> </w:t>
      </w:r>
      <w:r w:rsidR="0019131C">
        <w:rPr>
          <w:rFonts w:asciiTheme="minorHAnsi" w:hAnsiTheme="minorHAnsi"/>
          <w:bCs/>
          <w:snapToGrid w:val="0"/>
        </w:rPr>
        <w:t>treated with T-</w:t>
      </w:r>
      <w:proofErr w:type="spellStart"/>
      <w:r w:rsidR="0019131C">
        <w:rPr>
          <w:rFonts w:asciiTheme="minorHAnsi" w:hAnsiTheme="minorHAnsi"/>
          <w:bCs/>
          <w:snapToGrid w:val="0"/>
        </w:rPr>
        <w:t>DXd</w:t>
      </w:r>
      <w:proofErr w:type="spellEnd"/>
      <w:r w:rsidR="0019131C">
        <w:rPr>
          <w:rFonts w:asciiTheme="minorHAnsi" w:hAnsiTheme="minorHAnsi"/>
          <w:bCs/>
          <w:snapToGrid w:val="0"/>
        </w:rPr>
        <w:t xml:space="preserve"> reported </w:t>
      </w:r>
      <w:r w:rsidR="0046640A">
        <w:rPr>
          <w:rFonts w:asciiTheme="minorHAnsi" w:hAnsiTheme="minorHAnsi"/>
          <w:bCs/>
          <w:snapToGrid w:val="0"/>
        </w:rPr>
        <w:t xml:space="preserve">side effects were </w:t>
      </w:r>
      <w:r w:rsidR="00851491">
        <w:rPr>
          <w:rFonts w:asciiTheme="minorHAnsi" w:hAnsiTheme="minorHAnsi"/>
          <w:bCs/>
          <w:snapToGrid w:val="0"/>
        </w:rPr>
        <w:t xml:space="preserve">usually </w:t>
      </w:r>
      <w:r w:rsidR="0046640A">
        <w:rPr>
          <w:rFonts w:asciiTheme="minorHAnsi" w:hAnsiTheme="minorHAnsi"/>
          <w:bCs/>
          <w:snapToGrid w:val="0"/>
        </w:rPr>
        <w:t xml:space="preserve">temporary </w:t>
      </w:r>
      <w:r w:rsidR="00851491">
        <w:rPr>
          <w:rFonts w:asciiTheme="minorHAnsi" w:hAnsiTheme="minorHAnsi"/>
          <w:bCs/>
          <w:snapToGrid w:val="0"/>
        </w:rPr>
        <w:t xml:space="preserve">and </w:t>
      </w:r>
      <w:r w:rsidR="00ED3BE7" w:rsidRPr="00BA2739">
        <w:rPr>
          <w:rFonts w:asciiTheme="minorHAnsi" w:hAnsiTheme="minorHAnsi"/>
          <w:bCs/>
          <w:snapToGrid w:val="0"/>
        </w:rPr>
        <w:t>manage</w:t>
      </w:r>
      <w:r w:rsidR="00851491">
        <w:rPr>
          <w:rFonts w:asciiTheme="minorHAnsi" w:hAnsiTheme="minorHAnsi"/>
          <w:bCs/>
          <w:snapToGrid w:val="0"/>
        </w:rPr>
        <w:t>able</w:t>
      </w:r>
      <w:r w:rsidR="00ED3BE7" w:rsidRPr="00BA2739">
        <w:rPr>
          <w:rFonts w:asciiTheme="minorHAnsi" w:hAnsiTheme="minorHAnsi"/>
          <w:bCs/>
          <w:snapToGrid w:val="0"/>
        </w:rPr>
        <w:t xml:space="preserve">. </w:t>
      </w:r>
      <w:r w:rsidR="00AE226A">
        <w:rPr>
          <w:rFonts w:asciiTheme="minorHAnsi" w:hAnsiTheme="minorHAnsi"/>
          <w:bCs/>
          <w:snapToGrid w:val="0"/>
        </w:rPr>
        <w:t>although</w:t>
      </w:r>
      <w:r w:rsidR="00CE6B56" w:rsidRPr="00BA2739">
        <w:rPr>
          <w:rFonts w:asciiTheme="minorHAnsi" w:hAnsiTheme="minorHAnsi"/>
          <w:bCs/>
          <w:snapToGrid w:val="0"/>
        </w:rPr>
        <w:t xml:space="preserve"> some side effects of </w:t>
      </w:r>
      <w:r w:rsidR="00864725">
        <w:rPr>
          <w:rFonts w:asciiTheme="minorHAnsi" w:hAnsiTheme="minorHAnsi"/>
          <w:bCs/>
          <w:snapToGrid w:val="0"/>
        </w:rPr>
        <w:t>T-</w:t>
      </w:r>
      <w:proofErr w:type="spellStart"/>
      <w:r w:rsidR="00864725">
        <w:rPr>
          <w:rFonts w:asciiTheme="minorHAnsi" w:hAnsiTheme="minorHAnsi"/>
          <w:bCs/>
          <w:snapToGrid w:val="0"/>
        </w:rPr>
        <w:t>DXd</w:t>
      </w:r>
      <w:proofErr w:type="spellEnd"/>
      <w:r w:rsidR="00CE6B56" w:rsidRPr="00BA2739">
        <w:rPr>
          <w:rFonts w:asciiTheme="minorHAnsi" w:hAnsiTheme="minorHAnsi"/>
          <w:bCs/>
          <w:snapToGrid w:val="0"/>
        </w:rPr>
        <w:t xml:space="preserve"> may stop some patients from continuing treatme</w:t>
      </w:r>
      <w:r w:rsidR="00413765" w:rsidRPr="00BA2739">
        <w:rPr>
          <w:rFonts w:asciiTheme="minorHAnsi" w:hAnsiTheme="minorHAnsi"/>
          <w:bCs/>
          <w:snapToGrid w:val="0"/>
        </w:rPr>
        <w:t>nt</w:t>
      </w:r>
      <w:r w:rsidR="00917C65" w:rsidRPr="00BA2739">
        <w:rPr>
          <w:rFonts w:asciiTheme="minorHAnsi" w:hAnsiTheme="minorHAnsi"/>
          <w:bCs/>
          <w:snapToGrid w:val="0"/>
        </w:rPr>
        <w:t xml:space="preserve">, </w:t>
      </w:r>
      <w:r w:rsidR="00CA6B54">
        <w:rPr>
          <w:rFonts w:asciiTheme="minorHAnsi" w:hAnsiTheme="minorHAnsi"/>
          <w:bCs/>
          <w:snapToGrid w:val="0"/>
        </w:rPr>
        <w:t>though</w:t>
      </w:r>
      <w:r w:rsidR="00917C65" w:rsidRPr="00BA2739">
        <w:rPr>
          <w:rFonts w:asciiTheme="minorHAnsi" w:hAnsiTheme="minorHAnsi"/>
          <w:bCs/>
          <w:snapToGrid w:val="0"/>
        </w:rPr>
        <w:t xml:space="preserve"> many patients still consider these risks acceptable as compared to </w:t>
      </w:r>
      <w:r w:rsidR="00BA2739" w:rsidRPr="00BA2739">
        <w:rPr>
          <w:rFonts w:asciiTheme="minorHAnsi" w:hAnsiTheme="minorHAnsi"/>
          <w:bCs/>
          <w:snapToGrid w:val="0"/>
        </w:rPr>
        <w:t>chemotherapy</w:t>
      </w:r>
      <w:r w:rsidR="00B152A7" w:rsidRPr="00BA2739">
        <w:rPr>
          <w:rFonts w:asciiTheme="minorHAnsi" w:hAnsiTheme="minorHAnsi"/>
          <w:bCs/>
          <w:snapToGrid w:val="0"/>
        </w:rPr>
        <w:t xml:space="preserve">. </w:t>
      </w:r>
    </w:p>
    <w:p w14:paraId="609C0765" w14:textId="67A81FD6" w:rsidR="00B60939" w:rsidRPr="001720A5" w:rsidRDefault="00B60939" w:rsidP="008241B5">
      <w:pPr>
        <w:pStyle w:val="4-SubsectionHeading"/>
      </w:pPr>
      <w:bookmarkStart w:id="15" w:name="_Toc219893551"/>
      <w:bookmarkEnd w:id="14"/>
      <w:r w:rsidRPr="001720A5">
        <w:t>Clinical trials</w:t>
      </w:r>
      <w:bookmarkEnd w:id="13"/>
      <w:bookmarkEnd w:id="15"/>
    </w:p>
    <w:p w14:paraId="3841E0F4" w14:textId="7DB649B2" w:rsidR="0081525E" w:rsidRDefault="0081525E" w:rsidP="008241B5">
      <w:pPr>
        <w:pStyle w:val="3-BodyText"/>
      </w:pPr>
      <w:bookmarkStart w:id="16" w:name="_Toc22897644"/>
      <w:r w:rsidRPr="000A5490">
        <w:t xml:space="preserve">The submission was based on one head-to-head open-label Phase 3 randomised trial </w:t>
      </w:r>
      <w:r>
        <w:t>(DB-06, N=866) comparing</w:t>
      </w:r>
      <w:r w:rsidRPr="000A5490">
        <w:t xml:space="preserve"> </w:t>
      </w:r>
      <w:r w:rsidR="00864725">
        <w:t>T-</w:t>
      </w:r>
      <w:proofErr w:type="spellStart"/>
      <w:r w:rsidR="00864725">
        <w:t>DXd</w:t>
      </w:r>
      <w:proofErr w:type="spellEnd"/>
      <w:r w:rsidRPr="000A5490">
        <w:t xml:space="preserve"> with ICC in HER2-low</w:t>
      </w:r>
      <w:r>
        <w:t xml:space="preserve"> </w:t>
      </w:r>
      <w:r w:rsidRPr="000A5490">
        <w:t>(IHC1+ and IHC2+/ISH-; N=713)</w:t>
      </w:r>
      <w:r>
        <w:t xml:space="preserve"> and HER2-ultralow </w:t>
      </w:r>
      <w:r w:rsidRPr="000A5490">
        <w:t xml:space="preserve">(IHC&gt; 0 &lt;1+ expression; N=152), </w:t>
      </w:r>
      <w:r>
        <w:t>HR-positive</w:t>
      </w:r>
      <w:r w:rsidRPr="000A5490">
        <w:t xml:space="preserve"> BC patients whose disease had progressed on ET in the metastatic setting. The ICC comparator arm was single-agent chemotherapy (either capecitabine, nab-paclitaxel, or paclitaxel).</w:t>
      </w:r>
      <w:r w:rsidRPr="00F81600">
        <w:t xml:space="preserve"> </w:t>
      </w:r>
      <w:r w:rsidRPr="000A5490">
        <w:t xml:space="preserve">Anthracyclines were not considered an appropriate choice for the comparator arm </w:t>
      </w:r>
      <w:r>
        <w:t xml:space="preserve">in DB-06 </w:t>
      </w:r>
      <w:r w:rsidRPr="000A5490">
        <w:t>due to the cumulative risk of cardiotoxicity associated with these agents.</w:t>
      </w:r>
    </w:p>
    <w:p w14:paraId="7139E2E5" w14:textId="2BA98A71" w:rsidR="00E41C0F" w:rsidRDefault="0081525E" w:rsidP="008241B5">
      <w:pPr>
        <w:pStyle w:val="3-BodyText"/>
      </w:pPr>
      <w:r w:rsidRPr="004E6B91">
        <w:t>Details of the</w:t>
      </w:r>
      <w:r>
        <w:t xml:space="preserve"> DB-06</w:t>
      </w:r>
      <w:r w:rsidRPr="004E6B91">
        <w:t xml:space="preserve"> trial </w:t>
      </w:r>
      <w:r>
        <w:t xml:space="preserve">and </w:t>
      </w:r>
      <w:r w:rsidRPr="004E6B91">
        <w:t xml:space="preserve">associated </w:t>
      </w:r>
      <w:r>
        <w:t xml:space="preserve">reports </w:t>
      </w:r>
      <w:r w:rsidRPr="004E6B91">
        <w:t xml:space="preserve">presented in the submission are provided </w:t>
      </w:r>
      <w:r>
        <w:t xml:space="preserve">in </w:t>
      </w:r>
      <w:r w:rsidRPr="0098262F">
        <w:fldChar w:fldCharType="begin"/>
      </w:r>
      <w:r w:rsidRPr="0098262F">
        <w:instrText xml:space="preserve"> REF _Ref104803956 \h </w:instrText>
      </w:r>
      <w:r w:rsidRPr="0098262F">
        <w:fldChar w:fldCharType="separate"/>
      </w:r>
      <w:r w:rsidR="005D3E29" w:rsidRPr="0098262F">
        <w:t xml:space="preserve">Table </w:t>
      </w:r>
      <w:r w:rsidR="005D3E29">
        <w:rPr>
          <w:noProof/>
        </w:rPr>
        <w:t>2</w:t>
      </w:r>
      <w:r w:rsidRPr="0098262F">
        <w:fldChar w:fldCharType="end"/>
      </w:r>
      <w:r w:rsidRPr="0098262F">
        <w:t xml:space="preserve">. </w:t>
      </w:r>
    </w:p>
    <w:p w14:paraId="3E3875C1" w14:textId="0D7847C1" w:rsidR="0081525E" w:rsidRPr="0098262F" w:rsidRDefault="0081525E" w:rsidP="008241B5">
      <w:pPr>
        <w:pStyle w:val="Caption"/>
      </w:pPr>
      <w:bookmarkStart w:id="17" w:name="_Ref104803956"/>
      <w:r w:rsidRPr="0098262F">
        <w:lastRenderedPageBreak/>
        <w:t xml:space="preserve">Table </w:t>
      </w:r>
      <w:fldSimple w:instr=" SEQ Table \* ARABIC ">
        <w:r w:rsidR="005D3E29">
          <w:rPr>
            <w:noProof/>
          </w:rPr>
          <w:t>2</w:t>
        </w:r>
      </w:fldSimple>
      <w:bookmarkEnd w:id="17"/>
      <w:r w:rsidRPr="0098262F">
        <w:t>:</w:t>
      </w:r>
      <w:r w:rsidRPr="0098262F">
        <w:rPr>
          <w:rStyle w:val="CommentReference"/>
          <w:b/>
          <w:szCs w:val="24"/>
        </w:rPr>
        <w:t xml:space="preserve"> Trials and associated reports presented in the submission</w:t>
      </w:r>
    </w:p>
    <w:tbl>
      <w:tblPr>
        <w:tblStyle w:val="TableGrid"/>
        <w:tblW w:w="5000" w:type="pct"/>
        <w:tblLook w:val="01E0" w:firstRow="1" w:lastRow="1" w:firstColumn="1" w:lastColumn="1" w:noHBand="0" w:noVBand="0"/>
        <w:tblCaption w:val="Table 2: Trials and associated reports presented in the submission"/>
      </w:tblPr>
      <w:tblGrid>
        <w:gridCol w:w="988"/>
        <w:gridCol w:w="6238"/>
        <w:gridCol w:w="1791"/>
      </w:tblGrid>
      <w:tr w:rsidR="0081525E" w:rsidRPr="00434DD2" w14:paraId="676B88E9" w14:textId="77777777">
        <w:trPr>
          <w:cantSplit/>
        </w:trPr>
        <w:tc>
          <w:tcPr>
            <w:tcW w:w="548" w:type="pct"/>
          </w:tcPr>
          <w:p w14:paraId="170A4ADA" w14:textId="77777777" w:rsidR="0081525E" w:rsidRPr="00434DD2" w:rsidRDefault="0081525E" w:rsidP="008241B5">
            <w:pPr>
              <w:pStyle w:val="In-tableHeading"/>
              <w:keepNext/>
              <w:keepLines/>
              <w:rPr>
                <w:i w:val="0"/>
              </w:rPr>
            </w:pPr>
            <w:r w:rsidRPr="00434DD2">
              <w:rPr>
                <w:i w:val="0"/>
              </w:rPr>
              <w:t>Trial ID</w:t>
            </w:r>
          </w:p>
        </w:tc>
        <w:tc>
          <w:tcPr>
            <w:tcW w:w="3459" w:type="pct"/>
          </w:tcPr>
          <w:p w14:paraId="00E64997" w14:textId="77777777" w:rsidR="0081525E" w:rsidRPr="00434DD2" w:rsidRDefault="0081525E" w:rsidP="008241B5">
            <w:pPr>
              <w:pStyle w:val="In-tableHeading"/>
              <w:keepNext/>
              <w:keepLines/>
              <w:rPr>
                <w:i w:val="0"/>
              </w:rPr>
            </w:pPr>
            <w:r w:rsidRPr="00434DD2">
              <w:rPr>
                <w:i w:val="0"/>
              </w:rPr>
              <w:t>Protocol title/ Publication title</w:t>
            </w:r>
          </w:p>
        </w:tc>
        <w:tc>
          <w:tcPr>
            <w:tcW w:w="993" w:type="pct"/>
          </w:tcPr>
          <w:p w14:paraId="1DA1E8C5" w14:textId="77777777" w:rsidR="0081525E" w:rsidRPr="00434DD2" w:rsidRDefault="0081525E" w:rsidP="008241B5">
            <w:pPr>
              <w:pStyle w:val="In-tableHeading"/>
              <w:keepNext/>
              <w:keepLines/>
              <w:rPr>
                <w:i w:val="0"/>
              </w:rPr>
            </w:pPr>
            <w:r w:rsidRPr="00434DD2">
              <w:rPr>
                <w:i w:val="0"/>
              </w:rPr>
              <w:t>Study report dates/Publication citation</w:t>
            </w:r>
          </w:p>
        </w:tc>
      </w:tr>
      <w:tr w:rsidR="0081525E" w:rsidRPr="0098262F" w14:paraId="7C293C9A" w14:textId="77777777">
        <w:trPr>
          <w:cantSplit/>
          <w:trHeight w:val="1575"/>
        </w:trPr>
        <w:tc>
          <w:tcPr>
            <w:tcW w:w="548" w:type="pct"/>
            <w:vMerge w:val="restart"/>
          </w:tcPr>
          <w:p w14:paraId="23703298" w14:textId="77777777" w:rsidR="0081525E" w:rsidRPr="0098262F" w:rsidRDefault="0081525E" w:rsidP="008241B5">
            <w:pPr>
              <w:pStyle w:val="TableText0"/>
            </w:pPr>
            <w:r w:rsidRPr="00202031">
              <w:t>DB-06</w:t>
            </w:r>
          </w:p>
        </w:tc>
        <w:tc>
          <w:tcPr>
            <w:tcW w:w="3459" w:type="pct"/>
            <w:tcBorders>
              <w:bottom w:val="nil"/>
            </w:tcBorders>
          </w:tcPr>
          <w:p w14:paraId="2251A838" w14:textId="16729BEF" w:rsidR="0081525E" w:rsidRPr="0098262F" w:rsidRDefault="0081525E" w:rsidP="008241B5">
            <w:pPr>
              <w:pStyle w:val="TableText0"/>
              <w:rPr>
                <w:szCs w:val="18"/>
              </w:rPr>
            </w:pPr>
            <w:r w:rsidRPr="00202031">
              <w:rPr>
                <w:szCs w:val="18"/>
              </w:rPr>
              <w:t>Clinical study report: A Phase 3, Randomised, Multi-centre, Open-label Study of Trastuzumab Deruxtecan (T-</w:t>
            </w:r>
            <w:proofErr w:type="spellStart"/>
            <w:r w:rsidRPr="00202031">
              <w:rPr>
                <w:szCs w:val="18"/>
              </w:rPr>
              <w:t>DXd</w:t>
            </w:r>
            <w:proofErr w:type="spellEnd"/>
            <w:r w:rsidRPr="00202031">
              <w:rPr>
                <w:szCs w:val="18"/>
              </w:rPr>
              <w:t>) Versus Investigator’s Choice of Chemotherapy in HER2-low, Hormone Receptor Positive Breast Cancer Patients whose Disease has Progressed on Endocrine Therapy in the Metastatic Setting (DESTINY-Breast06). Data cutoff</w:t>
            </w:r>
            <w:r>
              <w:rPr>
                <w:szCs w:val="18"/>
              </w:rPr>
              <w:t>s</w:t>
            </w:r>
            <w:r w:rsidRPr="00202031">
              <w:rPr>
                <w:szCs w:val="18"/>
              </w:rPr>
              <w:t xml:space="preserve"> 18 March 2024</w:t>
            </w:r>
            <w:r>
              <w:rPr>
                <w:szCs w:val="18"/>
              </w:rPr>
              <w:t xml:space="preserve"> (Interim Analysis 1 [IA1]) and 24 March 2025 (Interim Analysis 2 [IA2])</w:t>
            </w:r>
          </w:p>
        </w:tc>
        <w:tc>
          <w:tcPr>
            <w:tcW w:w="993" w:type="pct"/>
            <w:tcBorders>
              <w:bottom w:val="nil"/>
            </w:tcBorders>
          </w:tcPr>
          <w:p w14:paraId="31AF2C42" w14:textId="77777777" w:rsidR="0081525E" w:rsidRDefault="0081525E" w:rsidP="008241B5">
            <w:pPr>
              <w:pStyle w:val="TableText0"/>
            </w:pPr>
            <w:r>
              <w:t>IA1: November 2024</w:t>
            </w:r>
          </w:p>
          <w:p w14:paraId="2841B77F" w14:textId="77777777" w:rsidR="0081525E" w:rsidRPr="0098262F" w:rsidRDefault="0081525E" w:rsidP="008241B5">
            <w:pPr>
              <w:pStyle w:val="TableText0"/>
            </w:pPr>
            <w:r>
              <w:t>IA2: July 2025</w:t>
            </w:r>
          </w:p>
        </w:tc>
      </w:tr>
      <w:tr w:rsidR="0081525E" w:rsidRPr="0098262F" w14:paraId="5BE3312C" w14:textId="77777777">
        <w:trPr>
          <w:cantSplit/>
          <w:trHeight w:val="1147"/>
        </w:trPr>
        <w:tc>
          <w:tcPr>
            <w:tcW w:w="548" w:type="pct"/>
            <w:vMerge/>
          </w:tcPr>
          <w:p w14:paraId="5506EC5C" w14:textId="77777777" w:rsidR="0081525E" w:rsidRPr="0098262F" w:rsidRDefault="0081525E" w:rsidP="008241B5">
            <w:pPr>
              <w:pStyle w:val="TableText0"/>
            </w:pPr>
          </w:p>
        </w:tc>
        <w:tc>
          <w:tcPr>
            <w:tcW w:w="3459" w:type="pct"/>
            <w:tcBorders>
              <w:top w:val="nil"/>
              <w:bottom w:val="nil"/>
            </w:tcBorders>
          </w:tcPr>
          <w:p w14:paraId="05A66E8D" w14:textId="77777777" w:rsidR="0081525E" w:rsidRPr="0098262F" w:rsidRDefault="0081525E" w:rsidP="008241B5">
            <w:pPr>
              <w:pStyle w:val="TableText0"/>
            </w:pPr>
            <w:r w:rsidRPr="00202031">
              <w:rPr>
                <w:szCs w:val="18"/>
              </w:rPr>
              <w:t>Bardia, A., et al. Trastuzumab deruxtecan (T-</w:t>
            </w:r>
            <w:proofErr w:type="spellStart"/>
            <w:r w:rsidRPr="00202031">
              <w:rPr>
                <w:szCs w:val="18"/>
              </w:rPr>
              <w:t>DXd</w:t>
            </w:r>
            <w:proofErr w:type="spellEnd"/>
            <w:r w:rsidRPr="00202031">
              <w:rPr>
                <w:szCs w:val="18"/>
              </w:rPr>
              <w:t>; DS-8201) vs investigator's choice of chemotherapy in patients with hormone receptor positive (</w:t>
            </w:r>
            <w:r>
              <w:rPr>
                <w:szCs w:val="18"/>
              </w:rPr>
              <w:t>HR-positive</w:t>
            </w:r>
            <w:r w:rsidRPr="00202031">
              <w:rPr>
                <w:szCs w:val="18"/>
              </w:rPr>
              <w:t xml:space="preserve">), HER2 low metastatic breast cancer whose disease has progressed on endocrine therapy in the metastatic setting: A randomised, global phase 3 trial (DESTINY-Breast06). </w:t>
            </w:r>
          </w:p>
        </w:tc>
        <w:tc>
          <w:tcPr>
            <w:tcW w:w="993" w:type="pct"/>
            <w:tcBorders>
              <w:top w:val="nil"/>
              <w:bottom w:val="nil"/>
            </w:tcBorders>
          </w:tcPr>
          <w:p w14:paraId="5CEBC4A1" w14:textId="77777777" w:rsidR="0081525E" w:rsidRPr="0098262F" w:rsidRDefault="0081525E" w:rsidP="008241B5">
            <w:pPr>
              <w:pStyle w:val="TableText0"/>
            </w:pPr>
            <w:r w:rsidRPr="00202031">
              <w:rPr>
                <w:i/>
                <w:iCs/>
              </w:rPr>
              <w:t>Cancer Research</w:t>
            </w:r>
            <w:r w:rsidRPr="00202031">
              <w:t xml:space="preserve"> </w:t>
            </w:r>
            <w:r>
              <w:t xml:space="preserve">2021; </w:t>
            </w:r>
            <w:r w:rsidRPr="00202031">
              <w:t>81(4 SUPPL)</w:t>
            </w:r>
            <w:r>
              <w:t>:</w:t>
            </w:r>
          </w:p>
        </w:tc>
      </w:tr>
      <w:tr w:rsidR="0081525E" w:rsidRPr="0098262F" w14:paraId="015F5452" w14:textId="77777777">
        <w:trPr>
          <w:cantSplit/>
        </w:trPr>
        <w:tc>
          <w:tcPr>
            <w:tcW w:w="548" w:type="pct"/>
            <w:vMerge/>
          </w:tcPr>
          <w:p w14:paraId="35E25946" w14:textId="77777777" w:rsidR="0081525E" w:rsidRPr="0098262F" w:rsidRDefault="0081525E" w:rsidP="008241B5">
            <w:pPr>
              <w:pStyle w:val="TableText0"/>
            </w:pPr>
          </w:p>
        </w:tc>
        <w:tc>
          <w:tcPr>
            <w:tcW w:w="3459" w:type="pct"/>
            <w:tcBorders>
              <w:top w:val="nil"/>
              <w:bottom w:val="nil"/>
            </w:tcBorders>
          </w:tcPr>
          <w:p w14:paraId="4787A8AC" w14:textId="77777777" w:rsidR="0081525E" w:rsidRDefault="0081525E" w:rsidP="008241B5">
            <w:pPr>
              <w:pStyle w:val="TableText0"/>
              <w:rPr>
                <w:szCs w:val="18"/>
              </w:rPr>
            </w:pPr>
          </w:p>
          <w:p w14:paraId="3A5EAAF2" w14:textId="21CBAB4E" w:rsidR="0081525E" w:rsidRPr="0098262F" w:rsidRDefault="0081525E" w:rsidP="008241B5">
            <w:pPr>
              <w:pStyle w:val="TableText0"/>
            </w:pPr>
            <w:r w:rsidRPr="00D772F2">
              <w:rPr>
                <w:szCs w:val="18"/>
              </w:rPr>
              <w:t>Bardia, A., et al.</w:t>
            </w:r>
            <w:r w:rsidR="008241B5">
              <w:rPr>
                <w:szCs w:val="18"/>
              </w:rPr>
              <w:t xml:space="preserve"> </w:t>
            </w:r>
            <w:r w:rsidRPr="00D772F2">
              <w:rPr>
                <w:szCs w:val="18"/>
              </w:rPr>
              <w:t>Trastuzumab Deruxtecan after Endocrine Therapy in Metastatic Breast Cancer.</w:t>
            </w:r>
          </w:p>
        </w:tc>
        <w:tc>
          <w:tcPr>
            <w:tcW w:w="993" w:type="pct"/>
            <w:tcBorders>
              <w:top w:val="nil"/>
              <w:bottom w:val="nil"/>
            </w:tcBorders>
          </w:tcPr>
          <w:p w14:paraId="5CD0E54C" w14:textId="77777777" w:rsidR="0081525E" w:rsidRDefault="0081525E" w:rsidP="008241B5">
            <w:pPr>
              <w:pStyle w:val="TableText0"/>
              <w:rPr>
                <w:i/>
                <w:iCs/>
                <w:szCs w:val="18"/>
              </w:rPr>
            </w:pPr>
          </w:p>
          <w:p w14:paraId="54F97737" w14:textId="77777777" w:rsidR="0081525E" w:rsidRPr="0098262F" w:rsidRDefault="0081525E" w:rsidP="008241B5">
            <w:pPr>
              <w:pStyle w:val="TableText0"/>
            </w:pPr>
            <w:r w:rsidRPr="00D772F2">
              <w:rPr>
                <w:i/>
                <w:iCs/>
                <w:szCs w:val="18"/>
              </w:rPr>
              <w:t>New England Journal of Medicine</w:t>
            </w:r>
            <w:r w:rsidRPr="00D772F2">
              <w:rPr>
                <w:szCs w:val="18"/>
              </w:rPr>
              <w:t xml:space="preserve"> </w:t>
            </w:r>
            <w:r>
              <w:rPr>
                <w:szCs w:val="18"/>
              </w:rPr>
              <w:t xml:space="preserve">2024; </w:t>
            </w:r>
            <w:r w:rsidRPr="00D772F2">
              <w:rPr>
                <w:szCs w:val="18"/>
              </w:rPr>
              <w:t>391(22): 2110-2122.</w:t>
            </w:r>
          </w:p>
        </w:tc>
      </w:tr>
      <w:tr w:rsidR="0081525E" w:rsidRPr="0098262F" w14:paraId="36C1B0DE" w14:textId="77777777">
        <w:trPr>
          <w:cantSplit/>
          <w:trHeight w:val="70"/>
        </w:trPr>
        <w:tc>
          <w:tcPr>
            <w:tcW w:w="548" w:type="pct"/>
            <w:vMerge/>
          </w:tcPr>
          <w:p w14:paraId="41329160" w14:textId="77777777" w:rsidR="0081525E" w:rsidRPr="0098262F" w:rsidRDefault="0081525E" w:rsidP="008241B5">
            <w:pPr>
              <w:pStyle w:val="TableText0"/>
            </w:pPr>
          </w:p>
        </w:tc>
        <w:tc>
          <w:tcPr>
            <w:tcW w:w="3459" w:type="pct"/>
            <w:tcBorders>
              <w:top w:val="nil"/>
              <w:bottom w:val="nil"/>
            </w:tcBorders>
          </w:tcPr>
          <w:p w14:paraId="4BFFE392" w14:textId="77777777" w:rsidR="0081525E" w:rsidRDefault="0081525E" w:rsidP="008241B5">
            <w:pPr>
              <w:pStyle w:val="TableText0"/>
              <w:rPr>
                <w:szCs w:val="18"/>
              </w:rPr>
            </w:pPr>
          </w:p>
          <w:p w14:paraId="32CA3939" w14:textId="77777777" w:rsidR="0081525E" w:rsidRPr="0098262F" w:rsidRDefault="0081525E" w:rsidP="008241B5">
            <w:pPr>
              <w:pStyle w:val="TableText0"/>
              <w:rPr>
                <w:szCs w:val="18"/>
              </w:rPr>
            </w:pPr>
            <w:r w:rsidRPr="00C82944">
              <w:rPr>
                <w:szCs w:val="18"/>
              </w:rPr>
              <w:t>Barrios, C. H. E., et al. 299MO DESTINY-Breast06 (DB-06) post-hoc analysis by physician's choice of chemotherapy (TPC)</w:t>
            </w:r>
            <w:r>
              <w:rPr>
                <w:szCs w:val="18"/>
              </w:rPr>
              <w:t xml:space="preserve"> - </w:t>
            </w:r>
            <w:r w:rsidRPr="00C82944">
              <w:rPr>
                <w:szCs w:val="18"/>
              </w:rPr>
              <w:t>Efficacy and safety of trastuzumab deruxtecan (T-</w:t>
            </w:r>
            <w:proofErr w:type="spellStart"/>
            <w:r w:rsidRPr="00C82944">
              <w:rPr>
                <w:szCs w:val="18"/>
              </w:rPr>
              <w:t>DXd</w:t>
            </w:r>
            <w:proofErr w:type="spellEnd"/>
            <w:r w:rsidRPr="00C82944">
              <w:rPr>
                <w:szCs w:val="18"/>
              </w:rPr>
              <w:t>) vs TPC in hormone receptor positive (</w:t>
            </w:r>
            <w:r>
              <w:rPr>
                <w:szCs w:val="18"/>
              </w:rPr>
              <w:t>HR-positive</w:t>
            </w:r>
            <w:r w:rsidRPr="00C82944">
              <w:rPr>
                <w:szCs w:val="18"/>
              </w:rPr>
              <w:t xml:space="preserve">), HER2-low or -ultralow metastatic breast cancer (mBC). </w:t>
            </w:r>
          </w:p>
        </w:tc>
        <w:tc>
          <w:tcPr>
            <w:tcW w:w="993" w:type="pct"/>
            <w:tcBorders>
              <w:top w:val="nil"/>
              <w:bottom w:val="nil"/>
            </w:tcBorders>
          </w:tcPr>
          <w:p w14:paraId="130209BD" w14:textId="77777777" w:rsidR="0081525E" w:rsidRDefault="0081525E" w:rsidP="008241B5">
            <w:pPr>
              <w:pStyle w:val="TableText0"/>
              <w:rPr>
                <w:i/>
                <w:szCs w:val="18"/>
              </w:rPr>
            </w:pPr>
          </w:p>
          <w:p w14:paraId="503C5CD1" w14:textId="77777777" w:rsidR="0081525E" w:rsidRPr="0098262F" w:rsidRDefault="0081525E" w:rsidP="008241B5">
            <w:pPr>
              <w:pStyle w:val="TableText0"/>
            </w:pPr>
            <w:r w:rsidRPr="00C82944">
              <w:rPr>
                <w:i/>
                <w:szCs w:val="18"/>
              </w:rPr>
              <w:t xml:space="preserve">ESMO Open </w:t>
            </w:r>
            <w:r w:rsidRPr="00C82944">
              <w:rPr>
                <w:iCs/>
                <w:szCs w:val="18"/>
              </w:rPr>
              <w:t>May</w:t>
            </w:r>
            <w:r>
              <w:rPr>
                <w:i/>
                <w:szCs w:val="18"/>
              </w:rPr>
              <w:t xml:space="preserve"> </w:t>
            </w:r>
            <w:r w:rsidRPr="00C82944">
              <w:rPr>
                <w:iCs/>
                <w:szCs w:val="18"/>
              </w:rPr>
              <w:t>2025;10(Suppl.4</w:t>
            </w:r>
            <w:r>
              <w:rPr>
                <w:iCs/>
                <w:szCs w:val="18"/>
              </w:rPr>
              <w:t>).</w:t>
            </w:r>
          </w:p>
        </w:tc>
      </w:tr>
      <w:tr w:rsidR="0081525E" w:rsidRPr="0098262F" w14:paraId="69058E21" w14:textId="77777777">
        <w:trPr>
          <w:cantSplit/>
        </w:trPr>
        <w:tc>
          <w:tcPr>
            <w:tcW w:w="548" w:type="pct"/>
            <w:vMerge/>
          </w:tcPr>
          <w:p w14:paraId="3FAB008D" w14:textId="77777777" w:rsidR="0081525E" w:rsidRPr="0098262F" w:rsidRDefault="0081525E" w:rsidP="008241B5">
            <w:pPr>
              <w:pStyle w:val="TableText0"/>
            </w:pPr>
          </w:p>
        </w:tc>
        <w:tc>
          <w:tcPr>
            <w:tcW w:w="3459" w:type="pct"/>
            <w:tcBorders>
              <w:top w:val="nil"/>
              <w:bottom w:val="nil"/>
            </w:tcBorders>
          </w:tcPr>
          <w:p w14:paraId="1E40FB24" w14:textId="77777777" w:rsidR="0081525E" w:rsidRDefault="0081525E" w:rsidP="008241B5">
            <w:pPr>
              <w:pStyle w:val="TableText0"/>
              <w:rPr>
                <w:szCs w:val="18"/>
              </w:rPr>
            </w:pPr>
          </w:p>
          <w:p w14:paraId="3DEF465B" w14:textId="77777777" w:rsidR="0081525E" w:rsidRPr="0098262F" w:rsidRDefault="0081525E" w:rsidP="008241B5">
            <w:pPr>
              <w:pStyle w:val="TableText0"/>
              <w:rPr>
                <w:szCs w:val="18"/>
              </w:rPr>
            </w:pPr>
            <w:r w:rsidRPr="00C82944">
              <w:rPr>
                <w:szCs w:val="18"/>
              </w:rPr>
              <w:t>Hu, X., et al. Patient-reported outcomes with trastuzumab deruxtecan in hormone receptor positive, HER2-low or HER2-ultralow metastatic breast cancer: results from the randomised DESTINY-Breast06 trial</w:t>
            </w:r>
            <w:r>
              <w:rPr>
                <w:szCs w:val="18"/>
              </w:rPr>
              <w:t>.</w:t>
            </w:r>
            <w:r w:rsidRPr="00C82944">
              <w:rPr>
                <w:szCs w:val="18"/>
              </w:rPr>
              <w:t xml:space="preserve"> </w:t>
            </w:r>
          </w:p>
        </w:tc>
        <w:tc>
          <w:tcPr>
            <w:tcW w:w="993" w:type="pct"/>
            <w:tcBorders>
              <w:top w:val="nil"/>
              <w:bottom w:val="nil"/>
            </w:tcBorders>
          </w:tcPr>
          <w:p w14:paraId="1F6AE654" w14:textId="77777777" w:rsidR="0081525E" w:rsidRDefault="0081525E" w:rsidP="008241B5">
            <w:pPr>
              <w:pStyle w:val="TableText0"/>
              <w:rPr>
                <w:i/>
                <w:iCs/>
                <w:szCs w:val="18"/>
              </w:rPr>
            </w:pPr>
          </w:p>
          <w:p w14:paraId="6312F31D" w14:textId="77777777" w:rsidR="0081525E" w:rsidRPr="0098262F" w:rsidRDefault="0081525E" w:rsidP="008241B5">
            <w:pPr>
              <w:pStyle w:val="TableText0"/>
              <w:rPr>
                <w:i/>
                <w:szCs w:val="18"/>
              </w:rPr>
            </w:pPr>
            <w:r w:rsidRPr="00C82944">
              <w:rPr>
                <w:i/>
                <w:iCs/>
                <w:szCs w:val="18"/>
              </w:rPr>
              <w:t>ESMO Open</w:t>
            </w:r>
            <w:r w:rsidRPr="00C82944">
              <w:rPr>
                <w:szCs w:val="18"/>
              </w:rPr>
              <w:t xml:space="preserve"> </w:t>
            </w:r>
            <w:r>
              <w:rPr>
                <w:szCs w:val="18"/>
              </w:rPr>
              <w:t>May 2025;</w:t>
            </w:r>
            <w:r w:rsidRPr="00C82944">
              <w:rPr>
                <w:szCs w:val="18"/>
              </w:rPr>
              <w:t>10(5):105082</w:t>
            </w:r>
          </w:p>
        </w:tc>
      </w:tr>
      <w:tr w:rsidR="0081525E" w:rsidRPr="0098262F" w14:paraId="1C4DCD68" w14:textId="77777777">
        <w:trPr>
          <w:cantSplit/>
        </w:trPr>
        <w:tc>
          <w:tcPr>
            <w:tcW w:w="548" w:type="pct"/>
            <w:vMerge/>
          </w:tcPr>
          <w:p w14:paraId="152A65BA" w14:textId="77777777" w:rsidR="0081525E" w:rsidRPr="0098262F" w:rsidRDefault="0081525E" w:rsidP="008241B5">
            <w:pPr>
              <w:pStyle w:val="TableText0"/>
            </w:pPr>
          </w:p>
        </w:tc>
        <w:tc>
          <w:tcPr>
            <w:tcW w:w="3459" w:type="pct"/>
            <w:tcBorders>
              <w:top w:val="nil"/>
              <w:bottom w:val="nil"/>
            </w:tcBorders>
          </w:tcPr>
          <w:p w14:paraId="168D4CF7" w14:textId="77777777" w:rsidR="0081525E" w:rsidRDefault="0081525E" w:rsidP="008241B5">
            <w:pPr>
              <w:pStyle w:val="TableText0"/>
              <w:rPr>
                <w:szCs w:val="18"/>
              </w:rPr>
            </w:pPr>
          </w:p>
          <w:p w14:paraId="45CE62A4" w14:textId="77777777" w:rsidR="0081525E" w:rsidRPr="0098262F" w:rsidRDefault="0081525E" w:rsidP="008241B5">
            <w:pPr>
              <w:pStyle w:val="TableText0"/>
              <w:rPr>
                <w:szCs w:val="18"/>
              </w:rPr>
            </w:pPr>
            <w:r w:rsidRPr="00C82944">
              <w:rPr>
                <w:szCs w:val="18"/>
              </w:rPr>
              <w:t>Hu, X., et al. LBA22 Effects of trastuzumab deruxtecan (T-</w:t>
            </w:r>
            <w:proofErr w:type="spellStart"/>
            <w:r w:rsidRPr="00C82944">
              <w:rPr>
                <w:szCs w:val="18"/>
              </w:rPr>
              <w:t>DXd</w:t>
            </w:r>
            <w:proofErr w:type="spellEnd"/>
            <w:r w:rsidRPr="00C82944">
              <w:rPr>
                <w:szCs w:val="18"/>
              </w:rPr>
              <w:t xml:space="preserve">) vs choice of chemotherapy (TPC) on patient-reported outcomes (PROs) in hormone receptor positive, HER2-low or HER2-ultralow metastatic breast cancer (mBC): Results from DESTINY-Breast06. </w:t>
            </w:r>
          </w:p>
        </w:tc>
        <w:tc>
          <w:tcPr>
            <w:tcW w:w="993" w:type="pct"/>
            <w:tcBorders>
              <w:top w:val="nil"/>
              <w:bottom w:val="nil"/>
            </w:tcBorders>
          </w:tcPr>
          <w:p w14:paraId="19AB0F4A" w14:textId="77777777" w:rsidR="0081525E" w:rsidRDefault="0081525E" w:rsidP="008241B5">
            <w:pPr>
              <w:pStyle w:val="TableText0"/>
              <w:rPr>
                <w:i/>
                <w:iCs/>
                <w:szCs w:val="18"/>
              </w:rPr>
            </w:pPr>
          </w:p>
          <w:p w14:paraId="527637F7" w14:textId="77777777" w:rsidR="0081525E" w:rsidRPr="0098262F" w:rsidRDefault="0081525E" w:rsidP="008241B5">
            <w:pPr>
              <w:pStyle w:val="TableText0"/>
              <w:rPr>
                <w:i/>
                <w:szCs w:val="18"/>
              </w:rPr>
            </w:pPr>
            <w:r w:rsidRPr="00C82944">
              <w:rPr>
                <w:i/>
                <w:iCs/>
                <w:szCs w:val="18"/>
              </w:rPr>
              <w:t>Annals of Oncology</w:t>
            </w:r>
            <w:r>
              <w:rPr>
                <w:i/>
                <w:iCs/>
                <w:szCs w:val="18"/>
              </w:rPr>
              <w:t xml:space="preserve"> </w:t>
            </w:r>
            <w:r>
              <w:rPr>
                <w:szCs w:val="18"/>
              </w:rPr>
              <w:t xml:space="preserve">2025; </w:t>
            </w:r>
            <w:r w:rsidRPr="00C82944">
              <w:rPr>
                <w:szCs w:val="18"/>
              </w:rPr>
              <w:t>35(S2): S1214-S1215</w:t>
            </w:r>
            <w:r>
              <w:rPr>
                <w:szCs w:val="18"/>
              </w:rPr>
              <w:t>.</w:t>
            </w:r>
          </w:p>
        </w:tc>
      </w:tr>
      <w:tr w:rsidR="0081525E" w:rsidRPr="0098262F" w14:paraId="6829F77D" w14:textId="77777777">
        <w:trPr>
          <w:cantSplit/>
        </w:trPr>
        <w:tc>
          <w:tcPr>
            <w:tcW w:w="548" w:type="pct"/>
            <w:vMerge/>
          </w:tcPr>
          <w:p w14:paraId="6FCDDDFA" w14:textId="77777777" w:rsidR="0081525E" w:rsidRPr="0098262F" w:rsidRDefault="0081525E" w:rsidP="008241B5">
            <w:pPr>
              <w:pStyle w:val="TableText0"/>
            </w:pPr>
          </w:p>
        </w:tc>
        <w:tc>
          <w:tcPr>
            <w:tcW w:w="3459" w:type="pct"/>
            <w:tcBorders>
              <w:top w:val="nil"/>
              <w:bottom w:val="nil"/>
            </w:tcBorders>
          </w:tcPr>
          <w:p w14:paraId="47C9BFCC" w14:textId="77777777" w:rsidR="0081525E" w:rsidRDefault="0081525E" w:rsidP="008241B5">
            <w:pPr>
              <w:pStyle w:val="TableText0"/>
              <w:rPr>
                <w:szCs w:val="18"/>
              </w:rPr>
            </w:pPr>
          </w:p>
          <w:p w14:paraId="21CFD83E" w14:textId="77777777" w:rsidR="0081525E" w:rsidRPr="0098262F" w:rsidRDefault="0081525E" w:rsidP="008241B5">
            <w:pPr>
              <w:pStyle w:val="TableText0"/>
              <w:rPr>
                <w:szCs w:val="18"/>
              </w:rPr>
            </w:pPr>
            <w:r w:rsidRPr="00C82944">
              <w:rPr>
                <w:szCs w:val="18"/>
              </w:rPr>
              <w:t xml:space="preserve">Salgado, R. F., et al. LBA21 Human epidermal growth factor receptor 2 (HER2)-low and HER2-ultralow status determination in </w:t>
            </w:r>
            <w:proofErr w:type="spellStart"/>
            <w:r w:rsidRPr="00C82944">
              <w:rPr>
                <w:szCs w:val="18"/>
              </w:rPr>
              <w:t>tumors</w:t>
            </w:r>
            <w:proofErr w:type="spellEnd"/>
            <w:r w:rsidRPr="00C82944">
              <w:rPr>
                <w:szCs w:val="18"/>
              </w:rPr>
              <w:t xml:space="preserve"> of patients (pts) with hormone receptor positive (</w:t>
            </w:r>
            <w:r>
              <w:rPr>
                <w:szCs w:val="18"/>
              </w:rPr>
              <w:t>HR-positive</w:t>
            </w:r>
            <w:r w:rsidRPr="00C82944">
              <w:rPr>
                <w:szCs w:val="18"/>
              </w:rPr>
              <w:t xml:space="preserve">) metastatic breast cancer (mBC) in DESTINY-Breast06 (DB-06). </w:t>
            </w:r>
          </w:p>
        </w:tc>
        <w:tc>
          <w:tcPr>
            <w:tcW w:w="993" w:type="pct"/>
            <w:tcBorders>
              <w:top w:val="nil"/>
              <w:bottom w:val="nil"/>
            </w:tcBorders>
          </w:tcPr>
          <w:p w14:paraId="3DA781EA" w14:textId="77777777" w:rsidR="0081525E" w:rsidRDefault="0081525E" w:rsidP="008241B5">
            <w:pPr>
              <w:pStyle w:val="TableText0"/>
              <w:rPr>
                <w:i/>
                <w:iCs/>
                <w:szCs w:val="18"/>
              </w:rPr>
            </w:pPr>
          </w:p>
          <w:p w14:paraId="5E2FBB1C" w14:textId="77777777" w:rsidR="0081525E" w:rsidRPr="0098262F" w:rsidRDefault="0081525E" w:rsidP="008241B5">
            <w:pPr>
              <w:pStyle w:val="TableText0"/>
              <w:rPr>
                <w:i/>
                <w:szCs w:val="18"/>
              </w:rPr>
            </w:pPr>
            <w:r w:rsidRPr="00D5454D">
              <w:rPr>
                <w:i/>
                <w:iCs/>
                <w:szCs w:val="18"/>
              </w:rPr>
              <w:t>Annals of Oncology</w:t>
            </w:r>
            <w:r w:rsidRPr="00C82944">
              <w:rPr>
                <w:szCs w:val="18"/>
              </w:rPr>
              <w:t xml:space="preserve"> </w:t>
            </w:r>
            <w:r>
              <w:rPr>
                <w:szCs w:val="18"/>
              </w:rPr>
              <w:t xml:space="preserve">2024; </w:t>
            </w:r>
            <w:r w:rsidRPr="00C82944">
              <w:rPr>
                <w:szCs w:val="18"/>
              </w:rPr>
              <w:t>35: (S2) S1213-S1214</w:t>
            </w:r>
          </w:p>
        </w:tc>
      </w:tr>
      <w:tr w:rsidR="0081525E" w:rsidRPr="0098262F" w14:paraId="279EB448" w14:textId="77777777">
        <w:trPr>
          <w:cantSplit/>
        </w:trPr>
        <w:tc>
          <w:tcPr>
            <w:tcW w:w="548" w:type="pct"/>
            <w:vMerge/>
          </w:tcPr>
          <w:p w14:paraId="2D0859D7" w14:textId="77777777" w:rsidR="0081525E" w:rsidRPr="0098262F" w:rsidRDefault="0081525E" w:rsidP="008241B5">
            <w:pPr>
              <w:pStyle w:val="TableText0"/>
            </w:pPr>
          </w:p>
        </w:tc>
        <w:tc>
          <w:tcPr>
            <w:tcW w:w="3459" w:type="pct"/>
            <w:tcBorders>
              <w:top w:val="nil"/>
            </w:tcBorders>
          </w:tcPr>
          <w:p w14:paraId="346B685F" w14:textId="77777777" w:rsidR="0081525E" w:rsidRDefault="0081525E" w:rsidP="008241B5">
            <w:pPr>
              <w:pStyle w:val="TableText0"/>
              <w:rPr>
                <w:szCs w:val="18"/>
              </w:rPr>
            </w:pPr>
          </w:p>
          <w:p w14:paraId="178FC122" w14:textId="77777777" w:rsidR="0081525E" w:rsidRPr="0098262F" w:rsidRDefault="0081525E" w:rsidP="008241B5">
            <w:pPr>
              <w:pStyle w:val="TableText0"/>
              <w:rPr>
                <w:szCs w:val="18"/>
              </w:rPr>
            </w:pPr>
            <w:proofErr w:type="spellStart"/>
            <w:r w:rsidRPr="00C82944">
              <w:rPr>
                <w:szCs w:val="18"/>
              </w:rPr>
              <w:t>Curigliano</w:t>
            </w:r>
            <w:proofErr w:type="spellEnd"/>
            <w:r w:rsidRPr="00C82944">
              <w:rPr>
                <w:szCs w:val="18"/>
              </w:rPr>
              <w:t>, G, et al. Trastuzumab deruxtecan (T-</w:t>
            </w:r>
            <w:proofErr w:type="spellStart"/>
            <w:r w:rsidRPr="00C82944">
              <w:rPr>
                <w:szCs w:val="18"/>
              </w:rPr>
              <w:t>DXd</w:t>
            </w:r>
            <w:proofErr w:type="spellEnd"/>
            <w:r w:rsidRPr="00C82944">
              <w:rPr>
                <w:szCs w:val="18"/>
              </w:rPr>
              <w:t>) vs physician’s choice of chemotherapy (TPC) in patients (pts) with hormone receptor positive (</w:t>
            </w:r>
            <w:r>
              <w:rPr>
                <w:szCs w:val="18"/>
              </w:rPr>
              <w:t>HR-positive</w:t>
            </w:r>
            <w:r w:rsidRPr="00C82944">
              <w:rPr>
                <w:szCs w:val="18"/>
              </w:rPr>
              <w:t xml:space="preserve">), human epidermal growth factor receptor 2 (HER2)-low or HER2-ultralow metastatic breast cancer (mBC) with prior endocrine therapy (ET): Primary results from DESTINY-Breast06 (DB-06). </w:t>
            </w:r>
          </w:p>
        </w:tc>
        <w:tc>
          <w:tcPr>
            <w:tcW w:w="993" w:type="pct"/>
            <w:tcBorders>
              <w:top w:val="nil"/>
            </w:tcBorders>
          </w:tcPr>
          <w:p w14:paraId="00F0E6CF" w14:textId="77777777" w:rsidR="0081525E" w:rsidRDefault="0081525E" w:rsidP="008241B5">
            <w:pPr>
              <w:pStyle w:val="TableText0"/>
              <w:rPr>
                <w:i/>
                <w:iCs/>
                <w:szCs w:val="18"/>
              </w:rPr>
            </w:pPr>
          </w:p>
          <w:p w14:paraId="34D3422E" w14:textId="0DFECA6F" w:rsidR="0081525E" w:rsidRPr="0098262F" w:rsidRDefault="0081525E" w:rsidP="008241B5">
            <w:pPr>
              <w:pStyle w:val="TableText0"/>
              <w:rPr>
                <w:i/>
                <w:szCs w:val="18"/>
              </w:rPr>
            </w:pPr>
            <w:r w:rsidRPr="00D5454D">
              <w:rPr>
                <w:i/>
                <w:iCs/>
                <w:szCs w:val="18"/>
              </w:rPr>
              <w:t>Journal of Clinical Oncology</w:t>
            </w:r>
            <w:r w:rsidRPr="00C82944">
              <w:rPr>
                <w:szCs w:val="18"/>
              </w:rPr>
              <w:t xml:space="preserve"> 2024;42(17):</w:t>
            </w:r>
            <w:r w:rsidR="008241B5">
              <w:rPr>
                <w:szCs w:val="18"/>
              </w:rPr>
              <w:t xml:space="preserve"> </w:t>
            </w:r>
            <w:r w:rsidRPr="00C82944">
              <w:rPr>
                <w:szCs w:val="18"/>
              </w:rPr>
              <w:t>ASCO Annual Meeting 2024 LBA1000</w:t>
            </w:r>
          </w:p>
        </w:tc>
      </w:tr>
    </w:tbl>
    <w:p w14:paraId="0E76FDC5" w14:textId="77777777" w:rsidR="0081525E" w:rsidRPr="0098262F" w:rsidRDefault="0081525E" w:rsidP="009C2B6F">
      <w:pPr>
        <w:pStyle w:val="TableFigureFooter"/>
        <w:rPr>
          <w:sz w:val="20"/>
        </w:rPr>
      </w:pPr>
      <w:r w:rsidRPr="0098262F">
        <w:t>Source: Table</w:t>
      </w:r>
      <w:r>
        <w:t xml:space="preserve"> 2.3, pp50-51 of the submission</w:t>
      </w:r>
    </w:p>
    <w:p w14:paraId="3853A637" w14:textId="77777777" w:rsidR="007E7F2D" w:rsidRDefault="007E7F2D" w:rsidP="008241B5">
      <w:pPr>
        <w:jc w:val="left"/>
        <w:rPr>
          <w:rFonts w:asciiTheme="minorHAnsi" w:eastAsiaTheme="minorHAnsi" w:hAnsiTheme="minorHAnsi" w:cstheme="minorBidi"/>
          <w:szCs w:val="22"/>
        </w:rPr>
      </w:pPr>
      <w:r>
        <w:br w:type="page"/>
      </w:r>
    </w:p>
    <w:p w14:paraId="37E6A104" w14:textId="0C551D59" w:rsidR="0081525E" w:rsidRPr="00761EF0" w:rsidRDefault="0081525E" w:rsidP="008241B5">
      <w:pPr>
        <w:pStyle w:val="3-BodyText"/>
      </w:pPr>
      <w:r w:rsidRPr="00761EF0">
        <w:lastRenderedPageBreak/>
        <w:t xml:space="preserve">The key features of the DB-06 trial are summarised in </w:t>
      </w:r>
      <w:r w:rsidRPr="00761EF0">
        <w:fldChar w:fldCharType="begin"/>
      </w:r>
      <w:r w:rsidRPr="00761EF0">
        <w:instrText xml:space="preserve"> REF _Ref104804098 \h  \* MERGEFORMAT </w:instrText>
      </w:r>
      <w:r w:rsidRPr="00761EF0">
        <w:fldChar w:fldCharType="separate"/>
      </w:r>
      <w:r w:rsidR="005D3E29" w:rsidRPr="005D3E29">
        <w:t>Table 3</w:t>
      </w:r>
      <w:r w:rsidRPr="00761EF0">
        <w:fldChar w:fldCharType="end"/>
      </w:r>
      <w:r w:rsidRPr="00761EF0">
        <w:t xml:space="preserve">. </w:t>
      </w:r>
    </w:p>
    <w:p w14:paraId="25BBD7E8" w14:textId="194D3B35" w:rsidR="0081525E" w:rsidRPr="0098262F" w:rsidRDefault="0081525E" w:rsidP="008241B5">
      <w:pPr>
        <w:pStyle w:val="Caption"/>
        <w:rPr>
          <w:rStyle w:val="CommentReference"/>
          <w:rFonts w:eastAsiaTheme="majorEastAsia" w:cstheme="majorBidi"/>
          <w:b/>
          <w:szCs w:val="24"/>
        </w:rPr>
      </w:pPr>
      <w:bookmarkStart w:id="18"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5D3E29">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18"/>
      <w:r w:rsidRPr="0098262F">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701"/>
        <w:gridCol w:w="711"/>
        <w:gridCol w:w="1984"/>
        <w:gridCol w:w="1374"/>
        <w:gridCol w:w="1508"/>
        <w:gridCol w:w="1372"/>
        <w:gridCol w:w="1367"/>
      </w:tblGrid>
      <w:tr w:rsidR="0081525E" w:rsidRPr="00420881" w14:paraId="7B6925EF" w14:textId="77777777" w:rsidTr="00AB0985">
        <w:trPr>
          <w:cantSplit/>
          <w:tblHeader/>
        </w:trPr>
        <w:tc>
          <w:tcPr>
            <w:tcW w:w="389" w:type="pct"/>
            <w:vAlign w:val="center"/>
          </w:tcPr>
          <w:p w14:paraId="325698FA" w14:textId="77777777" w:rsidR="0081525E" w:rsidRPr="00420881" w:rsidRDefault="0081525E" w:rsidP="008241B5">
            <w:pPr>
              <w:pStyle w:val="In-tableHeading"/>
              <w:keepNext/>
              <w:rPr>
                <w:i w:val="0"/>
                <w:iCs w:val="0"/>
              </w:rPr>
            </w:pPr>
            <w:r w:rsidRPr="00420881">
              <w:rPr>
                <w:i w:val="0"/>
                <w:iCs w:val="0"/>
              </w:rPr>
              <w:t>Trial</w:t>
            </w:r>
          </w:p>
        </w:tc>
        <w:tc>
          <w:tcPr>
            <w:tcW w:w="394" w:type="pct"/>
            <w:vAlign w:val="center"/>
          </w:tcPr>
          <w:p w14:paraId="3F37836A" w14:textId="77777777" w:rsidR="0081525E" w:rsidRPr="00420881" w:rsidRDefault="0081525E" w:rsidP="008241B5">
            <w:pPr>
              <w:pStyle w:val="In-tableHeading"/>
              <w:keepNext/>
              <w:jc w:val="center"/>
              <w:rPr>
                <w:i w:val="0"/>
                <w:iCs w:val="0"/>
              </w:rPr>
            </w:pPr>
            <w:r w:rsidRPr="00420881">
              <w:rPr>
                <w:i w:val="0"/>
                <w:iCs w:val="0"/>
              </w:rPr>
              <w:t>N</w:t>
            </w:r>
          </w:p>
        </w:tc>
        <w:tc>
          <w:tcPr>
            <w:tcW w:w="1100" w:type="pct"/>
            <w:vAlign w:val="center"/>
          </w:tcPr>
          <w:p w14:paraId="4FB9561E" w14:textId="77777777" w:rsidR="0081525E" w:rsidRPr="00420881" w:rsidRDefault="0081525E" w:rsidP="008241B5">
            <w:pPr>
              <w:pStyle w:val="In-tableHeading"/>
              <w:keepNext/>
              <w:jc w:val="center"/>
              <w:rPr>
                <w:i w:val="0"/>
                <w:iCs w:val="0"/>
              </w:rPr>
            </w:pPr>
            <w:r w:rsidRPr="00420881">
              <w:rPr>
                <w:i w:val="0"/>
                <w:iCs w:val="0"/>
              </w:rPr>
              <w:t>Design/Median duration of follow up</w:t>
            </w:r>
          </w:p>
        </w:tc>
        <w:tc>
          <w:tcPr>
            <w:tcW w:w="762" w:type="pct"/>
            <w:vAlign w:val="center"/>
          </w:tcPr>
          <w:p w14:paraId="1429AA39" w14:textId="77777777" w:rsidR="0081525E" w:rsidRPr="00420881" w:rsidRDefault="0081525E" w:rsidP="008241B5">
            <w:pPr>
              <w:pStyle w:val="In-tableHeading"/>
              <w:keepNext/>
              <w:jc w:val="center"/>
              <w:rPr>
                <w:i w:val="0"/>
                <w:iCs w:val="0"/>
              </w:rPr>
            </w:pPr>
            <w:r w:rsidRPr="00420881">
              <w:rPr>
                <w:i w:val="0"/>
                <w:iCs w:val="0"/>
              </w:rPr>
              <w:t>Risk of bias</w:t>
            </w:r>
          </w:p>
        </w:tc>
        <w:tc>
          <w:tcPr>
            <w:tcW w:w="836" w:type="pct"/>
            <w:vAlign w:val="center"/>
          </w:tcPr>
          <w:p w14:paraId="1D7400B6" w14:textId="77777777" w:rsidR="0081525E" w:rsidRPr="00420881" w:rsidRDefault="0081525E" w:rsidP="008241B5">
            <w:pPr>
              <w:pStyle w:val="In-tableHeading"/>
              <w:keepNext/>
              <w:jc w:val="center"/>
              <w:rPr>
                <w:i w:val="0"/>
                <w:iCs w:val="0"/>
              </w:rPr>
            </w:pPr>
            <w:r w:rsidRPr="00420881">
              <w:rPr>
                <w:i w:val="0"/>
                <w:iCs w:val="0"/>
              </w:rPr>
              <w:t>Patient population</w:t>
            </w:r>
          </w:p>
        </w:tc>
        <w:tc>
          <w:tcPr>
            <w:tcW w:w="761" w:type="pct"/>
            <w:vAlign w:val="center"/>
          </w:tcPr>
          <w:p w14:paraId="064BFBD8" w14:textId="77777777" w:rsidR="0081525E" w:rsidRPr="00420881" w:rsidRDefault="0081525E" w:rsidP="008241B5">
            <w:pPr>
              <w:pStyle w:val="In-tableHeading"/>
              <w:keepNext/>
              <w:jc w:val="center"/>
              <w:rPr>
                <w:i w:val="0"/>
                <w:iCs w:val="0"/>
              </w:rPr>
            </w:pPr>
            <w:r w:rsidRPr="00420881">
              <w:rPr>
                <w:i w:val="0"/>
                <w:iCs w:val="0"/>
              </w:rPr>
              <w:t>Outcome(s)</w:t>
            </w:r>
          </w:p>
        </w:tc>
        <w:tc>
          <w:tcPr>
            <w:tcW w:w="758" w:type="pct"/>
            <w:vAlign w:val="center"/>
          </w:tcPr>
          <w:p w14:paraId="2C094A03" w14:textId="77777777" w:rsidR="0081525E" w:rsidRPr="00420881" w:rsidRDefault="0081525E" w:rsidP="008241B5">
            <w:pPr>
              <w:pStyle w:val="In-tableHeading"/>
              <w:keepNext/>
              <w:jc w:val="center"/>
              <w:rPr>
                <w:i w:val="0"/>
                <w:iCs w:val="0"/>
              </w:rPr>
            </w:pPr>
            <w:r w:rsidRPr="00420881">
              <w:rPr>
                <w:i w:val="0"/>
                <w:iCs w:val="0"/>
              </w:rPr>
              <w:t>Use in modelled evaluation</w:t>
            </w:r>
          </w:p>
        </w:tc>
      </w:tr>
      <w:tr w:rsidR="0081525E" w:rsidRPr="002C7978" w14:paraId="5BA07903" w14:textId="77777777" w:rsidTr="00AB0985">
        <w:trPr>
          <w:cantSplit/>
        </w:trPr>
        <w:tc>
          <w:tcPr>
            <w:tcW w:w="5000" w:type="pct"/>
            <w:gridSpan w:val="7"/>
            <w:vAlign w:val="center"/>
          </w:tcPr>
          <w:p w14:paraId="0BE141A8" w14:textId="77777777" w:rsidR="0081525E" w:rsidRPr="002C7978" w:rsidRDefault="0081525E" w:rsidP="008241B5">
            <w:pPr>
              <w:pStyle w:val="In-tableHeading"/>
              <w:keepNext/>
              <w:rPr>
                <w:i w:val="0"/>
                <w:iCs w:val="0"/>
              </w:rPr>
            </w:pPr>
            <w:r w:rsidRPr="002C7978">
              <w:rPr>
                <w:i w:val="0"/>
                <w:iCs w:val="0"/>
              </w:rPr>
              <w:t>Trastuzumab deruxtecan (T-</w:t>
            </w:r>
            <w:proofErr w:type="spellStart"/>
            <w:r w:rsidRPr="002C7978">
              <w:rPr>
                <w:i w:val="0"/>
                <w:iCs w:val="0"/>
              </w:rPr>
              <w:t>DXd</w:t>
            </w:r>
            <w:proofErr w:type="spellEnd"/>
            <w:r w:rsidRPr="002C7978">
              <w:rPr>
                <w:i w:val="0"/>
                <w:iCs w:val="0"/>
              </w:rPr>
              <w:t>) vs. investigator’s choice of chemotherapy (ICC)</w:t>
            </w:r>
          </w:p>
        </w:tc>
      </w:tr>
      <w:tr w:rsidR="0081525E" w:rsidRPr="0098262F" w14:paraId="7335681E" w14:textId="77777777" w:rsidTr="00AB0985">
        <w:trPr>
          <w:cantSplit/>
        </w:trPr>
        <w:tc>
          <w:tcPr>
            <w:tcW w:w="389" w:type="pct"/>
            <w:vAlign w:val="center"/>
          </w:tcPr>
          <w:p w14:paraId="364F3DA9" w14:textId="77777777" w:rsidR="0081525E" w:rsidRPr="0098262F" w:rsidRDefault="0081525E" w:rsidP="008241B5">
            <w:pPr>
              <w:pStyle w:val="TableText0"/>
            </w:pPr>
            <w:r>
              <w:t>DB-06</w:t>
            </w:r>
          </w:p>
        </w:tc>
        <w:tc>
          <w:tcPr>
            <w:tcW w:w="394" w:type="pct"/>
            <w:vAlign w:val="center"/>
          </w:tcPr>
          <w:p w14:paraId="18FD4082" w14:textId="77777777" w:rsidR="0081525E" w:rsidRDefault="0081525E" w:rsidP="008241B5">
            <w:pPr>
              <w:pStyle w:val="TableText0"/>
              <w:jc w:val="center"/>
            </w:pPr>
            <w:r>
              <w:t>ITT</w:t>
            </w:r>
          </w:p>
          <w:p w14:paraId="46A072F9" w14:textId="77777777" w:rsidR="0081525E" w:rsidRPr="0098262F" w:rsidRDefault="0081525E" w:rsidP="008241B5">
            <w:pPr>
              <w:pStyle w:val="TableText0"/>
              <w:jc w:val="center"/>
            </w:pPr>
            <w:r>
              <w:t>866</w:t>
            </w:r>
          </w:p>
        </w:tc>
        <w:tc>
          <w:tcPr>
            <w:tcW w:w="1100" w:type="pct"/>
            <w:vAlign w:val="center"/>
          </w:tcPr>
          <w:p w14:paraId="146799B2" w14:textId="77777777" w:rsidR="0081525E" w:rsidRDefault="0081525E" w:rsidP="008241B5">
            <w:pPr>
              <w:pStyle w:val="TableText0"/>
              <w:jc w:val="center"/>
            </w:pPr>
            <w:r w:rsidRPr="0098262F">
              <w:t xml:space="preserve">R, </w:t>
            </w:r>
            <w:proofErr w:type="spellStart"/>
            <w:r>
              <w:t>OL</w:t>
            </w:r>
            <w:r>
              <w:rPr>
                <w:vertAlign w:val="superscript"/>
              </w:rPr>
              <w:t>a</w:t>
            </w:r>
            <w:proofErr w:type="spellEnd"/>
            <w:r>
              <w:t>, MC</w:t>
            </w:r>
          </w:p>
          <w:p w14:paraId="657FEFF8" w14:textId="77777777" w:rsidR="0081525E" w:rsidRPr="0098262F" w:rsidRDefault="0081525E" w:rsidP="008241B5">
            <w:pPr>
              <w:pStyle w:val="TableText0"/>
              <w:jc w:val="center"/>
            </w:pPr>
            <w:r>
              <w:t>Treatment until disease progression/unacceptable toxicity.</w:t>
            </w:r>
          </w:p>
          <w:p w14:paraId="7825E0AC" w14:textId="77777777" w:rsidR="0081525E" w:rsidRDefault="0081525E" w:rsidP="008241B5">
            <w:pPr>
              <w:pStyle w:val="TableText0"/>
              <w:jc w:val="center"/>
            </w:pPr>
            <w:r w:rsidRPr="00FE4EF3">
              <w:rPr>
                <w:u w:val="single"/>
              </w:rPr>
              <w:t>IA1</w:t>
            </w:r>
            <w:r>
              <w:t>:</w:t>
            </w:r>
          </w:p>
          <w:p w14:paraId="60290FAF" w14:textId="77777777" w:rsidR="0081525E" w:rsidRDefault="0081525E" w:rsidP="008241B5">
            <w:pPr>
              <w:pStyle w:val="TableText0"/>
              <w:jc w:val="center"/>
            </w:pPr>
            <w:r>
              <w:t>T-</w:t>
            </w:r>
            <w:proofErr w:type="spellStart"/>
            <w:r>
              <w:t>DXd</w:t>
            </w:r>
            <w:proofErr w:type="spellEnd"/>
            <w:r>
              <w:t xml:space="preserve"> 18.6 months</w:t>
            </w:r>
          </w:p>
          <w:p w14:paraId="224B8751" w14:textId="77777777" w:rsidR="0081525E" w:rsidRDefault="0081525E" w:rsidP="008241B5">
            <w:pPr>
              <w:pStyle w:val="TableText0"/>
              <w:jc w:val="center"/>
            </w:pPr>
            <w:r>
              <w:t>ICC 17.8 months</w:t>
            </w:r>
          </w:p>
          <w:p w14:paraId="4692E0A1" w14:textId="77777777" w:rsidR="0081525E" w:rsidRDefault="0081525E" w:rsidP="008241B5">
            <w:pPr>
              <w:pStyle w:val="TableText0"/>
              <w:jc w:val="center"/>
            </w:pPr>
            <w:r w:rsidRPr="00FE4EF3">
              <w:rPr>
                <w:u w:val="single"/>
              </w:rPr>
              <w:t>IA</w:t>
            </w:r>
            <w:r>
              <w:rPr>
                <w:u w:val="single"/>
              </w:rPr>
              <w:t>2</w:t>
            </w:r>
            <w:r>
              <w:t>:</w:t>
            </w:r>
          </w:p>
          <w:p w14:paraId="0BC04ECB" w14:textId="77777777" w:rsidR="0081525E" w:rsidRDefault="0081525E" w:rsidP="008241B5">
            <w:pPr>
              <w:pStyle w:val="TableText0"/>
              <w:jc w:val="center"/>
            </w:pPr>
            <w:r>
              <w:t>T-</w:t>
            </w:r>
            <w:proofErr w:type="spellStart"/>
            <w:r>
              <w:t>DXd</w:t>
            </w:r>
            <w:proofErr w:type="spellEnd"/>
            <w:r>
              <w:t xml:space="preserve"> 27.6 months</w:t>
            </w:r>
          </w:p>
          <w:p w14:paraId="6B9B6E1A" w14:textId="77777777" w:rsidR="0081525E" w:rsidRPr="0098262F" w:rsidRDefault="0081525E" w:rsidP="008241B5">
            <w:pPr>
              <w:pStyle w:val="TableText0"/>
              <w:jc w:val="center"/>
            </w:pPr>
            <w:r>
              <w:t>ICC 25.0 months</w:t>
            </w:r>
          </w:p>
        </w:tc>
        <w:tc>
          <w:tcPr>
            <w:tcW w:w="762" w:type="pct"/>
            <w:vAlign w:val="center"/>
          </w:tcPr>
          <w:p w14:paraId="44DBC9AA" w14:textId="77777777" w:rsidR="0081525E" w:rsidRPr="00E54B60" w:rsidRDefault="0081525E" w:rsidP="008241B5">
            <w:pPr>
              <w:pStyle w:val="TableText0"/>
              <w:jc w:val="center"/>
              <w:rPr>
                <w:iCs/>
              </w:rPr>
            </w:pPr>
            <w:r w:rsidRPr="00E54B60">
              <w:rPr>
                <w:iCs/>
              </w:rPr>
              <w:t>Low for OS</w:t>
            </w:r>
          </w:p>
          <w:p w14:paraId="74772A52" w14:textId="6323C4DC" w:rsidR="0081525E" w:rsidRPr="00E54B60" w:rsidRDefault="0081525E" w:rsidP="008241B5">
            <w:pPr>
              <w:pStyle w:val="TableText0"/>
              <w:jc w:val="center"/>
              <w:rPr>
                <w:iCs/>
              </w:rPr>
            </w:pPr>
            <w:r w:rsidRPr="00E54B60">
              <w:rPr>
                <w:iCs/>
              </w:rPr>
              <w:t xml:space="preserve">High for PFS </w:t>
            </w:r>
          </w:p>
          <w:p w14:paraId="1A9F6F12" w14:textId="77777777" w:rsidR="0081525E" w:rsidRPr="00E54B60" w:rsidRDefault="0081525E" w:rsidP="008241B5">
            <w:pPr>
              <w:pStyle w:val="TableText0"/>
              <w:jc w:val="center"/>
              <w:rPr>
                <w:iCs/>
              </w:rPr>
            </w:pPr>
            <w:r w:rsidRPr="00E54B60">
              <w:rPr>
                <w:iCs/>
              </w:rPr>
              <w:t>High for QoL</w:t>
            </w:r>
          </w:p>
          <w:p w14:paraId="7174D2F0" w14:textId="77777777" w:rsidR="0081525E" w:rsidRPr="0098262F" w:rsidRDefault="0081525E" w:rsidP="008241B5">
            <w:pPr>
              <w:pStyle w:val="TableText0"/>
              <w:jc w:val="center"/>
              <w:rPr>
                <w:i/>
              </w:rPr>
            </w:pPr>
            <w:r w:rsidRPr="00E54B60">
              <w:rPr>
                <w:iCs/>
              </w:rPr>
              <w:t>High for safety</w:t>
            </w:r>
          </w:p>
        </w:tc>
        <w:tc>
          <w:tcPr>
            <w:tcW w:w="836" w:type="pct"/>
            <w:vAlign w:val="center"/>
          </w:tcPr>
          <w:p w14:paraId="29CD3361" w14:textId="48BF6AE8" w:rsidR="0081525E" w:rsidRPr="0098262F" w:rsidRDefault="0081525E" w:rsidP="008241B5">
            <w:pPr>
              <w:pStyle w:val="TableText0"/>
              <w:jc w:val="center"/>
            </w:pPr>
            <w:r w:rsidRPr="00FE4EF3">
              <w:t xml:space="preserve">HR+/HER2- </w:t>
            </w:r>
            <w:r w:rsidR="00E05707">
              <w:t>m</w:t>
            </w:r>
            <w:r w:rsidRPr="00FE4EF3">
              <w:t xml:space="preserve">BC with prior </w:t>
            </w:r>
            <w:r>
              <w:t>ET and/or CDK4/6i therapy and not suitable for further ET</w:t>
            </w:r>
          </w:p>
        </w:tc>
        <w:tc>
          <w:tcPr>
            <w:tcW w:w="761" w:type="pct"/>
            <w:vAlign w:val="center"/>
          </w:tcPr>
          <w:p w14:paraId="4038E32F" w14:textId="77777777" w:rsidR="0081525E" w:rsidRDefault="0081525E" w:rsidP="008241B5">
            <w:pPr>
              <w:pStyle w:val="TableText0"/>
              <w:jc w:val="center"/>
            </w:pPr>
            <w:r w:rsidRPr="00BD005E">
              <w:rPr>
                <w:u w:val="single"/>
              </w:rPr>
              <w:t>Primary endpoint</w:t>
            </w:r>
            <w:r>
              <w:t>: PFS by BICR</w:t>
            </w:r>
          </w:p>
          <w:p w14:paraId="61705ED5" w14:textId="77777777" w:rsidR="0081525E" w:rsidRDefault="0081525E" w:rsidP="008241B5">
            <w:pPr>
              <w:pStyle w:val="TableText0"/>
              <w:jc w:val="center"/>
            </w:pPr>
          </w:p>
          <w:p w14:paraId="2EF30CA3" w14:textId="77777777" w:rsidR="0081525E" w:rsidRDefault="0081525E" w:rsidP="008241B5">
            <w:pPr>
              <w:pStyle w:val="TableText0"/>
              <w:jc w:val="center"/>
            </w:pPr>
            <w:r w:rsidRPr="00BD005E">
              <w:rPr>
                <w:u w:val="single"/>
              </w:rPr>
              <w:t>Secondary endpoints</w:t>
            </w:r>
            <w:r>
              <w:t>:</w:t>
            </w:r>
          </w:p>
          <w:p w14:paraId="3D389B56" w14:textId="77777777" w:rsidR="0081525E" w:rsidRDefault="0081525E" w:rsidP="008241B5">
            <w:pPr>
              <w:pStyle w:val="TableText0"/>
              <w:jc w:val="center"/>
            </w:pPr>
            <w:r>
              <w:t xml:space="preserve">OS, ORR, DOR, </w:t>
            </w:r>
          </w:p>
          <w:p w14:paraId="3FAC0F14" w14:textId="77777777" w:rsidR="0081525E" w:rsidRDefault="0081525E" w:rsidP="008241B5">
            <w:pPr>
              <w:pStyle w:val="TableText0"/>
              <w:jc w:val="center"/>
            </w:pPr>
            <w:r>
              <w:t>PRO</w:t>
            </w:r>
          </w:p>
          <w:p w14:paraId="46CB4E21" w14:textId="77777777" w:rsidR="0081525E" w:rsidRPr="0098262F" w:rsidRDefault="0081525E" w:rsidP="008241B5">
            <w:pPr>
              <w:pStyle w:val="TableText0"/>
              <w:jc w:val="center"/>
            </w:pPr>
            <w:r>
              <w:t>Safety</w:t>
            </w:r>
          </w:p>
        </w:tc>
        <w:tc>
          <w:tcPr>
            <w:tcW w:w="758" w:type="pct"/>
            <w:vAlign w:val="center"/>
          </w:tcPr>
          <w:p w14:paraId="008115FE" w14:textId="77777777" w:rsidR="0081525E" w:rsidRPr="0098262F" w:rsidRDefault="0081525E" w:rsidP="008241B5">
            <w:pPr>
              <w:pStyle w:val="TableText0"/>
              <w:jc w:val="center"/>
            </w:pPr>
            <w:r>
              <w:t>PFS, OS, safety</w:t>
            </w:r>
          </w:p>
        </w:tc>
      </w:tr>
    </w:tbl>
    <w:p w14:paraId="62E8459A" w14:textId="77777777" w:rsidR="0081525E" w:rsidRPr="0098262F" w:rsidRDefault="0081525E" w:rsidP="008241B5">
      <w:pPr>
        <w:pStyle w:val="FooterTableFigure"/>
        <w:keepNext/>
      </w:pPr>
      <w:r w:rsidRPr="0098262F">
        <w:t>Source:</w:t>
      </w:r>
      <w:r>
        <w:t xml:space="preserve"> Sections 2.3 -2.4 of the submission and interim analyses reports accompanying the submission.</w:t>
      </w:r>
    </w:p>
    <w:p w14:paraId="03C31052" w14:textId="6804F562" w:rsidR="0081525E" w:rsidRDefault="0081525E" w:rsidP="008241B5">
      <w:pPr>
        <w:pStyle w:val="FooterTableFigure"/>
        <w:keepNext/>
      </w:pPr>
      <w:r>
        <w:t xml:space="preserve">BICR = Blinded Independent Central Review; </w:t>
      </w:r>
      <w:r w:rsidR="00AB0985">
        <w:t xml:space="preserve">CDK = </w:t>
      </w:r>
      <w:r w:rsidR="00AB0985" w:rsidRPr="00AB0985">
        <w:t>cyclin-dependent kinase</w:t>
      </w:r>
      <w:r w:rsidR="00AB0985">
        <w:t xml:space="preserve">; </w:t>
      </w:r>
      <w:r w:rsidRPr="0098262F">
        <w:t xml:space="preserve">DB = double blind; </w:t>
      </w:r>
      <w:r>
        <w:t xml:space="preserve">DCO = data cutoff; </w:t>
      </w:r>
      <w:r w:rsidRPr="00CD1837">
        <w:t>DOR = duration of response</w:t>
      </w:r>
      <w:r>
        <w:t xml:space="preserve">; ET = endocrine therapy; IA = Interim Analysis; ITT = intention to treat; </w:t>
      </w:r>
      <w:r w:rsidR="00E05707">
        <w:t xml:space="preserve">mBC = metastatic breast cancer; </w:t>
      </w:r>
      <w:r w:rsidRPr="0098262F">
        <w:t>MC = multi-centre; OL = open</w:t>
      </w:r>
      <w:r w:rsidR="00246A8F">
        <w:t>-</w:t>
      </w:r>
      <w:r w:rsidRPr="0098262F">
        <w:t>label; OS = overall survival; PFS = progression-free survival;</w:t>
      </w:r>
      <w:r>
        <w:t xml:space="preserve"> </w:t>
      </w:r>
      <w:r w:rsidRPr="00CD1837">
        <w:t>PRO = patient reported outcomes</w:t>
      </w:r>
      <w:r>
        <w:t xml:space="preserve">; QoL = quality of life; </w:t>
      </w:r>
      <w:r w:rsidRPr="0098262F">
        <w:t>R = randomised.</w:t>
      </w:r>
    </w:p>
    <w:p w14:paraId="6D55D86D" w14:textId="5A6A6F19" w:rsidR="0081525E" w:rsidRDefault="0081525E" w:rsidP="008241B5">
      <w:pPr>
        <w:pStyle w:val="FooterTableFigure"/>
        <w:keepNext/>
      </w:pPr>
      <w:r>
        <w:rPr>
          <w:vertAlign w:val="superscript"/>
        </w:rPr>
        <w:t>a</w:t>
      </w:r>
      <w:r w:rsidR="00587F2B">
        <w:rPr>
          <w:vertAlign w:val="superscript"/>
        </w:rPr>
        <w:t xml:space="preserve"> </w:t>
      </w:r>
      <w:r>
        <w:t>Sponsor was ‘blinded’ to allocation.</w:t>
      </w:r>
    </w:p>
    <w:p w14:paraId="115CC81C" w14:textId="77777777" w:rsidR="0081525E" w:rsidRDefault="0081525E" w:rsidP="008241B5">
      <w:pPr>
        <w:pStyle w:val="FooterTableFigure"/>
        <w:keepNext/>
      </w:pPr>
      <w:r>
        <w:t>IA1: DCO March 2024</w:t>
      </w:r>
    </w:p>
    <w:p w14:paraId="2F758D0D" w14:textId="77777777" w:rsidR="0081525E" w:rsidRPr="0098262F" w:rsidRDefault="0081525E" w:rsidP="008241B5">
      <w:pPr>
        <w:pStyle w:val="FooterTableFigure"/>
        <w:keepNext/>
        <w:rPr>
          <w:sz w:val="20"/>
        </w:rPr>
      </w:pPr>
      <w:r>
        <w:t>IA2: DCO March 2025</w:t>
      </w:r>
    </w:p>
    <w:p w14:paraId="4BB0EC03" w14:textId="77777777" w:rsidR="0081525E" w:rsidRPr="00904162" w:rsidRDefault="0081525E" w:rsidP="008241B5">
      <w:pPr>
        <w:pStyle w:val="3-BodyText"/>
      </w:pPr>
      <w:r w:rsidRPr="00904162">
        <w:t>DB-06 was an open-label trial for personnel at study sites, but the study was described as ‘sponsor blind’</w:t>
      </w:r>
      <w:r w:rsidRPr="00904162">
        <w:rPr>
          <w:rStyle w:val="FootnoteReference"/>
        </w:rPr>
        <w:footnoteReference w:id="19"/>
      </w:r>
      <w:r w:rsidRPr="00904162">
        <w:t>. The risk of bias remains high for investigator assessed PFS, quality of life (QoL) outcomes, and safety.</w:t>
      </w:r>
    </w:p>
    <w:p w14:paraId="5D5B0315" w14:textId="232FB4CE" w:rsidR="0081525E" w:rsidRPr="00904162" w:rsidRDefault="0081525E" w:rsidP="008241B5">
      <w:pPr>
        <w:pStyle w:val="3-BodyText"/>
      </w:pPr>
      <w:r w:rsidRPr="00904162">
        <w:t xml:space="preserve">Results for two data cutoffs (DCOs) were available in the </w:t>
      </w:r>
      <w:r w:rsidR="00E1605A" w:rsidRPr="00904162">
        <w:t>clinical stud</w:t>
      </w:r>
      <w:r w:rsidR="00D743E2">
        <w:t>y</w:t>
      </w:r>
      <w:r w:rsidR="00E1605A" w:rsidRPr="00904162">
        <w:t xml:space="preserve"> reports (</w:t>
      </w:r>
      <w:r w:rsidRPr="00904162">
        <w:t>CSRs</w:t>
      </w:r>
      <w:r w:rsidR="00E1605A" w:rsidRPr="00904162">
        <w:t>)</w:t>
      </w:r>
      <w:r w:rsidRPr="00904162">
        <w:t xml:space="preserve"> accompanying the </w:t>
      </w:r>
      <w:r w:rsidR="00E1605A" w:rsidRPr="00904162">
        <w:t xml:space="preserve">main </w:t>
      </w:r>
      <w:r w:rsidRPr="00904162">
        <w:t xml:space="preserve">submission. Interim analysis 1 (IA1) based on the March 2024 </w:t>
      </w:r>
      <w:r w:rsidR="00E1605A" w:rsidRPr="00904162">
        <w:t>DCO</w:t>
      </w:r>
      <w:r w:rsidRPr="00904162">
        <w:t xml:space="preserve"> and Interim analysis 2 (IA2) based on the March 2025 </w:t>
      </w:r>
      <w:r w:rsidR="00E1605A" w:rsidRPr="00904162">
        <w:t>DCO</w:t>
      </w:r>
      <w:r w:rsidRPr="00904162">
        <w:t>.</w:t>
      </w:r>
    </w:p>
    <w:p w14:paraId="07922E39" w14:textId="19FE28B9" w:rsidR="0081525E" w:rsidRPr="00904162" w:rsidRDefault="0081525E" w:rsidP="008241B5">
      <w:pPr>
        <w:pStyle w:val="3-BodyText"/>
      </w:pPr>
      <w:r w:rsidRPr="00904162">
        <w:t>Although DB-06 enrolled both HER2</w:t>
      </w:r>
      <w:r w:rsidR="003025DE" w:rsidRPr="00904162">
        <w:t>-</w:t>
      </w:r>
      <w:r w:rsidRPr="00904162">
        <w:t>low and HER2</w:t>
      </w:r>
      <w:r w:rsidR="003025DE" w:rsidRPr="00904162">
        <w:t>-</w:t>
      </w:r>
      <w:r w:rsidRPr="00904162">
        <w:t>ultralow BC patients</w:t>
      </w:r>
      <w:r w:rsidR="006D3CDB" w:rsidRPr="00904162">
        <w:t xml:space="preserve"> (one of the stratification factors)</w:t>
      </w:r>
      <w:r w:rsidRPr="00904162">
        <w:t>, the primary analysis per the DB-06 protocol was based on PFS as assessed by blinded independent central review (BICR) in the HER2-low subgroup (~82% of the intention to treat [ITT] population). As the proposed target population consists of both HER2-low and HER2</w:t>
      </w:r>
      <w:r w:rsidR="003025DE" w:rsidRPr="00904162">
        <w:t>-</w:t>
      </w:r>
      <w:r w:rsidRPr="00904162">
        <w:t xml:space="preserve">ultralow BC patients, and the relevant outcome is OS, OS in the ITT population for the more recent </w:t>
      </w:r>
      <w:r w:rsidR="003025DE" w:rsidRPr="00904162">
        <w:t>DCO</w:t>
      </w:r>
      <w:r w:rsidR="00984B0B" w:rsidRPr="00984B0B">
        <w:t xml:space="preserve"> </w:t>
      </w:r>
      <w:r w:rsidR="00984B0B">
        <w:t>is the most</w:t>
      </w:r>
      <w:r w:rsidR="00984B0B" w:rsidRPr="00904162">
        <w:t xml:space="preserve"> informative analysis</w:t>
      </w:r>
      <w:r w:rsidRPr="00904162">
        <w:t xml:space="preserve">. </w:t>
      </w:r>
    </w:p>
    <w:p w14:paraId="0E040246" w14:textId="6034CA96" w:rsidR="0081525E" w:rsidRPr="00904162" w:rsidRDefault="0081525E" w:rsidP="008241B5">
      <w:pPr>
        <w:pStyle w:val="3-BodyText"/>
      </w:pPr>
      <w:r w:rsidRPr="00904162">
        <w:t xml:space="preserve">Inclusion criteria </w:t>
      </w:r>
      <w:r w:rsidR="003025DE" w:rsidRPr="00904162">
        <w:t xml:space="preserve">of the clinical trial </w:t>
      </w:r>
      <w:r w:rsidRPr="00904162">
        <w:t xml:space="preserve">included disease progression on ET + CDK4/6i within 6 months of starting first-line treatment for metastatic disease and considered appropriate for chemotherapy as the next treatment by the investigator (i.e., primary </w:t>
      </w:r>
      <w:r w:rsidR="003025DE" w:rsidRPr="00904162">
        <w:t>ET</w:t>
      </w:r>
      <w:r w:rsidRPr="00904162">
        <w:t xml:space="preserve"> resistance) or disease progression on at least 2 previous lines of ET (with or without a targeted therapy) in the metastatic setting.</w:t>
      </w:r>
      <w:r w:rsidR="00D96754">
        <w:t xml:space="preserve"> </w:t>
      </w:r>
      <w:r w:rsidR="00D96754" w:rsidRPr="00B13CE3">
        <w:rPr>
          <w:iCs/>
        </w:rPr>
        <w:t>Disease recurrence while o</w:t>
      </w:r>
      <w:r w:rsidR="005C7C40" w:rsidRPr="00B13CE3">
        <w:rPr>
          <w:iCs/>
        </w:rPr>
        <w:t xml:space="preserve">n the first 24 months of starting adjuvant ET was considered a line of therapy and these patients only required </w:t>
      </w:r>
      <w:r w:rsidR="00754B13" w:rsidRPr="00B13CE3">
        <w:rPr>
          <w:iCs/>
        </w:rPr>
        <w:t>1 line of ET in the metastatic setting.</w:t>
      </w:r>
    </w:p>
    <w:p w14:paraId="4AD7E86F" w14:textId="46C22ADD" w:rsidR="0081525E" w:rsidRPr="00904162" w:rsidRDefault="0081525E" w:rsidP="008241B5">
      <w:pPr>
        <w:pStyle w:val="3-BodyText"/>
      </w:pPr>
      <w:r w:rsidRPr="00904162">
        <w:lastRenderedPageBreak/>
        <w:t>An applicability issue is that only 34% of patients in the ICC comparator arm</w:t>
      </w:r>
      <w:r w:rsidR="003025DE" w:rsidRPr="00904162">
        <w:t xml:space="preserve"> who received subsequent anti-cancer therapies </w:t>
      </w:r>
      <w:r w:rsidRPr="00904162">
        <w:t xml:space="preserve">went on to receive </w:t>
      </w:r>
      <w:r w:rsidR="00864725">
        <w:t>T-</w:t>
      </w:r>
      <w:proofErr w:type="spellStart"/>
      <w:r w:rsidR="00864725">
        <w:t>DXd</w:t>
      </w:r>
      <w:proofErr w:type="spellEnd"/>
      <w:r w:rsidR="009C6C3F" w:rsidRPr="00904162">
        <w:t>. Given the current PBS listing of T-</w:t>
      </w:r>
      <w:proofErr w:type="spellStart"/>
      <w:r w:rsidR="009C6C3F" w:rsidRPr="00904162">
        <w:t>DXd</w:t>
      </w:r>
      <w:proofErr w:type="spellEnd"/>
      <w:r w:rsidR="009C6C3F" w:rsidRPr="00904162">
        <w:t xml:space="preserve"> for later line use</w:t>
      </w:r>
      <w:r w:rsidR="00CC6F1A">
        <w:t xml:space="preserve"> in HER2-low patients</w:t>
      </w:r>
      <w:r w:rsidR="009C6C3F" w:rsidRPr="00904162">
        <w:t>, use of T-</w:t>
      </w:r>
      <w:proofErr w:type="spellStart"/>
      <w:r w:rsidR="009C6C3F" w:rsidRPr="00904162">
        <w:t>DXd</w:t>
      </w:r>
      <w:proofErr w:type="spellEnd"/>
      <w:r w:rsidR="009C6C3F" w:rsidRPr="00904162">
        <w:t xml:space="preserve"> following progression in the ICC arm of the trial may be low compared with clinical practice</w:t>
      </w:r>
      <w:r w:rsidR="00D73073" w:rsidRPr="00904162">
        <w:t>. The submission attempted to address this issue in the economic evaluation.</w:t>
      </w:r>
    </w:p>
    <w:p w14:paraId="15CD9EA4" w14:textId="77777777" w:rsidR="0081525E" w:rsidRPr="0098262F" w:rsidRDefault="0081525E" w:rsidP="008241B5">
      <w:pPr>
        <w:pStyle w:val="FooterTableFigure"/>
        <w:rPr>
          <w:szCs w:val="18"/>
        </w:rPr>
      </w:pPr>
    </w:p>
    <w:p w14:paraId="0C4BBB72" w14:textId="77777777" w:rsidR="0081525E" w:rsidRPr="0098262F" w:rsidRDefault="0081525E" w:rsidP="008241B5">
      <w:pPr>
        <w:pStyle w:val="4-SubsectionHeading"/>
      </w:pPr>
      <w:bookmarkStart w:id="19" w:name="_Toc22897641"/>
      <w:bookmarkStart w:id="20" w:name="_Toc202884175"/>
      <w:bookmarkStart w:id="21" w:name="_Toc219893552"/>
      <w:r w:rsidRPr="0098262F">
        <w:t>Comparative effectiveness</w:t>
      </w:r>
      <w:bookmarkEnd w:id="19"/>
      <w:bookmarkEnd w:id="20"/>
      <w:bookmarkEnd w:id="21"/>
    </w:p>
    <w:p w14:paraId="5062AAED" w14:textId="4CC7AAEE" w:rsidR="0081525E" w:rsidRDefault="0081525E" w:rsidP="008241B5">
      <w:pPr>
        <w:pStyle w:val="3-BodyText"/>
      </w:pPr>
      <w:r>
        <w:fldChar w:fldCharType="begin"/>
      </w:r>
      <w:r>
        <w:instrText xml:space="preserve"> REF _Ref218519722 \h </w:instrText>
      </w:r>
      <w:r>
        <w:fldChar w:fldCharType="separate"/>
      </w:r>
      <w:r w:rsidR="005D3E29">
        <w:t xml:space="preserve">Table </w:t>
      </w:r>
      <w:r w:rsidR="005D3E29">
        <w:rPr>
          <w:noProof/>
        </w:rPr>
        <w:t>4</w:t>
      </w:r>
      <w:r>
        <w:fldChar w:fldCharType="end"/>
      </w:r>
      <w:r>
        <w:t xml:space="preserve"> </w:t>
      </w:r>
      <w:r w:rsidRPr="00673928">
        <w:t xml:space="preserve">summarises the </w:t>
      </w:r>
      <w:r>
        <w:t xml:space="preserve">pre-specified </w:t>
      </w:r>
      <w:r w:rsidRPr="00673928">
        <w:t>primary analysis of PFS by BICR in the HER2-low subgroup (82.3% of the ITT population)</w:t>
      </w:r>
      <w:r>
        <w:t xml:space="preserve">. The corresponding Kaplan-Meier (KM) curves are presented in </w:t>
      </w:r>
      <w:r>
        <w:fldChar w:fldCharType="begin"/>
      </w:r>
      <w:r>
        <w:instrText xml:space="preserve"> REF _Ref218519950 \h </w:instrText>
      </w:r>
      <w:r>
        <w:fldChar w:fldCharType="separate"/>
      </w:r>
      <w:r w:rsidR="005D3E29">
        <w:t xml:space="preserve">Figure </w:t>
      </w:r>
      <w:r w:rsidR="005D3E29">
        <w:rPr>
          <w:noProof/>
        </w:rPr>
        <w:t>1</w:t>
      </w:r>
      <w:r>
        <w:fldChar w:fldCharType="end"/>
      </w:r>
      <w:r>
        <w:t>.</w:t>
      </w:r>
    </w:p>
    <w:p w14:paraId="74442DDF" w14:textId="7003A08E" w:rsidR="0081525E" w:rsidRPr="00F06897" w:rsidRDefault="0081525E" w:rsidP="008241B5">
      <w:pPr>
        <w:pStyle w:val="Caption"/>
        <w:rPr>
          <w:b w:val="0"/>
          <w:iCs/>
          <w:color w:val="000000" w:themeColor="text1"/>
        </w:rPr>
      </w:pPr>
      <w:bookmarkStart w:id="22" w:name="_Ref218519722"/>
      <w:r>
        <w:t xml:space="preserve">Table </w:t>
      </w:r>
      <w:fldSimple w:instr=" SEQ Table \* ARABIC ">
        <w:r w:rsidR="005D3E29">
          <w:rPr>
            <w:noProof/>
          </w:rPr>
          <w:t>4</w:t>
        </w:r>
      </w:fldSimple>
      <w:bookmarkEnd w:id="22"/>
      <w:r>
        <w:t xml:space="preserve">: </w:t>
      </w:r>
      <w:r w:rsidRPr="00F06897">
        <w:rPr>
          <w:iCs/>
          <w:color w:val="000000" w:themeColor="text1"/>
        </w:rPr>
        <w:t>PFS by BICR in the HER2-low population</w:t>
      </w:r>
      <w:r>
        <w:rPr>
          <w:iCs/>
          <w:color w:val="000000" w:themeColor="text1"/>
        </w:rPr>
        <w:t xml:space="preserve"> (IA1 - pre-specified primary analysis in the DB-06 trial)</w:t>
      </w:r>
    </w:p>
    <w:tbl>
      <w:tblPr>
        <w:tblStyle w:val="AZTable"/>
        <w:tblW w:w="5000" w:type="pct"/>
        <w:tblLook w:val="04A0" w:firstRow="1" w:lastRow="0" w:firstColumn="1" w:lastColumn="0" w:noHBand="0" w:noVBand="1"/>
        <w:tblCaption w:val="Table 4: PFS by BICR in the HER2-low population (IA1 - pre-specified primary analysis in the DB-06 trial)"/>
      </w:tblPr>
      <w:tblGrid>
        <w:gridCol w:w="3681"/>
        <w:gridCol w:w="2552"/>
        <w:gridCol w:w="2784"/>
      </w:tblGrid>
      <w:tr w:rsidR="0081525E" w:rsidRPr="00F06897" w14:paraId="287D139E" w14:textId="77777777" w:rsidTr="00F61D5A">
        <w:trPr>
          <w:cnfStyle w:val="100000000000" w:firstRow="1" w:lastRow="0" w:firstColumn="0" w:lastColumn="0" w:oddVBand="0" w:evenVBand="0" w:oddHBand="0" w:evenHBand="0" w:firstRowFirstColumn="0" w:firstRowLastColumn="0" w:lastRowFirstColumn="0" w:lastRowLastColumn="0"/>
          <w:cantSplit/>
          <w:tblHeader/>
        </w:trPr>
        <w:tc>
          <w:tcPr>
            <w:tcW w:w="2041" w:type="pct"/>
          </w:tcPr>
          <w:p w14:paraId="76A0B3CD" w14:textId="77777777" w:rsidR="0081525E" w:rsidRPr="00F06897" w:rsidRDefault="0081525E" w:rsidP="008241B5">
            <w:pPr>
              <w:keepNext/>
              <w:keepLines/>
              <w:rPr>
                <w:rFonts w:ascii="Arial Narrow" w:eastAsiaTheme="majorEastAsia" w:hAnsi="Arial Narrow"/>
                <w:b/>
                <w:sz w:val="20"/>
                <w:szCs w:val="20"/>
                <w:lang w:eastAsia="en-AU" w:bidi="en-US"/>
              </w:rPr>
            </w:pPr>
          </w:p>
        </w:tc>
        <w:tc>
          <w:tcPr>
            <w:tcW w:w="1415" w:type="pct"/>
            <w:hideMark/>
          </w:tcPr>
          <w:p w14:paraId="0E1EBFFA" w14:textId="77777777" w:rsidR="0081525E" w:rsidRPr="00F06897" w:rsidRDefault="0081525E" w:rsidP="008241B5">
            <w:pPr>
              <w:keepNext/>
              <w:keepLines/>
              <w:jc w:val="center"/>
              <w:rPr>
                <w:rFonts w:ascii="Arial Narrow" w:eastAsiaTheme="majorEastAsia" w:hAnsi="Arial Narrow"/>
                <w:b/>
                <w:sz w:val="20"/>
                <w:szCs w:val="20"/>
                <w:lang w:eastAsia="en-AU" w:bidi="en-US"/>
              </w:rPr>
            </w:pPr>
            <w:r w:rsidRPr="00F06897">
              <w:rPr>
                <w:rFonts w:ascii="Arial Narrow" w:eastAsiaTheme="majorEastAsia" w:hAnsi="Arial Narrow"/>
                <w:b/>
                <w:sz w:val="20"/>
                <w:szCs w:val="20"/>
                <w:lang w:eastAsia="en-AU" w:bidi="en-US"/>
              </w:rPr>
              <w:t>T-</w:t>
            </w:r>
            <w:proofErr w:type="spellStart"/>
            <w:r w:rsidRPr="00F06897">
              <w:rPr>
                <w:rFonts w:ascii="Arial Narrow" w:eastAsiaTheme="majorEastAsia" w:hAnsi="Arial Narrow"/>
                <w:b/>
                <w:sz w:val="20"/>
                <w:szCs w:val="20"/>
                <w:lang w:eastAsia="en-AU" w:bidi="en-US"/>
              </w:rPr>
              <w:t>DXd</w:t>
            </w:r>
            <w:proofErr w:type="spellEnd"/>
          </w:p>
          <w:p w14:paraId="4CB7A114" w14:textId="4C3431BC" w:rsidR="0081525E" w:rsidRPr="00F06897" w:rsidRDefault="0042389B" w:rsidP="008241B5">
            <w:pPr>
              <w:keepNext/>
              <w:keepLines/>
              <w:jc w:val="center"/>
              <w:rPr>
                <w:rFonts w:ascii="Arial Narrow" w:eastAsiaTheme="majorEastAsia" w:hAnsi="Arial Narrow"/>
                <w:b/>
                <w:sz w:val="20"/>
                <w:szCs w:val="20"/>
                <w:lang w:eastAsia="en-AU" w:bidi="en-US"/>
              </w:rPr>
            </w:pPr>
            <w:r>
              <w:rPr>
                <w:rFonts w:ascii="Arial Narrow" w:eastAsiaTheme="majorEastAsia" w:hAnsi="Arial Narrow"/>
                <w:b/>
                <w:sz w:val="20"/>
                <w:szCs w:val="20"/>
                <w:lang w:eastAsia="en-AU" w:bidi="en-US"/>
              </w:rPr>
              <w:t>(</w:t>
            </w:r>
            <w:r w:rsidR="0081525E" w:rsidRPr="00F06897">
              <w:rPr>
                <w:rFonts w:ascii="Arial Narrow" w:eastAsiaTheme="majorEastAsia" w:hAnsi="Arial Narrow"/>
                <w:b/>
                <w:sz w:val="20"/>
                <w:szCs w:val="20"/>
                <w:lang w:eastAsia="en-AU" w:bidi="en-US"/>
              </w:rPr>
              <w:t>N=359</w:t>
            </w:r>
            <w:r>
              <w:rPr>
                <w:rFonts w:ascii="Arial Narrow" w:eastAsiaTheme="majorEastAsia" w:hAnsi="Arial Narrow"/>
                <w:b/>
                <w:sz w:val="20"/>
                <w:szCs w:val="20"/>
                <w:lang w:eastAsia="en-AU" w:bidi="en-US"/>
              </w:rPr>
              <w:t>)</w:t>
            </w:r>
          </w:p>
        </w:tc>
        <w:tc>
          <w:tcPr>
            <w:tcW w:w="1544" w:type="pct"/>
            <w:hideMark/>
          </w:tcPr>
          <w:p w14:paraId="3BAB4C24" w14:textId="77777777" w:rsidR="0081525E" w:rsidRPr="00F06897" w:rsidRDefault="0081525E" w:rsidP="008241B5">
            <w:pPr>
              <w:keepNext/>
              <w:keepLines/>
              <w:jc w:val="center"/>
              <w:rPr>
                <w:rFonts w:ascii="Arial Narrow" w:eastAsiaTheme="majorEastAsia" w:hAnsi="Arial Narrow"/>
                <w:b/>
                <w:sz w:val="20"/>
                <w:szCs w:val="20"/>
                <w:lang w:eastAsia="en-AU" w:bidi="en-US"/>
              </w:rPr>
            </w:pPr>
            <w:r>
              <w:rPr>
                <w:rFonts w:ascii="Arial Narrow" w:eastAsiaTheme="majorEastAsia" w:hAnsi="Arial Narrow"/>
                <w:b/>
                <w:sz w:val="20"/>
                <w:szCs w:val="20"/>
                <w:lang w:eastAsia="en-AU" w:bidi="en-US"/>
              </w:rPr>
              <w:t>ICC</w:t>
            </w:r>
          </w:p>
          <w:p w14:paraId="3594CCAF" w14:textId="7E8B7A49" w:rsidR="0081525E" w:rsidRPr="00F06897" w:rsidRDefault="0042389B" w:rsidP="008241B5">
            <w:pPr>
              <w:keepNext/>
              <w:keepLines/>
              <w:jc w:val="center"/>
              <w:rPr>
                <w:rFonts w:ascii="Arial Narrow" w:eastAsiaTheme="majorEastAsia" w:hAnsi="Arial Narrow"/>
                <w:b/>
                <w:sz w:val="20"/>
                <w:szCs w:val="20"/>
                <w:lang w:eastAsia="en-AU" w:bidi="en-US"/>
              </w:rPr>
            </w:pPr>
            <w:r>
              <w:rPr>
                <w:rFonts w:ascii="Arial Narrow" w:eastAsiaTheme="majorEastAsia" w:hAnsi="Arial Narrow"/>
                <w:b/>
                <w:sz w:val="20"/>
                <w:szCs w:val="20"/>
                <w:lang w:eastAsia="en-AU" w:bidi="en-US"/>
              </w:rPr>
              <w:t>(</w:t>
            </w:r>
            <w:r w:rsidR="0081525E" w:rsidRPr="00F06897">
              <w:rPr>
                <w:rFonts w:ascii="Arial Narrow" w:eastAsiaTheme="majorEastAsia" w:hAnsi="Arial Narrow"/>
                <w:b/>
                <w:sz w:val="20"/>
                <w:szCs w:val="20"/>
                <w:lang w:eastAsia="en-AU" w:bidi="en-US"/>
              </w:rPr>
              <w:t>N=354</w:t>
            </w:r>
            <w:r>
              <w:rPr>
                <w:rFonts w:ascii="Arial Narrow" w:eastAsiaTheme="majorEastAsia" w:hAnsi="Arial Narrow"/>
                <w:b/>
                <w:sz w:val="20"/>
                <w:szCs w:val="20"/>
                <w:lang w:eastAsia="en-AU" w:bidi="en-US"/>
              </w:rPr>
              <w:t>)</w:t>
            </w:r>
          </w:p>
        </w:tc>
      </w:tr>
      <w:tr w:rsidR="0081525E" w:rsidRPr="00F06897" w14:paraId="701BFE70" w14:textId="77777777" w:rsidTr="00F61D5A">
        <w:trPr>
          <w:cantSplit/>
        </w:trPr>
        <w:tc>
          <w:tcPr>
            <w:tcW w:w="2041" w:type="pct"/>
          </w:tcPr>
          <w:p w14:paraId="61665728"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Total PFS events n (%)</w:t>
            </w:r>
          </w:p>
          <w:p w14:paraId="2E2A93AA" w14:textId="026359F8" w:rsidR="0081525E" w:rsidRPr="00F06897" w:rsidRDefault="006340CE" w:rsidP="008241B5">
            <w:pPr>
              <w:keepNext/>
              <w:rPr>
                <w:rFonts w:ascii="Arial Narrow" w:eastAsiaTheme="majorEastAsia" w:hAnsi="Arial Narrow"/>
                <w:sz w:val="20"/>
                <w:szCs w:val="20"/>
                <w:lang w:bidi="en-US"/>
              </w:rPr>
            </w:pPr>
            <w:r>
              <w:rPr>
                <w:rFonts w:ascii="Arial Narrow" w:eastAsiaTheme="majorEastAsia" w:hAnsi="Arial Narrow"/>
                <w:sz w:val="20"/>
                <w:szCs w:val="20"/>
                <w:lang w:bidi="en-US"/>
              </w:rPr>
              <w:t xml:space="preserve"> </w:t>
            </w:r>
            <w:r w:rsidR="0081525E" w:rsidRPr="00F06897">
              <w:rPr>
                <w:rFonts w:ascii="Arial Narrow" w:eastAsiaTheme="majorEastAsia" w:hAnsi="Arial Narrow"/>
                <w:sz w:val="20"/>
                <w:szCs w:val="20"/>
                <w:lang w:bidi="en-US"/>
              </w:rPr>
              <w:t>RECIST progression</w:t>
            </w:r>
          </w:p>
          <w:p w14:paraId="326FBD72" w14:textId="03BB1198" w:rsidR="0081525E" w:rsidRPr="00F06897" w:rsidRDefault="006340CE" w:rsidP="008241B5">
            <w:pPr>
              <w:keepNext/>
              <w:rPr>
                <w:rFonts w:ascii="Arial Narrow" w:eastAsiaTheme="majorEastAsia" w:hAnsi="Arial Narrow"/>
                <w:sz w:val="20"/>
                <w:szCs w:val="20"/>
                <w:lang w:bidi="en-US"/>
              </w:rPr>
            </w:pPr>
            <w:r>
              <w:rPr>
                <w:rFonts w:ascii="Arial Narrow" w:eastAsiaTheme="majorEastAsia" w:hAnsi="Arial Narrow"/>
                <w:sz w:val="20"/>
                <w:szCs w:val="20"/>
                <w:lang w:bidi="en-US"/>
              </w:rPr>
              <w:t xml:space="preserve"> </w:t>
            </w:r>
            <w:r w:rsidR="0081525E" w:rsidRPr="00F06897">
              <w:rPr>
                <w:rFonts w:ascii="Arial Narrow" w:eastAsiaTheme="majorEastAsia" w:hAnsi="Arial Narrow"/>
                <w:sz w:val="20"/>
                <w:szCs w:val="20"/>
                <w:lang w:bidi="en-US"/>
              </w:rPr>
              <w:t>Death in the absence of progression</w:t>
            </w:r>
          </w:p>
        </w:tc>
        <w:tc>
          <w:tcPr>
            <w:tcW w:w="1415" w:type="pct"/>
          </w:tcPr>
          <w:p w14:paraId="03C38C58"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225 (62.7)</w:t>
            </w:r>
          </w:p>
          <w:p w14:paraId="7FEBBBD8"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212 (59.1)</w:t>
            </w:r>
          </w:p>
          <w:p w14:paraId="1192504C"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13 (3.6)</w:t>
            </w:r>
          </w:p>
        </w:tc>
        <w:tc>
          <w:tcPr>
            <w:tcW w:w="1544" w:type="pct"/>
          </w:tcPr>
          <w:p w14:paraId="351F2CC8"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232 (65.5)</w:t>
            </w:r>
          </w:p>
          <w:p w14:paraId="0805BED7"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219 (61.9)</w:t>
            </w:r>
          </w:p>
          <w:p w14:paraId="5F76EAD6"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13 (3.7)</w:t>
            </w:r>
          </w:p>
        </w:tc>
      </w:tr>
      <w:tr w:rsidR="0081525E" w:rsidRPr="00F06897" w14:paraId="1A7ECC21" w14:textId="77777777" w:rsidTr="00F61D5A">
        <w:trPr>
          <w:cantSplit/>
        </w:trPr>
        <w:tc>
          <w:tcPr>
            <w:tcW w:w="2041" w:type="pct"/>
          </w:tcPr>
          <w:p w14:paraId="7CFD01B3"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Censored patients n (%)</w:t>
            </w:r>
          </w:p>
        </w:tc>
        <w:tc>
          <w:tcPr>
            <w:tcW w:w="1415" w:type="pct"/>
            <w:hideMark/>
          </w:tcPr>
          <w:p w14:paraId="11372957"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134 (37.3)</w:t>
            </w:r>
          </w:p>
        </w:tc>
        <w:tc>
          <w:tcPr>
            <w:tcW w:w="1544" w:type="pct"/>
            <w:hideMark/>
          </w:tcPr>
          <w:p w14:paraId="0C39A515"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122 (34.5)</w:t>
            </w:r>
          </w:p>
        </w:tc>
      </w:tr>
      <w:tr w:rsidR="0081525E" w:rsidRPr="00F06897" w14:paraId="2C7DE3F3" w14:textId="77777777" w:rsidTr="00F61D5A">
        <w:trPr>
          <w:cantSplit/>
        </w:trPr>
        <w:tc>
          <w:tcPr>
            <w:tcW w:w="2041" w:type="pct"/>
          </w:tcPr>
          <w:p w14:paraId="5D4BF279" w14:textId="77777777" w:rsidR="0081525E" w:rsidRPr="00C56601" w:rsidRDefault="0081525E" w:rsidP="008241B5">
            <w:pPr>
              <w:pStyle w:val="ListParagraph"/>
              <w:keepNext/>
              <w:numPr>
                <w:ilvl w:val="0"/>
                <w:numId w:val="10"/>
              </w:numPr>
              <w:spacing w:after="0"/>
              <w:rPr>
                <w:rFonts w:ascii="Arial Narrow" w:eastAsiaTheme="majorEastAsia" w:hAnsi="Arial Narrow"/>
                <w:sz w:val="20"/>
                <w:szCs w:val="20"/>
                <w:lang w:bidi="en-US"/>
              </w:rPr>
            </w:pPr>
            <w:r>
              <w:rPr>
                <w:rFonts w:ascii="Arial Narrow" w:eastAsiaTheme="majorEastAsia" w:hAnsi="Arial Narrow"/>
                <w:sz w:val="20"/>
                <w:szCs w:val="20"/>
                <w:lang w:bidi="en-US"/>
              </w:rPr>
              <w:t>Censored death</w:t>
            </w:r>
          </w:p>
        </w:tc>
        <w:tc>
          <w:tcPr>
            <w:tcW w:w="1415" w:type="pct"/>
          </w:tcPr>
          <w:p w14:paraId="45A1F90D" w14:textId="77777777" w:rsidR="0081525E" w:rsidRPr="00F06897" w:rsidRDefault="0081525E" w:rsidP="008241B5">
            <w:pPr>
              <w:keepNext/>
              <w:jc w:val="center"/>
              <w:rPr>
                <w:rFonts w:ascii="Arial Narrow" w:eastAsiaTheme="majorEastAsia" w:hAnsi="Arial Narrow"/>
                <w:sz w:val="20"/>
                <w:szCs w:val="20"/>
                <w:lang w:bidi="en-US"/>
              </w:rPr>
            </w:pPr>
            <w:r>
              <w:rPr>
                <w:rFonts w:ascii="Arial Narrow" w:eastAsiaTheme="majorEastAsia" w:hAnsi="Arial Narrow"/>
                <w:sz w:val="20"/>
                <w:szCs w:val="20"/>
                <w:lang w:bidi="en-US"/>
              </w:rPr>
              <w:t>24 (6.7)</w:t>
            </w:r>
          </w:p>
        </w:tc>
        <w:tc>
          <w:tcPr>
            <w:tcW w:w="1544" w:type="pct"/>
          </w:tcPr>
          <w:p w14:paraId="71DC538B" w14:textId="77777777" w:rsidR="0081525E" w:rsidRPr="00F06897" w:rsidRDefault="0081525E" w:rsidP="008241B5">
            <w:pPr>
              <w:keepNext/>
              <w:jc w:val="center"/>
              <w:rPr>
                <w:rFonts w:ascii="Arial Narrow" w:eastAsiaTheme="majorEastAsia" w:hAnsi="Arial Narrow"/>
                <w:sz w:val="20"/>
                <w:szCs w:val="20"/>
                <w:lang w:bidi="en-US"/>
              </w:rPr>
            </w:pPr>
            <w:r>
              <w:rPr>
                <w:rFonts w:ascii="Arial Narrow" w:eastAsiaTheme="majorEastAsia" w:hAnsi="Arial Narrow"/>
                <w:sz w:val="20"/>
                <w:szCs w:val="20"/>
                <w:lang w:bidi="en-US"/>
              </w:rPr>
              <w:t>25 (7.1)</w:t>
            </w:r>
          </w:p>
        </w:tc>
      </w:tr>
      <w:tr w:rsidR="0081525E" w:rsidRPr="00F06897" w14:paraId="0CC78103" w14:textId="77777777" w:rsidTr="00F61D5A">
        <w:trPr>
          <w:cantSplit/>
        </w:trPr>
        <w:tc>
          <w:tcPr>
            <w:tcW w:w="2041" w:type="pct"/>
          </w:tcPr>
          <w:p w14:paraId="749E9CD8" w14:textId="77777777" w:rsidR="0081525E" w:rsidRPr="00C56601" w:rsidRDefault="0081525E" w:rsidP="008241B5">
            <w:pPr>
              <w:pStyle w:val="ListParagraph"/>
              <w:keepNext/>
              <w:numPr>
                <w:ilvl w:val="0"/>
                <w:numId w:val="10"/>
              </w:numPr>
              <w:spacing w:after="0"/>
              <w:rPr>
                <w:rFonts w:ascii="Arial Narrow" w:eastAsiaTheme="majorEastAsia" w:hAnsi="Arial Narrow"/>
                <w:sz w:val="20"/>
                <w:szCs w:val="20"/>
                <w:lang w:bidi="en-US"/>
              </w:rPr>
            </w:pPr>
            <w:r>
              <w:rPr>
                <w:rFonts w:ascii="Arial Narrow" w:eastAsiaTheme="majorEastAsia" w:hAnsi="Arial Narrow"/>
                <w:sz w:val="20"/>
                <w:szCs w:val="20"/>
                <w:lang w:bidi="en-US"/>
              </w:rPr>
              <w:t>Censored progression free</w:t>
            </w:r>
          </w:p>
        </w:tc>
        <w:tc>
          <w:tcPr>
            <w:tcW w:w="1415" w:type="pct"/>
          </w:tcPr>
          <w:p w14:paraId="03F3F3D2" w14:textId="77777777" w:rsidR="0081525E" w:rsidRPr="00F06897" w:rsidRDefault="0081525E" w:rsidP="008241B5">
            <w:pPr>
              <w:keepNext/>
              <w:jc w:val="center"/>
              <w:rPr>
                <w:rFonts w:ascii="Arial Narrow" w:eastAsiaTheme="majorEastAsia" w:hAnsi="Arial Narrow"/>
                <w:sz w:val="20"/>
                <w:szCs w:val="20"/>
                <w:lang w:bidi="en-US"/>
              </w:rPr>
            </w:pPr>
            <w:r>
              <w:rPr>
                <w:rFonts w:ascii="Arial Narrow" w:eastAsiaTheme="majorEastAsia" w:hAnsi="Arial Narrow"/>
                <w:sz w:val="20"/>
                <w:szCs w:val="20"/>
                <w:lang w:bidi="en-US"/>
              </w:rPr>
              <w:t>98 (27.3)</w:t>
            </w:r>
          </w:p>
        </w:tc>
        <w:tc>
          <w:tcPr>
            <w:tcW w:w="1544" w:type="pct"/>
          </w:tcPr>
          <w:p w14:paraId="40DD81C0" w14:textId="77777777" w:rsidR="0081525E" w:rsidRPr="00F06897" w:rsidRDefault="0081525E" w:rsidP="008241B5">
            <w:pPr>
              <w:keepNext/>
              <w:jc w:val="center"/>
              <w:rPr>
                <w:rFonts w:ascii="Arial Narrow" w:eastAsiaTheme="majorEastAsia" w:hAnsi="Arial Narrow"/>
                <w:sz w:val="20"/>
                <w:szCs w:val="20"/>
                <w:lang w:bidi="en-US"/>
              </w:rPr>
            </w:pPr>
            <w:r>
              <w:rPr>
                <w:rFonts w:ascii="Arial Narrow" w:eastAsiaTheme="majorEastAsia" w:hAnsi="Arial Narrow"/>
                <w:sz w:val="20"/>
                <w:szCs w:val="20"/>
                <w:lang w:bidi="en-US"/>
              </w:rPr>
              <w:t>71 (20.1)</w:t>
            </w:r>
          </w:p>
        </w:tc>
      </w:tr>
      <w:tr w:rsidR="00F61D5A" w:rsidRPr="00F06897" w14:paraId="5FC369D2" w14:textId="77777777" w:rsidTr="00F61D5A">
        <w:trPr>
          <w:cantSplit/>
        </w:trPr>
        <w:tc>
          <w:tcPr>
            <w:tcW w:w="2041" w:type="pct"/>
          </w:tcPr>
          <w:p w14:paraId="5CAD16E5" w14:textId="5B5EC771" w:rsidR="00F61D5A" w:rsidRDefault="00F61D5A" w:rsidP="008241B5">
            <w:pPr>
              <w:pStyle w:val="ListParagraph"/>
              <w:keepNext/>
              <w:numPr>
                <w:ilvl w:val="0"/>
                <w:numId w:val="10"/>
              </w:numPr>
              <w:spacing w:after="0"/>
              <w:rPr>
                <w:rFonts w:ascii="Arial Narrow" w:eastAsiaTheme="majorEastAsia" w:hAnsi="Arial Narrow"/>
                <w:sz w:val="20"/>
                <w:szCs w:val="20"/>
                <w:lang w:bidi="en-US"/>
              </w:rPr>
            </w:pPr>
            <w:r>
              <w:rPr>
                <w:rFonts w:ascii="Arial Narrow" w:eastAsiaTheme="majorEastAsia" w:hAnsi="Arial Narrow"/>
                <w:sz w:val="20"/>
                <w:szCs w:val="20"/>
                <w:lang w:bidi="en-US"/>
              </w:rPr>
              <w:t>Other including withdrawn consent</w:t>
            </w:r>
          </w:p>
        </w:tc>
        <w:tc>
          <w:tcPr>
            <w:tcW w:w="1415" w:type="pct"/>
          </w:tcPr>
          <w:p w14:paraId="775441FA" w14:textId="26EFE7D4" w:rsidR="00F61D5A" w:rsidRPr="00F06897" w:rsidRDefault="00F61D5A" w:rsidP="008241B5">
            <w:pPr>
              <w:keepNext/>
              <w:jc w:val="center"/>
              <w:rPr>
                <w:rFonts w:ascii="Arial Narrow" w:eastAsiaTheme="majorEastAsia" w:hAnsi="Arial Narrow"/>
                <w:sz w:val="20"/>
                <w:szCs w:val="20"/>
                <w:lang w:bidi="en-US"/>
              </w:rPr>
            </w:pPr>
            <w:r>
              <w:rPr>
                <w:rFonts w:ascii="Arial Narrow" w:eastAsiaTheme="majorEastAsia" w:hAnsi="Arial Narrow"/>
                <w:sz w:val="20"/>
                <w:szCs w:val="20"/>
                <w:lang w:bidi="en-US"/>
              </w:rPr>
              <w:t>12 (3.4)</w:t>
            </w:r>
          </w:p>
        </w:tc>
        <w:tc>
          <w:tcPr>
            <w:tcW w:w="1544" w:type="pct"/>
          </w:tcPr>
          <w:p w14:paraId="76741E82" w14:textId="1FECE8B2" w:rsidR="00F61D5A" w:rsidRPr="00F06897" w:rsidRDefault="00F61D5A" w:rsidP="008241B5">
            <w:pPr>
              <w:keepNext/>
              <w:jc w:val="center"/>
              <w:rPr>
                <w:rFonts w:ascii="Arial Narrow" w:eastAsiaTheme="majorEastAsia" w:hAnsi="Arial Narrow"/>
                <w:sz w:val="20"/>
                <w:szCs w:val="20"/>
                <w:lang w:bidi="en-US"/>
              </w:rPr>
            </w:pPr>
            <w:r>
              <w:rPr>
                <w:rFonts w:ascii="Arial Narrow" w:eastAsiaTheme="majorEastAsia" w:hAnsi="Arial Narrow"/>
                <w:sz w:val="20"/>
                <w:szCs w:val="20"/>
                <w:lang w:bidi="en-US"/>
              </w:rPr>
              <w:t>26 (7.3)</w:t>
            </w:r>
          </w:p>
        </w:tc>
      </w:tr>
      <w:tr w:rsidR="0081525E" w:rsidRPr="00F06897" w14:paraId="0974A509" w14:textId="77777777" w:rsidTr="00F61D5A">
        <w:trPr>
          <w:cantSplit/>
        </w:trPr>
        <w:tc>
          <w:tcPr>
            <w:tcW w:w="2041" w:type="pct"/>
            <w:hideMark/>
          </w:tcPr>
          <w:p w14:paraId="66BF7C39"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Median PFS</w:t>
            </w:r>
            <w:r>
              <w:rPr>
                <w:rFonts w:ascii="Arial Narrow" w:eastAsiaTheme="majorEastAsia" w:hAnsi="Arial Narrow"/>
                <w:sz w:val="20"/>
                <w:szCs w:val="20"/>
                <w:lang w:bidi="en-US"/>
              </w:rPr>
              <w:t>,</w:t>
            </w:r>
            <w:r w:rsidRPr="00F06897">
              <w:rPr>
                <w:rFonts w:ascii="Arial Narrow" w:eastAsiaTheme="majorEastAsia" w:hAnsi="Arial Narrow"/>
                <w:sz w:val="20"/>
                <w:szCs w:val="20"/>
                <w:lang w:bidi="en-US"/>
              </w:rPr>
              <w:t xml:space="preserve"> months (95% CI)</w:t>
            </w:r>
          </w:p>
        </w:tc>
        <w:tc>
          <w:tcPr>
            <w:tcW w:w="1415" w:type="pct"/>
            <w:hideMark/>
          </w:tcPr>
          <w:p w14:paraId="5B0D75DD"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13.2 (11.4, 15.2)</w:t>
            </w:r>
          </w:p>
        </w:tc>
        <w:tc>
          <w:tcPr>
            <w:tcW w:w="1544" w:type="pct"/>
            <w:hideMark/>
          </w:tcPr>
          <w:p w14:paraId="2E6F935A"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8.1 (7.0, 9.0)</w:t>
            </w:r>
          </w:p>
        </w:tc>
      </w:tr>
      <w:tr w:rsidR="0081525E" w:rsidRPr="00F06897" w14:paraId="26F884F9" w14:textId="77777777" w:rsidTr="00F61D5A">
        <w:trPr>
          <w:cantSplit/>
        </w:trPr>
        <w:tc>
          <w:tcPr>
            <w:tcW w:w="2041" w:type="pct"/>
          </w:tcPr>
          <w:p w14:paraId="5AEC0CBB"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Hazard ratio (95% CI)</w:t>
            </w:r>
          </w:p>
        </w:tc>
        <w:tc>
          <w:tcPr>
            <w:tcW w:w="2959" w:type="pct"/>
            <w:gridSpan w:val="2"/>
          </w:tcPr>
          <w:p w14:paraId="2CB14032"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0.62 (0.52, 0.75)</w:t>
            </w:r>
            <w:r>
              <w:rPr>
                <w:rFonts w:ascii="Arial Narrow" w:eastAsiaTheme="majorEastAsia" w:hAnsi="Arial Narrow"/>
                <w:sz w:val="20"/>
                <w:szCs w:val="20"/>
                <w:lang w:bidi="en-US"/>
              </w:rPr>
              <w:t>; p=</w:t>
            </w:r>
            <w:r w:rsidRPr="00F06897">
              <w:rPr>
                <w:rFonts w:ascii="Arial Narrow" w:eastAsiaTheme="majorEastAsia" w:hAnsi="Arial Narrow"/>
                <w:sz w:val="20"/>
                <w:szCs w:val="20"/>
                <w:lang w:bidi="en-US"/>
              </w:rPr>
              <w:t>&lt;0.0001</w:t>
            </w:r>
          </w:p>
        </w:tc>
      </w:tr>
    </w:tbl>
    <w:p w14:paraId="271210E3" w14:textId="77777777" w:rsidR="0081525E" w:rsidRDefault="0081525E" w:rsidP="008241B5">
      <w:pPr>
        <w:pStyle w:val="TableFooter"/>
        <w:keepNext/>
      </w:pPr>
      <w:r w:rsidRPr="00F06897">
        <w:t xml:space="preserve">Source: </w:t>
      </w:r>
      <w:r>
        <w:t>Table 2-13, p76 of the submission</w:t>
      </w:r>
    </w:p>
    <w:p w14:paraId="7B1E926D" w14:textId="2E1044C6" w:rsidR="0081525E" w:rsidRDefault="0081525E" w:rsidP="008241B5">
      <w:pPr>
        <w:pStyle w:val="TableFooter"/>
        <w:keepNext/>
      </w:pPr>
      <w:r w:rsidRPr="00F06897">
        <w:t xml:space="preserve">BICR = Blinded Independent Central Review, CI = confidence interval, HER2 = human epidermal growth factor receptor 2, </w:t>
      </w:r>
      <w:r>
        <w:t xml:space="preserve">IA = Interim analysis; ICC = </w:t>
      </w:r>
      <w:r w:rsidR="00D21370">
        <w:t>i</w:t>
      </w:r>
      <w:r>
        <w:t xml:space="preserve">nvestigator’s </w:t>
      </w:r>
      <w:r w:rsidR="006D3CDB">
        <w:t>c</w:t>
      </w:r>
      <w:r>
        <w:t xml:space="preserve">hoice of </w:t>
      </w:r>
      <w:r w:rsidR="006D3CDB">
        <w:t>c</w:t>
      </w:r>
      <w:r>
        <w:t xml:space="preserve">hemotherapy; </w:t>
      </w:r>
      <w:r w:rsidRPr="00F06897">
        <w:t>PFS = progression-free survival, RECIST = Response Evaluation Criteria in Solid Tumours</w:t>
      </w:r>
      <w:r>
        <w:t xml:space="preserve">; </w:t>
      </w:r>
      <w:r w:rsidRPr="00F06897">
        <w:t>T-</w:t>
      </w:r>
      <w:proofErr w:type="spellStart"/>
      <w:r w:rsidRPr="00F06897">
        <w:t>DXd</w:t>
      </w:r>
      <w:proofErr w:type="spellEnd"/>
      <w:r w:rsidRPr="00F06897">
        <w:t xml:space="preserve"> = </w:t>
      </w:r>
      <w:r w:rsidR="006D3CDB">
        <w:t>t</w:t>
      </w:r>
      <w:r w:rsidRPr="00F06897">
        <w:t>rastuzumab deruxtecan</w:t>
      </w:r>
    </w:p>
    <w:p w14:paraId="5EE4681E" w14:textId="77777777" w:rsidR="0081525E" w:rsidRPr="00673928" w:rsidRDefault="0081525E" w:rsidP="008241B5">
      <w:pPr>
        <w:pStyle w:val="TableFooter"/>
        <w:keepNext/>
      </w:pPr>
      <w:r>
        <w:t>IA1: DCO March 2024.</w:t>
      </w:r>
      <w:r w:rsidRPr="001A55A5">
        <w:t xml:space="preserve"> </w:t>
      </w:r>
      <w:r>
        <w:t>M</w:t>
      </w:r>
      <w:r w:rsidRPr="001A55A5">
        <w:t>edian follow up durations of 19.0 months and 18.3 months in the T-</w:t>
      </w:r>
      <w:proofErr w:type="spellStart"/>
      <w:r w:rsidRPr="001A55A5">
        <w:t>DXd</w:t>
      </w:r>
      <w:proofErr w:type="spellEnd"/>
      <w:r w:rsidRPr="001A55A5">
        <w:t xml:space="preserve"> and </w:t>
      </w:r>
      <w:r>
        <w:t>ICC</w:t>
      </w:r>
      <w:r w:rsidRPr="001A55A5">
        <w:t xml:space="preserve"> arms, respectively</w:t>
      </w:r>
    </w:p>
    <w:p w14:paraId="7B7B1EF0" w14:textId="77777777" w:rsidR="0081525E" w:rsidRDefault="0081525E" w:rsidP="008241B5"/>
    <w:p w14:paraId="3D5EC770" w14:textId="0B104BE7" w:rsidR="0081525E" w:rsidRPr="00F06897" w:rsidRDefault="0081525E" w:rsidP="008241B5">
      <w:pPr>
        <w:pStyle w:val="Caption"/>
        <w:rPr>
          <w:b w:val="0"/>
          <w:iCs/>
          <w:color w:val="000000" w:themeColor="text1"/>
        </w:rPr>
      </w:pPr>
      <w:bookmarkStart w:id="23" w:name="_Ref218519950"/>
      <w:r>
        <w:t xml:space="preserve">Figure </w:t>
      </w:r>
      <w:fldSimple w:instr=" SEQ Figure \* ARABIC ">
        <w:r w:rsidR="005D3E29">
          <w:rPr>
            <w:noProof/>
          </w:rPr>
          <w:t>1</w:t>
        </w:r>
      </w:fldSimple>
      <w:bookmarkEnd w:id="23"/>
      <w:r>
        <w:t xml:space="preserve">: </w:t>
      </w:r>
      <w:r w:rsidRPr="00F06897">
        <w:rPr>
          <w:iCs/>
          <w:color w:val="000000" w:themeColor="text1"/>
        </w:rPr>
        <w:t>Kaplan</w:t>
      </w:r>
      <w:r>
        <w:rPr>
          <w:iCs/>
          <w:color w:val="000000" w:themeColor="text1"/>
        </w:rPr>
        <w:t>-</w:t>
      </w:r>
      <w:r w:rsidRPr="00F06897">
        <w:rPr>
          <w:iCs/>
          <w:color w:val="000000" w:themeColor="text1"/>
        </w:rPr>
        <w:t xml:space="preserve">Meier </w:t>
      </w:r>
      <w:r>
        <w:rPr>
          <w:iCs/>
          <w:color w:val="000000" w:themeColor="text1"/>
        </w:rPr>
        <w:t>curves for</w:t>
      </w:r>
      <w:r w:rsidRPr="00F06897">
        <w:rPr>
          <w:iCs/>
          <w:color w:val="000000" w:themeColor="text1"/>
        </w:rPr>
        <w:t xml:space="preserve"> PFS by BICR in the HER2-low population</w:t>
      </w:r>
      <w:r>
        <w:rPr>
          <w:iCs/>
          <w:color w:val="000000" w:themeColor="text1"/>
        </w:rPr>
        <w:t xml:space="preserve"> (Primary analysis in the DB-06 trial)</w:t>
      </w:r>
    </w:p>
    <w:p w14:paraId="7815DD0A" w14:textId="77777777" w:rsidR="0081525E" w:rsidRPr="00F06897" w:rsidRDefault="0081525E" w:rsidP="008241B5">
      <w:pPr>
        <w:keepNext/>
      </w:pPr>
      <w:r w:rsidRPr="00F06897">
        <w:rPr>
          <w:noProof/>
        </w:rPr>
        <w:drawing>
          <wp:inline distT="0" distB="0" distL="0" distR="0" wp14:anchorId="51FB2492" wp14:editId="17DE22CF">
            <wp:extent cx="5681717" cy="2199735"/>
            <wp:effectExtent l="0" t="0" r="0" b="0"/>
            <wp:docPr id="138183930" name="Picture 1" descr="Figure 1: Kaplan-Meier curves for PFS by BICR in the HER2-low population (Primary analysis in the DB-06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3930" name="Picture 1" descr="Figure 1: Kaplan-Meier curves for PFS by BICR in the HER2-low population (Primary analysis in the DB-06 tri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853" cy="2219146"/>
                    </a:xfrm>
                    <a:prstGeom prst="rect">
                      <a:avLst/>
                    </a:prstGeom>
                    <a:noFill/>
                    <a:ln>
                      <a:noFill/>
                    </a:ln>
                  </pic:spPr>
                </pic:pic>
              </a:graphicData>
            </a:graphic>
          </wp:inline>
        </w:drawing>
      </w:r>
    </w:p>
    <w:p w14:paraId="79CDC22A" w14:textId="77777777" w:rsidR="0081525E" w:rsidRDefault="0081525E" w:rsidP="008241B5">
      <w:pPr>
        <w:pStyle w:val="TableFooter"/>
      </w:pPr>
      <w:r w:rsidRPr="00F06897">
        <w:t xml:space="preserve">Source: </w:t>
      </w:r>
      <w:r>
        <w:t>Figure 2-4, p74 of the submission</w:t>
      </w:r>
    </w:p>
    <w:p w14:paraId="659EB712" w14:textId="7A9F4223" w:rsidR="0081525E" w:rsidRDefault="001B0D34" w:rsidP="008241B5">
      <w:pPr>
        <w:pStyle w:val="TableFooter"/>
      </w:pPr>
      <w:r w:rsidRPr="001B0D34">
        <w:t xml:space="preserve">BICR = blinded independent central review; </w:t>
      </w:r>
      <w:r w:rsidR="0081525E" w:rsidRPr="00F06897">
        <w:t>CI = confidence interval</w:t>
      </w:r>
      <w:r w:rsidR="0081525E">
        <w:t xml:space="preserve">; </w:t>
      </w:r>
      <w:r w:rsidR="0081525E" w:rsidRPr="00F06897">
        <w:t>HER2 = human epidermal growth factor receptor 2</w:t>
      </w:r>
      <w:r w:rsidR="0042389B">
        <w:t>;</w:t>
      </w:r>
      <w:r w:rsidR="0081525E" w:rsidRPr="00F06897">
        <w:t xml:space="preserve"> PFS = progression-free survival</w:t>
      </w:r>
    </w:p>
    <w:p w14:paraId="14E22A73" w14:textId="77777777" w:rsidR="0081525E" w:rsidRDefault="0081525E" w:rsidP="008241B5">
      <w:pPr>
        <w:pStyle w:val="TableFooter"/>
      </w:pPr>
      <w:r>
        <w:t>Interim analysis 1, DCO March 2024</w:t>
      </w:r>
    </w:p>
    <w:p w14:paraId="43832963" w14:textId="1AB7AEAE" w:rsidR="0081525E" w:rsidRPr="00673928" w:rsidRDefault="0081525E" w:rsidP="008241B5">
      <w:pPr>
        <w:pStyle w:val="3-BodyText"/>
      </w:pPr>
      <w:r w:rsidRPr="00CB7C79">
        <w:lastRenderedPageBreak/>
        <w:t xml:space="preserve">The </w:t>
      </w:r>
      <w:r>
        <w:t>T-</w:t>
      </w:r>
      <w:proofErr w:type="spellStart"/>
      <w:r>
        <w:t>DXd</w:t>
      </w:r>
      <w:proofErr w:type="spellEnd"/>
      <w:r w:rsidRPr="00CB7C79">
        <w:t xml:space="preserve"> arm showed a statistically significant improvement in PFS at the </w:t>
      </w:r>
      <w:r>
        <w:t xml:space="preserve">March 2024 </w:t>
      </w:r>
      <w:r w:rsidRPr="00CB7C79">
        <w:t xml:space="preserve">DCO for the primary analysis with median follow up </w:t>
      </w:r>
      <w:r>
        <w:t xml:space="preserve">durations of </w:t>
      </w:r>
      <w:r w:rsidRPr="00CB7C79">
        <w:t>19.0 months and 18.3 months in the T-</w:t>
      </w:r>
      <w:proofErr w:type="spellStart"/>
      <w:r w:rsidRPr="00CB7C79">
        <w:t>DXd</w:t>
      </w:r>
      <w:proofErr w:type="spellEnd"/>
      <w:r w:rsidRPr="00CB7C79">
        <w:t xml:space="preserve"> and ICC arms, respectively</w:t>
      </w:r>
      <w:r>
        <w:t>.</w:t>
      </w:r>
      <w:r w:rsidRPr="00CB7C79">
        <w:t xml:space="preserve"> The median PFS duration (95% </w:t>
      </w:r>
      <w:r w:rsidR="003B544E">
        <w:t>confidence interval [</w:t>
      </w:r>
      <w:r w:rsidRPr="00CB7C79">
        <w:t>CI</w:t>
      </w:r>
      <w:r w:rsidR="003B544E">
        <w:t>]</w:t>
      </w:r>
      <w:r w:rsidRPr="00CB7C79">
        <w:t>) was 13.2 (11.4, 15.2) months in the T-</w:t>
      </w:r>
      <w:proofErr w:type="spellStart"/>
      <w:r w:rsidRPr="00CB7C79">
        <w:t>DXd</w:t>
      </w:r>
      <w:proofErr w:type="spellEnd"/>
      <w:r w:rsidRPr="00CB7C79">
        <w:t xml:space="preserve"> arm and 8.1 (7.0, 9.0) months in the ICC arm. This corresponded to a 38% reduction in the hazard of progression or death associated with T-</w:t>
      </w:r>
      <w:proofErr w:type="spellStart"/>
      <w:r w:rsidRPr="00CB7C79">
        <w:t>DXd</w:t>
      </w:r>
      <w:proofErr w:type="spellEnd"/>
      <w:r w:rsidRPr="00CB7C79">
        <w:t xml:space="preserve"> (</w:t>
      </w:r>
      <w:r w:rsidR="003B544E">
        <w:t>hazard ratio:</w:t>
      </w:r>
      <w:r w:rsidRPr="00CB7C79">
        <w:t xml:space="preserve"> 0.62; 95% CI: 0.52, 0.75</w:t>
      </w:r>
      <w:r w:rsidR="003B544E">
        <w:t xml:space="preserve">; </w:t>
      </w:r>
      <w:r w:rsidRPr="00CB7C79">
        <w:t>p &lt;0.0001).</w:t>
      </w:r>
      <w:r>
        <w:t xml:space="preserve"> </w:t>
      </w:r>
    </w:p>
    <w:p w14:paraId="19D789DE" w14:textId="22ADEAD9" w:rsidR="0081525E" w:rsidRPr="00904162" w:rsidRDefault="0081525E" w:rsidP="008241B5">
      <w:pPr>
        <w:pStyle w:val="3-BodyText"/>
      </w:pPr>
      <w:r w:rsidRPr="00904162">
        <w:t>The benefit was apparent by one month and the KM curves were separated during the treatment period. Although a third of the patients were censored</w:t>
      </w:r>
      <w:r w:rsidR="00385B8B">
        <w:t xml:space="preserve"> at the </w:t>
      </w:r>
      <w:r w:rsidR="00716C90">
        <w:t>primary analysis</w:t>
      </w:r>
      <w:r w:rsidRPr="00904162">
        <w:t xml:space="preserve">, updated PFS data for IA2 (March 2025 DCO) were similar. </w:t>
      </w:r>
    </w:p>
    <w:p w14:paraId="7CD0C763" w14:textId="17921503" w:rsidR="0081525E" w:rsidRPr="00904162" w:rsidRDefault="0081525E" w:rsidP="008241B5">
      <w:pPr>
        <w:pStyle w:val="3-BodyText"/>
      </w:pPr>
      <w:r w:rsidRPr="00904162">
        <w:t xml:space="preserve">The subgroup analysis of PFS (BICR) in the HER2-ultralow subgroup is </w:t>
      </w:r>
      <w:r w:rsidR="0026668A">
        <w:t>also</w:t>
      </w:r>
      <w:r w:rsidR="0026668A" w:rsidRPr="00904162">
        <w:t xml:space="preserve"> </w:t>
      </w:r>
      <w:r w:rsidRPr="00904162">
        <w:t>relevant to the proposed target population. The analysis showed a median PFS duration of 13.2 months in the T-</w:t>
      </w:r>
      <w:proofErr w:type="spellStart"/>
      <w:r w:rsidRPr="00904162">
        <w:t>DXd</w:t>
      </w:r>
      <w:proofErr w:type="spellEnd"/>
      <w:r w:rsidRPr="00904162">
        <w:t xml:space="preserve"> arm (N=76) versus 8.3 months in the ICC arm (N=76). This difference corresponded to a 22% reduction in the hazard of progression or death which was not statistically significant (</w:t>
      </w:r>
      <w:r w:rsidR="00C44206" w:rsidRPr="00904162">
        <w:t>hazard ratio:</w:t>
      </w:r>
      <w:r w:rsidRPr="00904162">
        <w:t xml:space="preserve"> 0.78; 95%CI: 0.50, 1.21). Despite the lack of statistical significance, the observed median PFS durations and the difference between the arms were </w:t>
      </w:r>
      <w:proofErr w:type="gramStart"/>
      <w:r w:rsidRPr="00904162">
        <w:t>similar to</w:t>
      </w:r>
      <w:proofErr w:type="gramEnd"/>
      <w:r w:rsidRPr="00904162">
        <w:t xml:space="preserve"> the primary analysis in the </w:t>
      </w:r>
      <w:r w:rsidR="003B544E" w:rsidRPr="00904162">
        <w:t xml:space="preserve">complement </w:t>
      </w:r>
      <w:r w:rsidRPr="00904162">
        <w:t xml:space="preserve">HER2-low subgroup. There </w:t>
      </w:r>
      <w:r w:rsidR="003B544E" w:rsidRPr="00904162">
        <w:t>wa</w:t>
      </w:r>
      <w:r w:rsidRPr="00904162">
        <w:t xml:space="preserve">s also substantial overlap in the 95% CIs for the </w:t>
      </w:r>
      <w:r w:rsidR="003B544E" w:rsidRPr="00904162">
        <w:t>hazard ratio</w:t>
      </w:r>
      <w:r w:rsidRPr="00904162">
        <w:t>s between the HER2-low and HER2-ultralow subgroups.</w:t>
      </w:r>
    </w:p>
    <w:p w14:paraId="707E1494" w14:textId="0EA30DCC" w:rsidR="0081525E" w:rsidRPr="00904162" w:rsidRDefault="0081525E" w:rsidP="008241B5">
      <w:pPr>
        <w:pStyle w:val="3-BodyText"/>
      </w:pPr>
      <w:r w:rsidRPr="00904162">
        <w:t xml:space="preserve">Results for the ITT analysis of PFS (BICR) are presented in </w:t>
      </w:r>
      <w:r w:rsidRPr="00904162">
        <w:fldChar w:fldCharType="begin"/>
      </w:r>
      <w:r w:rsidRPr="00904162">
        <w:instrText xml:space="preserve"> REF _Ref218520720 \h </w:instrText>
      </w:r>
      <w:r w:rsidR="00904162" w:rsidRPr="00904162">
        <w:instrText xml:space="preserve"> \* MERGEFORMAT </w:instrText>
      </w:r>
      <w:r w:rsidRPr="00904162">
        <w:fldChar w:fldCharType="separate"/>
      </w:r>
      <w:r w:rsidR="005D3E29">
        <w:t xml:space="preserve">Table </w:t>
      </w:r>
      <w:r w:rsidR="005D3E29">
        <w:rPr>
          <w:noProof/>
        </w:rPr>
        <w:t>5</w:t>
      </w:r>
      <w:r w:rsidRPr="00904162">
        <w:fldChar w:fldCharType="end"/>
      </w:r>
      <w:r w:rsidR="001B0D34" w:rsidRPr="00904162">
        <w:t xml:space="preserve">, with corresponding KM curves presented in </w:t>
      </w:r>
      <w:r w:rsidR="00DB2037" w:rsidRPr="00904162">
        <w:fldChar w:fldCharType="begin"/>
      </w:r>
      <w:r w:rsidR="00DB2037" w:rsidRPr="00904162">
        <w:instrText xml:space="preserve"> REF _Ref219713224 \h </w:instrText>
      </w:r>
      <w:r w:rsidR="00904162" w:rsidRPr="00904162">
        <w:instrText xml:space="preserve"> \* MERGEFORMAT </w:instrText>
      </w:r>
      <w:r w:rsidR="00DB2037" w:rsidRPr="00904162">
        <w:fldChar w:fldCharType="separate"/>
      </w:r>
      <w:r w:rsidR="005D3E29">
        <w:t xml:space="preserve">Figure </w:t>
      </w:r>
      <w:r w:rsidR="005D3E29">
        <w:rPr>
          <w:noProof/>
        </w:rPr>
        <w:t>2</w:t>
      </w:r>
      <w:r w:rsidR="00DB2037" w:rsidRPr="00904162">
        <w:fldChar w:fldCharType="end"/>
      </w:r>
      <w:r w:rsidRPr="00904162">
        <w:t>.</w:t>
      </w:r>
    </w:p>
    <w:p w14:paraId="2FE85619" w14:textId="69E115CB" w:rsidR="0081525E" w:rsidRPr="00F06897" w:rsidRDefault="0081525E" w:rsidP="008241B5">
      <w:pPr>
        <w:pStyle w:val="Caption"/>
      </w:pPr>
      <w:bookmarkStart w:id="24" w:name="_Ref218520720"/>
      <w:r>
        <w:t xml:space="preserve">Table </w:t>
      </w:r>
      <w:fldSimple w:instr=" SEQ Table \* ARABIC ">
        <w:r w:rsidR="005D3E29">
          <w:rPr>
            <w:noProof/>
          </w:rPr>
          <w:t>5</w:t>
        </w:r>
      </w:fldSimple>
      <w:bookmarkEnd w:id="24"/>
      <w:r>
        <w:t xml:space="preserve">: IA1 - </w:t>
      </w:r>
      <w:r w:rsidRPr="00F06897">
        <w:t xml:space="preserve">PFS by BICR in the ITT population (FAS) </w:t>
      </w:r>
      <w:r>
        <w:t>(key secondary endpoint in DB-06)</w:t>
      </w:r>
    </w:p>
    <w:tbl>
      <w:tblPr>
        <w:tblStyle w:val="AZTable"/>
        <w:tblW w:w="5000" w:type="pct"/>
        <w:tblLook w:val="04A0" w:firstRow="1" w:lastRow="0" w:firstColumn="1" w:lastColumn="0" w:noHBand="0" w:noVBand="1"/>
        <w:tblCaption w:val="Table 5: IA1 - PFS by BICR in the ITT population (FAS) (key secondary endpoint in DB-06)"/>
      </w:tblPr>
      <w:tblGrid>
        <w:gridCol w:w="3398"/>
        <w:gridCol w:w="2835"/>
        <w:gridCol w:w="2784"/>
      </w:tblGrid>
      <w:tr w:rsidR="0081525E" w:rsidRPr="00F06897" w14:paraId="1F8D3CD9" w14:textId="77777777">
        <w:trPr>
          <w:cnfStyle w:val="100000000000" w:firstRow="1" w:lastRow="0" w:firstColumn="0" w:lastColumn="0" w:oddVBand="0" w:evenVBand="0" w:oddHBand="0" w:evenHBand="0" w:firstRowFirstColumn="0" w:firstRowLastColumn="0" w:lastRowFirstColumn="0" w:lastRowLastColumn="0"/>
          <w:cantSplit/>
          <w:tblHeader/>
        </w:trPr>
        <w:tc>
          <w:tcPr>
            <w:tcW w:w="1884" w:type="pct"/>
          </w:tcPr>
          <w:p w14:paraId="7F3BB8F2" w14:textId="77777777" w:rsidR="0081525E" w:rsidRPr="00F06897" w:rsidRDefault="0081525E" w:rsidP="008241B5">
            <w:pPr>
              <w:keepNext/>
              <w:keepLines/>
              <w:rPr>
                <w:rFonts w:ascii="Arial Narrow" w:eastAsiaTheme="majorEastAsia" w:hAnsi="Arial Narrow"/>
                <w:b/>
                <w:sz w:val="20"/>
                <w:szCs w:val="20"/>
                <w:lang w:eastAsia="en-AU" w:bidi="en-US"/>
              </w:rPr>
            </w:pPr>
          </w:p>
        </w:tc>
        <w:tc>
          <w:tcPr>
            <w:tcW w:w="1572" w:type="pct"/>
            <w:hideMark/>
          </w:tcPr>
          <w:p w14:paraId="640BAB5F" w14:textId="77777777" w:rsidR="003B544E" w:rsidRDefault="0081525E" w:rsidP="008241B5">
            <w:pPr>
              <w:keepNext/>
              <w:keepLines/>
              <w:jc w:val="center"/>
              <w:rPr>
                <w:rFonts w:ascii="Arial Narrow" w:eastAsiaTheme="majorEastAsia" w:hAnsi="Arial Narrow"/>
                <w:b/>
                <w:sz w:val="20"/>
                <w:szCs w:val="20"/>
                <w:lang w:eastAsia="en-AU" w:bidi="en-US"/>
              </w:rPr>
            </w:pPr>
            <w:r w:rsidRPr="00F06897">
              <w:rPr>
                <w:rFonts w:ascii="Arial Narrow" w:eastAsiaTheme="majorEastAsia" w:hAnsi="Arial Narrow"/>
                <w:b/>
                <w:sz w:val="20"/>
                <w:szCs w:val="20"/>
                <w:lang w:eastAsia="en-AU" w:bidi="en-US"/>
              </w:rPr>
              <w:t>T-</w:t>
            </w:r>
            <w:proofErr w:type="spellStart"/>
            <w:r w:rsidRPr="00F06897">
              <w:rPr>
                <w:rFonts w:ascii="Arial Narrow" w:eastAsiaTheme="majorEastAsia" w:hAnsi="Arial Narrow"/>
                <w:b/>
                <w:sz w:val="20"/>
                <w:szCs w:val="20"/>
                <w:lang w:eastAsia="en-AU" w:bidi="en-US"/>
              </w:rPr>
              <w:t>DXd</w:t>
            </w:r>
            <w:proofErr w:type="spellEnd"/>
          </w:p>
          <w:p w14:paraId="31332123" w14:textId="5A04310E" w:rsidR="0081525E" w:rsidRPr="00F06897" w:rsidRDefault="0042389B" w:rsidP="008241B5">
            <w:pPr>
              <w:keepNext/>
              <w:keepLines/>
              <w:jc w:val="center"/>
              <w:rPr>
                <w:rFonts w:ascii="Arial Narrow" w:eastAsiaTheme="majorEastAsia" w:hAnsi="Arial Narrow"/>
                <w:b/>
                <w:sz w:val="20"/>
                <w:szCs w:val="20"/>
                <w:lang w:eastAsia="en-AU" w:bidi="en-US"/>
              </w:rPr>
            </w:pPr>
            <w:r>
              <w:rPr>
                <w:rFonts w:ascii="Arial Narrow" w:eastAsiaTheme="majorEastAsia" w:hAnsi="Arial Narrow"/>
                <w:b/>
                <w:sz w:val="20"/>
                <w:szCs w:val="20"/>
                <w:lang w:eastAsia="en-AU" w:bidi="en-US"/>
              </w:rPr>
              <w:t>(</w:t>
            </w:r>
            <w:r w:rsidR="0081525E" w:rsidRPr="00F06897">
              <w:rPr>
                <w:rFonts w:ascii="Arial Narrow" w:eastAsiaTheme="majorEastAsia" w:hAnsi="Arial Narrow"/>
                <w:b/>
                <w:sz w:val="20"/>
                <w:szCs w:val="20"/>
                <w:lang w:eastAsia="en-AU" w:bidi="en-US"/>
              </w:rPr>
              <w:t>N=436</w:t>
            </w:r>
            <w:r>
              <w:rPr>
                <w:rFonts w:ascii="Arial Narrow" w:eastAsiaTheme="majorEastAsia" w:hAnsi="Arial Narrow"/>
                <w:b/>
                <w:sz w:val="20"/>
                <w:szCs w:val="20"/>
                <w:lang w:eastAsia="en-AU" w:bidi="en-US"/>
              </w:rPr>
              <w:t>)</w:t>
            </w:r>
          </w:p>
        </w:tc>
        <w:tc>
          <w:tcPr>
            <w:tcW w:w="1544" w:type="pct"/>
            <w:hideMark/>
          </w:tcPr>
          <w:p w14:paraId="44CE42FC" w14:textId="77777777" w:rsidR="003B544E" w:rsidRDefault="0081525E" w:rsidP="008241B5">
            <w:pPr>
              <w:keepNext/>
              <w:keepLines/>
              <w:jc w:val="center"/>
              <w:rPr>
                <w:rFonts w:ascii="Arial Narrow" w:eastAsiaTheme="majorEastAsia" w:hAnsi="Arial Narrow"/>
                <w:b/>
                <w:sz w:val="20"/>
                <w:szCs w:val="20"/>
                <w:lang w:eastAsia="en-AU" w:bidi="en-US"/>
              </w:rPr>
            </w:pPr>
            <w:r>
              <w:rPr>
                <w:rFonts w:ascii="Arial Narrow" w:eastAsiaTheme="majorEastAsia" w:hAnsi="Arial Narrow"/>
                <w:b/>
                <w:sz w:val="20"/>
                <w:szCs w:val="20"/>
                <w:lang w:eastAsia="en-AU" w:bidi="en-US"/>
              </w:rPr>
              <w:t>ICC</w:t>
            </w:r>
          </w:p>
          <w:p w14:paraId="118B140F" w14:textId="7DF8C222" w:rsidR="0081525E" w:rsidRPr="00F06897" w:rsidRDefault="0042389B" w:rsidP="008241B5">
            <w:pPr>
              <w:keepNext/>
              <w:keepLines/>
              <w:jc w:val="center"/>
              <w:rPr>
                <w:rFonts w:ascii="Arial Narrow" w:eastAsiaTheme="majorEastAsia" w:hAnsi="Arial Narrow"/>
                <w:b/>
                <w:sz w:val="20"/>
                <w:szCs w:val="20"/>
                <w:lang w:eastAsia="en-AU" w:bidi="en-US"/>
              </w:rPr>
            </w:pPr>
            <w:r>
              <w:rPr>
                <w:rFonts w:ascii="Arial Narrow" w:eastAsiaTheme="majorEastAsia" w:hAnsi="Arial Narrow"/>
                <w:b/>
                <w:sz w:val="20"/>
                <w:szCs w:val="20"/>
                <w:lang w:eastAsia="en-AU" w:bidi="en-US"/>
              </w:rPr>
              <w:t>(</w:t>
            </w:r>
            <w:r w:rsidR="0081525E" w:rsidRPr="00F06897">
              <w:rPr>
                <w:rFonts w:ascii="Arial Narrow" w:eastAsiaTheme="majorEastAsia" w:hAnsi="Arial Narrow"/>
                <w:b/>
                <w:sz w:val="20"/>
                <w:szCs w:val="20"/>
                <w:lang w:eastAsia="en-AU" w:bidi="en-US"/>
              </w:rPr>
              <w:t>N=430</w:t>
            </w:r>
            <w:r>
              <w:rPr>
                <w:rFonts w:ascii="Arial Narrow" w:eastAsiaTheme="majorEastAsia" w:hAnsi="Arial Narrow"/>
                <w:b/>
                <w:sz w:val="20"/>
                <w:szCs w:val="20"/>
                <w:lang w:eastAsia="en-AU" w:bidi="en-US"/>
              </w:rPr>
              <w:t>)</w:t>
            </w:r>
          </w:p>
        </w:tc>
      </w:tr>
      <w:tr w:rsidR="0081525E" w:rsidRPr="00F06897" w14:paraId="65E3CA5A" w14:textId="77777777">
        <w:trPr>
          <w:cantSplit/>
        </w:trPr>
        <w:tc>
          <w:tcPr>
            <w:tcW w:w="1884" w:type="pct"/>
          </w:tcPr>
          <w:p w14:paraId="0864098E"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Total PFS events n (%)</w:t>
            </w:r>
          </w:p>
          <w:p w14:paraId="00CF5353" w14:textId="7596B22F" w:rsidR="0081525E" w:rsidRPr="00F06897" w:rsidRDefault="006340CE" w:rsidP="008241B5">
            <w:pPr>
              <w:keepNext/>
              <w:rPr>
                <w:rFonts w:ascii="Arial Narrow" w:eastAsiaTheme="majorEastAsia" w:hAnsi="Arial Narrow"/>
                <w:sz w:val="20"/>
                <w:szCs w:val="20"/>
                <w:lang w:bidi="en-US"/>
              </w:rPr>
            </w:pPr>
            <w:r>
              <w:rPr>
                <w:rFonts w:ascii="Arial Narrow" w:eastAsiaTheme="majorEastAsia" w:hAnsi="Arial Narrow"/>
                <w:sz w:val="20"/>
                <w:szCs w:val="20"/>
                <w:lang w:bidi="en-US"/>
              </w:rPr>
              <w:t xml:space="preserve"> </w:t>
            </w:r>
            <w:r w:rsidR="0081525E" w:rsidRPr="00F06897">
              <w:rPr>
                <w:rFonts w:ascii="Arial Narrow" w:eastAsiaTheme="majorEastAsia" w:hAnsi="Arial Narrow"/>
                <w:sz w:val="20"/>
                <w:szCs w:val="20"/>
                <w:lang w:bidi="en-US"/>
              </w:rPr>
              <w:t>RECIST progression</w:t>
            </w:r>
          </w:p>
          <w:p w14:paraId="2CBC3640" w14:textId="4C5BA65F" w:rsidR="0081525E" w:rsidRPr="00F06897" w:rsidRDefault="006340CE" w:rsidP="008241B5">
            <w:pPr>
              <w:keepNext/>
              <w:rPr>
                <w:rFonts w:ascii="Arial Narrow" w:eastAsiaTheme="majorEastAsia" w:hAnsi="Arial Narrow"/>
                <w:sz w:val="20"/>
                <w:szCs w:val="20"/>
                <w:lang w:bidi="en-US"/>
              </w:rPr>
            </w:pPr>
            <w:r>
              <w:rPr>
                <w:rFonts w:ascii="Arial Narrow" w:eastAsiaTheme="majorEastAsia" w:hAnsi="Arial Narrow"/>
                <w:sz w:val="20"/>
                <w:szCs w:val="20"/>
                <w:lang w:bidi="en-US"/>
              </w:rPr>
              <w:t xml:space="preserve"> </w:t>
            </w:r>
            <w:r w:rsidR="0081525E" w:rsidRPr="00F06897">
              <w:rPr>
                <w:rFonts w:ascii="Arial Narrow" w:eastAsiaTheme="majorEastAsia" w:hAnsi="Arial Narrow"/>
                <w:sz w:val="20"/>
                <w:szCs w:val="20"/>
                <w:lang w:bidi="en-US"/>
              </w:rPr>
              <w:t>Death in the absence of progression</w:t>
            </w:r>
          </w:p>
        </w:tc>
        <w:tc>
          <w:tcPr>
            <w:tcW w:w="1572" w:type="pct"/>
          </w:tcPr>
          <w:p w14:paraId="4B79F756"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269 (61.7)</w:t>
            </w:r>
          </w:p>
          <w:p w14:paraId="21128B87"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254 (58.3)</w:t>
            </w:r>
          </w:p>
          <w:p w14:paraId="5F7F7DC7"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15 (3.4)</w:t>
            </w:r>
          </w:p>
        </w:tc>
        <w:tc>
          <w:tcPr>
            <w:tcW w:w="1544" w:type="pct"/>
          </w:tcPr>
          <w:p w14:paraId="39091CED"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271 (63.0)</w:t>
            </w:r>
          </w:p>
          <w:p w14:paraId="2DA77D93"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257 (59.8)</w:t>
            </w:r>
          </w:p>
          <w:p w14:paraId="0D894334"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14 (3.3)</w:t>
            </w:r>
          </w:p>
        </w:tc>
      </w:tr>
      <w:tr w:rsidR="0081525E" w:rsidRPr="00F06897" w14:paraId="569866F0" w14:textId="77777777">
        <w:trPr>
          <w:cantSplit/>
        </w:trPr>
        <w:tc>
          <w:tcPr>
            <w:tcW w:w="1884" w:type="pct"/>
          </w:tcPr>
          <w:p w14:paraId="6ED6BBD4"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Censored patients n (%)</w:t>
            </w:r>
          </w:p>
        </w:tc>
        <w:tc>
          <w:tcPr>
            <w:tcW w:w="1572" w:type="pct"/>
            <w:hideMark/>
          </w:tcPr>
          <w:p w14:paraId="3EF0ABC0"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167 (38.3)</w:t>
            </w:r>
          </w:p>
        </w:tc>
        <w:tc>
          <w:tcPr>
            <w:tcW w:w="1544" w:type="pct"/>
            <w:hideMark/>
          </w:tcPr>
          <w:p w14:paraId="31F9C8C8"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159 (37.0)</w:t>
            </w:r>
          </w:p>
        </w:tc>
      </w:tr>
      <w:tr w:rsidR="0081525E" w:rsidRPr="00F06897" w14:paraId="617DD612" w14:textId="77777777">
        <w:trPr>
          <w:cantSplit/>
        </w:trPr>
        <w:tc>
          <w:tcPr>
            <w:tcW w:w="1884" w:type="pct"/>
            <w:hideMark/>
          </w:tcPr>
          <w:p w14:paraId="2FB1ED90"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Median PFS</w:t>
            </w:r>
            <w:r>
              <w:rPr>
                <w:rFonts w:ascii="Arial Narrow" w:eastAsiaTheme="majorEastAsia" w:hAnsi="Arial Narrow"/>
                <w:sz w:val="20"/>
                <w:szCs w:val="20"/>
                <w:lang w:bidi="en-US"/>
              </w:rPr>
              <w:t>,</w:t>
            </w:r>
            <w:r w:rsidRPr="00F06897">
              <w:rPr>
                <w:rFonts w:ascii="Arial Narrow" w:eastAsiaTheme="majorEastAsia" w:hAnsi="Arial Narrow"/>
                <w:sz w:val="20"/>
                <w:szCs w:val="20"/>
                <w:lang w:bidi="en-US"/>
              </w:rPr>
              <w:t xml:space="preserve"> months (95% CI)</w:t>
            </w:r>
          </w:p>
        </w:tc>
        <w:tc>
          <w:tcPr>
            <w:tcW w:w="1572" w:type="pct"/>
            <w:hideMark/>
          </w:tcPr>
          <w:p w14:paraId="57F38820"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13.2 (12.0, 15.2)</w:t>
            </w:r>
          </w:p>
        </w:tc>
        <w:tc>
          <w:tcPr>
            <w:tcW w:w="1544" w:type="pct"/>
            <w:hideMark/>
          </w:tcPr>
          <w:p w14:paraId="34BA1329"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8.1 (7.0, 9.0)</w:t>
            </w:r>
          </w:p>
        </w:tc>
      </w:tr>
      <w:tr w:rsidR="0081525E" w:rsidRPr="00F06897" w14:paraId="11C41DE6" w14:textId="77777777">
        <w:trPr>
          <w:cantSplit/>
        </w:trPr>
        <w:tc>
          <w:tcPr>
            <w:tcW w:w="1884" w:type="pct"/>
          </w:tcPr>
          <w:p w14:paraId="338A6A00" w14:textId="77777777" w:rsidR="0081525E" w:rsidRPr="00F06897" w:rsidRDefault="0081525E" w:rsidP="008241B5">
            <w:pPr>
              <w:keepNext/>
              <w:rPr>
                <w:rFonts w:ascii="Arial Narrow" w:eastAsiaTheme="majorEastAsia" w:hAnsi="Arial Narrow"/>
                <w:sz w:val="20"/>
                <w:szCs w:val="20"/>
                <w:lang w:bidi="en-US"/>
              </w:rPr>
            </w:pPr>
            <w:r w:rsidRPr="00F06897">
              <w:rPr>
                <w:rFonts w:ascii="Arial Narrow" w:eastAsiaTheme="majorEastAsia" w:hAnsi="Arial Narrow"/>
                <w:sz w:val="20"/>
                <w:szCs w:val="20"/>
                <w:lang w:bidi="en-US"/>
              </w:rPr>
              <w:t>Hazard ratio (95% CI)</w:t>
            </w:r>
          </w:p>
        </w:tc>
        <w:tc>
          <w:tcPr>
            <w:tcW w:w="3116" w:type="pct"/>
            <w:gridSpan w:val="2"/>
          </w:tcPr>
          <w:p w14:paraId="60114655" w14:textId="77777777" w:rsidR="0081525E" w:rsidRPr="00F06897" w:rsidRDefault="0081525E" w:rsidP="008241B5">
            <w:pPr>
              <w:keepNext/>
              <w:jc w:val="center"/>
              <w:rPr>
                <w:rFonts w:ascii="Arial Narrow" w:eastAsiaTheme="majorEastAsia" w:hAnsi="Arial Narrow"/>
                <w:sz w:val="20"/>
                <w:szCs w:val="20"/>
                <w:lang w:bidi="en-US"/>
              </w:rPr>
            </w:pPr>
            <w:r w:rsidRPr="00F06897">
              <w:rPr>
                <w:rFonts w:ascii="Arial Narrow" w:eastAsiaTheme="majorEastAsia" w:hAnsi="Arial Narrow"/>
                <w:sz w:val="20"/>
                <w:szCs w:val="20"/>
                <w:lang w:bidi="en-US"/>
              </w:rPr>
              <w:t>0.64 (0.54, 0.76)</w:t>
            </w:r>
            <w:r>
              <w:rPr>
                <w:rFonts w:ascii="Arial Narrow" w:eastAsiaTheme="majorEastAsia" w:hAnsi="Arial Narrow"/>
                <w:sz w:val="20"/>
                <w:szCs w:val="20"/>
                <w:lang w:bidi="en-US"/>
              </w:rPr>
              <w:t>; p</w:t>
            </w:r>
            <w:r w:rsidRPr="00F06897">
              <w:rPr>
                <w:rFonts w:ascii="Arial Narrow" w:eastAsiaTheme="majorEastAsia" w:hAnsi="Arial Narrow"/>
                <w:sz w:val="20"/>
                <w:szCs w:val="20"/>
                <w:lang w:bidi="en-US"/>
              </w:rPr>
              <w:t>&lt;0.0001</w:t>
            </w:r>
          </w:p>
        </w:tc>
      </w:tr>
    </w:tbl>
    <w:p w14:paraId="2BBBAD10" w14:textId="77777777" w:rsidR="0081525E" w:rsidRDefault="0081525E" w:rsidP="008241B5">
      <w:pPr>
        <w:pStyle w:val="TableFooter"/>
      </w:pPr>
      <w:r w:rsidRPr="00F06897">
        <w:t xml:space="preserve">Source: </w:t>
      </w:r>
      <w:r>
        <w:t>Table 2-13, p76 of the submission.</w:t>
      </w:r>
    </w:p>
    <w:p w14:paraId="59EB149B" w14:textId="1EA43272" w:rsidR="0081525E" w:rsidRDefault="001B0D34" w:rsidP="008241B5">
      <w:pPr>
        <w:pStyle w:val="TableFooter"/>
      </w:pPr>
      <w:r w:rsidRPr="001B0D34">
        <w:t xml:space="preserve">BICR = blinded independent central review; </w:t>
      </w:r>
      <w:r w:rsidR="0081525E" w:rsidRPr="00F06897">
        <w:t xml:space="preserve">CI = confidence interval, FAS = full analysis set, </w:t>
      </w:r>
      <w:r w:rsidR="0081525E" w:rsidRPr="00C6764B">
        <w:t xml:space="preserve">ICC = </w:t>
      </w:r>
      <w:r w:rsidR="00D21370">
        <w:t>i</w:t>
      </w:r>
      <w:r w:rsidR="0081525E" w:rsidRPr="00C6764B">
        <w:t xml:space="preserve">nvestigator’s </w:t>
      </w:r>
      <w:r w:rsidR="00D21370">
        <w:t>c</w:t>
      </w:r>
      <w:r w:rsidR="0081525E" w:rsidRPr="00C6764B">
        <w:t xml:space="preserve">hoice of </w:t>
      </w:r>
      <w:r w:rsidR="00D21370">
        <w:t>c</w:t>
      </w:r>
      <w:r w:rsidR="0081525E" w:rsidRPr="00C6764B">
        <w:t>hemotherapy;</w:t>
      </w:r>
      <w:r w:rsidR="0081525E">
        <w:t xml:space="preserve"> IA = interim analysis; ITT = intention-to-treat; </w:t>
      </w:r>
      <w:r w:rsidR="0081525E" w:rsidRPr="00F06897">
        <w:t>PFS = progression-free survival</w:t>
      </w:r>
      <w:r w:rsidR="0042389B">
        <w:t>;</w:t>
      </w:r>
      <w:r w:rsidR="0081525E" w:rsidRPr="00F06897">
        <w:t xml:space="preserve"> RECIST = Response Evaluation Criteria in Solid Tumours</w:t>
      </w:r>
      <w:r w:rsidR="0042389B">
        <w:t>;</w:t>
      </w:r>
      <w:r w:rsidR="0081525E" w:rsidRPr="00F06897">
        <w:t xml:space="preserve"> T-</w:t>
      </w:r>
      <w:proofErr w:type="spellStart"/>
      <w:r w:rsidR="0081525E" w:rsidRPr="00F06897">
        <w:t>DXd</w:t>
      </w:r>
      <w:proofErr w:type="spellEnd"/>
      <w:r w:rsidR="0081525E" w:rsidRPr="00F06897">
        <w:t xml:space="preserve"> = </w:t>
      </w:r>
      <w:r w:rsidR="003B544E">
        <w:t>t</w:t>
      </w:r>
      <w:r w:rsidR="0081525E" w:rsidRPr="00F06897">
        <w:t>rastuzumab deruxtecan</w:t>
      </w:r>
    </w:p>
    <w:p w14:paraId="2A825753" w14:textId="515715BF" w:rsidR="0081525E" w:rsidRDefault="0081525E" w:rsidP="008241B5">
      <w:pPr>
        <w:pStyle w:val="TableFooter"/>
      </w:pPr>
      <w:r>
        <w:t>Data cutoff March 2024. M</w:t>
      </w:r>
      <w:r w:rsidRPr="00A44E97">
        <w:t>edian follow up durations of 18.6 months and 17.8 months in the T-</w:t>
      </w:r>
      <w:proofErr w:type="spellStart"/>
      <w:r w:rsidRPr="00A44E97">
        <w:t>DXd</w:t>
      </w:r>
      <w:proofErr w:type="spellEnd"/>
      <w:r w:rsidRPr="00A44E97">
        <w:t xml:space="preserve"> and chemotherapy arms, respectively</w:t>
      </w:r>
    </w:p>
    <w:p w14:paraId="70F72EA3" w14:textId="77777777" w:rsidR="00DB2037" w:rsidRDefault="00DB2037" w:rsidP="008241B5">
      <w:pPr>
        <w:pStyle w:val="TableFooter"/>
      </w:pPr>
    </w:p>
    <w:p w14:paraId="504A0E2B" w14:textId="64292859" w:rsidR="00DB2037" w:rsidRPr="00F06897" w:rsidRDefault="00DB2037" w:rsidP="008241B5">
      <w:pPr>
        <w:pStyle w:val="Caption"/>
        <w:rPr>
          <w:b w:val="0"/>
          <w:iCs/>
          <w:color w:val="000000" w:themeColor="text1"/>
        </w:rPr>
      </w:pPr>
      <w:bookmarkStart w:id="25" w:name="_Ref219713224"/>
      <w:r>
        <w:lastRenderedPageBreak/>
        <w:t xml:space="preserve">Figure </w:t>
      </w:r>
      <w:fldSimple w:instr=" SEQ Figure \* ARABIC ">
        <w:r w:rsidR="005D3E29">
          <w:rPr>
            <w:noProof/>
          </w:rPr>
          <w:t>2</w:t>
        </w:r>
      </w:fldSimple>
      <w:bookmarkEnd w:id="25"/>
      <w:r>
        <w:t xml:space="preserve">: IA1 - </w:t>
      </w:r>
      <w:r w:rsidRPr="00F06897">
        <w:rPr>
          <w:iCs/>
          <w:color w:val="000000" w:themeColor="text1"/>
        </w:rPr>
        <w:t>Kaplan</w:t>
      </w:r>
      <w:r>
        <w:rPr>
          <w:iCs/>
          <w:color w:val="000000" w:themeColor="text1"/>
        </w:rPr>
        <w:t>-</w:t>
      </w:r>
      <w:r w:rsidRPr="00F06897">
        <w:rPr>
          <w:iCs/>
          <w:color w:val="000000" w:themeColor="text1"/>
        </w:rPr>
        <w:t xml:space="preserve">Meier </w:t>
      </w:r>
      <w:r>
        <w:rPr>
          <w:iCs/>
          <w:color w:val="000000" w:themeColor="text1"/>
        </w:rPr>
        <w:t>a</w:t>
      </w:r>
      <w:r w:rsidRPr="00F06897">
        <w:rPr>
          <w:iCs/>
          <w:color w:val="000000" w:themeColor="text1"/>
        </w:rPr>
        <w:t>nalysis of PFS by BICR (ITT population</w:t>
      </w:r>
      <w:r>
        <w:rPr>
          <w:iCs/>
          <w:color w:val="000000" w:themeColor="text1"/>
        </w:rPr>
        <w:t xml:space="preserve"> of the DB-06</w:t>
      </w:r>
      <w:r w:rsidRPr="00F06897">
        <w:rPr>
          <w:iCs/>
          <w:color w:val="000000" w:themeColor="text1"/>
        </w:rPr>
        <w:t xml:space="preserve"> </w:t>
      </w:r>
      <w:r>
        <w:rPr>
          <w:iCs/>
          <w:color w:val="000000" w:themeColor="text1"/>
        </w:rPr>
        <w:t>trial)</w:t>
      </w:r>
    </w:p>
    <w:p w14:paraId="440E55C5" w14:textId="77777777" w:rsidR="00DB2037" w:rsidRPr="00F06897" w:rsidRDefault="00DB2037" w:rsidP="008241B5">
      <w:r w:rsidRPr="00F06897">
        <w:rPr>
          <w:noProof/>
        </w:rPr>
        <w:drawing>
          <wp:inline distT="0" distB="0" distL="0" distR="0" wp14:anchorId="6907FC57" wp14:editId="1A6C6A7F">
            <wp:extent cx="5731510" cy="2597150"/>
            <wp:effectExtent l="0" t="0" r="2540" b="0"/>
            <wp:docPr id="449445858" name="Picture 4" descr="Figure 2: IA1 - Kaplan-Meier analysis of PFS by BICR (ITT population of the DB-06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45858" name="Picture 4" descr="Figure 2: IA1 - Kaplan-Meier analysis of PFS by BICR (ITT population of the DB-06 tr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97150"/>
                    </a:xfrm>
                    <a:prstGeom prst="rect">
                      <a:avLst/>
                    </a:prstGeom>
                    <a:noFill/>
                    <a:ln>
                      <a:noFill/>
                    </a:ln>
                  </pic:spPr>
                </pic:pic>
              </a:graphicData>
            </a:graphic>
          </wp:inline>
        </w:drawing>
      </w:r>
    </w:p>
    <w:p w14:paraId="74FD51B6" w14:textId="77777777" w:rsidR="00DB2037" w:rsidRPr="00C177DF" w:rsidRDefault="00DB2037" w:rsidP="008241B5">
      <w:pPr>
        <w:pStyle w:val="TableFooter"/>
      </w:pPr>
      <w:r w:rsidRPr="00C177DF">
        <w:t>Source: Figure 2-6, p76 of the submission</w:t>
      </w:r>
    </w:p>
    <w:p w14:paraId="3534A994" w14:textId="6CC65507" w:rsidR="00DB2037" w:rsidRPr="00C177DF" w:rsidRDefault="001B0D34" w:rsidP="008241B5">
      <w:pPr>
        <w:rPr>
          <w:rFonts w:ascii="Arial Narrow" w:hAnsi="Arial Narrow"/>
          <w:sz w:val="18"/>
          <w:szCs w:val="18"/>
        </w:rPr>
      </w:pPr>
      <w:r>
        <w:rPr>
          <w:rFonts w:ascii="Arial Narrow" w:hAnsi="Arial Narrow"/>
          <w:sz w:val="18"/>
          <w:szCs w:val="18"/>
        </w:rPr>
        <w:t xml:space="preserve">BICR </w:t>
      </w:r>
      <w:r w:rsidRPr="001B0D34">
        <w:rPr>
          <w:rFonts w:ascii="Arial Narrow" w:hAnsi="Arial Narrow"/>
          <w:sz w:val="18"/>
          <w:szCs w:val="18"/>
        </w:rPr>
        <w:t>= blinded independent central review</w:t>
      </w:r>
      <w:r>
        <w:rPr>
          <w:rFonts w:ascii="Arial Narrow" w:hAnsi="Arial Narrow"/>
          <w:sz w:val="18"/>
          <w:szCs w:val="18"/>
        </w:rPr>
        <w:t>;</w:t>
      </w:r>
      <w:r w:rsidRPr="001B0D34">
        <w:rPr>
          <w:rFonts w:ascii="Arial Narrow" w:hAnsi="Arial Narrow"/>
          <w:sz w:val="18"/>
          <w:szCs w:val="18"/>
        </w:rPr>
        <w:t xml:space="preserve"> </w:t>
      </w:r>
      <w:r w:rsidR="00DB2037" w:rsidRPr="00C177DF">
        <w:rPr>
          <w:rFonts w:ascii="Arial Narrow" w:hAnsi="Arial Narrow"/>
          <w:sz w:val="18"/>
          <w:szCs w:val="18"/>
        </w:rPr>
        <w:t>CI = confidence interval; ITT = intention to treat, PFS = progression-free survival</w:t>
      </w:r>
    </w:p>
    <w:p w14:paraId="65CB8696" w14:textId="77777777" w:rsidR="00DB2037" w:rsidRPr="00673928" w:rsidRDefault="00DB2037" w:rsidP="008241B5">
      <w:pPr>
        <w:pStyle w:val="TableFooter"/>
      </w:pPr>
    </w:p>
    <w:p w14:paraId="655CDCE6" w14:textId="7BD97586" w:rsidR="0081525E" w:rsidRPr="00904162" w:rsidRDefault="0081525E" w:rsidP="008241B5">
      <w:pPr>
        <w:pStyle w:val="3-BodyText"/>
      </w:pPr>
      <w:r w:rsidRPr="00904162">
        <w:t xml:space="preserve">Results of the ITT analysis were </w:t>
      </w:r>
      <w:proofErr w:type="gramStart"/>
      <w:r w:rsidRPr="00904162">
        <w:t>similar to</w:t>
      </w:r>
      <w:proofErr w:type="gramEnd"/>
      <w:r w:rsidRPr="00904162">
        <w:t xml:space="preserve"> that of the HER2-low subgroup. This is expected as HER2-low patients made up </w:t>
      </w:r>
      <w:r w:rsidR="00C44206" w:rsidRPr="00904162">
        <w:t xml:space="preserve">more than </w:t>
      </w:r>
      <w:r w:rsidRPr="00904162">
        <w:t>80% of the ITT</w:t>
      </w:r>
      <w:r w:rsidR="00C44206" w:rsidRPr="00904162">
        <w:t xml:space="preserve"> population</w:t>
      </w:r>
      <w:r w:rsidRPr="00904162">
        <w:t>. T</w:t>
      </w:r>
      <w:r w:rsidR="004A46E0">
        <w:noBreakHyphen/>
      </w:r>
      <w:proofErr w:type="spellStart"/>
      <w:r w:rsidRPr="00904162">
        <w:t>DXd</w:t>
      </w:r>
      <w:proofErr w:type="spellEnd"/>
      <w:r w:rsidRPr="00904162">
        <w:t xml:space="preserve"> was associated with a statistically significant PFS benefit (by BICR) compared to ICC. The point estimates of the median PFS durations across the arms were identical to those for HER2</w:t>
      </w:r>
      <w:r w:rsidR="003025DE" w:rsidRPr="00904162">
        <w:t>-</w:t>
      </w:r>
      <w:r w:rsidRPr="00904162">
        <w:t>low patients (T-</w:t>
      </w:r>
      <w:proofErr w:type="spellStart"/>
      <w:r w:rsidRPr="00904162">
        <w:t>DXd</w:t>
      </w:r>
      <w:proofErr w:type="spellEnd"/>
      <w:r w:rsidRPr="00904162">
        <w:t>: 13.2 months [95% CI: 12.0, 15.2]; ICC: 8.1 months [95% CI: 7.0, 9.0]). This corresponded to a 36% reduction in the hazard of progression or death associated with T-</w:t>
      </w:r>
      <w:proofErr w:type="spellStart"/>
      <w:r w:rsidRPr="00904162">
        <w:t>DXd</w:t>
      </w:r>
      <w:proofErr w:type="spellEnd"/>
      <w:r w:rsidRPr="00904162">
        <w:t xml:space="preserve"> (</w:t>
      </w:r>
      <w:r w:rsidR="00C44206" w:rsidRPr="00904162">
        <w:t>hazard ratio:</w:t>
      </w:r>
      <w:r w:rsidRPr="00904162">
        <w:t xml:space="preserve"> 0.64; 95% CI: 0.54, 0.76</w:t>
      </w:r>
      <w:r w:rsidR="00C44206" w:rsidRPr="00904162">
        <w:t>;</w:t>
      </w:r>
      <w:r w:rsidRPr="00904162">
        <w:t xml:space="preserve"> p &lt;0.0001). </w:t>
      </w:r>
    </w:p>
    <w:p w14:paraId="369343EA" w14:textId="3236CDCB" w:rsidR="0081525E" w:rsidRPr="00904162" w:rsidRDefault="0016177B" w:rsidP="008241B5">
      <w:pPr>
        <w:pStyle w:val="3-BodyText"/>
      </w:pPr>
      <w:r w:rsidRPr="00904162">
        <w:t>Compared to PFS by BICR, r</w:t>
      </w:r>
      <w:r w:rsidR="0081525E" w:rsidRPr="00904162">
        <w:t xml:space="preserve">esults for PFS (investigator assessment) in the ITT population </w:t>
      </w:r>
      <w:r w:rsidRPr="00904162">
        <w:t>showed</w:t>
      </w:r>
      <w:r w:rsidR="0081525E" w:rsidRPr="00904162">
        <w:t xml:space="preserve"> a larger reduction (49%) in the hazard of progression or death associated with T-</w:t>
      </w:r>
      <w:proofErr w:type="spellStart"/>
      <w:r w:rsidR="0081525E" w:rsidRPr="00904162">
        <w:t>DXd</w:t>
      </w:r>
      <w:proofErr w:type="spellEnd"/>
      <w:r w:rsidR="0081525E" w:rsidRPr="00904162">
        <w:t xml:space="preserve"> compared with ICC (</w:t>
      </w:r>
      <w:r w:rsidR="00C44206" w:rsidRPr="00904162">
        <w:t>hazard ratio:</w:t>
      </w:r>
      <w:r w:rsidR="0081525E" w:rsidRPr="00904162">
        <w:t xml:space="preserve"> 0.51; 95% CI: 0.44, 0.60). This may be due to the open-label design of the trial.</w:t>
      </w:r>
    </w:p>
    <w:p w14:paraId="4AA1321D" w14:textId="77777777" w:rsidR="0081525E" w:rsidRPr="00904162" w:rsidRDefault="0081525E" w:rsidP="008241B5">
      <w:pPr>
        <w:pStyle w:val="3-BodyText"/>
      </w:pPr>
      <w:r w:rsidRPr="00904162">
        <w:t>OS data for the ITT population were available for two DCOs in the DB-06 CSRs provided with the submission:</w:t>
      </w:r>
    </w:p>
    <w:p w14:paraId="250C4EAA" w14:textId="425E149F" w:rsidR="0081525E" w:rsidRPr="00904162" w:rsidRDefault="0081525E" w:rsidP="008241B5">
      <w:pPr>
        <w:pStyle w:val="3-BodyText"/>
        <w:numPr>
          <w:ilvl w:val="0"/>
          <w:numId w:val="10"/>
        </w:numPr>
        <w:ind w:left="1134"/>
      </w:pPr>
      <w:r w:rsidRPr="00904162">
        <w:t>DCO 18 March 2024 (IA1): median follow up durations of 18.6 months and 17.8</w:t>
      </w:r>
      <w:r w:rsidR="00C44206" w:rsidRPr="00904162">
        <w:t> </w:t>
      </w:r>
      <w:r w:rsidRPr="00904162">
        <w:t>months in the T-</w:t>
      </w:r>
      <w:proofErr w:type="spellStart"/>
      <w:r w:rsidRPr="00904162">
        <w:t>DXd</w:t>
      </w:r>
      <w:proofErr w:type="spellEnd"/>
      <w:r w:rsidRPr="00904162">
        <w:t xml:space="preserve"> and ICC arms, respectively. OS data were 38.7% mature (335 events/866 patients).</w:t>
      </w:r>
    </w:p>
    <w:p w14:paraId="64329836" w14:textId="2C40390C" w:rsidR="0081525E" w:rsidRDefault="0081525E" w:rsidP="008241B5">
      <w:pPr>
        <w:pStyle w:val="3-BodyText"/>
        <w:numPr>
          <w:ilvl w:val="0"/>
          <w:numId w:val="10"/>
        </w:numPr>
        <w:ind w:left="1134"/>
      </w:pPr>
      <w:r w:rsidRPr="00904162">
        <w:t>DCO 24 March 2025 (IA2): median follow up durations of 27.6 months and 25.0</w:t>
      </w:r>
      <w:r w:rsidR="00C44206" w:rsidRPr="00904162">
        <w:t> </w:t>
      </w:r>
      <w:r w:rsidRPr="00904162">
        <w:t>months in the T-</w:t>
      </w:r>
      <w:proofErr w:type="spellStart"/>
      <w:r w:rsidRPr="00904162">
        <w:t>DXd</w:t>
      </w:r>
      <w:proofErr w:type="spellEnd"/>
      <w:r w:rsidRPr="00904162">
        <w:t xml:space="preserve"> and chemotherapy arms, respectively. OS data were 56.0% mature (485 events/866 patients).</w:t>
      </w:r>
    </w:p>
    <w:p w14:paraId="52EF7DCA" w14:textId="046C9999" w:rsidR="00F42F07" w:rsidRPr="00B13CE3" w:rsidRDefault="00F42F07" w:rsidP="008241B5">
      <w:pPr>
        <w:pStyle w:val="3-BodyText"/>
        <w:numPr>
          <w:ilvl w:val="0"/>
          <w:numId w:val="0"/>
        </w:numPr>
        <w:ind w:left="774"/>
        <w:rPr>
          <w:iCs/>
        </w:rPr>
      </w:pPr>
      <w:r w:rsidRPr="00B13CE3">
        <w:rPr>
          <w:iCs/>
        </w:rPr>
        <w:t xml:space="preserve">The </w:t>
      </w:r>
      <w:r w:rsidR="00D85B8B" w:rsidRPr="00B13CE3">
        <w:rPr>
          <w:iCs/>
        </w:rPr>
        <w:t>Sub-Committees</w:t>
      </w:r>
      <w:r w:rsidR="006E34F6" w:rsidRPr="00B13CE3">
        <w:rPr>
          <w:iCs/>
        </w:rPr>
        <w:t xml:space="preserve"> </w:t>
      </w:r>
      <w:r w:rsidRPr="00B13CE3">
        <w:rPr>
          <w:iCs/>
        </w:rPr>
        <w:t>noted that</w:t>
      </w:r>
      <w:r w:rsidR="006063FB" w:rsidRPr="00B13CE3">
        <w:rPr>
          <w:iCs/>
        </w:rPr>
        <w:t xml:space="preserve"> the OS data were immature at the time of the submission.</w:t>
      </w:r>
    </w:p>
    <w:p w14:paraId="04064243" w14:textId="50E09AF0" w:rsidR="0081525E" w:rsidRPr="00904162" w:rsidRDefault="0081525E" w:rsidP="008241B5">
      <w:pPr>
        <w:pStyle w:val="3-BodyText"/>
      </w:pPr>
      <w:r w:rsidRPr="00904162">
        <w:t xml:space="preserve">The final OS analysis will be performed when approximately 521 OS events have been observed in the HER2-low population (74% maturity), which is expected to occur approximately 63 months after the first patient is randomised. At this time, it is </w:t>
      </w:r>
      <w:r w:rsidRPr="00904162">
        <w:lastRenderedPageBreak/>
        <w:t>estimated that 632 OS events will have been observed in the ITT population (Clinical Study Protocol – 5.0). These data will be informative in the assessment of any long-term OS benefit.</w:t>
      </w:r>
      <w:r w:rsidR="00F41302">
        <w:t xml:space="preserve"> </w:t>
      </w:r>
      <w:r w:rsidR="00F41302" w:rsidRPr="00B13CE3">
        <w:rPr>
          <w:iCs/>
        </w:rPr>
        <w:t>The PSCR noted that th</w:t>
      </w:r>
      <w:r w:rsidR="00EA34AF" w:rsidRPr="00B13CE3">
        <w:rPr>
          <w:iCs/>
        </w:rPr>
        <w:t>e final OS analysis is</w:t>
      </w:r>
      <w:r w:rsidR="00F41302" w:rsidRPr="00B13CE3">
        <w:rPr>
          <w:iCs/>
        </w:rPr>
        <w:t xml:space="preserve"> expected</w:t>
      </w:r>
      <w:r w:rsidR="0048726C" w:rsidRPr="00B13CE3">
        <w:rPr>
          <w:iCs/>
        </w:rPr>
        <w:t xml:space="preserve"> </w:t>
      </w:r>
      <w:r w:rsidR="00EA34AF" w:rsidRPr="00B13CE3">
        <w:rPr>
          <w:iCs/>
        </w:rPr>
        <w:t xml:space="preserve">in the second half of 2026, though it is </w:t>
      </w:r>
      <w:proofErr w:type="gramStart"/>
      <w:r w:rsidR="00EA34AF" w:rsidRPr="00B13CE3">
        <w:rPr>
          <w:iCs/>
        </w:rPr>
        <w:t>event-driven</w:t>
      </w:r>
      <w:proofErr w:type="gramEnd"/>
      <w:r w:rsidR="00EA34AF" w:rsidRPr="00B13CE3">
        <w:rPr>
          <w:iCs/>
        </w:rPr>
        <w:t>.</w:t>
      </w:r>
    </w:p>
    <w:p w14:paraId="7F28B45E" w14:textId="04F7D5EB" w:rsidR="0081525E" w:rsidRPr="00904162" w:rsidRDefault="0081525E" w:rsidP="008241B5">
      <w:pPr>
        <w:pStyle w:val="3-BodyText"/>
      </w:pPr>
      <w:r w:rsidRPr="00904162">
        <w:t>Results for OS in the ITT</w:t>
      </w:r>
      <w:r w:rsidR="0051107D">
        <w:t xml:space="preserve"> population</w:t>
      </w:r>
      <w:r w:rsidRPr="00904162">
        <w:t xml:space="preserve"> (IA1 and IA2) are summarised in </w:t>
      </w:r>
      <w:r w:rsidRPr="00904162">
        <w:fldChar w:fldCharType="begin"/>
      </w:r>
      <w:r w:rsidRPr="00904162">
        <w:instrText xml:space="preserve"> REF _Ref218521376 \h </w:instrText>
      </w:r>
      <w:r w:rsidR="00904162" w:rsidRPr="00904162">
        <w:instrText xml:space="preserve"> \* MERGEFORMAT </w:instrText>
      </w:r>
      <w:r w:rsidRPr="00904162">
        <w:fldChar w:fldCharType="separate"/>
      </w:r>
      <w:r w:rsidR="005D3E29">
        <w:t xml:space="preserve">Table </w:t>
      </w:r>
      <w:r w:rsidR="005D3E29">
        <w:rPr>
          <w:noProof/>
        </w:rPr>
        <w:t>6</w:t>
      </w:r>
      <w:r w:rsidRPr="00904162">
        <w:fldChar w:fldCharType="end"/>
      </w:r>
      <w:r w:rsidRPr="00904162">
        <w:t xml:space="preserve">. The KM curves for IA2 are presented in </w:t>
      </w:r>
      <w:r w:rsidRPr="00904162">
        <w:fldChar w:fldCharType="begin"/>
      </w:r>
      <w:r w:rsidRPr="00904162">
        <w:instrText xml:space="preserve"> REF _Ref218521660 \h </w:instrText>
      </w:r>
      <w:r w:rsidR="00904162" w:rsidRPr="00904162">
        <w:instrText xml:space="preserve"> \* MERGEFORMAT </w:instrText>
      </w:r>
      <w:r w:rsidRPr="00904162">
        <w:fldChar w:fldCharType="separate"/>
      </w:r>
      <w:r w:rsidR="005D3E29">
        <w:t xml:space="preserve">Figure </w:t>
      </w:r>
      <w:r w:rsidR="005D3E29">
        <w:rPr>
          <w:noProof/>
        </w:rPr>
        <w:t>3</w:t>
      </w:r>
      <w:r w:rsidRPr="00904162">
        <w:fldChar w:fldCharType="end"/>
      </w:r>
      <w:r w:rsidRPr="00904162">
        <w:t>.</w:t>
      </w:r>
    </w:p>
    <w:p w14:paraId="579C648C" w14:textId="788678BF" w:rsidR="0081525E" w:rsidRPr="00A44E97" w:rsidRDefault="0081525E" w:rsidP="008241B5">
      <w:pPr>
        <w:pStyle w:val="Caption"/>
      </w:pPr>
      <w:bookmarkStart w:id="26" w:name="_Ref218521376"/>
      <w:r>
        <w:t xml:space="preserve">Table </w:t>
      </w:r>
      <w:fldSimple w:instr=" SEQ Table \* ARABIC ">
        <w:r w:rsidR="005D3E29">
          <w:rPr>
            <w:noProof/>
          </w:rPr>
          <w:t>6</w:t>
        </w:r>
      </w:fldSimple>
      <w:bookmarkEnd w:id="26"/>
      <w:r>
        <w:t>: OS</w:t>
      </w:r>
      <w:r w:rsidRPr="00A44E97">
        <w:t xml:space="preserve"> in the ITT </w:t>
      </w:r>
      <w:r w:rsidR="0042389B">
        <w:t>p</w:t>
      </w:r>
      <w:r w:rsidRPr="00A44E97">
        <w:t>opulation DB-06 Trial</w:t>
      </w:r>
    </w:p>
    <w:tbl>
      <w:tblPr>
        <w:tblW w:w="5000" w:type="pct"/>
        <w:tblLook w:val="04A0" w:firstRow="1" w:lastRow="0" w:firstColumn="1" w:lastColumn="0" w:noHBand="0" w:noVBand="1"/>
        <w:tblCaption w:val="Table 6: OS in the ITT population DB-06 Trial"/>
      </w:tblPr>
      <w:tblGrid>
        <w:gridCol w:w="3681"/>
        <w:gridCol w:w="2667"/>
        <w:gridCol w:w="27"/>
        <w:gridCol w:w="2642"/>
      </w:tblGrid>
      <w:tr w:rsidR="0081525E" w:rsidRPr="00A44E97" w14:paraId="7BB997CB" w14:textId="77777777">
        <w:trPr>
          <w:cantSplit/>
          <w:tblHeader/>
        </w:trPr>
        <w:tc>
          <w:tcPr>
            <w:tcW w:w="2041" w:type="pct"/>
            <w:tcBorders>
              <w:top w:val="single" w:sz="4" w:space="0" w:color="auto"/>
              <w:left w:val="single" w:sz="4" w:space="0" w:color="auto"/>
              <w:bottom w:val="single" w:sz="4" w:space="0" w:color="auto"/>
              <w:right w:val="single" w:sz="4" w:space="0" w:color="auto"/>
            </w:tcBorders>
          </w:tcPr>
          <w:p w14:paraId="25CA2601" w14:textId="77777777" w:rsidR="0081525E" w:rsidRPr="00A44E97" w:rsidRDefault="0081525E" w:rsidP="008241B5">
            <w:pPr>
              <w:pStyle w:val="Tabletext"/>
              <w:keepNext/>
              <w:rPr>
                <w:b/>
                <w:bCs/>
              </w:rPr>
            </w:pPr>
          </w:p>
        </w:tc>
        <w:tc>
          <w:tcPr>
            <w:tcW w:w="1494" w:type="pct"/>
            <w:gridSpan w:val="2"/>
            <w:tcBorders>
              <w:top w:val="single" w:sz="4" w:space="0" w:color="auto"/>
              <w:left w:val="single" w:sz="4" w:space="0" w:color="auto"/>
              <w:bottom w:val="single" w:sz="4" w:space="0" w:color="auto"/>
              <w:right w:val="single" w:sz="4" w:space="0" w:color="auto"/>
            </w:tcBorders>
            <w:hideMark/>
          </w:tcPr>
          <w:p w14:paraId="6EE8D6A8" w14:textId="615DD911" w:rsidR="0042389B" w:rsidRDefault="0081525E" w:rsidP="008241B5">
            <w:pPr>
              <w:pStyle w:val="Tabletext"/>
              <w:keepNext/>
              <w:jc w:val="center"/>
              <w:rPr>
                <w:b/>
                <w:bCs/>
              </w:rPr>
            </w:pPr>
            <w:r w:rsidRPr="00A44E97">
              <w:rPr>
                <w:b/>
                <w:bCs/>
              </w:rPr>
              <w:t>T-</w:t>
            </w:r>
            <w:proofErr w:type="spellStart"/>
            <w:r w:rsidRPr="00A44E97">
              <w:rPr>
                <w:b/>
                <w:bCs/>
              </w:rPr>
              <w:t>DXd</w:t>
            </w:r>
            <w:proofErr w:type="spellEnd"/>
          </w:p>
          <w:p w14:paraId="5720B15B" w14:textId="4B3C99E6" w:rsidR="0081525E" w:rsidRPr="00A44E97" w:rsidRDefault="0081525E" w:rsidP="008241B5">
            <w:pPr>
              <w:pStyle w:val="Tabletext"/>
              <w:keepNext/>
              <w:jc w:val="center"/>
              <w:rPr>
                <w:b/>
                <w:bCs/>
              </w:rPr>
            </w:pPr>
            <w:r>
              <w:rPr>
                <w:b/>
                <w:bCs/>
              </w:rPr>
              <w:t>(</w:t>
            </w:r>
            <w:r w:rsidRPr="00A44E97">
              <w:rPr>
                <w:b/>
                <w:bCs/>
              </w:rPr>
              <w:t>N=436</w:t>
            </w:r>
            <w:r>
              <w:rPr>
                <w:b/>
                <w:bCs/>
              </w:rPr>
              <w:t>)</w:t>
            </w:r>
          </w:p>
        </w:tc>
        <w:tc>
          <w:tcPr>
            <w:tcW w:w="1465" w:type="pct"/>
            <w:tcBorders>
              <w:top w:val="single" w:sz="4" w:space="0" w:color="auto"/>
              <w:left w:val="single" w:sz="4" w:space="0" w:color="auto"/>
              <w:bottom w:val="single" w:sz="4" w:space="0" w:color="auto"/>
              <w:right w:val="single" w:sz="4" w:space="0" w:color="auto"/>
            </w:tcBorders>
            <w:hideMark/>
          </w:tcPr>
          <w:p w14:paraId="45622623" w14:textId="685D3E89" w:rsidR="0042389B" w:rsidRDefault="0081525E" w:rsidP="008241B5">
            <w:pPr>
              <w:pStyle w:val="Tabletext"/>
              <w:keepNext/>
              <w:jc w:val="center"/>
              <w:rPr>
                <w:b/>
                <w:bCs/>
              </w:rPr>
            </w:pPr>
            <w:r>
              <w:rPr>
                <w:b/>
                <w:bCs/>
              </w:rPr>
              <w:t>ICC</w:t>
            </w:r>
          </w:p>
          <w:p w14:paraId="1C40C45B" w14:textId="757FDD85" w:rsidR="0081525E" w:rsidRPr="00A44E97" w:rsidRDefault="0081525E" w:rsidP="008241B5">
            <w:pPr>
              <w:pStyle w:val="Tabletext"/>
              <w:keepNext/>
              <w:jc w:val="center"/>
              <w:rPr>
                <w:b/>
                <w:bCs/>
              </w:rPr>
            </w:pPr>
            <w:r>
              <w:rPr>
                <w:b/>
                <w:bCs/>
              </w:rPr>
              <w:t>(</w:t>
            </w:r>
            <w:r w:rsidRPr="00A44E97">
              <w:rPr>
                <w:b/>
                <w:bCs/>
              </w:rPr>
              <w:t>N=430</w:t>
            </w:r>
            <w:r>
              <w:rPr>
                <w:b/>
                <w:bCs/>
              </w:rPr>
              <w:t>)</w:t>
            </w:r>
          </w:p>
        </w:tc>
      </w:tr>
      <w:tr w:rsidR="0081525E" w:rsidRPr="00A44E97" w14:paraId="3AA6D9C0" w14:textId="77777777">
        <w:trPr>
          <w:cantSplit/>
          <w:tblHeader/>
        </w:trPr>
        <w:tc>
          <w:tcPr>
            <w:tcW w:w="2041" w:type="pct"/>
            <w:tcBorders>
              <w:top w:val="single" w:sz="4" w:space="0" w:color="auto"/>
              <w:left w:val="single" w:sz="4" w:space="0" w:color="auto"/>
              <w:bottom w:val="single" w:sz="4" w:space="0" w:color="auto"/>
              <w:right w:val="single" w:sz="4" w:space="0" w:color="auto"/>
            </w:tcBorders>
          </w:tcPr>
          <w:p w14:paraId="1A01448E" w14:textId="3A802267" w:rsidR="0081525E" w:rsidRPr="00A44E97" w:rsidRDefault="0081525E" w:rsidP="008241B5">
            <w:pPr>
              <w:pStyle w:val="Tabletext"/>
              <w:keepNext/>
              <w:rPr>
                <w:b/>
                <w:bCs/>
              </w:rPr>
            </w:pPr>
            <w:r>
              <w:rPr>
                <w:b/>
                <w:bCs/>
              </w:rPr>
              <w:t xml:space="preserve">IA1. DCO </w:t>
            </w:r>
            <w:r w:rsidRPr="005C780C">
              <w:rPr>
                <w:b/>
                <w:bCs/>
              </w:rPr>
              <w:t xml:space="preserve">March 2024. </w:t>
            </w:r>
            <w:r w:rsidRPr="0042389B">
              <w:t>Median follow up</w:t>
            </w:r>
          </w:p>
        </w:tc>
        <w:tc>
          <w:tcPr>
            <w:tcW w:w="1494" w:type="pct"/>
            <w:gridSpan w:val="2"/>
            <w:tcBorders>
              <w:top w:val="single" w:sz="4" w:space="0" w:color="auto"/>
              <w:left w:val="single" w:sz="4" w:space="0" w:color="auto"/>
              <w:bottom w:val="single" w:sz="4" w:space="0" w:color="auto"/>
              <w:right w:val="single" w:sz="4" w:space="0" w:color="auto"/>
            </w:tcBorders>
          </w:tcPr>
          <w:p w14:paraId="3DAFAE2A" w14:textId="77777777" w:rsidR="0081525E" w:rsidRPr="0042389B" w:rsidRDefault="0081525E" w:rsidP="008241B5">
            <w:pPr>
              <w:pStyle w:val="Tabletext"/>
              <w:keepNext/>
              <w:jc w:val="center"/>
            </w:pPr>
            <w:r w:rsidRPr="0042389B">
              <w:t>18.6 months</w:t>
            </w:r>
          </w:p>
        </w:tc>
        <w:tc>
          <w:tcPr>
            <w:tcW w:w="1465" w:type="pct"/>
            <w:tcBorders>
              <w:top w:val="single" w:sz="4" w:space="0" w:color="auto"/>
              <w:left w:val="single" w:sz="4" w:space="0" w:color="auto"/>
              <w:bottom w:val="single" w:sz="4" w:space="0" w:color="auto"/>
              <w:right w:val="single" w:sz="4" w:space="0" w:color="auto"/>
            </w:tcBorders>
          </w:tcPr>
          <w:p w14:paraId="17B94C0A" w14:textId="77777777" w:rsidR="0081525E" w:rsidRPr="0042389B" w:rsidRDefault="0081525E" w:rsidP="008241B5">
            <w:pPr>
              <w:pStyle w:val="Tabletext"/>
              <w:keepNext/>
              <w:jc w:val="center"/>
            </w:pPr>
            <w:r w:rsidRPr="0042389B">
              <w:t>17.8 months</w:t>
            </w:r>
          </w:p>
        </w:tc>
      </w:tr>
      <w:tr w:rsidR="0081525E" w:rsidRPr="00A44E97" w14:paraId="5E8F1EF4" w14:textId="77777777">
        <w:trPr>
          <w:cantSplit/>
        </w:trPr>
        <w:tc>
          <w:tcPr>
            <w:tcW w:w="2041" w:type="pct"/>
            <w:tcBorders>
              <w:top w:val="single" w:sz="4" w:space="0" w:color="auto"/>
              <w:left w:val="single" w:sz="4" w:space="0" w:color="auto"/>
              <w:bottom w:val="single" w:sz="4" w:space="0" w:color="auto"/>
              <w:right w:val="single" w:sz="4" w:space="0" w:color="auto"/>
            </w:tcBorders>
            <w:hideMark/>
          </w:tcPr>
          <w:p w14:paraId="2DFC647B" w14:textId="77777777" w:rsidR="0081525E" w:rsidRPr="00A44E97" w:rsidRDefault="0081525E" w:rsidP="008241B5">
            <w:pPr>
              <w:pStyle w:val="Tabletext"/>
              <w:keepNext/>
            </w:pPr>
            <w:r w:rsidRPr="00A44E97">
              <w:t>Deaths n (%)</w:t>
            </w:r>
          </w:p>
        </w:tc>
        <w:tc>
          <w:tcPr>
            <w:tcW w:w="1494" w:type="pct"/>
            <w:gridSpan w:val="2"/>
            <w:tcBorders>
              <w:top w:val="single" w:sz="4" w:space="0" w:color="auto"/>
              <w:left w:val="single" w:sz="4" w:space="0" w:color="auto"/>
              <w:bottom w:val="single" w:sz="4" w:space="0" w:color="auto"/>
              <w:right w:val="single" w:sz="4" w:space="0" w:color="auto"/>
            </w:tcBorders>
            <w:hideMark/>
          </w:tcPr>
          <w:p w14:paraId="46A79255" w14:textId="77777777" w:rsidR="0081525E" w:rsidRPr="00A44E97" w:rsidRDefault="0081525E" w:rsidP="008241B5">
            <w:pPr>
              <w:pStyle w:val="Tabletext"/>
              <w:keepNext/>
              <w:jc w:val="center"/>
            </w:pPr>
            <w:r w:rsidRPr="00A44E97">
              <w:t>161 (36.9)</w:t>
            </w:r>
          </w:p>
        </w:tc>
        <w:tc>
          <w:tcPr>
            <w:tcW w:w="1465" w:type="pct"/>
            <w:tcBorders>
              <w:top w:val="single" w:sz="4" w:space="0" w:color="auto"/>
              <w:left w:val="single" w:sz="4" w:space="0" w:color="auto"/>
              <w:bottom w:val="single" w:sz="4" w:space="0" w:color="auto"/>
              <w:right w:val="single" w:sz="4" w:space="0" w:color="auto"/>
            </w:tcBorders>
            <w:hideMark/>
          </w:tcPr>
          <w:p w14:paraId="25A5A3F1" w14:textId="77777777" w:rsidR="0081525E" w:rsidRPr="00A44E97" w:rsidRDefault="0081525E" w:rsidP="008241B5">
            <w:pPr>
              <w:pStyle w:val="Tabletext"/>
              <w:keepNext/>
              <w:jc w:val="center"/>
            </w:pPr>
            <w:r w:rsidRPr="00A44E97">
              <w:t>174 (40.5)</w:t>
            </w:r>
          </w:p>
        </w:tc>
      </w:tr>
      <w:tr w:rsidR="0081525E" w:rsidRPr="00A44E97" w14:paraId="77F61C52" w14:textId="77777777">
        <w:trPr>
          <w:cantSplit/>
        </w:trPr>
        <w:tc>
          <w:tcPr>
            <w:tcW w:w="2041" w:type="pct"/>
            <w:tcBorders>
              <w:top w:val="single" w:sz="4" w:space="0" w:color="auto"/>
              <w:left w:val="single" w:sz="4" w:space="0" w:color="auto"/>
              <w:bottom w:val="single" w:sz="4" w:space="0" w:color="auto"/>
              <w:right w:val="single" w:sz="4" w:space="0" w:color="auto"/>
            </w:tcBorders>
            <w:hideMark/>
          </w:tcPr>
          <w:p w14:paraId="33A35EA4" w14:textId="77777777" w:rsidR="0081525E" w:rsidRPr="00A44E97" w:rsidRDefault="0081525E" w:rsidP="008241B5">
            <w:pPr>
              <w:pStyle w:val="Tabletext"/>
              <w:keepNext/>
            </w:pPr>
            <w:r w:rsidRPr="00A44E97">
              <w:t>Censored patients n (%)</w:t>
            </w:r>
          </w:p>
        </w:tc>
        <w:tc>
          <w:tcPr>
            <w:tcW w:w="1494" w:type="pct"/>
            <w:gridSpan w:val="2"/>
            <w:tcBorders>
              <w:top w:val="single" w:sz="4" w:space="0" w:color="auto"/>
              <w:left w:val="single" w:sz="4" w:space="0" w:color="auto"/>
              <w:bottom w:val="single" w:sz="4" w:space="0" w:color="auto"/>
              <w:right w:val="single" w:sz="4" w:space="0" w:color="auto"/>
            </w:tcBorders>
            <w:hideMark/>
          </w:tcPr>
          <w:p w14:paraId="1D7297EA" w14:textId="77777777" w:rsidR="0081525E" w:rsidRPr="00A44E97" w:rsidRDefault="0081525E" w:rsidP="008241B5">
            <w:pPr>
              <w:pStyle w:val="Tabletext"/>
              <w:keepNext/>
              <w:jc w:val="center"/>
            </w:pPr>
            <w:r w:rsidRPr="00A44E97">
              <w:t>275 (63.1)</w:t>
            </w:r>
          </w:p>
        </w:tc>
        <w:tc>
          <w:tcPr>
            <w:tcW w:w="1465" w:type="pct"/>
            <w:tcBorders>
              <w:top w:val="single" w:sz="4" w:space="0" w:color="auto"/>
              <w:left w:val="single" w:sz="4" w:space="0" w:color="auto"/>
              <w:bottom w:val="single" w:sz="4" w:space="0" w:color="auto"/>
              <w:right w:val="single" w:sz="4" w:space="0" w:color="auto"/>
            </w:tcBorders>
            <w:hideMark/>
          </w:tcPr>
          <w:p w14:paraId="503AB9C8" w14:textId="77777777" w:rsidR="0081525E" w:rsidRPr="00A44E97" w:rsidRDefault="0081525E" w:rsidP="008241B5">
            <w:pPr>
              <w:pStyle w:val="Tabletext"/>
              <w:keepNext/>
              <w:jc w:val="center"/>
            </w:pPr>
            <w:r w:rsidRPr="00A44E97">
              <w:t>256 (59.5)</w:t>
            </w:r>
          </w:p>
        </w:tc>
      </w:tr>
      <w:tr w:rsidR="0081525E" w:rsidRPr="00A44E97" w14:paraId="573E671C" w14:textId="77777777">
        <w:trPr>
          <w:cantSplit/>
        </w:trPr>
        <w:tc>
          <w:tcPr>
            <w:tcW w:w="2041" w:type="pct"/>
            <w:tcBorders>
              <w:top w:val="single" w:sz="4" w:space="0" w:color="auto"/>
              <w:left w:val="single" w:sz="4" w:space="0" w:color="auto"/>
              <w:bottom w:val="single" w:sz="4" w:space="0" w:color="auto"/>
              <w:right w:val="single" w:sz="4" w:space="0" w:color="auto"/>
            </w:tcBorders>
            <w:hideMark/>
          </w:tcPr>
          <w:p w14:paraId="37A980DB" w14:textId="77777777" w:rsidR="0081525E" w:rsidRPr="00A44E97" w:rsidRDefault="0081525E" w:rsidP="008241B5">
            <w:pPr>
              <w:pStyle w:val="Tabletext"/>
              <w:keepNext/>
            </w:pPr>
            <w:r w:rsidRPr="00A44E97">
              <w:t>Median OS months (95% CI)</w:t>
            </w:r>
          </w:p>
        </w:tc>
        <w:tc>
          <w:tcPr>
            <w:tcW w:w="1494" w:type="pct"/>
            <w:gridSpan w:val="2"/>
            <w:tcBorders>
              <w:top w:val="single" w:sz="4" w:space="0" w:color="auto"/>
              <w:left w:val="single" w:sz="4" w:space="0" w:color="auto"/>
              <w:bottom w:val="single" w:sz="4" w:space="0" w:color="auto"/>
              <w:right w:val="single" w:sz="4" w:space="0" w:color="auto"/>
            </w:tcBorders>
            <w:hideMark/>
          </w:tcPr>
          <w:p w14:paraId="7CC13031" w14:textId="77777777" w:rsidR="0081525E" w:rsidRPr="00A44E97" w:rsidRDefault="0081525E" w:rsidP="008241B5">
            <w:pPr>
              <w:pStyle w:val="Tabletext"/>
              <w:keepNext/>
              <w:jc w:val="center"/>
            </w:pPr>
            <w:r w:rsidRPr="00A44E97">
              <w:t>28.9 (26.4, 32.7)</w:t>
            </w:r>
          </w:p>
        </w:tc>
        <w:tc>
          <w:tcPr>
            <w:tcW w:w="1465" w:type="pct"/>
            <w:tcBorders>
              <w:top w:val="single" w:sz="4" w:space="0" w:color="auto"/>
              <w:left w:val="single" w:sz="4" w:space="0" w:color="auto"/>
              <w:bottom w:val="single" w:sz="4" w:space="0" w:color="auto"/>
              <w:right w:val="single" w:sz="4" w:space="0" w:color="auto"/>
            </w:tcBorders>
            <w:hideMark/>
          </w:tcPr>
          <w:p w14:paraId="1A62B174" w14:textId="77777777" w:rsidR="0081525E" w:rsidRPr="00A44E97" w:rsidRDefault="0081525E" w:rsidP="008241B5">
            <w:pPr>
              <w:pStyle w:val="Tabletext"/>
              <w:keepNext/>
              <w:jc w:val="center"/>
            </w:pPr>
            <w:r w:rsidRPr="00A44E97">
              <w:t>27.4 (23.9, 29.9)</w:t>
            </w:r>
          </w:p>
        </w:tc>
      </w:tr>
      <w:tr w:rsidR="0081525E" w:rsidRPr="00A44E97" w14:paraId="3D8D64DA" w14:textId="77777777">
        <w:trPr>
          <w:cantSplit/>
        </w:trPr>
        <w:tc>
          <w:tcPr>
            <w:tcW w:w="2041" w:type="pct"/>
            <w:tcBorders>
              <w:top w:val="single" w:sz="4" w:space="0" w:color="auto"/>
              <w:left w:val="single" w:sz="4" w:space="0" w:color="auto"/>
              <w:bottom w:val="single" w:sz="4" w:space="0" w:color="auto"/>
              <w:right w:val="single" w:sz="4" w:space="0" w:color="auto"/>
            </w:tcBorders>
            <w:hideMark/>
          </w:tcPr>
          <w:p w14:paraId="10069150" w14:textId="77777777" w:rsidR="0081525E" w:rsidRPr="00A44E97" w:rsidRDefault="0081525E" w:rsidP="008241B5">
            <w:pPr>
              <w:pStyle w:val="Tabletext"/>
              <w:keepNext/>
            </w:pPr>
            <w:r w:rsidRPr="00A44E97">
              <w:t>Hazard ratio (95% CI)</w:t>
            </w:r>
          </w:p>
        </w:tc>
        <w:tc>
          <w:tcPr>
            <w:tcW w:w="2959" w:type="pct"/>
            <w:gridSpan w:val="3"/>
            <w:tcBorders>
              <w:top w:val="single" w:sz="4" w:space="0" w:color="auto"/>
              <w:left w:val="single" w:sz="4" w:space="0" w:color="auto"/>
              <w:bottom w:val="single" w:sz="4" w:space="0" w:color="auto"/>
              <w:right w:val="single" w:sz="4" w:space="0" w:color="auto"/>
            </w:tcBorders>
            <w:hideMark/>
          </w:tcPr>
          <w:p w14:paraId="6701725E" w14:textId="77777777" w:rsidR="0081525E" w:rsidRPr="00A44E97" w:rsidRDefault="0081525E" w:rsidP="008241B5">
            <w:pPr>
              <w:pStyle w:val="Tabletext"/>
              <w:keepNext/>
              <w:jc w:val="center"/>
            </w:pPr>
            <w:r w:rsidRPr="00A44E97">
              <w:t>0.81 (0.66, 1.01)</w:t>
            </w:r>
          </w:p>
        </w:tc>
      </w:tr>
      <w:tr w:rsidR="0081525E" w:rsidRPr="00A44E97" w14:paraId="772F4D7E" w14:textId="77777777">
        <w:trPr>
          <w:cantSplit/>
        </w:trPr>
        <w:tc>
          <w:tcPr>
            <w:tcW w:w="2041" w:type="pct"/>
            <w:tcBorders>
              <w:top w:val="single" w:sz="4" w:space="0" w:color="auto"/>
              <w:left w:val="single" w:sz="4" w:space="0" w:color="auto"/>
              <w:bottom w:val="single" w:sz="4" w:space="0" w:color="auto"/>
              <w:right w:val="single" w:sz="4" w:space="0" w:color="auto"/>
            </w:tcBorders>
          </w:tcPr>
          <w:p w14:paraId="7462DDD4" w14:textId="60B4A0B5" w:rsidR="0081525E" w:rsidRPr="00A44E97" w:rsidRDefault="0081525E" w:rsidP="008241B5">
            <w:pPr>
              <w:pStyle w:val="Tabletext"/>
              <w:keepNext/>
            </w:pPr>
            <w:r>
              <w:rPr>
                <w:b/>
                <w:bCs/>
              </w:rPr>
              <w:t xml:space="preserve">IA2. DCO </w:t>
            </w:r>
            <w:r w:rsidRPr="005C780C">
              <w:rPr>
                <w:b/>
                <w:bCs/>
              </w:rPr>
              <w:t>March 202</w:t>
            </w:r>
            <w:r>
              <w:rPr>
                <w:b/>
                <w:bCs/>
              </w:rPr>
              <w:t>5</w:t>
            </w:r>
            <w:r w:rsidRPr="005C780C">
              <w:rPr>
                <w:b/>
                <w:bCs/>
              </w:rPr>
              <w:t xml:space="preserve">. </w:t>
            </w:r>
            <w:r w:rsidRPr="0042389B">
              <w:t>Median follow up</w:t>
            </w:r>
          </w:p>
        </w:tc>
        <w:tc>
          <w:tcPr>
            <w:tcW w:w="1479" w:type="pct"/>
            <w:tcBorders>
              <w:top w:val="single" w:sz="4" w:space="0" w:color="auto"/>
              <w:left w:val="single" w:sz="4" w:space="0" w:color="auto"/>
              <w:bottom w:val="single" w:sz="4" w:space="0" w:color="auto"/>
              <w:right w:val="single" w:sz="4" w:space="0" w:color="auto"/>
            </w:tcBorders>
          </w:tcPr>
          <w:p w14:paraId="0FE4F7AB" w14:textId="77777777" w:rsidR="0081525E" w:rsidRPr="0042389B" w:rsidRDefault="0081525E" w:rsidP="008241B5">
            <w:pPr>
              <w:pStyle w:val="Tabletext"/>
              <w:keepNext/>
              <w:jc w:val="center"/>
            </w:pPr>
            <w:r w:rsidRPr="0042389B">
              <w:t>27.6 months</w:t>
            </w:r>
          </w:p>
        </w:tc>
        <w:tc>
          <w:tcPr>
            <w:tcW w:w="1480" w:type="pct"/>
            <w:gridSpan w:val="2"/>
            <w:tcBorders>
              <w:top w:val="single" w:sz="4" w:space="0" w:color="auto"/>
              <w:left w:val="single" w:sz="4" w:space="0" w:color="auto"/>
              <w:bottom w:val="single" w:sz="4" w:space="0" w:color="auto"/>
              <w:right w:val="single" w:sz="4" w:space="0" w:color="auto"/>
            </w:tcBorders>
          </w:tcPr>
          <w:p w14:paraId="5DFE1317" w14:textId="77777777" w:rsidR="0081525E" w:rsidRPr="0042389B" w:rsidRDefault="0081525E" w:rsidP="008241B5">
            <w:pPr>
              <w:pStyle w:val="Tabletext"/>
              <w:keepNext/>
              <w:jc w:val="center"/>
            </w:pPr>
            <w:r w:rsidRPr="0042389B">
              <w:t>25.0 months</w:t>
            </w:r>
          </w:p>
        </w:tc>
      </w:tr>
      <w:tr w:rsidR="0081525E" w:rsidRPr="00A44E97" w14:paraId="1F86CCCD" w14:textId="77777777">
        <w:trPr>
          <w:cantSplit/>
        </w:trPr>
        <w:tc>
          <w:tcPr>
            <w:tcW w:w="2041" w:type="pct"/>
            <w:tcBorders>
              <w:top w:val="single" w:sz="4" w:space="0" w:color="auto"/>
              <w:left w:val="single" w:sz="4" w:space="0" w:color="auto"/>
              <w:bottom w:val="single" w:sz="4" w:space="0" w:color="auto"/>
              <w:right w:val="single" w:sz="4" w:space="0" w:color="auto"/>
            </w:tcBorders>
          </w:tcPr>
          <w:p w14:paraId="6CBCC971" w14:textId="77777777" w:rsidR="0081525E" w:rsidRPr="00A44E97" w:rsidRDefault="0081525E" w:rsidP="008241B5">
            <w:pPr>
              <w:pStyle w:val="Tabletext"/>
              <w:keepNext/>
            </w:pPr>
            <w:r w:rsidRPr="00A44E97">
              <w:t>Deaths n (%)</w:t>
            </w:r>
          </w:p>
        </w:tc>
        <w:tc>
          <w:tcPr>
            <w:tcW w:w="1479" w:type="pct"/>
            <w:tcBorders>
              <w:top w:val="single" w:sz="4" w:space="0" w:color="auto"/>
              <w:left w:val="single" w:sz="4" w:space="0" w:color="auto"/>
              <w:bottom w:val="single" w:sz="4" w:space="0" w:color="auto"/>
              <w:right w:val="single" w:sz="4" w:space="0" w:color="auto"/>
            </w:tcBorders>
          </w:tcPr>
          <w:p w14:paraId="2188D8D5" w14:textId="77777777" w:rsidR="0081525E" w:rsidRPr="00A44E97" w:rsidRDefault="0081525E" w:rsidP="008241B5">
            <w:pPr>
              <w:pStyle w:val="Tabletext"/>
              <w:keepNext/>
              <w:jc w:val="center"/>
            </w:pPr>
            <w:r>
              <w:rPr>
                <w:rFonts w:eastAsiaTheme="majorEastAsia" w:cs="Arial"/>
                <w:szCs w:val="20"/>
                <w:lang w:bidi="en-US"/>
              </w:rPr>
              <w:t>232 (53.2)</w:t>
            </w:r>
          </w:p>
        </w:tc>
        <w:tc>
          <w:tcPr>
            <w:tcW w:w="1480" w:type="pct"/>
            <w:gridSpan w:val="2"/>
            <w:tcBorders>
              <w:top w:val="single" w:sz="4" w:space="0" w:color="auto"/>
              <w:left w:val="single" w:sz="4" w:space="0" w:color="auto"/>
              <w:bottom w:val="single" w:sz="4" w:space="0" w:color="auto"/>
              <w:right w:val="single" w:sz="4" w:space="0" w:color="auto"/>
            </w:tcBorders>
          </w:tcPr>
          <w:p w14:paraId="19F322B2" w14:textId="77777777" w:rsidR="0081525E" w:rsidRPr="00A44E97" w:rsidRDefault="0081525E" w:rsidP="008241B5">
            <w:pPr>
              <w:pStyle w:val="Tabletext"/>
              <w:keepNext/>
              <w:jc w:val="center"/>
            </w:pPr>
            <w:r>
              <w:rPr>
                <w:rFonts w:eastAsiaTheme="majorEastAsia" w:cs="Arial"/>
                <w:szCs w:val="20"/>
                <w:lang w:bidi="en-US"/>
              </w:rPr>
              <w:t>253 (58.8)</w:t>
            </w:r>
          </w:p>
        </w:tc>
      </w:tr>
      <w:tr w:rsidR="0081525E" w:rsidRPr="00A44E97" w14:paraId="3B283CF8" w14:textId="77777777">
        <w:trPr>
          <w:cantSplit/>
        </w:trPr>
        <w:tc>
          <w:tcPr>
            <w:tcW w:w="2041" w:type="pct"/>
            <w:tcBorders>
              <w:top w:val="single" w:sz="4" w:space="0" w:color="auto"/>
              <w:left w:val="single" w:sz="4" w:space="0" w:color="auto"/>
              <w:bottom w:val="single" w:sz="4" w:space="0" w:color="auto"/>
              <w:right w:val="single" w:sz="4" w:space="0" w:color="auto"/>
            </w:tcBorders>
          </w:tcPr>
          <w:p w14:paraId="116B888D" w14:textId="77777777" w:rsidR="0081525E" w:rsidRPr="00A44E97" w:rsidRDefault="0081525E" w:rsidP="008241B5">
            <w:pPr>
              <w:pStyle w:val="Tabletext"/>
              <w:keepNext/>
            </w:pPr>
            <w:r w:rsidRPr="00A44E97">
              <w:t>Censored patients n (%)</w:t>
            </w:r>
          </w:p>
        </w:tc>
        <w:tc>
          <w:tcPr>
            <w:tcW w:w="1479" w:type="pct"/>
            <w:tcBorders>
              <w:top w:val="single" w:sz="4" w:space="0" w:color="auto"/>
              <w:left w:val="single" w:sz="4" w:space="0" w:color="auto"/>
              <w:bottom w:val="single" w:sz="4" w:space="0" w:color="auto"/>
              <w:right w:val="single" w:sz="4" w:space="0" w:color="auto"/>
            </w:tcBorders>
          </w:tcPr>
          <w:p w14:paraId="656245EA" w14:textId="77777777" w:rsidR="0081525E" w:rsidRPr="00A44E97" w:rsidRDefault="0081525E" w:rsidP="008241B5">
            <w:pPr>
              <w:pStyle w:val="Tabletext"/>
              <w:keepNext/>
              <w:jc w:val="center"/>
            </w:pPr>
            <w:r>
              <w:rPr>
                <w:rFonts w:eastAsiaTheme="majorEastAsia" w:cs="Arial"/>
                <w:szCs w:val="20"/>
                <w:lang w:bidi="en-US"/>
              </w:rPr>
              <w:t>204 (46.8)</w:t>
            </w:r>
          </w:p>
        </w:tc>
        <w:tc>
          <w:tcPr>
            <w:tcW w:w="1480" w:type="pct"/>
            <w:gridSpan w:val="2"/>
            <w:tcBorders>
              <w:top w:val="single" w:sz="4" w:space="0" w:color="auto"/>
              <w:left w:val="single" w:sz="4" w:space="0" w:color="auto"/>
              <w:bottom w:val="single" w:sz="4" w:space="0" w:color="auto"/>
              <w:right w:val="single" w:sz="4" w:space="0" w:color="auto"/>
            </w:tcBorders>
          </w:tcPr>
          <w:p w14:paraId="062100CC" w14:textId="77777777" w:rsidR="0081525E" w:rsidRPr="00A44E97" w:rsidRDefault="0081525E" w:rsidP="008241B5">
            <w:pPr>
              <w:pStyle w:val="Tabletext"/>
              <w:keepNext/>
              <w:jc w:val="center"/>
            </w:pPr>
            <w:r>
              <w:rPr>
                <w:rFonts w:eastAsiaTheme="majorEastAsia" w:cs="Arial"/>
                <w:szCs w:val="20"/>
                <w:lang w:bidi="en-US"/>
              </w:rPr>
              <w:t>177 (41.2)</w:t>
            </w:r>
          </w:p>
        </w:tc>
      </w:tr>
      <w:tr w:rsidR="0081525E" w:rsidRPr="00A44E97" w14:paraId="33B3B8BA" w14:textId="77777777">
        <w:trPr>
          <w:cantSplit/>
        </w:trPr>
        <w:tc>
          <w:tcPr>
            <w:tcW w:w="2041" w:type="pct"/>
            <w:tcBorders>
              <w:top w:val="single" w:sz="4" w:space="0" w:color="auto"/>
              <w:left w:val="single" w:sz="4" w:space="0" w:color="auto"/>
              <w:bottom w:val="single" w:sz="4" w:space="0" w:color="auto"/>
              <w:right w:val="single" w:sz="4" w:space="0" w:color="auto"/>
            </w:tcBorders>
          </w:tcPr>
          <w:p w14:paraId="11B7CC0A" w14:textId="77777777" w:rsidR="0081525E" w:rsidRPr="00A44E97" w:rsidRDefault="0081525E" w:rsidP="008241B5">
            <w:pPr>
              <w:pStyle w:val="Tabletext"/>
              <w:keepNext/>
            </w:pPr>
            <w:r w:rsidRPr="00A44E97">
              <w:t>Median OS months (95% CI)</w:t>
            </w:r>
          </w:p>
        </w:tc>
        <w:tc>
          <w:tcPr>
            <w:tcW w:w="1479" w:type="pct"/>
            <w:tcBorders>
              <w:top w:val="single" w:sz="4" w:space="0" w:color="auto"/>
              <w:left w:val="single" w:sz="4" w:space="0" w:color="auto"/>
              <w:bottom w:val="single" w:sz="4" w:space="0" w:color="auto"/>
              <w:right w:val="single" w:sz="4" w:space="0" w:color="auto"/>
            </w:tcBorders>
          </w:tcPr>
          <w:p w14:paraId="531B5C38" w14:textId="77777777" w:rsidR="0081525E" w:rsidRPr="00A44E97" w:rsidRDefault="0081525E" w:rsidP="008241B5">
            <w:pPr>
              <w:pStyle w:val="Tabletext"/>
              <w:keepNext/>
              <w:jc w:val="center"/>
            </w:pPr>
            <w:r>
              <w:rPr>
                <w:rFonts w:eastAsiaTheme="majorEastAsia" w:cs="Arial"/>
                <w:szCs w:val="20"/>
                <w:lang w:bidi="en-US"/>
              </w:rPr>
              <w:t>30.5 (28.4, 33.3)</w:t>
            </w:r>
          </w:p>
        </w:tc>
        <w:tc>
          <w:tcPr>
            <w:tcW w:w="1480" w:type="pct"/>
            <w:gridSpan w:val="2"/>
            <w:tcBorders>
              <w:top w:val="single" w:sz="4" w:space="0" w:color="auto"/>
              <w:left w:val="single" w:sz="4" w:space="0" w:color="auto"/>
              <w:bottom w:val="single" w:sz="4" w:space="0" w:color="auto"/>
              <w:right w:val="single" w:sz="4" w:space="0" w:color="auto"/>
            </w:tcBorders>
          </w:tcPr>
          <w:p w14:paraId="5BADC036" w14:textId="77777777" w:rsidR="0081525E" w:rsidRPr="00A44E97" w:rsidRDefault="0081525E" w:rsidP="008241B5">
            <w:pPr>
              <w:pStyle w:val="Tabletext"/>
              <w:keepNext/>
              <w:jc w:val="center"/>
            </w:pPr>
            <w:r>
              <w:rPr>
                <w:rFonts w:eastAsiaTheme="majorEastAsia" w:cs="Arial"/>
                <w:szCs w:val="20"/>
                <w:lang w:bidi="en-US"/>
              </w:rPr>
              <w:t>27.2 (24.7, 29.2)</w:t>
            </w:r>
          </w:p>
        </w:tc>
      </w:tr>
      <w:tr w:rsidR="0081525E" w:rsidRPr="00A44E97" w14:paraId="3AAC7E8E" w14:textId="77777777">
        <w:trPr>
          <w:cantSplit/>
        </w:trPr>
        <w:tc>
          <w:tcPr>
            <w:tcW w:w="2041" w:type="pct"/>
            <w:tcBorders>
              <w:top w:val="single" w:sz="4" w:space="0" w:color="auto"/>
              <w:left w:val="single" w:sz="4" w:space="0" w:color="auto"/>
              <w:bottom w:val="single" w:sz="4" w:space="0" w:color="auto"/>
              <w:right w:val="single" w:sz="4" w:space="0" w:color="auto"/>
            </w:tcBorders>
          </w:tcPr>
          <w:p w14:paraId="10C27AA2" w14:textId="77777777" w:rsidR="0081525E" w:rsidRPr="00A44E97" w:rsidRDefault="0081525E" w:rsidP="008241B5">
            <w:pPr>
              <w:pStyle w:val="Tabletext"/>
              <w:keepNext/>
            </w:pPr>
            <w:r w:rsidRPr="00A44E97">
              <w:t>Hazard ratio (95% CI)</w:t>
            </w:r>
          </w:p>
        </w:tc>
        <w:tc>
          <w:tcPr>
            <w:tcW w:w="2959" w:type="pct"/>
            <w:gridSpan w:val="3"/>
            <w:tcBorders>
              <w:top w:val="single" w:sz="4" w:space="0" w:color="auto"/>
              <w:left w:val="single" w:sz="4" w:space="0" w:color="auto"/>
              <w:bottom w:val="single" w:sz="4" w:space="0" w:color="auto"/>
              <w:right w:val="single" w:sz="4" w:space="0" w:color="auto"/>
            </w:tcBorders>
          </w:tcPr>
          <w:p w14:paraId="0FE76222" w14:textId="77777777" w:rsidR="0081525E" w:rsidRPr="00A44E97" w:rsidRDefault="0081525E" w:rsidP="008241B5">
            <w:pPr>
              <w:pStyle w:val="Tabletext"/>
              <w:keepNext/>
              <w:jc w:val="center"/>
            </w:pPr>
            <w:r w:rsidRPr="00847B68">
              <w:t>0.79 (0.66, 0.94)</w:t>
            </w:r>
          </w:p>
        </w:tc>
      </w:tr>
      <w:tr w:rsidR="0081525E" w:rsidRPr="00A44E97" w14:paraId="73E15CB1" w14:textId="77777777">
        <w:trPr>
          <w:cantSplit/>
        </w:trPr>
        <w:tc>
          <w:tcPr>
            <w:tcW w:w="2041" w:type="pct"/>
            <w:tcBorders>
              <w:top w:val="single" w:sz="4" w:space="0" w:color="auto"/>
              <w:left w:val="single" w:sz="4" w:space="0" w:color="auto"/>
              <w:bottom w:val="single" w:sz="4" w:space="0" w:color="auto"/>
              <w:right w:val="single" w:sz="4" w:space="0" w:color="auto"/>
            </w:tcBorders>
          </w:tcPr>
          <w:p w14:paraId="067FDD04" w14:textId="77777777" w:rsidR="0081525E" w:rsidRPr="00A44E97" w:rsidRDefault="0081525E" w:rsidP="008241B5">
            <w:pPr>
              <w:pStyle w:val="Tabletext"/>
              <w:keepNext/>
            </w:pPr>
            <w:r w:rsidRPr="004F1F49">
              <w:t>12-month landmark survival, % (95% CI)</w:t>
            </w:r>
          </w:p>
        </w:tc>
        <w:tc>
          <w:tcPr>
            <w:tcW w:w="1479" w:type="pct"/>
            <w:tcBorders>
              <w:top w:val="single" w:sz="4" w:space="0" w:color="auto"/>
              <w:left w:val="single" w:sz="4" w:space="0" w:color="auto"/>
              <w:bottom w:val="single" w:sz="4" w:space="0" w:color="auto"/>
              <w:right w:val="single" w:sz="4" w:space="0" w:color="auto"/>
            </w:tcBorders>
          </w:tcPr>
          <w:p w14:paraId="724E843E" w14:textId="77777777" w:rsidR="0081525E" w:rsidRPr="00A44E97" w:rsidRDefault="0081525E" w:rsidP="008241B5">
            <w:pPr>
              <w:pStyle w:val="Tabletext"/>
              <w:keepNext/>
              <w:jc w:val="center"/>
            </w:pPr>
            <w:r>
              <w:rPr>
                <w:rFonts w:eastAsiaTheme="majorEastAsia" w:cs="Arial"/>
                <w:szCs w:val="20"/>
                <w:lang w:bidi="en-US"/>
              </w:rPr>
              <w:t>87.0 (83.5, 89.9)</w:t>
            </w:r>
          </w:p>
        </w:tc>
        <w:tc>
          <w:tcPr>
            <w:tcW w:w="1480" w:type="pct"/>
            <w:gridSpan w:val="2"/>
            <w:tcBorders>
              <w:top w:val="single" w:sz="4" w:space="0" w:color="auto"/>
              <w:left w:val="single" w:sz="4" w:space="0" w:color="auto"/>
              <w:bottom w:val="single" w:sz="4" w:space="0" w:color="auto"/>
              <w:right w:val="single" w:sz="4" w:space="0" w:color="auto"/>
            </w:tcBorders>
          </w:tcPr>
          <w:p w14:paraId="49343BA7" w14:textId="77777777" w:rsidR="0081525E" w:rsidRPr="00A44E97" w:rsidRDefault="0081525E" w:rsidP="008241B5">
            <w:pPr>
              <w:pStyle w:val="Tabletext"/>
              <w:keepNext/>
              <w:jc w:val="center"/>
            </w:pPr>
            <w:r>
              <w:rPr>
                <w:rFonts w:eastAsiaTheme="majorEastAsia" w:cs="Arial"/>
                <w:szCs w:val="20"/>
                <w:lang w:bidi="en-US"/>
              </w:rPr>
              <w:t>81.1 (77.0, 84.6)</w:t>
            </w:r>
          </w:p>
        </w:tc>
      </w:tr>
      <w:tr w:rsidR="0081525E" w:rsidRPr="00A44E97" w14:paraId="2EA46A8E" w14:textId="77777777">
        <w:trPr>
          <w:cantSplit/>
        </w:trPr>
        <w:tc>
          <w:tcPr>
            <w:tcW w:w="2041" w:type="pct"/>
            <w:tcBorders>
              <w:top w:val="single" w:sz="4" w:space="0" w:color="auto"/>
              <w:left w:val="single" w:sz="4" w:space="0" w:color="auto"/>
              <w:bottom w:val="single" w:sz="4" w:space="0" w:color="auto"/>
              <w:right w:val="single" w:sz="4" w:space="0" w:color="auto"/>
            </w:tcBorders>
          </w:tcPr>
          <w:p w14:paraId="27ADE924" w14:textId="77777777" w:rsidR="0081525E" w:rsidRPr="00A44E97" w:rsidRDefault="0081525E" w:rsidP="008241B5">
            <w:pPr>
              <w:pStyle w:val="Tabletext"/>
              <w:keepNext/>
            </w:pPr>
            <w:r w:rsidRPr="004F1F49">
              <w:t>18-month landmark survival, % (95% CI)</w:t>
            </w:r>
          </w:p>
        </w:tc>
        <w:tc>
          <w:tcPr>
            <w:tcW w:w="1479" w:type="pct"/>
            <w:tcBorders>
              <w:top w:val="single" w:sz="4" w:space="0" w:color="auto"/>
              <w:left w:val="single" w:sz="4" w:space="0" w:color="auto"/>
              <w:bottom w:val="single" w:sz="4" w:space="0" w:color="auto"/>
              <w:right w:val="single" w:sz="4" w:space="0" w:color="auto"/>
            </w:tcBorders>
          </w:tcPr>
          <w:p w14:paraId="55D5C0DA" w14:textId="77777777" w:rsidR="0081525E" w:rsidRPr="00A44E97" w:rsidRDefault="0081525E" w:rsidP="008241B5">
            <w:pPr>
              <w:pStyle w:val="Tabletext"/>
              <w:keepNext/>
              <w:jc w:val="center"/>
            </w:pPr>
            <w:r>
              <w:rPr>
                <w:rFonts w:eastAsiaTheme="majorEastAsia" w:cs="Arial"/>
                <w:szCs w:val="20"/>
                <w:lang w:bidi="en-US"/>
              </w:rPr>
              <w:t>74.9 (70.5, 78.7)</w:t>
            </w:r>
          </w:p>
        </w:tc>
        <w:tc>
          <w:tcPr>
            <w:tcW w:w="1480" w:type="pct"/>
            <w:gridSpan w:val="2"/>
            <w:tcBorders>
              <w:top w:val="single" w:sz="4" w:space="0" w:color="auto"/>
              <w:left w:val="single" w:sz="4" w:space="0" w:color="auto"/>
              <w:bottom w:val="single" w:sz="4" w:space="0" w:color="auto"/>
              <w:right w:val="single" w:sz="4" w:space="0" w:color="auto"/>
            </w:tcBorders>
          </w:tcPr>
          <w:p w14:paraId="04543C92" w14:textId="77777777" w:rsidR="0081525E" w:rsidRPr="00A44E97" w:rsidRDefault="0081525E" w:rsidP="008241B5">
            <w:pPr>
              <w:pStyle w:val="Tabletext"/>
              <w:keepNext/>
              <w:jc w:val="center"/>
            </w:pPr>
            <w:r>
              <w:rPr>
                <w:rFonts w:eastAsiaTheme="majorEastAsia" w:cs="Arial"/>
                <w:szCs w:val="20"/>
                <w:lang w:bidi="en-US"/>
              </w:rPr>
              <w:t>68.4 (63.6, 72.7)</w:t>
            </w:r>
          </w:p>
        </w:tc>
      </w:tr>
    </w:tbl>
    <w:p w14:paraId="7498A84B" w14:textId="77777777" w:rsidR="0081525E" w:rsidRPr="00C177DF" w:rsidRDefault="0081525E" w:rsidP="008241B5">
      <w:pPr>
        <w:pStyle w:val="TableFooter"/>
        <w:keepNext/>
      </w:pPr>
      <w:r w:rsidRPr="00C177DF">
        <w:t xml:space="preserve">Source: </w:t>
      </w:r>
      <w:r>
        <w:t>Table 2-18, p82 and Table 2-21, p85 of the submission</w:t>
      </w:r>
    </w:p>
    <w:p w14:paraId="1F7D35DE" w14:textId="4A70C746" w:rsidR="0081525E" w:rsidRPr="00A44E97" w:rsidRDefault="0081525E" w:rsidP="008241B5">
      <w:pPr>
        <w:pStyle w:val="TableFooter"/>
        <w:keepNext/>
      </w:pPr>
      <w:r w:rsidRPr="00A44E97">
        <w:t xml:space="preserve">CI = confidence interval, </w:t>
      </w:r>
      <w:r>
        <w:t xml:space="preserve">DCO = data cutoff; IA = interim analysis; ICC = </w:t>
      </w:r>
      <w:r w:rsidR="00D21370" w:rsidRPr="00D21370">
        <w:t>investigator’s choice of chemotherapy</w:t>
      </w:r>
      <w:r>
        <w:t xml:space="preserve">; </w:t>
      </w:r>
      <w:r w:rsidRPr="00A44E97">
        <w:t>ITT = intention to treat</w:t>
      </w:r>
      <w:r>
        <w:t>;</w:t>
      </w:r>
      <w:r w:rsidRPr="00A44E97">
        <w:t xml:space="preserve"> OS </w:t>
      </w:r>
      <w:r w:rsidR="0042389B">
        <w:t xml:space="preserve">= </w:t>
      </w:r>
      <w:r w:rsidRPr="00A44E97">
        <w:t>overall survival, T-</w:t>
      </w:r>
      <w:proofErr w:type="spellStart"/>
      <w:r w:rsidRPr="00A44E97">
        <w:t>DXd</w:t>
      </w:r>
      <w:proofErr w:type="spellEnd"/>
      <w:r w:rsidRPr="00A44E97">
        <w:t xml:space="preserve"> = </w:t>
      </w:r>
      <w:r w:rsidR="003B544E">
        <w:t>t</w:t>
      </w:r>
      <w:r w:rsidRPr="00A44E97">
        <w:t>rastuzumab deruxtecan</w:t>
      </w:r>
    </w:p>
    <w:p w14:paraId="2188396D" w14:textId="77777777" w:rsidR="0081525E" w:rsidRDefault="0081525E" w:rsidP="008241B5"/>
    <w:p w14:paraId="055F8F1A" w14:textId="549763DF" w:rsidR="0081525E" w:rsidRDefault="0081525E" w:rsidP="008241B5">
      <w:pPr>
        <w:pStyle w:val="Caption"/>
        <w:rPr>
          <w:lang w:eastAsia="zh-CN"/>
        </w:rPr>
      </w:pPr>
      <w:bookmarkStart w:id="27" w:name="_Ref218521660"/>
      <w:r>
        <w:t xml:space="preserve">Figure </w:t>
      </w:r>
      <w:fldSimple w:instr=" SEQ Figure \* ARABIC ">
        <w:r w:rsidR="005D3E29">
          <w:rPr>
            <w:noProof/>
          </w:rPr>
          <w:t>3</w:t>
        </w:r>
      </w:fldSimple>
      <w:bookmarkEnd w:id="27"/>
      <w:r>
        <w:t xml:space="preserve">: IA2 - </w:t>
      </w:r>
      <w:r w:rsidRPr="00847B68">
        <w:rPr>
          <w:iCs/>
        </w:rPr>
        <w:t xml:space="preserve">Kaplan-Meier </w:t>
      </w:r>
      <w:r w:rsidR="0042389B">
        <w:rPr>
          <w:iCs/>
        </w:rPr>
        <w:t>a</w:t>
      </w:r>
      <w:r w:rsidRPr="00847B68">
        <w:rPr>
          <w:iCs/>
        </w:rPr>
        <w:t>nalysis of OS (ITT population) DB-06</w:t>
      </w:r>
    </w:p>
    <w:p w14:paraId="44BB5F61" w14:textId="0CF89E36" w:rsidR="00030D87" w:rsidRPr="00F06897" w:rsidRDefault="00030D87" w:rsidP="008241B5">
      <w:pPr>
        <w:rPr>
          <w:lang w:eastAsia="zh-CN"/>
        </w:rPr>
      </w:pPr>
      <w:r w:rsidRPr="00030D87">
        <w:rPr>
          <w:noProof/>
          <w:lang w:eastAsia="zh-CN"/>
        </w:rPr>
        <w:drawing>
          <wp:inline distT="0" distB="0" distL="0" distR="0" wp14:anchorId="38DA293A" wp14:editId="00E6C736">
            <wp:extent cx="5486400" cy="2707005"/>
            <wp:effectExtent l="0" t="0" r="0" b="0"/>
            <wp:docPr id="1409445741" name="Picture 1" descr="Figure 3: IA2 - Kaplan-Meier analysis of OS (ITT population) D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45741" name="Picture 1" descr="Figure 3: IA2 - Kaplan-Meier analysis of OS (ITT population) DB-06"/>
                    <pic:cNvPicPr/>
                  </pic:nvPicPr>
                  <pic:blipFill>
                    <a:blip r:embed="rId13"/>
                    <a:stretch>
                      <a:fillRect/>
                    </a:stretch>
                  </pic:blipFill>
                  <pic:spPr>
                    <a:xfrm>
                      <a:off x="0" y="0"/>
                      <a:ext cx="5488919" cy="2708248"/>
                    </a:xfrm>
                    <a:prstGeom prst="rect">
                      <a:avLst/>
                    </a:prstGeom>
                  </pic:spPr>
                </pic:pic>
              </a:graphicData>
            </a:graphic>
          </wp:inline>
        </w:drawing>
      </w:r>
    </w:p>
    <w:p w14:paraId="3E01876D" w14:textId="77777777" w:rsidR="0081525E" w:rsidRDefault="0081525E" w:rsidP="008241B5">
      <w:pPr>
        <w:pStyle w:val="TableFooter"/>
      </w:pPr>
      <w:r w:rsidRPr="00847B68">
        <w:t xml:space="preserve">Source: </w:t>
      </w:r>
      <w:r>
        <w:t>Figure 2-14, p86 of the submission.</w:t>
      </w:r>
    </w:p>
    <w:p w14:paraId="5BB5362A" w14:textId="0688F126" w:rsidR="0081525E" w:rsidRDefault="0081525E" w:rsidP="008241B5">
      <w:pPr>
        <w:pStyle w:val="TableFooter"/>
      </w:pPr>
      <w:r w:rsidRPr="00847B68">
        <w:t>CI</w:t>
      </w:r>
      <w:r>
        <w:t xml:space="preserve"> =</w:t>
      </w:r>
      <w:r w:rsidRPr="00847B68">
        <w:t xml:space="preserve"> confidence interval</w:t>
      </w:r>
      <w:r>
        <w:t>;</w:t>
      </w:r>
      <w:r w:rsidRPr="00847B68">
        <w:t xml:space="preserve"> </w:t>
      </w:r>
      <w:r w:rsidR="004E4E51">
        <w:t xml:space="preserve">HR = hazard ratio; </w:t>
      </w:r>
      <w:r w:rsidRPr="00847B68">
        <w:t xml:space="preserve">ITT = intention to treat; OS </w:t>
      </w:r>
      <w:r>
        <w:t xml:space="preserve">= </w:t>
      </w:r>
      <w:r w:rsidRPr="00847B68">
        <w:t>overall survival</w:t>
      </w:r>
      <w:r>
        <w:t>;</w:t>
      </w:r>
      <w:r w:rsidR="004E4E51">
        <w:t xml:space="preserve"> T-</w:t>
      </w:r>
      <w:proofErr w:type="spellStart"/>
      <w:r w:rsidR="004E4E51">
        <w:t>DXd</w:t>
      </w:r>
      <w:proofErr w:type="spellEnd"/>
      <w:r w:rsidR="004E4E51">
        <w:t xml:space="preserve"> = trastuzumab deruxtecan</w:t>
      </w:r>
      <w:r>
        <w:t>.</w:t>
      </w:r>
    </w:p>
    <w:p w14:paraId="51EBD3BB" w14:textId="77777777" w:rsidR="0081525E" w:rsidRDefault="0081525E" w:rsidP="008241B5">
      <w:pPr>
        <w:pStyle w:val="TableFooter"/>
      </w:pPr>
      <w:r>
        <w:t>M</w:t>
      </w:r>
      <w:r w:rsidRPr="00B24A54">
        <w:t>edian follow up durations of 27.6 months and 25.0 months in the T-</w:t>
      </w:r>
      <w:proofErr w:type="spellStart"/>
      <w:r w:rsidRPr="00B24A54">
        <w:t>DXd</w:t>
      </w:r>
      <w:proofErr w:type="spellEnd"/>
      <w:r w:rsidRPr="00B24A54">
        <w:t xml:space="preserve"> and chemotherapy arms, respectively</w:t>
      </w:r>
    </w:p>
    <w:p w14:paraId="69AE1F29" w14:textId="57AD12A1" w:rsidR="00030D87" w:rsidRPr="00083980" w:rsidRDefault="008971B9" w:rsidP="008241B5">
      <w:pPr>
        <w:pStyle w:val="TableFooter"/>
      </w:pPr>
      <w:r>
        <w:t>Dot</w:t>
      </w:r>
      <w:r w:rsidR="00030D87">
        <w:t xml:space="preserve"> </w:t>
      </w:r>
      <w:r>
        <w:t>(blue in the T-</w:t>
      </w:r>
      <w:proofErr w:type="spellStart"/>
      <w:r>
        <w:t>DXd</w:t>
      </w:r>
      <w:proofErr w:type="spellEnd"/>
      <w:r>
        <w:t xml:space="preserve"> arm and red in the chemotherapy arm) </w:t>
      </w:r>
      <w:r w:rsidR="00030D87">
        <w:t>indicate</w:t>
      </w:r>
      <w:r w:rsidR="004E4E51">
        <w:t>s</w:t>
      </w:r>
      <w:r w:rsidR="00030D87">
        <w:t xml:space="preserve"> </w:t>
      </w:r>
      <w:r w:rsidR="004E4E51">
        <w:t>a censored observation.</w:t>
      </w:r>
      <w:r w:rsidR="00030D87">
        <w:t xml:space="preserve"> </w:t>
      </w:r>
    </w:p>
    <w:p w14:paraId="5F268B0B" w14:textId="10835500" w:rsidR="0081525E" w:rsidRPr="00904162" w:rsidRDefault="0081525E" w:rsidP="008241B5">
      <w:pPr>
        <w:pStyle w:val="3-BodyText"/>
      </w:pPr>
      <w:r w:rsidRPr="00904162">
        <w:t>The OS results were similar between IA1 and IA2.</w:t>
      </w:r>
    </w:p>
    <w:p w14:paraId="64B1043A" w14:textId="50014323" w:rsidR="0081525E" w:rsidRPr="00904162" w:rsidRDefault="0081525E" w:rsidP="008241B5">
      <w:pPr>
        <w:pStyle w:val="3-BodyText"/>
      </w:pPr>
      <w:r w:rsidRPr="00904162">
        <w:lastRenderedPageBreak/>
        <w:t>At IA1, the median OS was 28.9 months in the T-</w:t>
      </w:r>
      <w:proofErr w:type="spellStart"/>
      <w:r w:rsidRPr="00904162">
        <w:t>DXd</w:t>
      </w:r>
      <w:proofErr w:type="spellEnd"/>
      <w:r w:rsidRPr="00904162">
        <w:t xml:space="preserve"> arm versus 27.4 months in the ICC arm which corresponded to a 19% reduction in the hazard of death associated with T-</w:t>
      </w:r>
      <w:proofErr w:type="spellStart"/>
      <w:r w:rsidRPr="00904162">
        <w:t>DXd</w:t>
      </w:r>
      <w:proofErr w:type="spellEnd"/>
      <w:r w:rsidRPr="00904162">
        <w:t xml:space="preserve"> which was not statistically significant (</w:t>
      </w:r>
      <w:r w:rsidR="003B544E" w:rsidRPr="00904162">
        <w:t>hazard ratio:</w:t>
      </w:r>
      <w:r w:rsidRPr="00904162">
        <w:t xml:space="preserve"> 0.83; 95%CI: 0.66</w:t>
      </w:r>
      <w:r w:rsidR="003B544E" w:rsidRPr="00904162">
        <w:t>,</w:t>
      </w:r>
      <w:r w:rsidRPr="00904162">
        <w:t xml:space="preserve"> 1.05). The KM curves for OS indicated there was only a slight separation during follow-up although there was no sign of a detrimental effect.</w:t>
      </w:r>
    </w:p>
    <w:p w14:paraId="75FC2019" w14:textId="72F87526" w:rsidR="0081525E" w:rsidRPr="00904162" w:rsidRDefault="0081525E" w:rsidP="008241B5">
      <w:pPr>
        <w:pStyle w:val="3-BodyText"/>
      </w:pPr>
      <w:r w:rsidRPr="00904162">
        <w:t>At IA2, the median OS was 30.5 months in the T-</w:t>
      </w:r>
      <w:proofErr w:type="spellStart"/>
      <w:r w:rsidRPr="00904162">
        <w:t>DXd</w:t>
      </w:r>
      <w:proofErr w:type="spellEnd"/>
      <w:r w:rsidRPr="00904162">
        <w:t xml:space="preserve"> arm versus 27.2 months in the ICC arm. This difference corresponded to a 21% reduction in the hazard of death associated with T-</w:t>
      </w:r>
      <w:proofErr w:type="spellStart"/>
      <w:r w:rsidRPr="00904162">
        <w:t>DXd</w:t>
      </w:r>
      <w:proofErr w:type="spellEnd"/>
      <w:r w:rsidRPr="00904162">
        <w:t xml:space="preserve"> (</w:t>
      </w:r>
      <w:r w:rsidR="003B544E" w:rsidRPr="00904162">
        <w:t>hazard ratio:</w:t>
      </w:r>
      <w:r w:rsidRPr="00904162">
        <w:t xml:space="preserve"> 0.79; 95%CI: 0.66</w:t>
      </w:r>
      <w:r w:rsidR="003B544E" w:rsidRPr="00904162">
        <w:t>,</w:t>
      </w:r>
      <w:r w:rsidRPr="00904162">
        <w:t xml:space="preserve"> 0.94). </w:t>
      </w:r>
      <w:bookmarkStart w:id="28" w:name="_Hlk219715416"/>
      <w:r w:rsidRPr="00904162">
        <w:t xml:space="preserve">Per the multiple testing procedure (MTP), OS hypothesis in the ITT population was not formally tested for statistical significance. </w:t>
      </w:r>
      <w:bookmarkEnd w:id="28"/>
      <w:r w:rsidRPr="00904162">
        <w:t>Landmark analysis at 18 months indicated that 74.9% of patients were alive in the T-</w:t>
      </w:r>
      <w:proofErr w:type="spellStart"/>
      <w:r w:rsidRPr="00904162">
        <w:t>DXd</w:t>
      </w:r>
      <w:proofErr w:type="spellEnd"/>
      <w:r w:rsidRPr="00904162">
        <w:t xml:space="preserve"> arm versus 68.4% of patients in the ICC arm. Separation between the OS KM curves during the follow-up period appeared modest.</w:t>
      </w:r>
    </w:p>
    <w:p w14:paraId="64686906" w14:textId="4F3B8C6C" w:rsidR="0081525E" w:rsidRPr="00904162" w:rsidRDefault="0081525E" w:rsidP="008241B5">
      <w:pPr>
        <w:pStyle w:val="3-BodyText"/>
      </w:pPr>
      <w:r w:rsidRPr="00904162">
        <w:t xml:space="preserve">OS results by HER2-low and HER2-ultralow subgroups for the </w:t>
      </w:r>
      <w:r w:rsidR="006E06AC" w:rsidRPr="00904162">
        <w:t>IA2</w:t>
      </w:r>
      <w:r w:rsidRPr="00904162">
        <w:t xml:space="preserve"> DCO are summarised in </w:t>
      </w:r>
      <w:r w:rsidRPr="00904162">
        <w:fldChar w:fldCharType="begin"/>
      </w:r>
      <w:r w:rsidRPr="00904162">
        <w:instrText xml:space="preserve"> REF _Ref218522117 \h </w:instrText>
      </w:r>
      <w:r w:rsidR="00904162" w:rsidRPr="00904162">
        <w:instrText xml:space="preserve"> \* MERGEFORMAT </w:instrText>
      </w:r>
      <w:r w:rsidRPr="00904162">
        <w:fldChar w:fldCharType="separate"/>
      </w:r>
      <w:r w:rsidR="005D3E29">
        <w:t xml:space="preserve">Table </w:t>
      </w:r>
      <w:r w:rsidR="005D3E29">
        <w:rPr>
          <w:noProof/>
        </w:rPr>
        <w:t>7</w:t>
      </w:r>
      <w:r w:rsidRPr="00904162">
        <w:fldChar w:fldCharType="end"/>
      </w:r>
      <w:r w:rsidRPr="00904162">
        <w:t>.</w:t>
      </w:r>
    </w:p>
    <w:p w14:paraId="1491F475" w14:textId="1D30A26F" w:rsidR="0081525E" w:rsidRPr="00BD659A" w:rsidRDefault="0081525E" w:rsidP="008241B5">
      <w:pPr>
        <w:pStyle w:val="Caption"/>
      </w:pPr>
      <w:bookmarkStart w:id="29" w:name="_Ref218522117"/>
      <w:r>
        <w:t xml:space="preserve">Table </w:t>
      </w:r>
      <w:fldSimple w:instr=" SEQ Table \* ARABIC ">
        <w:r w:rsidR="005D3E29">
          <w:rPr>
            <w:noProof/>
          </w:rPr>
          <w:t>7</w:t>
        </w:r>
      </w:fldSimple>
      <w:bookmarkEnd w:id="29"/>
      <w:r>
        <w:t>: IA2 (DC</w:t>
      </w:r>
      <w:r w:rsidR="0042389B">
        <w:t>O</w:t>
      </w:r>
      <w:r>
        <w:t xml:space="preserve"> March 2025)</w:t>
      </w:r>
      <w:r w:rsidR="0042389B">
        <w:t xml:space="preserve"> </w:t>
      </w:r>
      <w:r>
        <w:t>– OS results by HER2-low and HER2-ultralow subgroups</w:t>
      </w:r>
    </w:p>
    <w:tbl>
      <w:tblPr>
        <w:tblStyle w:val="TableGrid"/>
        <w:tblW w:w="5000" w:type="pct"/>
        <w:tblLook w:val="04A0" w:firstRow="1" w:lastRow="0" w:firstColumn="1" w:lastColumn="0" w:noHBand="0" w:noVBand="1"/>
        <w:tblCaption w:val="Table 7: IA2 (DCO March 2025) – OS results by HER2-low and HER2-ultralow subgroups"/>
      </w:tblPr>
      <w:tblGrid>
        <w:gridCol w:w="1557"/>
        <w:gridCol w:w="1135"/>
        <w:gridCol w:w="710"/>
        <w:gridCol w:w="1841"/>
        <w:gridCol w:w="1841"/>
        <w:gridCol w:w="1933"/>
      </w:tblGrid>
      <w:tr w:rsidR="0081525E" w:rsidRPr="00BD659A" w14:paraId="6C2BAA0D" w14:textId="77777777" w:rsidTr="0042389B">
        <w:trPr>
          <w:cantSplit/>
        </w:trPr>
        <w:tc>
          <w:tcPr>
            <w:tcW w:w="863" w:type="pct"/>
            <w:tcBorders>
              <w:top w:val="single" w:sz="4" w:space="0" w:color="auto"/>
              <w:left w:val="single" w:sz="4" w:space="0" w:color="auto"/>
              <w:bottom w:val="single" w:sz="4" w:space="0" w:color="auto"/>
              <w:right w:val="single" w:sz="4" w:space="0" w:color="auto"/>
            </w:tcBorders>
          </w:tcPr>
          <w:p w14:paraId="3E5BE7D9" w14:textId="77777777" w:rsidR="0081525E" w:rsidRPr="00EE2F05" w:rsidRDefault="0081525E" w:rsidP="008241B5">
            <w:pPr>
              <w:pStyle w:val="Tabletext"/>
              <w:keepNext/>
              <w:rPr>
                <w:b/>
              </w:rPr>
            </w:pPr>
            <w:r w:rsidRPr="00EE2F05">
              <w:rPr>
                <w:b/>
              </w:rPr>
              <w:t>Subgroup</w:t>
            </w:r>
          </w:p>
        </w:tc>
        <w:tc>
          <w:tcPr>
            <w:tcW w:w="629" w:type="pct"/>
            <w:tcBorders>
              <w:top w:val="single" w:sz="4" w:space="0" w:color="auto"/>
              <w:left w:val="single" w:sz="4" w:space="0" w:color="auto"/>
              <w:bottom w:val="single" w:sz="4" w:space="0" w:color="auto"/>
              <w:right w:val="single" w:sz="4" w:space="0" w:color="auto"/>
            </w:tcBorders>
          </w:tcPr>
          <w:p w14:paraId="66DA4446" w14:textId="77777777" w:rsidR="0081525E" w:rsidRPr="00823A85" w:rsidRDefault="0081525E" w:rsidP="008241B5">
            <w:pPr>
              <w:pStyle w:val="Tabletext"/>
              <w:keepNext/>
              <w:rPr>
                <w:b/>
                <w:bCs/>
              </w:rPr>
            </w:pPr>
            <w:r w:rsidRPr="00823A85">
              <w:rPr>
                <w:b/>
                <w:bCs/>
              </w:rPr>
              <w:t>Treatment arms</w:t>
            </w:r>
          </w:p>
        </w:tc>
        <w:tc>
          <w:tcPr>
            <w:tcW w:w="393" w:type="pct"/>
            <w:tcBorders>
              <w:top w:val="single" w:sz="4" w:space="0" w:color="auto"/>
              <w:left w:val="single" w:sz="4" w:space="0" w:color="auto"/>
              <w:bottom w:val="single" w:sz="4" w:space="0" w:color="auto"/>
              <w:right w:val="single" w:sz="4" w:space="0" w:color="auto"/>
            </w:tcBorders>
          </w:tcPr>
          <w:p w14:paraId="5E7A2677" w14:textId="77777777" w:rsidR="0081525E" w:rsidRPr="00823A85" w:rsidRDefault="0081525E" w:rsidP="008241B5">
            <w:pPr>
              <w:pStyle w:val="Tabletext"/>
              <w:keepNext/>
              <w:jc w:val="center"/>
              <w:rPr>
                <w:b/>
                <w:bCs/>
              </w:rPr>
            </w:pPr>
            <w:r w:rsidRPr="00823A85">
              <w:rPr>
                <w:b/>
                <w:bCs/>
              </w:rPr>
              <w:t>N</w:t>
            </w:r>
          </w:p>
        </w:tc>
        <w:tc>
          <w:tcPr>
            <w:tcW w:w="1021" w:type="pct"/>
          </w:tcPr>
          <w:p w14:paraId="0F2298CC" w14:textId="77777777" w:rsidR="0081525E" w:rsidRDefault="0081525E" w:rsidP="008241B5">
            <w:pPr>
              <w:pStyle w:val="Tabletext"/>
              <w:keepNext/>
              <w:jc w:val="center"/>
              <w:rPr>
                <w:b/>
                <w:bCs/>
              </w:rPr>
            </w:pPr>
            <w:r>
              <w:rPr>
                <w:b/>
                <w:bCs/>
              </w:rPr>
              <w:t xml:space="preserve">Median </w:t>
            </w:r>
            <w:proofErr w:type="gramStart"/>
            <w:r>
              <w:rPr>
                <w:b/>
                <w:bCs/>
              </w:rPr>
              <w:t>OS ,</w:t>
            </w:r>
            <w:proofErr w:type="gramEnd"/>
            <w:r>
              <w:rPr>
                <w:b/>
                <w:bCs/>
              </w:rPr>
              <w:t xml:space="preserve"> months</w:t>
            </w:r>
          </w:p>
          <w:p w14:paraId="3D4C7D5C" w14:textId="77777777" w:rsidR="0081525E" w:rsidRPr="00823A85" w:rsidRDefault="0081525E" w:rsidP="008241B5">
            <w:pPr>
              <w:pStyle w:val="Tabletext"/>
              <w:keepNext/>
              <w:jc w:val="center"/>
              <w:rPr>
                <w:b/>
                <w:bCs/>
              </w:rPr>
            </w:pPr>
            <w:r>
              <w:rPr>
                <w:b/>
                <w:bCs/>
              </w:rPr>
              <w:t>(95% CI)</w:t>
            </w:r>
          </w:p>
        </w:tc>
        <w:tc>
          <w:tcPr>
            <w:tcW w:w="1021" w:type="pct"/>
          </w:tcPr>
          <w:p w14:paraId="3A72158D" w14:textId="77777777" w:rsidR="0081525E" w:rsidRPr="00823A85" w:rsidRDefault="0081525E" w:rsidP="008241B5">
            <w:pPr>
              <w:pStyle w:val="Tabletext"/>
              <w:keepNext/>
              <w:jc w:val="center"/>
              <w:rPr>
                <w:b/>
                <w:bCs/>
              </w:rPr>
            </w:pPr>
            <w:r>
              <w:rPr>
                <w:b/>
                <w:bCs/>
              </w:rPr>
              <w:t>18-month landmark analysis, %, (95% CI)</w:t>
            </w:r>
          </w:p>
        </w:tc>
        <w:tc>
          <w:tcPr>
            <w:tcW w:w="1072" w:type="pct"/>
            <w:tcBorders>
              <w:top w:val="single" w:sz="4" w:space="0" w:color="auto"/>
              <w:left w:val="single" w:sz="4" w:space="0" w:color="auto"/>
              <w:bottom w:val="single" w:sz="4" w:space="0" w:color="auto"/>
              <w:right w:val="single" w:sz="4" w:space="0" w:color="auto"/>
            </w:tcBorders>
          </w:tcPr>
          <w:p w14:paraId="45B1A7FA" w14:textId="77777777" w:rsidR="0081525E" w:rsidRPr="00823A85" w:rsidRDefault="0081525E" w:rsidP="008241B5">
            <w:pPr>
              <w:pStyle w:val="Tabletext"/>
              <w:keepNext/>
              <w:jc w:val="center"/>
              <w:rPr>
                <w:b/>
                <w:bCs/>
              </w:rPr>
            </w:pPr>
            <w:r w:rsidRPr="00823A85">
              <w:rPr>
                <w:b/>
                <w:bCs/>
              </w:rPr>
              <w:t>Hazard ratio</w:t>
            </w:r>
          </w:p>
          <w:p w14:paraId="4B85EEEC" w14:textId="77777777" w:rsidR="0081525E" w:rsidRPr="00823A85" w:rsidRDefault="0081525E" w:rsidP="008241B5">
            <w:pPr>
              <w:pStyle w:val="Tabletext"/>
              <w:keepNext/>
              <w:jc w:val="center"/>
              <w:rPr>
                <w:b/>
                <w:bCs/>
              </w:rPr>
            </w:pPr>
            <w:r w:rsidRPr="00823A85">
              <w:rPr>
                <w:b/>
                <w:bCs/>
              </w:rPr>
              <w:t>(95% CI)</w:t>
            </w:r>
            <w:r w:rsidRPr="00EE2F05">
              <w:rPr>
                <w:vertAlign w:val="superscript"/>
              </w:rPr>
              <w:t xml:space="preserve"> a</w:t>
            </w:r>
          </w:p>
        </w:tc>
      </w:tr>
      <w:tr w:rsidR="0081525E" w:rsidRPr="00BD659A" w14:paraId="776494BE" w14:textId="77777777" w:rsidTr="0042389B">
        <w:trPr>
          <w:cantSplit/>
        </w:trPr>
        <w:tc>
          <w:tcPr>
            <w:tcW w:w="863" w:type="pct"/>
            <w:vMerge w:val="restart"/>
            <w:tcBorders>
              <w:top w:val="single" w:sz="4" w:space="0" w:color="auto"/>
              <w:left w:val="single" w:sz="4" w:space="0" w:color="auto"/>
              <w:bottom w:val="single" w:sz="4" w:space="0" w:color="auto"/>
              <w:right w:val="single" w:sz="4" w:space="0" w:color="auto"/>
            </w:tcBorders>
            <w:hideMark/>
          </w:tcPr>
          <w:p w14:paraId="62279827" w14:textId="77777777" w:rsidR="0081525E" w:rsidRPr="003C1014" w:rsidRDefault="0081525E" w:rsidP="008241B5">
            <w:pPr>
              <w:pStyle w:val="Tabletext"/>
              <w:keepNext/>
              <w:rPr>
                <w:b/>
                <w:bCs/>
              </w:rPr>
            </w:pPr>
            <w:r w:rsidRPr="003C1014">
              <w:rPr>
                <w:b/>
                <w:bCs/>
              </w:rPr>
              <w:t>HER2-low population</w:t>
            </w:r>
          </w:p>
        </w:tc>
        <w:tc>
          <w:tcPr>
            <w:tcW w:w="629" w:type="pct"/>
            <w:tcBorders>
              <w:top w:val="single" w:sz="4" w:space="0" w:color="auto"/>
              <w:left w:val="single" w:sz="4" w:space="0" w:color="auto"/>
              <w:bottom w:val="single" w:sz="4" w:space="0" w:color="auto"/>
              <w:right w:val="single" w:sz="4" w:space="0" w:color="auto"/>
            </w:tcBorders>
            <w:hideMark/>
          </w:tcPr>
          <w:p w14:paraId="2404EB82" w14:textId="77777777" w:rsidR="0081525E" w:rsidRPr="00BD659A" w:rsidRDefault="0081525E" w:rsidP="008241B5">
            <w:pPr>
              <w:pStyle w:val="Tabletext"/>
              <w:keepNext/>
            </w:pPr>
            <w:r w:rsidRPr="00BD659A">
              <w:t>T-</w:t>
            </w:r>
            <w:proofErr w:type="spellStart"/>
            <w:r w:rsidRPr="00BD659A">
              <w:t>DXd</w:t>
            </w:r>
            <w:proofErr w:type="spellEnd"/>
          </w:p>
        </w:tc>
        <w:tc>
          <w:tcPr>
            <w:tcW w:w="393" w:type="pct"/>
            <w:tcBorders>
              <w:top w:val="single" w:sz="4" w:space="0" w:color="auto"/>
              <w:left w:val="single" w:sz="4" w:space="0" w:color="auto"/>
              <w:bottom w:val="single" w:sz="4" w:space="0" w:color="auto"/>
              <w:right w:val="single" w:sz="4" w:space="0" w:color="auto"/>
            </w:tcBorders>
            <w:hideMark/>
          </w:tcPr>
          <w:p w14:paraId="6BCB9DCF" w14:textId="77777777" w:rsidR="0081525E" w:rsidRPr="00BD659A" w:rsidRDefault="0081525E" w:rsidP="008241B5">
            <w:pPr>
              <w:pStyle w:val="Tabletext"/>
              <w:keepNext/>
              <w:jc w:val="center"/>
            </w:pPr>
            <w:r w:rsidRPr="00BD659A">
              <w:t>359</w:t>
            </w:r>
          </w:p>
        </w:tc>
        <w:tc>
          <w:tcPr>
            <w:tcW w:w="1021" w:type="pct"/>
          </w:tcPr>
          <w:p w14:paraId="7D720841" w14:textId="77777777" w:rsidR="0081525E" w:rsidRPr="00BD659A" w:rsidRDefault="0081525E" w:rsidP="008241B5">
            <w:pPr>
              <w:pStyle w:val="Tabletext"/>
              <w:keepNext/>
              <w:jc w:val="center"/>
            </w:pPr>
            <w:r>
              <w:t>30.4 (26.4, 34.2)</w:t>
            </w:r>
          </w:p>
        </w:tc>
        <w:tc>
          <w:tcPr>
            <w:tcW w:w="1021" w:type="pct"/>
          </w:tcPr>
          <w:p w14:paraId="1AB3A1C6" w14:textId="77777777" w:rsidR="0081525E" w:rsidRPr="00BD659A" w:rsidRDefault="0081525E" w:rsidP="008241B5">
            <w:pPr>
              <w:pStyle w:val="Tabletext"/>
              <w:keepNext/>
              <w:jc w:val="center"/>
            </w:pPr>
            <w:r>
              <w:t>74.0 (69.1, 78.3)</w:t>
            </w:r>
          </w:p>
        </w:tc>
        <w:tc>
          <w:tcPr>
            <w:tcW w:w="1072" w:type="pct"/>
            <w:vMerge w:val="restart"/>
            <w:tcBorders>
              <w:top w:val="single" w:sz="4" w:space="0" w:color="auto"/>
              <w:left w:val="single" w:sz="4" w:space="0" w:color="auto"/>
              <w:bottom w:val="single" w:sz="4" w:space="0" w:color="auto"/>
              <w:right w:val="single" w:sz="4" w:space="0" w:color="auto"/>
            </w:tcBorders>
            <w:vAlign w:val="center"/>
            <w:hideMark/>
          </w:tcPr>
          <w:p w14:paraId="7851DBA7" w14:textId="77777777" w:rsidR="0081525E" w:rsidRPr="00EE2F05" w:rsidRDefault="0081525E" w:rsidP="008241B5">
            <w:pPr>
              <w:pStyle w:val="Tabletext"/>
              <w:keepNext/>
              <w:jc w:val="center"/>
              <w:rPr>
                <w:vertAlign w:val="superscript"/>
              </w:rPr>
            </w:pPr>
            <w:r w:rsidRPr="00BD659A">
              <w:t>0.8</w:t>
            </w:r>
            <w:r>
              <w:t>1 (</w:t>
            </w:r>
            <w:r w:rsidRPr="00BD659A">
              <w:t>0.6</w:t>
            </w:r>
            <w:r>
              <w:t>7</w:t>
            </w:r>
            <w:r w:rsidRPr="00BD659A">
              <w:t xml:space="preserve">, </w:t>
            </w:r>
            <w:r>
              <w:t>0.99)</w:t>
            </w:r>
          </w:p>
        </w:tc>
      </w:tr>
      <w:tr w:rsidR="0081525E" w:rsidRPr="00BD659A" w14:paraId="386B6AC2" w14:textId="77777777" w:rsidTr="0042389B">
        <w:trPr>
          <w:cantSplit/>
        </w:trPr>
        <w:tc>
          <w:tcPr>
            <w:tcW w:w="863" w:type="pct"/>
            <w:vMerge/>
            <w:tcBorders>
              <w:top w:val="single" w:sz="4" w:space="0" w:color="auto"/>
              <w:left w:val="single" w:sz="4" w:space="0" w:color="auto"/>
              <w:bottom w:val="single" w:sz="4" w:space="0" w:color="auto"/>
              <w:right w:val="single" w:sz="4" w:space="0" w:color="auto"/>
            </w:tcBorders>
            <w:vAlign w:val="center"/>
            <w:hideMark/>
          </w:tcPr>
          <w:p w14:paraId="68AB3F9F" w14:textId="77777777" w:rsidR="0081525E" w:rsidRPr="00BD659A" w:rsidRDefault="0081525E" w:rsidP="008241B5">
            <w:pPr>
              <w:pStyle w:val="Tabletext"/>
              <w:keepNext/>
              <w:rPr>
                <w:bCs/>
              </w:rPr>
            </w:pPr>
          </w:p>
        </w:tc>
        <w:tc>
          <w:tcPr>
            <w:tcW w:w="629" w:type="pct"/>
            <w:tcBorders>
              <w:top w:val="single" w:sz="4" w:space="0" w:color="auto"/>
              <w:left w:val="single" w:sz="4" w:space="0" w:color="auto"/>
              <w:bottom w:val="single" w:sz="4" w:space="0" w:color="auto"/>
              <w:right w:val="single" w:sz="4" w:space="0" w:color="auto"/>
            </w:tcBorders>
            <w:hideMark/>
          </w:tcPr>
          <w:p w14:paraId="0CB4A7AF" w14:textId="77777777" w:rsidR="0081525E" w:rsidRPr="00BD659A" w:rsidRDefault="0081525E" w:rsidP="008241B5">
            <w:pPr>
              <w:pStyle w:val="Tabletext"/>
              <w:keepNext/>
            </w:pPr>
            <w:r>
              <w:t>ICC</w:t>
            </w:r>
          </w:p>
        </w:tc>
        <w:tc>
          <w:tcPr>
            <w:tcW w:w="393" w:type="pct"/>
            <w:tcBorders>
              <w:top w:val="single" w:sz="4" w:space="0" w:color="auto"/>
              <w:left w:val="single" w:sz="4" w:space="0" w:color="auto"/>
              <w:bottom w:val="single" w:sz="4" w:space="0" w:color="auto"/>
              <w:right w:val="single" w:sz="4" w:space="0" w:color="auto"/>
            </w:tcBorders>
            <w:hideMark/>
          </w:tcPr>
          <w:p w14:paraId="09918DCA" w14:textId="77777777" w:rsidR="0081525E" w:rsidRPr="00BD659A" w:rsidRDefault="0081525E" w:rsidP="008241B5">
            <w:pPr>
              <w:pStyle w:val="Tabletext"/>
              <w:keepNext/>
              <w:jc w:val="center"/>
            </w:pPr>
            <w:r w:rsidRPr="00BD659A">
              <w:t>354</w:t>
            </w:r>
          </w:p>
        </w:tc>
        <w:tc>
          <w:tcPr>
            <w:tcW w:w="1021" w:type="pct"/>
          </w:tcPr>
          <w:p w14:paraId="2FF92E1D" w14:textId="77777777" w:rsidR="0081525E" w:rsidRPr="00BD659A" w:rsidRDefault="0081525E" w:rsidP="008241B5">
            <w:pPr>
              <w:pStyle w:val="Tabletext"/>
              <w:keepNext/>
              <w:jc w:val="center"/>
            </w:pPr>
            <w:r>
              <w:t>27.1 (24.4, 29.3)</w:t>
            </w:r>
          </w:p>
        </w:tc>
        <w:tc>
          <w:tcPr>
            <w:tcW w:w="1021" w:type="pct"/>
          </w:tcPr>
          <w:p w14:paraId="056ADD10" w14:textId="77777777" w:rsidR="0081525E" w:rsidRPr="00BD659A" w:rsidRDefault="0081525E" w:rsidP="008241B5">
            <w:pPr>
              <w:pStyle w:val="Tabletext"/>
              <w:keepNext/>
              <w:jc w:val="center"/>
            </w:pPr>
            <w:r>
              <w:t>69.0 (63.7, 73.6)</w:t>
            </w:r>
          </w:p>
        </w:tc>
        <w:tc>
          <w:tcPr>
            <w:tcW w:w="1072" w:type="pct"/>
            <w:vMerge/>
            <w:tcBorders>
              <w:top w:val="single" w:sz="4" w:space="0" w:color="auto"/>
              <w:left w:val="single" w:sz="4" w:space="0" w:color="auto"/>
              <w:bottom w:val="single" w:sz="4" w:space="0" w:color="auto"/>
              <w:right w:val="single" w:sz="4" w:space="0" w:color="auto"/>
            </w:tcBorders>
            <w:vAlign w:val="center"/>
            <w:hideMark/>
          </w:tcPr>
          <w:p w14:paraId="6FAF7013" w14:textId="77777777" w:rsidR="0081525E" w:rsidRPr="00BD659A" w:rsidRDefault="0081525E" w:rsidP="008241B5">
            <w:pPr>
              <w:pStyle w:val="Tabletext"/>
              <w:keepNext/>
              <w:jc w:val="center"/>
            </w:pPr>
          </w:p>
        </w:tc>
      </w:tr>
      <w:tr w:rsidR="0081525E" w:rsidRPr="00BD659A" w14:paraId="40EEB013" w14:textId="77777777" w:rsidTr="0042389B">
        <w:trPr>
          <w:cantSplit/>
        </w:trPr>
        <w:tc>
          <w:tcPr>
            <w:tcW w:w="863" w:type="pct"/>
            <w:vMerge w:val="restart"/>
            <w:tcBorders>
              <w:top w:val="single" w:sz="4" w:space="0" w:color="auto"/>
              <w:left w:val="single" w:sz="4" w:space="0" w:color="auto"/>
              <w:right w:val="single" w:sz="4" w:space="0" w:color="auto"/>
            </w:tcBorders>
            <w:vAlign w:val="center"/>
          </w:tcPr>
          <w:p w14:paraId="0BEB7703" w14:textId="77777777" w:rsidR="0081525E" w:rsidRPr="003C1014" w:rsidRDefault="0081525E" w:rsidP="008241B5">
            <w:pPr>
              <w:pStyle w:val="Tabletext"/>
              <w:keepNext/>
              <w:rPr>
                <w:b/>
              </w:rPr>
            </w:pPr>
            <w:r w:rsidRPr="003C1014">
              <w:rPr>
                <w:b/>
              </w:rPr>
              <w:t>HER2-ultralow population</w:t>
            </w:r>
          </w:p>
        </w:tc>
        <w:tc>
          <w:tcPr>
            <w:tcW w:w="629" w:type="pct"/>
            <w:tcBorders>
              <w:top w:val="single" w:sz="4" w:space="0" w:color="auto"/>
              <w:left w:val="single" w:sz="4" w:space="0" w:color="auto"/>
              <w:bottom w:val="single" w:sz="4" w:space="0" w:color="auto"/>
              <w:right w:val="single" w:sz="4" w:space="0" w:color="auto"/>
            </w:tcBorders>
          </w:tcPr>
          <w:p w14:paraId="63415C18" w14:textId="77777777" w:rsidR="0081525E" w:rsidRPr="00BD659A" w:rsidRDefault="0081525E" w:rsidP="008241B5">
            <w:pPr>
              <w:pStyle w:val="Tabletext"/>
              <w:keepNext/>
            </w:pPr>
            <w:r w:rsidRPr="00BD659A">
              <w:t>T-</w:t>
            </w:r>
            <w:proofErr w:type="spellStart"/>
            <w:r w:rsidRPr="00BD659A">
              <w:t>DXd</w:t>
            </w:r>
            <w:proofErr w:type="spellEnd"/>
          </w:p>
        </w:tc>
        <w:tc>
          <w:tcPr>
            <w:tcW w:w="393" w:type="pct"/>
            <w:tcBorders>
              <w:top w:val="single" w:sz="4" w:space="0" w:color="auto"/>
              <w:left w:val="single" w:sz="4" w:space="0" w:color="auto"/>
              <w:bottom w:val="single" w:sz="4" w:space="0" w:color="auto"/>
              <w:right w:val="single" w:sz="4" w:space="0" w:color="auto"/>
            </w:tcBorders>
          </w:tcPr>
          <w:p w14:paraId="5D76F2C9" w14:textId="77777777" w:rsidR="0081525E" w:rsidRPr="00BD659A" w:rsidRDefault="0081525E" w:rsidP="008241B5">
            <w:pPr>
              <w:pStyle w:val="Tabletext"/>
              <w:keepNext/>
              <w:jc w:val="center"/>
            </w:pPr>
            <w:r>
              <w:t>76</w:t>
            </w:r>
          </w:p>
        </w:tc>
        <w:tc>
          <w:tcPr>
            <w:tcW w:w="1021" w:type="pct"/>
          </w:tcPr>
          <w:p w14:paraId="374D02B4" w14:textId="77777777" w:rsidR="0081525E" w:rsidRPr="00BD659A" w:rsidRDefault="0081525E" w:rsidP="008241B5">
            <w:pPr>
              <w:pStyle w:val="Tabletext"/>
              <w:keepNext/>
              <w:jc w:val="center"/>
            </w:pPr>
            <w:r>
              <w:t>30.2 (28.4, NE)</w:t>
            </w:r>
          </w:p>
        </w:tc>
        <w:tc>
          <w:tcPr>
            <w:tcW w:w="1021" w:type="pct"/>
          </w:tcPr>
          <w:p w14:paraId="206D8CA2" w14:textId="77777777" w:rsidR="0081525E" w:rsidRDefault="0081525E" w:rsidP="008241B5">
            <w:pPr>
              <w:pStyle w:val="Tabletext"/>
              <w:keepNext/>
              <w:jc w:val="center"/>
            </w:pPr>
            <w:r>
              <w:t>78.7 (67.6, 86.4)</w:t>
            </w:r>
          </w:p>
        </w:tc>
        <w:tc>
          <w:tcPr>
            <w:tcW w:w="1072" w:type="pct"/>
            <w:vMerge w:val="restart"/>
            <w:tcBorders>
              <w:top w:val="single" w:sz="4" w:space="0" w:color="auto"/>
              <w:left w:val="single" w:sz="4" w:space="0" w:color="auto"/>
              <w:right w:val="single" w:sz="4" w:space="0" w:color="auto"/>
            </w:tcBorders>
            <w:vAlign w:val="center"/>
          </w:tcPr>
          <w:p w14:paraId="25B8E324" w14:textId="77777777" w:rsidR="0081525E" w:rsidRPr="00BD659A" w:rsidRDefault="0081525E" w:rsidP="008241B5">
            <w:pPr>
              <w:pStyle w:val="Tabletext"/>
              <w:keepNext/>
              <w:jc w:val="center"/>
            </w:pPr>
            <w:r>
              <w:t>0.70 (0.45, 1.09)</w:t>
            </w:r>
          </w:p>
        </w:tc>
      </w:tr>
      <w:tr w:rsidR="0081525E" w:rsidRPr="00BD659A" w14:paraId="1161EEAF" w14:textId="77777777" w:rsidTr="0042389B">
        <w:trPr>
          <w:cantSplit/>
        </w:trPr>
        <w:tc>
          <w:tcPr>
            <w:tcW w:w="863" w:type="pct"/>
            <w:vMerge/>
            <w:tcBorders>
              <w:left w:val="single" w:sz="4" w:space="0" w:color="auto"/>
              <w:bottom w:val="single" w:sz="4" w:space="0" w:color="auto"/>
              <w:right w:val="single" w:sz="4" w:space="0" w:color="auto"/>
            </w:tcBorders>
            <w:vAlign w:val="center"/>
          </w:tcPr>
          <w:p w14:paraId="1FE59422" w14:textId="77777777" w:rsidR="0081525E" w:rsidRPr="00BD659A" w:rsidRDefault="0081525E" w:rsidP="008241B5">
            <w:pPr>
              <w:pStyle w:val="Tabletext"/>
              <w:keepNext/>
              <w:rPr>
                <w:bCs/>
              </w:rPr>
            </w:pPr>
          </w:p>
        </w:tc>
        <w:tc>
          <w:tcPr>
            <w:tcW w:w="629" w:type="pct"/>
            <w:tcBorders>
              <w:top w:val="single" w:sz="4" w:space="0" w:color="auto"/>
              <w:left w:val="single" w:sz="4" w:space="0" w:color="auto"/>
              <w:bottom w:val="single" w:sz="4" w:space="0" w:color="auto"/>
              <w:right w:val="single" w:sz="4" w:space="0" w:color="auto"/>
            </w:tcBorders>
          </w:tcPr>
          <w:p w14:paraId="45709DEA" w14:textId="77777777" w:rsidR="0081525E" w:rsidRPr="00BD659A" w:rsidRDefault="0081525E" w:rsidP="008241B5">
            <w:pPr>
              <w:pStyle w:val="Tabletext"/>
              <w:keepNext/>
            </w:pPr>
            <w:r>
              <w:t>ICC</w:t>
            </w:r>
          </w:p>
        </w:tc>
        <w:tc>
          <w:tcPr>
            <w:tcW w:w="393" w:type="pct"/>
            <w:tcBorders>
              <w:top w:val="single" w:sz="4" w:space="0" w:color="auto"/>
              <w:left w:val="single" w:sz="4" w:space="0" w:color="auto"/>
              <w:bottom w:val="single" w:sz="4" w:space="0" w:color="auto"/>
              <w:right w:val="single" w:sz="4" w:space="0" w:color="auto"/>
            </w:tcBorders>
          </w:tcPr>
          <w:p w14:paraId="0C66F161" w14:textId="77777777" w:rsidR="0081525E" w:rsidRPr="00BD659A" w:rsidRDefault="0081525E" w:rsidP="008241B5">
            <w:pPr>
              <w:pStyle w:val="Tabletext"/>
              <w:keepNext/>
              <w:jc w:val="center"/>
            </w:pPr>
            <w:r>
              <w:t>76</w:t>
            </w:r>
          </w:p>
        </w:tc>
        <w:tc>
          <w:tcPr>
            <w:tcW w:w="1021" w:type="pct"/>
          </w:tcPr>
          <w:p w14:paraId="6446C1C5" w14:textId="77777777" w:rsidR="0081525E" w:rsidRPr="00BD659A" w:rsidRDefault="0081525E" w:rsidP="008241B5">
            <w:pPr>
              <w:pStyle w:val="Tabletext"/>
              <w:keepNext/>
              <w:jc w:val="center"/>
            </w:pPr>
            <w:r>
              <w:t>27.2 (19.9, 35.9)</w:t>
            </w:r>
          </w:p>
        </w:tc>
        <w:tc>
          <w:tcPr>
            <w:tcW w:w="1021" w:type="pct"/>
          </w:tcPr>
          <w:p w14:paraId="098490DD" w14:textId="77777777" w:rsidR="0081525E" w:rsidRPr="00BD659A" w:rsidRDefault="0081525E" w:rsidP="008241B5">
            <w:pPr>
              <w:pStyle w:val="Tabletext"/>
              <w:keepNext/>
              <w:jc w:val="center"/>
            </w:pPr>
            <w:r>
              <w:t>65.8 (53.4, 75.6)</w:t>
            </w:r>
          </w:p>
        </w:tc>
        <w:tc>
          <w:tcPr>
            <w:tcW w:w="1072" w:type="pct"/>
            <w:vMerge/>
            <w:tcBorders>
              <w:left w:val="single" w:sz="4" w:space="0" w:color="auto"/>
              <w:bottom w:val="single" w:sz="4" w:space="0" w:color="auto"/>
              <w:right w:val="single" w:sz="4" w:space="0" w:color="auto"/>
            </w:tcBorders>
            <w:vAlign w:val="center"/>
          </w:tcPr>
          <w:p w14:paraId="3DB63026" w14:textId="77777777" w:rsidR="0081525E" w:rsidRPr="00BD659A" w:rsidRDefault="0081525E" w:rsidP="008241B5">
            <w:pPr>
              <w:pStyle w:val="Tabletext"/>
              <w:keepNext/>
            </w:pPr>
          </w:p>
        </w:tc>
      </w:tr>
    </w:tbl>
    <w:p w14:paraId="750E70FC" w14:textId="77777777" w:rsidR="0081525E" w:rsidRPr="00866E07" w:rsidRDefault="0081525E" w:rsidP="008241B5">
      <w:pPr>
        <w:pStyle w:val="TableFooter"/>
        <w:keepNext/>
      </w:pPr>
      <w:r w:rsidRPr="00866E07">
        <w:t>Source: p26, Table 3, p27, and Table 2-21, p85 of the submission</w:t>
      </w:r>
    </w:p>
    <w:p w14:paraId="46116357" w14:textId="2415E123" w:rsidR="0081525E" w:rsidRPr="00866E07" w:rsidRDefault="0081525E" w:rsidP="008241B5">
      <w:pPr>
        <w:pStyle w:val="TableFooter"/>
        <w:keepNext/>
      </w:pPr>
      <w:r w:rsidRPr="00866E07">
        <w:t xml:space="preserve">CI = confidence interval, DCO = data cutoff; IA = interim analysis; ICC = </w:t>
      </w:r>
      <w:r w:rsidR="00D21370" w:rsidRPr="00D21370">
        <w:t>investigator’s choice of chemotherapy</w:t>
      </w:r>
      <w:r w:rsidRPr="00866E07">
        <w:t xml:space="preserve">; </w:t>
      </w:r>
      <w:r w:rsidR="0042389B" w:rsidRPr="0042389B">
        <w:t>HER2 = human epidermal growth factor receptor 2</w:t>
      </w:r>
      <w:r w:rsidR="0042389B">
        <w:t>;</w:t>
      </w:r>
      <w:r w:rsidR="0042389B" w:rsidRPr="0042389B">
        <w:t xml:space="preserve"> </w:t>
      </w:r>
      <w:r w:rsidRPr="00866E07">
        <w:t xml:space="preserve">ITT = intention to treat; </w:t>
      </w:r>
      <w:r w:rsidR="0042389B">
        <w:t xml:space="preserve">NE = not estimable; </w:t>
      </w:r>
      <w:r w:rsidRPr="00866E07">
        <w:t xml:space="preserve">OS </w:t>
      </w:r>
      <w:r w:rsidR="0042389B">
        <w:t xml:space="preserve">= </w:t>
      </w:r>
      <w:r w:rsidRPr="00866E07">
        <w:t>overall survival</w:t>
      </w:r>
      <w:r w:rsidR="0042389B">
        <w:t>;</w:t>
      </w:r>
      <w:r w:rsidRPr="00866E07">
        <w:t xml:space="preserve"> T-</w:t>
      </w:r>
      <w:proofErr w:type="spellStart"/>
      <w:r w:rsidRPr="00866E07">
        <w:t>DXd</w:t>
      </w:r>
      <w:proofErr w:type="spellEnd"/>
      <w:r w:rsidRPr="00866E07">
        <w:t xml:space="preserve"> = </w:t>
      </w:r>
      <w:r w:rsidR="003B544E">
        <w:t>t</w:t>
      </w:r>
      <w:r w:rsidRPr="00866E07">
        <w:t>rastuzumab deruxtecan</w:t>
      </w:r>
    </w:p>
    <w:p w14:paraId="241CDABF" w14:textId="4034E5ED" w:rsidR="0081525E" w:rsidRPr="00866E07" w:rsidRDefault="0081525E" w:rsidP="008241B5">
      <w:pPr>
        <w:pStyle w:val="TableFooter"/>
        <w:keepNext/>
      </w:pPr>
      <w:r w:rsidRPr="00587F2B">
        <w:rPr>
          <w:vertAlign w:val="superscript"/>
        </w:rPr>
        <w:t>a</w:t>
      </w:r>
      <w:r w:rsidR="00587F2B">
        <w:t xml:space="preserve"> </w:t>
      </w:r>
      <w:r w:rsidRPr="00866E07">
        <w:t>Calculated using the Kaplan-Meier technique. Cl for median was derived based on Brookmeyer-Crowley method.</w:t>
      </w:r>
    </w:p>
    <w:p w14:paraId="6BE9E1F1" w14:textId="2D07605D" w:rsidR="0081525E" w:rsidRDefault="0081525E" w:rsidP="008241B5">
      <w:pPr>
        <w:pStyle w:val="3-BodyText"/>
      </w:pPr>
      <w:r w:rsidRPr="00866E07">
        <w:t>Median duration of follow-up: 27.6 months in the T-</w:t>
      </w:r>
      <w:proofErr w:type="spellStart"/>
      <w:r w:rsidRPr="00866E07">
        <w:t>DXd</w:t>
      </w:r>
      <w:proofErr w:type="spellEnd"/>
      <w:r w:rsidRPr="00866E07">
        <w:t xml:space="preserve"> arm and 25.2 months in the ICC arm</w:t>
      </w:r>
      <w:r w:rsidR="00FF6F2C" w:rsidRPr="00FF6F2C">
        <w:t xml:space="preserve"> </w:t>
      </w:r>
      <w:r w:rsidRPr="00904162">
        <w:t xml:space="preserve">The OS results were similar between the HER2-low and HER2-ultralow. The HER2-ultralow subgroup analysis </w:t>
      </w:r>
      <w:r w:rsidR="0042389B" w:rsidRPr="00904162">
        <w:t>wa</w:t>
      </w:r>
      <w:r w:rsidRPr="00904162">
        <w:t xml:space="preserve">s imprecise and the 95% </w:t>
      </w:r>
      <w:r w:rsidR="0042389B" w:rsidRPr="00904162">
        <w:t>CI</w:t>
      </w:r>
      <w:r w:rsidRPr="00904162">
        <w:t>s of the reduction in hazard of death between the HER2-low (19% reduction) and HER2-ultralow (30% reduction) overlap</w:t>
      </w:r>
      <w:r w:rsidR="0042389B" w:rsidRPr="00904162">
        <w:t>ped</w:t>
      </w:r>
      <w:r w:rsidRPr="00904162">
        <w:t>.</w:t>
      </w:r>
      <w:r w:rsidR="00CF79EA">
        <w:t xml:space="preserve"> The </w:t>
      </w:r>
      <w:r w:rsidR="001F0CFF">
        <w:t>Sub-Committees</w:t>
      </w:r>
      <w:r w:rsidR="00CF79EA">
        <w:t xml:space="preserve"> noted</w:t>
      </w:r>
      <w:r w:rsidR="006A4FF6">
        <w:t xml:space="preserve"> that the results </w:t>
      </w:r>
      <w:r w:rsidR="00BD559A">
        <w:t xml:space="preserve">for </w:t>
      </w:r>
      <w:r w:rsidR="00B97CA2">
        <w:t xml:space="preserve">the </w:t>
      </w:r>
      <w:r w:rsidR="00BD559A">
        <w:t>IA2</w:t>
      </w:r>
      <w:r w:rsidR="00B97CA2">
        <w:t xml:space="preserve"> analysis</w:t>
      </w:r>
      <w:r w:rsidR="00BD559A">
        <w:t xml:space="preserve"> </w:t>
      </w:r>
      <w:r w:rsidR="006A4FF6">
        <w:t>remained non-robust, given the limited sample size of the ultralow patients.</w:t>
      </w:r>
    </w:p>
    <w:p w14:paraId="068DD0A5" w14:textId="6CE8CEE3" w:rsidR="0081525E" w:rsidRPr="00904162" w:rsidRDefault="0081525E" w:rsidP="008241B5">
      <w:pPr>
        <w:pStyle w:val="3-BodyText"/>
        <w:numPr>
          <w:ilvl w:val="1"/>
          <w:numId w:val="7"/>
        </w:numPr>
      </w:pPr>
      <w:r w:rsidRPr="00904162">
        <w:t>Other secondary endpoints included PFS2</w:t>
      </w:r>
      <w:r w:rsidRPr="00A831D5">
        <w:rPr>
          <w:vertAlign w:val="superscript"/>
        </w:rPr>
        <w:footnoteReference w:id="20"/>
      </w:r>
      <w:r w:rsidR="00A831D5">
        <w:t xml:space="preserve">, </w:t>
      </w:r>
      <w:r w:rsidRPr="00904162">
        <w:t>objective response rate (ORR), and patient reported outcomes (PROs).</w:t>
      </w:r>
    </w:p>
    <w:p w14:paraId="0989F853" w14:textId="78337FE5" w:rsidR="0081525E" w:rsidRPr="00904162" w:rsidRDefault="0081525E" w:rsidP="008241B5">
      <w:pPr>
        <w:pStyle w:val="3-BodyText"/>
      </w:pPr>
      <w:r w:rsidRPr="00904162">
        <w:t>In the absence of fully mature OS data, PFS2 data for the ITT population may be clinically relevant. For the IA2 analysis, there were 327 PFS2 events in the T-</w:t>
      </w:r>
      <w:proofErr w:type="spellStart"/>
      <w:r w:rsidRPr="00904162">
        <w:t>DXd</w:t>
      </w:r>
      <w:proofErr w:type="spellEnd"/>
      <w:r w:rsidRPr="00904162">
        <w:t xml:space="preserve"> arm compared with 351 events in the ICC arm (DB-06 IA2 CSR). The median PFS2 in the T-</w:t>
      </w:r>
      <w:proofErr w:type="spellStart"/>
      <w:r w:rsidRPr="00904162">
        <w:t>DXd</w:t>
      </w:r>
      <w:proofErr w:type="spellEnd"/>
      <w:r w:rsidRPr="00904162">
        <w:t xml:space="preserve"> arm was 20.0 months versus 14.7 months in the ICC arm (HR 0.66; 95% Cl: 0.57, 0.77; nominal p-value &lt;0.0001). These results can cautiously be interpreted as reassuring in that patients treated with T-</w:t>
      </w:r>
      <w:proofErr w:type="spellStart"/>
      <w:r w:rsidRPr="00904162">
        <w:t>DXd</w:t>
      </w:r>
      <w:proofErr w:type="spellEnd"/>
      <w:r w:rsidRPr="00904162">
        <w:t xml:space="preserve"> appeared to have a longer time to second progression on further-line therapy, and</w:t>
      </w:r>
      <w:r w:rsidR="0042389B" w:rsidRPr="00904162">
        <w:t>,</w:t>
      </w:r>
      <w:r w:rsidRPr="00904162">
        <w:t xml:space="preserve"> </w:t>
      </w:r>
      <w:r w:rsidR="0042389B" w:rsidRPr="00904162">
        <w:t xml:space="preserve">therefore, </w:t>
      </w:r>
      <w:r w:rsidRPr="00904162">
        <w:t xml:space="preserve">it would be expected </w:t>
      </w:r>
      <w:r w:rsidR="0042389B" w:rsidRPr="00904162">
        <w:t xml:space="preserve">that </w:t>
      </w:r>
      <w:r w:rsidRPr="00904162">
        <w:t xml:space="preserve">there would not be a significant detriment to OS. However, these conclusions are </w:t>
      </w:r>
      <w:r w:rsidRPr="00904162">
        <w:lastRenderedPageBreak/>
        <w:t xml:space="preserve">based on a descriptive </w:t>
      </w:r>
      <w:proofErr w:type="gramStart"/>
      <w:r w:rsidRPr="00904162">
        <w:t>analysis</w:t>
      </w:r>
      <w:proofErr w:type="gramEnd"/>
      <w:r w:rsidRPr="00904162">
        <w:t xml:space="preserve"> and more mature OS data are required to assess any relative treatment effect on OS.</w:t>
      </w:r>
    </w:p>
    <w:p w14:paraId="0D084C57" w14:textId="3D19B72E" w:rsidR="0081525E" w:rsidRPr="00904162" w:rsidRDefault="0081525E" w:rsidP="008241B5">
      <w:pPr>
        <w:pStyle w:val="3-BodyText"/>
      </w:pPr>
      <w:r w:rsidRPr="00904162">
        <w:t>Confirmed</w:t>
      </w:r>
      <w:r w:rsidRPr="00904162">
        <w:rPr>
          <w:rStyle w:val="FootnoteReference"/>
        </w:rPr>
        <w:footnoteReference w:id="21"/>
      </w:r>
      <w:r w:rsidRPr="00904162">
        <w:t xml:space="preserve"> ORR by BICR in the ITT population (DCO March 2024) was 57.3% in the T-</w:t>
      </w:r>
      <w:proofErr w:type="spellStart"/>
      <w:r w:rsidRPr="00904162">
        <w:t>DXd</w:t>
      </w:r>
      <w:proofErr w:type="spellEnd"/>
      <w:r w:rsidRPr="00904162">
        <w:t xml:space="preserve"> arm and 31.2% in the ICC arm (DB-06 IA1 CSR). These results were consistent with those observed in the HER2-low and HER2-ultralow subgroups.</w:t>
      </w:r>
    </w:p>
    <w:p w14:paraId="12656453" w14:textId="4A4E1AB1" w:rsidR="0081525E" w:rsidRPr="00904162" w:rsidRDefault="0081525E" w:rsidP="008241B5">
      <w:pPr>
        <w:pStyle w:val="3-BodyText"/>
      </w:pPr>
      <w:r w:rsidRPr="00904162">
        <w:t xml:space="preserve">The median </w:t>
      </w:r>
      <w:r w:rsidR="0042389B" w:rsidRPr="00904162">
        <w:t>duration of response (</w:t>
      </w:r>
      <w:proofErr w:type="spellStart"/>
      <w:r w:rsidRPr="00904162">
        <w:t>DoR</w:t>
      </w:r>
      <w:proofErr w:type="spellEnd"/>
      <w:r w:rsidR="0042389B" w:rsidRPr="00904162">
        <w:t>)</w:t>
      </w:r>
      <w:r w:rsidRPr="00904162">
        <w:t xml:space="preserve"> by BICR in the ITT population (DCO March 2024) was 13.7 months in the T-</w:t>
      </w:r>
      <w:proofErr w:type="spellStart"/>
      <w:r w:rsidRPr="00904162">
        <w:t>DXd</w:t>
      </w:r>
      <w:proofErr w:type="spellEnd"/>
      <w:r w:rsidRPr="00904162">
        <w:t xml:space="preserve"> arm versus 7.3 months in the ICC arm (DB-06 IA1 CSR). These results were consistent with those observed in the HER2-low and HER2-ultralow subgroups.</w:t>
      </w:r>
    </w:p>
    <w:p w14:paraId="56C678E7" w14:textId="0F6E0AC5" w:rsidR="0081525E" w:rsidRPr="00904162" w:rsidRDefault="0081525E" w:rsidP="008241B5">
      <w:pPr>
        <w:pStyle w:val="3-BodyText"/>
      </w:pPr>
      <w:r w:rsidRPr="00904162">
        <w:t xml:space="preserve">PROs relating to QoL were measured using the change from baseline in European Organisation for the Research and Treatment of Cancer Quality of Life Questionnaire (EORTC QLQ-C30) and the breast cancer specific module EORTC QLQ-BR45. </w:t>
      </w:r>
      <w:r w:rsidR="00C12799" w:rsidRPr="00904162">
        <w:t>Overall, there was no clear improvement in QoL between the T-</w:t>
      </w:r>
      <w:proofErr w:type="spellStart"/>
      <w:r w:rsidR="00C12799" w:rsidRPr="00904162">
        <w:t>DXd</w:t>
      </w:r>
      <w:proofErr w:type="spellEnd"/>
      <w:r w:rsidR="00C12799" w:rsidRPr="00904162">
        <w:t xml:space="preserve"> and ICC arms</w:t>
      </w:r>
      <w:r w:rsidR="00F06984" w:rsidRPr="00904162">
        <w:t xml:space="preserve"> despite the open-label nature of the DB-06 study design.</w:t>
      </w:r>
      <w:r w:rsidR="00C12799" w:rsidRPr="00904162">
        <w:t xml:space="preserve"> The Guideline on the Clinical Evaluation of Anticancer Medicinal Products (EMA/CHMP/205/95 Rev.6) advises that where PFS is used as the primary outcome measure, and there is no significant difference in OS, that there should be some additional benefit to quality of life</w:t>
      </w:r>
      <w:r w:rsidR="00F06984" w:rsidRPr="00904162">
        <w:t xml:space="preserve"> (Submission PM-2024-04768-1-4 Clinical Evaluation Report for ENHERTU)</w:t>
      </w:r>
      <w:r w:rsidR="00C12799" w:rsidRPr="00904162">
        <w:t>.</w:t>
      </w:r>
    </w:p>
    <w:p w14:paraId="36C65F6D" w14:textId="6D489846" w:rsidR="0081525E" w:rsidRPr="00904162" w:rsidRDefault="0081525E" w:rsidP="008241B5">
      <w:pPr>
        <w:pStyle w:val="3-BodyText"/>
      </w:pPr>
      <w:r w:rsidRPr="00904162">
        <w:t xml:space="preserve">The mean change from baseline over time using a Mixed Model for Repeated Measures (MMRM) showed no differences between treatment arms in the EORTC QLQ-C30 </w:t>
      </w:r>
      <w:r w:rsidR="00246A8F" w:rsidRPr="00904162">
        <w:t>Global Health Status (</w:t>
      </w:r>
      <w:r w:rsidRPr="00904162">
        <w:t>GHS</w:t>
      </w:r>
      <w:r w:rsidR="00246A8F" w:rsidRPr="00904162">
        <w:t>)</w:t>
      </w:r>
      <w:r w:rsidRPr="00904162">
        <w:t xml:space="preserve">/QoL </w:t>
      </w:r>
      <w:r w:rsidR="00246A8F" w:rsidRPr="00904162">
        <w:t xml:space="preserve">and </w:t>
      </w:r>
      <w:r w:rsidRPr="00904162">
        <w:t>functional scales and EORTC QLQ-BR45 functional scales.</w:t>
      </w:r>
      <w:r w:rsidR="003628EC">
        <w:t xml:space="preserve"> </w:t>
      </w:r>
      <w:r w:rsidRPr="00904162">
        <w:t>There were higher scores for nausea and constipation in the T-</w:t>
      </w:r>
      <w:proofErr w:type="spellStart"/>
      <w:r w:rsidRPr="00904162">
        <w:t>DXd</w:t>
      </w:r>
      <w:proofErr w:type="spellEnd"/>
      <w:r w:rsidRPr="00904162">
        <w:t xml:space="preserve"> arm compared to the ICC arm, which for nausea and vomiting was considered clinically meaningful (TGA Submission PM-2024-04768-1-4 Clinical Evaluation Report for ENHERTU, </w:t>
      </w:r>
      <w:proofErr w:type="gramStart"/>
      <w:r w:rsidRPr="00904162">
        <w:t>Round</w:t>
      </w:r>
      <w:proofErr w:type="gramEnd"/>
      <w:r w:rsidRPr="00904162">
        <w:t xml:space="preserve"> 2). However, arm, breast, and endocrine symptoms decreased with T-</w:t>
      </w:r>
      <w:proofErr w:type="spellStart"/>
      <w:r w:rsidRPr="00904162">
        <w:t>DXd</w:t>
      </w:r>
      <w:proofErr w:type="spellEnd"/>
      <w:r w:rsidRPr="00904162">
        <w:t xml:space="preserve"> arm relative to ICC</w:t>
      </w:r>
      <w:r w:rsidR="00C12799" w:rsidRPr="00904162">
        <w:t>.</w:t>
      </w:r>
      <w:r w:rsidR="00095024">
        <w:t xml:space="preserve"> </w:t>
      </w:r>
      <w:r w:rsidR="00095024" w:rsidRPr="00B13CE3">
        <w:rPr>
          <w:iCs/>
        </w:rPr>
        <w:t xml:space="preserve">The </w:t>
      </w:r>
      <w:r w:rsidR="00D85B8B" w:rsidRPr="00B13CE3">
        <w:rPr>
          <w:iCs/>
        </w:rPr>
        <w:t>Sub-Committees</w:t>
      </w:r>
      <w:r w:rsidR="006E34F6" w:rsidRPr="00B13CE3">
        <w:rPr>
          <w:iCs/>
        </w:rPr>
        <w:t xml:space="preserve"> </w:t>
      </w:r>
      <w:r w:rsidR="00095024" w:rsidRPr="00B13CE3">
        <w:rPr>
          <w:iCs/>
        </w:rPr>
        <w:t>also noted consumer input indicated that nausea and vomiting were relevant considerations for patients and that they could be hard to control for some patients.</w:t>
      </w:r>
      <w:r w:rsidR="008241B5">
        <w:t xml:space="preserve"> </w:t>
      </w:r>
    </w:p>
    <w:p w14:paraId="7347AD30" w14:textId="6B4A43AF" w:rsidR="0081525E" w:rsidRPr="00904162" w:rsidRDefault="0081525E" w:rsidP="008241B5">
      <w:pPr>
        <w:pStyle w:val="3-BodyText"/>
      </w:pPr>
      <w:r w:rsidRPr="00904162">
        <w:t>For time to deterioration in EORTC QLQ-C30, except for GHS/QoL which were comparable between the two treatment arms (10.3 months for T-</w:t>
      </w:r>
      <w:proofErr w:type="spellStart"/>
      <w:r w:rsidRPr="00904162">
        <w:t>DXd</w:t>
      </w:r>
      <w:proofErr w:type="spellEnd"/>
      <w:r w:rsidRPr="00904162">
        <w:t xml:space="preserve"> compared to 9.9</w:t>
      </w:r>
      <w:r w:rsidR="00246A8F" w:rsidRPr="00904162">
        <w:t> </w:t>
      </w:r>
      <w:r w:rsidRPr="00904162">
        <w:t>months for ICC), median times to deterioration for physical functioning, role functioning and pain were longer in the T-</w:t>
      </w:r>
      <w:proofErr w:type="spellStart"/>
      <w:r w:rsidRPr="00904162">
        <w:t>DXd</w:t>
      </w:r>
      <w:proofErr w:type="spellEnd"/>
      <w:r w:rsidRPr="00904162">
        <w:t xml:space="preserve"> arm than in the ICC arm (18.0 compared to 9.9 months, 9.8 compared to 4.3 months, and 21.4 compared to 6.1 months, for physical functioning, role functioning and pain, respectively).</w:t>
      </w:r>
    </w:p>
    <w:p w14:paraId="1FCC0D6A" w14:textId="50839C49" w:rsidR="0081525E" w:rsidRPr="00904162" w:rsidRDefault="0081525E" w:rsidP="008241B5">
      <w:pPr>
        <w:pStyle w:val="3-BodyText"/>
      </w:pPr>
      <w:r w:rsidRPr="00904162">
        <w:t>Interpretation of these outcomes is limited primarily by the open</w:t>
      </w:r>
      <w:r w:rsidR="00246A8F" w:rsidRPr="00904162">
        <w:t>-</w:t>
      </w:r>
      <w:r w:rsidRPr="00904162">
        <w:t>label nature of the trial and compliance rates. Overall, there was no clear improvement in QoL with T</w:t>
      </w:r>
      <w:r w:rsidR="004F4247">
        <w:noBreakHyphen/>
      </w:r>
      <w:proofErr w:type="spellStart"/>
      <w:r w:rsidRPr="00904162">
        <w:t>DXd</w:t>
      </w:r>
      <w:proofErr w:type="spellEnd"/>
      <w:r w:rsidRPr="00904162">
        <w:t xml:space="preserve"> over ICC.</w:t>
      </w:r>
    </w:p>
    <w:p w14:paraId="722B6276" w14:textId="77777777" w:rsidR="0081525E" w:rsidRPr="00A3126F" w:rsidRDefault="0081525E" w:rsidP="008241B5">
      <w:pPr>
        <w:pStyle w:val="3-BodyText"/>
        <w:numPr>
          <w:ilvl w:val="0"/>
          <w:numId w:val="0"/>
        </w:numPr>
        <w:ind w:left="720"/>
        <w:rPr>
          <w:rStyle w:val="CommentReference"/>
          <w:b w:val="0"/>
        </w:rPr>
      </w:pPr>
    </w:p>
    <w:p w14:paraId="056D4999" w14:textId="77777777" w:rsidR="0081525E" w:rsidRPr="0098262F" w:rsidRDefault="0081525E" w:rsidP="008241B5">
      <w:pPr>
        <w:pStyle w:val="4-SubsectionHeading"/>
      </w:pPr>
      <w:bookmarkStart w:id="30" w:name="_Toc22897642"/>
      <w:bookmarkStart w:id="31" w:name="_Toc202884176"/>
      <w:bookmarkStart w:id="32" w:name="_Toc219893553"/>
      <w:r w:rsidRPr="0098262F">
        <w:lastRenderedPageBreak/>
        <w:t>Comparative harms</w:t>
      </w:r>
      <w:bookmarkEnd w:id="30"/>
      <w:bookmarkEnd w:id="31"/>
      <w:bookmarkEnd w:id="32"/>
    </w:p>
    <w:p w14:paraId="4CAD2874" w14:textId="690C5CE0" w:rsidR="0081525E" w:rsidRPr="00904162" w:rsidRDefault="008464FE" w:rsidP="008241B5">
      <w:pPr>
        <w:pStyle w:val="3-BodyText"/>
      </w:pPr>
      <w:r w:rsidRPr="00904162">
        <w:t>Adverse events (</w:t>
      </w:r>
      <w:r w:rsidR="0081525E" w:rsidRPr="00904162">
        <w:t>AEs</w:t>
      </w:r>
      <w:r w:rsidRPr="00904162">
        <w:t>)</w:t>
      </w:r>
      <w:r w:rsidR="0081525E" w:rsidRPr="00904162">
        <w:t xml:space="preserve"> by category in the safety analysis population (SAF) </w:t>
      </w:r>
      <w:r w:rsidRPr="00904162">
        <w:t>at</w:t>
      </w:r>
      <w:r w:rsidR="0081525E" w:rsidRPr="00904162">
        <w:t xml:space="preserve"> the </w:t>
      </w:r>
      <w:r w:rsidRPr="00904162">
        <w:t>DCO for IA2 (</w:t>
      </w:r>
      <w:r w:rsidR="0081525E" w:rsidRPr="00904162">
        <w:t>March 2025</w:t>
      </w:r>
      <w:r w:rsidRPr="00904162">
        <w:t>)</w:t>
      </w:r>
      <w:r w:rsidR="0081525E" w:rsidRPr="00904162">
        <w:t xml:space="preserve"> are presented in </w:t>
      </w:r>
      <w:r w:rsidR="0081525E" w:rsidRPr="00904162">
        <w:fldChar w:fldCharType="begin"/>
      </w:r>
      <w:r w:rsidR="0081525E" w:rsidRPr="00904162">
        <w:instrText xml:space="preserve"> REF _Ref218523228 \h  \* MERGEFORMAT </w:instrText>
      </w:r>
      <w:r w:rsidR="0081525E" w:rsidRPr="00904162">
        <w:fldChar w:fldCharType="separate"/>
      </w:r>
      <w:r w:rsidR="005D3E29" w:rsidRPr="004B63D7">
        <w:t xml:space="preserve">Table </w:t>
      </w:r>
      <w:r w:rsidR="005D3E29">
        <w:rPr>
          <w:noProof/>
        </w:rPr>
        <w:t>8</w:t>
      </w:r>
      <w:r w:rsidR="0081525E" w:rsidRPr="00904162">
        <w:fldChar w:fldCharType="end"/>
      </w:r>
      <w:r w:rsidR="0081525E" w:rsidRPr="00904162">
        <w:t xml:space="preserve">. </w:t>
      </w:r>
    </w:p>
    <w:p w14:paraId="57DEBE27" w14:textId="4A364F7A" w:rsidR="0081525E" w:rsidRPr="004B63D7" w:rsidRDefault="0081525E" w:rsidP="008241B5">
      <w:pPr>
        <w:pStyle w:val="Caption"/>
      </w:pPr>
      <w:bookmarkStart w:id="33" w:name="_Ref218523228"/>
      <w:r w:rsidRPr="004B63D7">
        <w:t xml:space="preserve">Table </w:t>
      </w:r>
      <w:fldSimple w:instr=" SEQ Table \* ARABIC ">
        <w:r w:rsidR="005D3E29">
          <w:rPr>
            <w:noProof/>
          </w:rPr>
          <w:t>8</w:t>
        </w:r>
      </w:fldSimple>
      <w:bookmarkEnd w:id="33"/>
      <w:r w:rsidRPr="004B63D7">
        <w:t xml:space="preserve">: AEs by </w:t>
      </w:r>
      <w:r w:rsidR="00246A8F" w:rsidRPr="004B63D7">
        <w:t>c</w:t>
      </w:r>
      <w:r w:rsidRPr="004B63D7">
        <w:t>ategory in the SAF population DB-06 Trial (DCO March 2025)</w:t>
      </w:r>
    </w:p>
    <w:tbl>
      <w:tblPr>
        <w:tblStyle w:val="TableGrid"/>
        <w:tblW w:w="5000" w:type="pct"/>
        <w:tblLook w:val="04A0" w:firstRow="1" w:lastRow="0" w:firstColumn="1" w:lastColumn="0" w:noHBand="0" w:noVBand="1"/>
        <w:tblCaption w:val="Table 8: AEs by category in the SAF population DB-06 Trial (DCO March 2025)"/>
      </w:tblPr>
      <w:tblGrid>
        <w:gridCol w:w="5950"/>
        <w:gridCol w:w="1558"/>
        <w:gridCol w:w="1509"/>
      </w:tblGrid>
      <w:tr w:rsidR="0081525E" w:rsidRPr="004B63D7" w14:paraId="2813AABF" w14:textId="77777777" w:rsidTr="00246A8F">
        <w:trPr>
          <w:cantSplit/>
          <w:trHeight w:val="588"/>
        </w:trPr>
        <w:tc>
          <w:tcPr>
            <w:tcW w:w="3299" w:type="pct"/>
          </w:tcPr>
          <w:p w14:paraId="697B55C0" w14:textId="63473C5B" w:rsidR="0081525E" w:rsidRPr="004B63D7" w:rsidRDefault="0081525E" w:rsidP="008241B5">
            <w:pPr>
              <w:pStyle w:val="Tabletext"/>
              <w:keepNext/>
              <w:rPr>
                <w:rFonts w:eastAsiaTheme="majorEastAsia"/>
                <w:b/>
                <w:bCs/>
                <w:lang w:bidi="en-US"/>
              </w:rPr>
            </w:pPr>
            <w:r w:rsidRPr="004B63D7">
              <w:rPr>
                <w:rFonts w:eastAsiaTheme="majorEastAsia"/>
                <w:b/>
                <w:bCs/>
                <w:lang w:bidi="en-US"/>
              </w:rPr>
              <w:t xml:space="preserve">AE </w:t>
            </w:r>
            <w:r w:rsidR="00246A8F" w:rsidRPr="004B63D7">
              <w:rPr>
                <w:rFonts w:eastAsiaTheme="majorEastAsia"/>
                <w:b/>
                <w:bCs/>
                <w:lang w:bidi="en-US"/>
              </w:rPr>
              <w:t>c</w:t>
            </w:r>
            <w:r w:rsidRPr="004B63D7">
              <w:rPr>
                <w:rFonts w:eastAsiaTheme="majorEastAsia"/>
                <w:b/>
                <w:bCs/>
                <w:lang w:bidi="en-US"/>
              </w:rPr>
              <w:t>ategory</w:t>
            </w:r>
          </w:p>
        </w:tc>
        <w:tc>
          <w:tcPr>
            <w:tcW w:w="864" w:type="pct"/>
          </w:tcPr>
          <w:p w14:paraId="3B9591E6" w14:textId="7C3774E6" w:rsidR="0081525E" w:rsidRPr="004B63D7" w:rsidRDefault="0081525E" w:rsidP="008241B5">
            <w:pPr>
              <w:pStyle w:val="Tabletext"/>
              <w:keepNext/>
              <w:jc w:val="center"/>
              <w:rPr>
                <w:rFonts w:eastAsiaTheme="majorEastAsia"/>
                <w:b/>
                <w:bCs/>
                <w:lang w:bidi="en-US"/>
              </w:rPr>
            </w:pPr>
            <w:r w:rsidRPr="004B63D7">
              <w:rPr>
                <w:rFonts w:eastAsiaTheme="majorEastAsia"/>
                <w:b/>
                <w:bCs/>
                <w:lang w:bidi="en-US"/>
              </w:rPr>
              <w:t>T-</w:t>
            </w:r>
            <w:proofErr w:type="spellStart"/>
            <w:r w:rsidRPr="004B63D7">
              <w:rPr>
                <w:rFonts w:eastAsiaTheme="majorEastAsia"/>
                <w:b/>
                <w:bCs/>
                <w:lang w:bidi="en-US"/>
              </w:rPr>
              <w:t>DXd</w:t>
            </w:r>
            <w:proofErr w:type="spellEnd"/>
          </w:p>
          <w:p w14:paraId="740AF4A6" w14:textId="33873773" w:rsidR="0081525E" w:rsidRPr="004B63D7" w:rsidRDefault="00246A8F" w:rsidP="008241B5">
            <w:pPr>
              <w:pStyle w:val="Tabletext"/>
              <w:keepNext/>
              <w:jc w:val="center"/>
              <w:rPr>
                <w:rFonts w:eastAsiaTheme="majorEastAsia"/>
                <w:b/>
                <w:bCs/>
                <w:lang w:bidi="en-US"/>
              </w:rPr>
            </w:pPr>
            <w:r w:rsidRPr="004B63D7">
              <w:rPr>
                <w:rFonts w:eastAsiaTheme="majorEastAsia"/>
                <w:b/>
                <w:bCs/>
                <w:lang w:bidi="en-US"/>
              </w:rPr>
              <w:t>(</w:t>
            </w:r>
            <w:r w:rsidR="0081525E" w:rsidRPr="004B63D7">
              <w:rPr>
                <w:rFonts w:eastAsiaTheme="majorEastAsia"/>
                <w:b/>
                <w:bCs/>
                <w:lang w:bidi="en-US"/>
              </w:rPr>
              <w:t>N=434</w:t>
            </w:r>
            <w:r w:rsidRPr="004B63D7">
              <w:rPr>
                <w:rFonts w:eastAsiaTheme="majorEastAsia"/>
                <w:b/>
                <w:bCs/>
                <w:lang w:bidi="en-US"/>
              </w:rPr>
              <w:t>)</w:t>
            </w:r>
          </w:p>
          <w:p w14:paraId="63588B2C" w14:textId="77777777" w:rsidR="0081525E" w:rsidRPr="004B63D7" w:rsidRDefault="0081525E" w:rsidP="008241B5">
            <w:pPr>
              <w:pStyle w:val="Tabletext"/>
              <w:keepNext/>
              <w:jc w:val="center"/>
              <w:rPr>
                <w:rFonts w:eastAsiaTheme="majorEastAsia"/>
                <w:b/>
                <w:bCs/>
                <w:lang w:bidi="en-US"/>
              </w:rPr>
            </w:pPr>
            <w:r w:rsidRPr="004B63D7">
              <w:rPr>
                <w:rFonts w:eastAsiaTheme="majorEastAsia"/>
                <w:lang w:bidi="en-US"/>
              </w:rPr>
              <w:t>n (%)</w:t>
            </w:r>
          </w:p>
        </w:tc>
        <w:tc>
          <w:tcPr>
            <w:tcW w:w="837" w:type="pct"/>
          </w:tcPr>
          <w:p w14:paraId="56E01563" w14:textId="77777777" w:rsidR="0081525E" w:rsidRPr="004B63D7" w:rsidRDefault="0081525E" w:rsidP="008241B5">
            <w:pPr>
              <w:pStyle w:val="Tabletext"/>
              <w:keepNext/>
              <w:jc w:val="center"/>
              <w:rPr>
                <w:rFonts w:eastAsiaTheme="majorEastAsia"/>
                <w:b/>
                <w:bCs/>
                <w:lang w:bidi="en-US"/>
              </w:rPr>
            </w:pPr>
            <w:r w:rsidRPr="004B63D7">
              <w:rPr>
                <w:rFonts w:eastAsiaTheme="majorEastAsia"/>
                <w:b/>
                <w:bCs/>
                <w:lang w:bidi="en-US"/>
              </w:rPr>
              <w:t>ICC</w:t>
            </w:r>
          </w:p>
          <w:p w14:paraId="6DA16136" w14:textId="690C7139" w:rsidR="0081525E" w:rsidRPr="004B63D7" w:rsidRDefault="00246A8F" w:rsidP="008241B5">
            <w:pPr>
              <w:pStyle w:val="Tabletext"/>
              <w:keepNext/>
              <w:jc w:val="center"/>
              <w:rPr>
                <w:rFonts w:eastAsiaTheme="majorEastAsia"/>
                <w:b/>
                <w:bCs/>
                <w:lang w:bidi="en-US"/>
              </w:rPr>
            </w:pPr>
            <w:r w:rsidRPr="004B63D7">
              <w:rPr>
                <w:rFonts w:eastAsiaTheme="majorEastAsia"/>
                <w:b/>
                <w:bCs/>
                <w:lang w:bidi="en-US"/>
              </w:rPr>
              <w:t>(</w:t>
            </w:r>
            <w:r w:rsidR="0081525E" w:rsidRPr="004B63D7">
              <w:rPr>
                <w:rFonts w:eastAsiaTheme="majorEastAsia"/>
                <w:b/>
                <w:bCs/>
                <w:lang w:bidi="en-US"/>
              </w:rPr>
              <w:t>N=417</w:t>
            </w:r>
            <w:r w:rsidRPr="004B63D7">
              <w:rPr>
                <w:rFonts w:eastAsiaTheme="majorEastAsia"/>
                <w:b/>
                <w:bCs/>
                <w:lang w:bidi="en-US"/>
              </w:rPr>
              <w:t>)</w:t>
            </w:r>
          </w:p>
          <w:p w14:paraId="631B442F" w14:textId="77777777" w:rsidR="0081525E" w:rsidRPr="004B63D7" w:rsidRDefault="0081525E" w:rsidP="008241B5">
            <w:pPr>
              <w:pStyle w:val="Tabletext"/>
              <w:keepNext/>
              <w:jc w:val="center"/>
              <w:rPr>
                <w:rFonts w:eastAsiaTheme="majorEastAsia"/>
                <w:b/>
                <w:bCs/>
                <w:lang w:bidi="en-US"/>
              </w:rPr>
            </w:pPr>
            <w:r w:rsidRPr="004B63D7">
              <w:rPr>
                <w:rFonts w:eastAsiaTheme="majorEastAsia"/>
                <w:lang w:bidi="en-US"/>
              </w:rPr>
              <w:t>n (%)</w:t>
            </w:r>
          </w:p>
        </w:tc>
      </w:tr>
      <w:tr w:rsidR="0081525E" w:rsidRPr="004B63D7" w14:paraId="66A285B5" w14:textId="77777777" w:rsidTr="00246A8F">
        <w:trPr>
          <w:cantSplit/>
          <w:trHeight w:val="269"/>
        </w:trPr>
        <w:tc>
          <w:tcPr>
            <w:tcW w:w="3299" w:type="pct"/>
          </w:tcPr>
          <w:p w14:paraId="158A3BE7" w14:textId="77777777" w:rsidR="0081525E" w:rsidRPr="004B63D7" w:rsidRDefault="0081525E" w:rsidP="008241B5">
            <w:pPr>
              <w:pStyle w:val="Tabletext"/>
              <w:keepNext/>
              <w:rPr>
                <w:rFonts w:eastAsiaTheme="majorEastAsia"/>
                <w:lang w:bidi="en-US"/>
              </w:rPr>
            </w:pPr>
            <w:r w:rsidRPr="004B63D7">
              <w:rPr>
                <w:rFonts w:eastAsiaTheme="majorEastAsia"/>
                <w:lang w:bidi="en-US"/>
              </w:rPr>
              <w:t xml:space="preserve">any AE </w:t>
            </w:r>
          </w:p>
        </w:tc>
        <w:tc>
          <w:tcPr>
            <w:tcW w:w="864" w:type="pct"/>
          </w:tcPr>
          <w:p w14:paraId="7328D093"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429 (98.8)</w:t>
            </w:r>
          </w:p>
        </w:tc>
        <w:tc>
          <w:tcPr>
            <w:tcW w:w="837" w:type="pct"/>
          </w:tcPr>
          <w:p w14:paraId="7FD6986D"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397 (95.2)</w:t>
            </w:r>
          </w:p>
        </w:tc>
      </w:tr>
      <w:tr w:rsidR="0081525E" w:rsidRPr="004B63D7" w14:paraId="61A90269" w14:textId="77777777" w:rsidTr="00246A8F">
        <w:trPr>
          <w:cantSplit/>
          <w:trHeight w:val="272"/>
        </w:trPr>
        <w:tc>
          <w:tcPr>
            <w:tcW w:w="3299" w:type="pct"/>
          </w:tcPr>
          <w:p w14:paraId="03F05131" w14:textId="77777777" w:rsidR="0081525E" w:rsidRPr="004B63D7" w:rsidRDefault="0081525E" w:rsidP="008241B5">
            <w:pPr>
              <w:pStyle w:val="Tabletext"/>
              <w:keepNext/>
              <w:rPr>
                <w:rFonts w:eastAsiaTheme="majorEastAsia"/>
                <w:lang w:bidi="en-US"/>
              </w:rPr>
            </w:pPr>
            <w:r w:rsidRPr="004B63D7">
              <w:rPr>
                <w:rFonts w:eastAsiaTheme="majorEastAsia"/>
                <w:lang w:bidi="en-US"/>
              </w:rPr>
              <w:t>any AE possibly related to treatment</w:t>
            </w:r>
          </w:p>
        </w:tc>
        <w:tc>
          <w:tcPr>
            <w:tcW w:w="864" w:type="pct"/>
          </w:tcPr>
          <w:p w14:paraId="35676F83"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417 (96.1)</w:t>
            </w:r>
          </w:p>
        </w:tc>
        <w:tc>
          <w:tcPr>
            <w:tcW w:w="837" w:type="pct"/>
          </w:tcPr>
          <w:p w14:paraId="5C2DBC98"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373 (89.4)</w:t>
            </w:r>
          </w:p>
        </w:tc>
      </w:tr>
      <w:tr w:rsidR="0081525E" w:rsidRPr="004B63D7" w14:paraId="450EA51C" w14:textId="77777777" w:rsidTr="00246A8F">
        <w:trPr>
          <w:cantSplit/>
          <w:trHeight w:val="277"/>
        </w:trPr>
        <w:tc>
          <w:tcPr>
            <w:tcW w:w="3299" w:type="pct"/>
          </w:tcPr>
          <w:p w14:paraId="2BCE6544" w14:textId="77777777" w:rsidR="0081525E" w:rsidRPr="004B63D7" w:rsidRDefault="0081525E" w:rsidP="008241B5">
            <w:pPr>
              <w:pStyle w:val="Tabletext"/>
              <w:keepNext/>
              <w:rPr>
                <w:rFonts w:eastAsiaTheme="majorEastAsia"/>
                <w:lang w:bidi="en-US"/>
              </w:rPr>
            </w:pPr>
            <w:r w:rsidRPr="004B63D7">
              <w:rPr>
                <w:rFonts w:eastAsiaTheme="majorEastAsia"/>
                <w:lang w:bidi="en-US"/>
              </w:rPr>
              <w:t>any CTCAE Grade ≥ 3</w:t>
            </w:r>
          </w:p>
        </w:tc>
        <w:tc>
          <w:tcPr>
            <w:tcW w:w="864" w:type="pct"/>
          </w:tcPr>
          <w:p w14:paraId="280FA37E" w14:textId="46B11F91" w:rsidR="0081525E" w:rsidRPr="004B63D7" w:rsidRDefault="0081525E" w:rsidP="008241B5">
            <w:pPr>
              <w:pStyle w:val="Tabletext"/>
              <w:keepNext/>
              <w:jc w:val="center"/>
              <w:rPr>
                <w:rFonts w:eastAsiaTheme="majorEastAsia"/>
                <w:lang w:bidi="en-US"/>
              </w:rPr>
            </w:pPr>
            <w:r w:rsidRPr="004B63D7">
              <w:rPr>
                <w:rFonts w:eastAsiaTheme="majorEastAsia"/>
                <w:lang w:bidi="en-US"/>
              </w:rPr>
              <w:t>239 (55.1)</w:t>
            </w:r>
          </w:p>
        </w:tc>
        <w:tc>
          <w:tcPr>
            <w:tcW w:w="837" w:type="pct"/>
          </w:tcPr>
          <w:p w14:paraId="7AFFDEAE"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186 (44.6)</w:t>
            </w:r>
          </w:p>
        </w:tc>
      </w:tr>
      <w:tr w:rsidR="0081525E" w:rsidRPr="004B63D7" w14:paraId="3BEF573D" w14:textId="77777777" w:rsidTr="00246A8F">
        <w:trPr>
          <w:cantSplit/>
          <w:trHeight w:val="281"/>
        </w:trPr>
        <w:tc>
          <w:tcPr>
            <w:tcW w:w="3299" w:type="pct"/>
          </w:tcPr>
          <w:p w14:paraId="5DE0EC3A" w14:textId="77777777" w:rsidR="0081525E" w:rsidRPr="004B63D7" w:rsidRDefault="0081525E" w:rsidP="008241B5">
            <w:pPr>
              <w:pStyle w:val="Tabletext"/>
              <w:keepNext/>
              <w:rPr>
                <w:rFonts w:eastAsiaTheme="majorEastAsia"/>
                <w:lang w:bidi="en-US"/>
              </w:rPr>
            </w:pPr>
            <w:r w:rsidRPr="004B63D7">
              <w:rPr>
                <w:rFonts w:eastAsiaTheme="majorEastAsia"/>
                <w:lang w:bidi="en-US"/>
              </w:rPr>
              <w:t>any CTCAE Grade ≥ 3 possibly related to treatment</w:t>
            </w:r>
          </w:p>
        </w:tc>
        <w:tc>
          <w:tcPr>
            <w:tcW w:w="864" w:type="pct"/>
          </w:tcPr>
          <w:p w14:paraId="18D34ABC"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182 (41.9)</w:t>
            </w:r>
          </w:p>
        </w:tc>
        <w:tc>
          <w:tcPr>
            <w:tcW w:w="837" w:type="pct"/>
          </w:tcPr>
          <w:p w14:paraId="7CE6C3B8"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132 (31.7)</w:t>
            </w:r>
          </w:p>
        </w:tc>
      </w:tr>
      <w:tr w:rsidR="0081525E" w:rsidRPr="004B63D7" w14:paraId="4A418CE0" w14:textId="77777777" w:rsidTr="00246A8F">
        <w:trPr>
          <w:cantSplit/>
          <w:trHeight w:val="257"/>
        </w:trPr>
        <w:tc>
          <w:tcPr>
            <w:tcW w:w="3299" w:type="pct"/>
          </w:tcPr>
          <w:p w14:paraId="67F2A07D" w14:textId="77777777" w:rsidR="0081525E" w:rsidRPr="004B63D7" w:rsidRDefault="0081525E" w:rsidP="008241B5">
            <w:pPr>
              <w:pStyle w:val="Tabletext"/>
              <w:keepNext/>
              <w:rPr>
                <w:rFonts w:eastAsiaTheme="majorEastAsia"/>
                <w:lang w:bidi="en-US"/>
              </w:rPr>
            </w:pPr>
            <w:r w:rsidRPr="004B63D7">
              <w:rPr>
                <w:rFonts w:eastAsiaTheme="majorEastAsia"/>
                <w:lang w:bidi="en-US"/>
              </w:rPr>
              <w:t>any AE with outcome = death</w:t>
            </w:r>
          </w:p>
        </w:tc>
        <w:tc>
          <w:tcPr>
            <w:tcW w:w="864" w:type="pct"/>
          </w:tcPr>
          <w:p w14:paraId="6203D9BD"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11 (2.5)</w:t>
            </w:r>
          </w:p>
        </w:tc>
        <w:tc>
          <w:tcPr>
            <w:tcW w:w="837" w:type="pct"/>
          </w:tcPr>
          <w:p w14:paraId="48C50AF1"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6 (1.4)</w:t>
            </w:r>
          </w:p>
        </w:tc>
      </w:tr>
      <w:tr w:rsidR="0081525E" w:rsidRPr="004B63D7" w14:paraId="102D46B8" w14:textId="77777777" w:rsidTr="00246A8F">
        <w:trPr>
          <w:cantSplit/>
          <w:trHeight w:val="50"/>
        </w:trPr>
        <w:tc>
          <w:tcPr>
            <w:tcW w:w="3299" w:type="pct"/>
          </w:tcPr>
          <w:p w14:paraId="4FC65899" w14:textId="77777777" w:rsidR="0081525E" w:rsidRPr="004B63D7" w:rsidRDefault="0081525E" w:rsidP="008241B5">
            <w:pPr>
              <w:pStyle w:val="Tabletext"/>
              <w:keepNext/>
              <w:rPr>
                <w:rFonts w:eastAsiaTheme="majorEastAsia"/>
                <w:lang w:bidi="en-US"/>
              </w:rPr>
            </w:pPr>
            <w:r w:rsidRPr="004B63D7">
              <w:rPr>
                <w:rFonts w:eastAsiaTheme="majorEastAsia"/>
                <w:lang w:bidi="en-US"/>
              </w:rPr>
              <w:t>any AE with outcome = death, possibly related to treatment</w:t>
            </w:r>
          </w:p>
        </w:tc>
        <w:tc>
          <w:tcPr>
            <w:tcW w:w="864" w:type="pct"/>
          </w:tcPr>
          <w:p w14:paraId="0741BCA7"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5 (1.2)</w:t>
            </w:r>
          </w:p>
        </w:tc>
        <w:tc>
          <w:tcPr>
            <w:tcW w:w="837" w:type="pct"/>
          </w:tcPr>
          <w:p w14:paraId="7FEF08B0"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0 (0.0)</w:t>
            </w:r>
          </w:p>
        </w:tc>
      </w:tr>
      <w:tr w:rsidR="0081525E" w:rsidRPr="004B63D7" w14:paraId="05E2B415" w14:textId="77777777" w:rsidTr="00246A8F">
        <w:trPr>
          <w:cantSplit/>
          <w:trHeight w:val="50"/>
        </w:trPr>
        <w:tc>
          <w:tcPr>
            <w:tcW w:w="3299" w:type="pct"/>
          </w:tcPr>
          <w:p w14:paraId="33FEC135" w14:textId="77777777" w:rsidR="0081525E" w:rsidRPr="004B63D7" w:rsidRDefault="0081525E" w:rsidP="008241B5">
            <w:pPr>
              <w:pStyle w:val="Tabletext"/>
              <w:keepNext/>
              <w:rPr>
                <w:rFonts w:eastAsiaTheme="majorEastAsia"/>
                <w:lang w:bidi="en-US"/>
              </w:rPr>
            </w:pPr>
            <w:r w:rsidRPr="004B63D7">
              <w:rPr>
                <w:rFonts w:eastAsiaTheme="majorEastAsia"/>
                <w:lang w:bidi="en-US"/>
              </w:rPr>
              <w:t>any SAE (includes AE with outcome = death)</w:t>
            </w:r>
          </w:p>
        </w:tc>
        <w:tc>
          <w:tcPr>
            <w:tcW w:w="864" w:type="pct"/>
          </w:tcPr>
          <w:p w14:paraId="4F46E937"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90 (20.7)</w:t>
            </w:r>
          </w:p>
        </w:tc>
        <w:tc>
          <w:tcPr>
            <w:tcW w:w="837" w:type="pct"/>
          </w:tcPr>
          <w:p w14:paraId="6E6DD073"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67 (16.1)</w:t>
            </w:r>
          </w:p>
        </w:tc>
      </w:tr>
      <w:tr w:rsidR="0081525E" w:rsidRPr="004B63D7" w14:paraId="710274E7" w14:textId="77777777" w:rsidTr="00246A8F">
        <w:trPr>
          <w:cantSplit/>
          <w:trHeight w:val="50"/>
        </w:trPr>
        <w:tc>
          <w:tcPr>
            <w:tcW w:w="3299" w:type="pct"/>
          </w:tcPr>
          <w:p w14:paraId="6523371C" w14:textId="77777777" w:rsidR="0081525E" w:rsidRPr="004B63D7" w:rsidRDefault="0081525E" w:rsidP="008241B5">
            <w:pPr>
              <w:pStyle w:val="Tabletext"/>
              <w:keepNext/>
              <w:rPr>
                <w:rFonts w:eastAsiaTheme="majorEastAsia"/>
                <w:lang w:bidi="en-US"/>
              </w:rPr>
            </w:pPr>
            <w:r w:rsidRPr="004B63D7">
              <w:rPr>
                <w:rFonts w:eastAsiaTheme="majorEastAsia"/>
                <w:lang w:bidi="en-US"/>
              </w:rPr>
              <w:t>any SAE (includes AE with outcome = death), possibly related to treatment</w:t>
            </w:r>
          </w:p>
        </w:tc>
        <w:tc>
          <w:tcPr>
            <w:tcW w:w="864" w:type="pct"/>
          </w:tcPr>
          <w:p w14:paraId="130610D4"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47 (10.8)</w:t>
            </w:r>
          </w:p>
        </w:tc>
        <w:tc>
          <w:tcPr>
            <w:tcW w:w="837" w:type="pct"/>
          </w:tcPr>
          <w:p w14:paraId="6AC05ED1"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24 (5.8)</w:t>
            </w:r>
          </w:p>
        </w:tc>
      </w:tr>
      <w:tr w:rsidR="0081525E" w:rsidRPr="004B63D7" w14:paraId="5F8FE5A9" w14:textId="77777777" w:rsidTr="00246A8F">
        <w:trPr>
          <w:cantSplit/>
          <w:trHeight w:val="50"/>
        </w:trPr>
        <w:tc>
          <w:tcPr>
            <w:tcW w:w="3299" w:type="pct"/>
          </w:tcPr>
          <w:p w14:paraId="064BC13A" w14:textId="77777777" w:rsidR="0081525E" w:rsidRPr="004B63D7" w:rsidRDefault="0081525E" w:rsidP="008241B5">
            <w:pPr>
              <w:pStyle w:val="Tabletext"/>
              <w:keepNext/>
              <w:rPr>
                <w:rFonts w:eastAsiaTheme="majorEastAsia"/>
                <w:lang w:bidi="en-US"/>
              </w:rPr>
            </w:pPr>
            <w:r w:rsidRPr="004B63D7">
              <w:rPr>
                <w:rFonts w:eastAsiaTheme="majorEastAsia"/>
                <w:lang w:bidi="en-US"/>
              </w:rPr>
              <w:t>AE leading to discontinuation of study treatment, possibly related to treatment</w:t>
            </w:r>
          </w:p>
        </w:tc>
        <w:tc>
          <w:tcPr>
            <w:tcW w:w="864" w:type="pct"/>
          </w:tcPr>
          <w:p w14:paraId="23407290"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64 (14.7)</w:t>
            </w:r>
          </w:p>
        </w:tc>
        <w:tc>
          <w:tcPr>
            <w:tcW w:w="837" w:type="pct"/>
          </w:tcPr>
          <w:p w14:paraId="7A77C365" w14:textId="77777777" w:rsidR="0081525E" w:rsidRPr="004B63D7" w:rsidRDefault="0081525E" w:rsidP="008241B5">
            <w:pPr>
              <w:pStyle w:val="Tabletext"/>
              <w:keepNext/>
              <w:jc w:val="center"/>
              <w:rPr>
                <w:rFonts w:eastAsiaTheme="majorEastAsia"/>
                <w:lang w:bidi="en-US"/>
              </w:rPr>
            </w:pPr>
            <w:r w:rsidRPr="004B63D7">
              <w:rPr>
                <w:rFonts w:eastAsiaTheme="majorEastAsia"/>
                <w:lang w:bidi="en-US"/>
              </w:rPr>
              <w:t>35 (8.4)</w:t>
            </w:r>
          </w:p>
        </w:tc>
      </w:tr>
    </w:tbl>
    <w:p w14:paraId="2E6A7ADC" w14:textId="286367D8" w:rsidR="0081525E" w:rsidRPr="004B63D7" w:rsidRDefault="0081525E" w:rsidP="008241B5">
      <w:pPr>
        <w:pStyle w:val="TableFooter"/>
      </w:pPr>
      <w:r w:rsidRPr="004B63D7">
        <w:t>Source: Table 10, p53 of the DB-06 IA2 Clinical Study Report (DC</w:t>
      </w:r>
      <w:r w:rsidR="00246A8F" w:rsidRPr="004B63D7">
        <w:t xml:space="preserve">O </w:t>
      </w:r>
      <w:r w:rsidRPr="004B63D7">
        <w:t>March 2025)</w:t>
      </w:r>
    </w:p>
    <w:p w14:paraId="45F80411" w14:textId="476AA327" w:rsidR="0081525E" w:rsidRPr="004B63D7" w:rsidRDefault="0081525E" w:rsidP="008241B5">
      <w:pPr>
        <w:pStyle w:val="TableFooter"/>
      </w:pPr>
      <w:r w:rsidRPr="004B63D7">
        <w:t xml:space="preserve">AE = adverse event, CTCAE = </w:t>
      </w:r>
      <w:r w:rsidR="008464FE" w:rsidRPr="004B63D7">
        <w:t>Common Terminology Criteria Adverse Event</w:t>
      </w:r>
      <w:r w:rsidRPr="004B63D7">
        <w:t xml:space="preserve">, ICC = </w:t>
      </w:r>
      <w:r w:rsidR="00D21370" w:rsidRPr="004B63D7">
        <w:t>investigator’s choice of chemotherapy</w:t>
      </w:r>
      <w:r w:rsidRPr="004B63D7">
        <w:t>; SAE =</w:t>
      </w:r>
      <w:r w:rsidR="008241B5">
        <w:t xml:space="preserve"> </w:t>
      </w:r>
      <w:r w:rsidRPr="004B63D7">
        <w:t>serious adverse event; SAF = safety analysis set; T-</w:t>
      </w:r>
      <w:proofErr w:type="spellStart"/>
      <w:r w:rsidRPr="004B63D7">
        <w:t>DXd</w:t>
      </w:r>
      <w:proofErr w:type="spellEnd"/>
      <w:r w:rsidRPr="004B63D7">
        <w:t xml:space="preserve"> = </w:t>
      </w:r>
      <w:r w:rsidR="003B544E" w:rsidRPr="004B63D7">
        <w:t>t</w:t>
      </w:r>
      <w:r w:rsidRPr="004B63D7">
        <w:t>rastuzumab deruxtecan</w:t>
      </w:r>
    </w:p>
    <w:p w14:paraId="56C0D837" w14:textId="1C32CABA" w:rsidR="0081525E" w:rsidRPr="00DB7BD1" w:rsidRDefault="0081525E" w:rsidP="008241B5">
      <w:pPr>
        <w:pStyle w:val="3-BodyText"/>
      </w:pPr>
      <w:r w:rsidRPr="00904162">
        <w:t>The frequency of AEs was generally higher at the more recent DCO of March 2025 compared with the DCO of March 2024 (Table 2-26, p98 of the submission). Most patients in the T-</w:t>
      </w:r>
      <w:proofErr w:type="spellStart"/>
      <w:r w:rsidRPr="00904162">
        <w:t>DXd</w:t>
      </w:r>
      <w:proofErr w:type="spellEnd"/>
      <w:r w:rsidRPr="00904162">
        <w:t xml:space="preserve"> and ICC arms experienced at least one AE (98.8% vs. 95.2%). Approximately half of the patients had Grade 1 or 2 AEs. In the T-</w:t>
      </w:r>
      <w:proofErr w:type="spellStart"/>
      <w:r w:rsidRPr="00904162">
        <w:t>DXd</w:t>
      </w:r>
      <w:proofErr w:type="spellEnd"/>
      <w:r w:rsidRPr="00904162">
        <w:t xml:space="preserve"> arm, 55.1% of patients experienced a </w:t>
      </w:r>
      <w:r w:rsidR="008464FE" w:rsidRPr="00904162">
        <w:t>C</w:t>
      </w:r>
      <w:r w:rsidRPr="00904162">
        <w:t xml:space="preserve">ommon </w:t>
      </w:r>
      <w:r w:rsidR="008464FE" w:rsidRPr="00904162">
        <w:t>T</w:t>
      </w:r>
      <w:r w:rsidRPr="00904162">
        <w:t xml:space="preserve">erminology </w:t>
      </w:r>
      <w:r w:rsidR="008464FE" w:rsidRPr="00904162">
        <w:t>C</w:t>
      </w:r>
      <w:r w:rsidRPr="00904162">
        <w:t xml:space="preserve">riteria </w:t>
      </w:r>
      <w:r w:rsidR="008464FE" w:rsidRPr="00904162">
        <w:t>A</w:t>
      </w:r>
      <w:r w:rsidRPr="00904162">
        <w:t xml:space="preserve">dverse </w:t>
      </w:r>
      <w:r w:rsidR="008464FE" w:rsidRPr="00904162">
        <w:t>E</w:t>
      </w:r>
      <w:r w:rsidRPr="00904162">
        <w:t xml:space="preserve">vent (CTCAE) of Grade ≥3 AEs, compared with 44.6% in the ICC arm. The frequency of any serious </w:t>
      </w:r>
      <w:r w:rsidR="008464FE" w:rsidRPr="00904162">
        <w:t>adverse events (</w:t>
      </w:r>
      <w:r w:rsidRPr="00904162">
        <w:t>SAE</w:t>
      </w:r>
      <w:r w:rsidR="008464FE" w:rsidRPr="00904162">
        <w:t>s</w:t>
      </w:r>
      <w:r w:rsidRPr="00904162">
        <w:t>) including death that was possibly related to treatment was almost two-fold in the T-</w:t>
      </w:r>
      <w:proofErr w:type="spellStart"/>
      <w:r w:rsidRPr="00904162">
        <w:t>DXd</w:t>
      </w:r>
      <w:proofErr w:type="spellEnd"/>
      <w:r w:rsidRPr="00904162">
        <w:t xml:space="preserve"> arm compared with the ICC arm (10.8% vs. 5.8%). The percentage of patients with an AE leading to discontinuation of study treatment, which were possibly related to treatment, was also higher in the T-</w:t>
      </w:r>
      <w:proofErr w:type="spellStart"/>
      <w:r w:rsidRPr="00904162">
        <w:t>DXd</w:t>
      </w:r>
      <w:proofErr w:type="spellEnd"/>
      <w:r w:rsidRPr="00904162">
        <w:t xml:space="preserve"> arm compared to the ICC arm (14.7% vs. 8.4%).</w:t>
      </w:r>
      <w:r w:rsidR="00DB7BD1">
        <w:t xml:space="preserve"> </w:t>
      </w:r>
    </w:p>
    <w:p w14:paraId="446918D0" w14:textId="3A25ED94" w:rsidR="0081525E" w:rsidRPr="00904162" w:rsidRDefault="00A34270" w:rsidP="008241B5">
      <w:pPr>
        <w:pStyle w:val="3-BodyText"/>
      </w:pPr>
      <w:r>
        <w:fldChar w:fldCharType="begin"/>
      </w:r>
      <w:r>
        <w:instrText xml:space="preserve"> REF _Ref218523719 \h </w:instrText>
      </w:r>
      <w:r>
        <w:fldChar w:fldCharType="separate"/>
      </w:r>
      <w:r w:rsidR="005D3E29">
        <w:t xml:space="preserve">Table </w:t>
      </w:r>
      <w:r w:rsidR="005D3E29">
        <w:rPr>
          <w:noProof/>
        </w:rPr>
        <w:t>9</w:t>
      </w:r>
      <w:r>
        <w:fldChar w:fldCharType="end"/>
      </w:r>
      <w:r>
        <w:t xml:space="preserve"> </w:t>
      </w:r>
      <w:r w:rsidR="0081525E" w:rsidRPr="00904162">
        <w:t xml:space="preserve">summarises treatment-related AEs reported in at least 10% of patients in either treatment arm (non-exhaustive), by </w:t>
      </w:r>
      <w:r w:rsidR="005B048B" w:rsidRPr="00904162">
        <w:t>p</w:t>
      </w:r>
      <w:r w:rsidR="0081525E" w:rsidRPr="00904162">
        <w:t xml:space="preserve">referred </w:t>
      </w:r>
      <w:r w:rsidR="005B048B" w:rsidRPr="00904162">
        <w:t>t</w:t>
      </w:r>
      <w:r w:rsidR="0081525E" w:rsidRPr="00904162">
        <w:t>erm, in the DB-06 SAF population</w:t>
      </w:r>
      <w:r w:rsidR="005B048B" w:rsidRPr="00904162">
        <w:t xml:space="preserve"> at DCO March 2024</w:t>
      </w:r>
      <w:r w:rsidR="0081525E" w:rsidRPr="00904162">
        <w:t xml:space="preserve">. </w:t>
      </w:r>
    </w:p>
    <w:p w14:paraId="0EE9B71C" w14:textId="3A5FFD07" w:rsidR="0081525E" w:rsidRPr="00F06897" w:rsidRDefault="0081525E" w:rsidP="008241B5">
      <w:pPr>
        <w:pStyle w:val="Caption"/>
      </w:pPr>
      <w:bookmarkStart w:id="34" w:name="_Ref218523719"/>
      <w:r>
        <w:lastRenderedPageBreak/>
        <w:t xml:space="preserve">Table </w:t>
      </w:r>
      <w:fldSimple w:instr=" SEQ Table \* ARABIC ">
        <w:r w:rsidR="005D3E29">
          <w:rPr>
            <w:noProof/>
          </w:rPr>
          <w:t>9</w:t>
        </w:r>
      </w:fldSimple>
      <w:bookmarkEnd w:id="34"/>
      <w:r>
        <w:t xml:space="preserve">: </w:t>
      </w:r>
      <w:r w:rsidRPr="00F06897">
        <w:t xml:space="preserve">Summary of </w:t>
      </w:r>
      <w:r>
        <w:t xml:space="preserve">treatment-related </w:t>
      </w:r>
      <w:r w:rsidRPr="00F06897">
        <w:t>AEs reported in at least 10% of patients in either treatment arm</w:t>
      </w:r>
      <w:r>
        <w:t xml:space="preserve"> </w:t>
      </w:r>
      <w:r w:rsidRPr="004F2017">
        <w:t>(non-exhaustive)</w:t>
      </w:r>
      <w:r w:rsidRPr="00F06897">
        <w:t xml:space="preserve">, by </w:t>
      </w:r>
      <w:r w:rsidR="005B048B">
        <w:t>p</w:t>
      </w:r>
      <w:r w:rsidRPr="00F06897">
        <w:t xml:space="preserve">referred </w:t>
      </w:r>
      <w:r w:rsidR="005B048B">
        <w:t>t</w:t>
      </w:r>
      <w:r w:rsidRPr="00F06897">
        <w:t xml:space="preserve">erm, in the SAF population </w:t>
      </w:r>
      <w:r>
        <w:t>of the DB-06</w:t>
      </w:r>
      <w:r w:rsidRPr="00F06897">
        <w:t xml:space="preserve"> </w:t>
      </w:r>
      <w:r w:rsidR="005B048B">
        <w:t>t</w:t>
      </w:r>
      <w:r w:rsidRPr="00F06897">
        <w:t>rial</w:t>
      </w:r>
      <w:r w:rsidR="005B048B">
        <w:t xml:space="preserve"> (DCO March 2024)</w:t>
      </w:r>
    </w:p>
    <w:tbl>
      <w:tblPr>
        <w:tblStyle w:val="TableGrid"/>
        <w:tblW w:w="9067" w:type="dxa"/>
        <w:tblLook w:val="04A0" w:firstRow="1" w:lastRow="0" w:firstColumn="1" w:lastColumn="0" w:noHBand="0" w:noVBand="1"/>
        <w:tblCaption w:val="Table 9: Summary of treatment-related AEs reported in at least 10% of patients in either treatment arm (non-exhaustive), by preferred term, in the SAF population of the DB-06 trial (DCO March 2024)"/>
      </w:tblPr>
      <w:tblGrid>
        <w:gridCol w:w="3964"/>
        <w:gridCol w:w="2268"/>
        <w:gridCol w:w="2835"/>
      </w:tblGrid>
      <w:tr w:rsidR="0081525E" w:rsidRPr="00F06897" w14:paraId="5A30430E" w14:textId="77777777" w:rsidTr="005B048B">
        <w:trPr>
          <w:cantSplit/>
        </w:trPr>
        <w:tc>
          <w:tcPr>
            <w:tcW w:w="3964" w:type="dxa"/>
          </w:tcPr>
          <w:p w14:paraId="372274F4" w14:textId="77777777" w:rsidR="0081525E" w:rsidRPr="00AB38B0" w:rsidRDefault="0081525E" w:rsidP="008241B5">
            <w:pPr>
              <w:pStyle w:val="Tabletext"/>
              <w:keepNext/>
              <w:rPr>
                <w:rFonts w:eastAsiaTheme="majorEastAsia"/>
                <w:b/>
                <w:bCs/>
                <w:lang w:bidi="en-US"/>
              </w:rPr>
            </w:pPr>
            <w:r w:rsidRPr="00AB38B0">
              <w:rPr>
                <w:rFonts w:eastAsiaTheme="majorEastAsia"/>
                <w:b/>
                <w:bCs/>
                <w:lang w:bidi="en-US"/>
              </w:rPr>
              <w:t xml:space="preserve">AE Preferred Term </w:t>
            </w:r>
          </w:p>
        </w:tc>
        <w:tc>
          <w:tcPr>
            <w:tcW w:w="2268" w:type="dxa"/>
          </w:tcPr>
          <w:p w14:paraId="3FED8EEE" w14:textId="62B8EE8E" w:rsidR="0081525E" w:rsidRPr="00AB38B0" w:rsidRDefault="0081525E" w:rsidP="008241B5">
            <w:pPr>
              <w:pStyle w:val="Tabletext"/>
              <w:keepNext/>
              <w:jc w:val="center"/>
              <w:rPr>
                <w:rFonts w:eastAsiaTheme="majorEastAsia"/>
                <w:b/>
                <w:bCs/>
                <w:lang w:bidi="en-US"/>
              </w:rPr>
            </w:pPr>
            <w:r w:rsidRPr="00AB38B0">
              <w:rPr>
                <w:rFonts w:eastAsiaTheme="majorEastAsia"/>
                <w:b/>
                <w:bCs/>
                <w:lang w:bidi="en-US"/>
              </w:rPr>
              <w:t>T-</w:t>
            </w:r>
            <w:proofErr w:type="spellStart"/>
            <w:r w:rsidRPr="00AB38B0">
              <w:rPr>
                <w:rFonts w:eastAsiaTheme="majorEastAsia"/>
                <w:b/>
                <w:bCs/>
                <w:lang w:bidi="en-US"/>
              </w:rPr>
              <w:t>DXd</w:t>
            </w:r>
            <w:proofErr w:type="spellEnd"/>
          </w:p>
          <w:p w14:paraId="17911595" w14:textId="4AFD1BB2" w:rsidR="0081525E" w:rsidRDefault="005B048B" w:rsidP="008241B5">
            <w:pPr>
              <w:pStyle w:val="Tabletext"/>
              <w:keepNext/>
              <w:jc w:val="center"/>
              <w:rPr>
                <w:rFonts w:eastAsiaTheme="majorEastAsia"/>
                <w:b/>
                <w:bCs/>
                <w:lang w:bidi="en-US"/>
              </w:rPr>
            </w:pPr>
            <w:r>
              <w:rPr>
                <w:rFonts w:eastAsiaTheme="majorEastAsia"/>
                <w:b/>
                <w:bCs/>
                <w:lang w:bidi="en-US"/>
              </w:rPr>
              <w:t>(</w:t>
            </w:r>
            <w:r w:rsidR="0081525E" w:rsidRPr="00AB38B0">
              <w:rPr>
                <w:rFonts w:eastAsiaTheme="majorEastAsia"/>
                <w:b/>
                <w:bCs/>
                <w:lang w:bidi="en-US"/>
              </w:rPr>
              <w:t>N=434</w:t>
            </w:r>
            <w:r>
              <w:rPr>
                <w:rFonts w:eastAsiaTheme="majorEastAsia"/>
                <w:b/>
                <w:bCs/>
                <w:lang w:bidi="en-US"/>
              </w:rPr>
              <w:t>)</w:t>
            </w:r>
          </w:p>
          <w:p w14:paraId="33F5B5CB" w14:textId="77777777" w:rsidR="0081525E" w:rsidRPr="00AB38B0" w:rsidRDefault="0081525E" w:rsidP="008241B5">
            <w:pPr>
              <w:pStyle w:val="Tabletext"/>
              <w:keepNext/>
              <w:jc w:val="center"/>
              <w:rPr>
                <w:rFonts w:eastAsiaTheme="majorEastAsia"/>
                <w:b/>
                <w:bCs/>
                <w:lang w:bidi="en-US"/>
              </w:rPr>
            </w:pPr>
            <w:r w:rsidRPr="00AB38B0">
              <w:rPr>
                <w:rFonts w:eastAsiaTheme="majorEastAsia"/>
                <w:b/>
                <w:bCs/>
                <w:lang w:bidi="en-US"/>
              </w:rPr>
              <w:t>n (%)</w:t>
            </w:r>
          </w:p>
        </w:tc>
        <w:tc>
          <w:tcPr>
            <w:tcW w:w="2835" w:type="dxa"/>
          </w:tcPr>
          <w:p w14:paraId="744BFD37" w14:textId="77777777" w:rsidR="0081525E" w:rsidRPr="00AB38B0" w:rsidRDefault="0081525E" w:rsidP="008241B5">
            <w:pPr>
              <w:pStyle w:val="Tabletext"/>
              <w:keepNext/>
              <w:jc w:val="center"/>
              <w:rPr>
                <w:rFonts w:eastAsiaTheme="majorEastAsia"/>
                <w:b/>
                <w:bCs/>
                <w:lang w:bidi="en-US"/>
              </w:rPr>
            </w:pPr>
            <w:r>
              <w:rPr>
                <w:rFonts w:eastAsiaTheme="majorEastAsia"/>
                <w:b/>
                <w:bCs/>
                <w:lang w:bidi="en-US"/>
              </w:rPr>
              <w:t>ICC</w:t>
            </w:r>
          </w:p>
          <w:p w14:paraId="223E2A55" w14:textId="67FCD638" w:rsidR="0081525E" w:rsidRDefault="005B048B" w:rsidP="008241B5">
            <w:pPr>
              <w:pStyle w:val="Tabletext"/>
              <w:keepNext/>
              <w:jc w:val="center"/>
              <w:rPr>
                <w:rFonts w:eastAsiaTheme="majorEastAsia"/>
                <w:b/>
                <w:bCs/>
                <w:lang w:bidi="en-US"/>
              </w:rPr>
            </w:pPr>
            <w:r>
              <w:rPr>
                <w:rFonts w:eastAsiaTheme="majorEastAsia"/>
                <w:b/>
                <w:bCs/>
                <w:lang w:bidi="en-US"/>
              </w:rPr>
              <w:t>(</w:t>
            </w:r>
            <w:r w:rsidR="0081525E" w:rsidRPr="00AB38B0">
              <w:rPr>
                <w:rFonts w:eastAsiaTheme="majorEastAsia"/>
                <w:b/>
                <w:bCs/>
                <w:lang w:bidi="en-US"/>
              </w:rPr>
              <w:t>N=417</w:t>
            </w:r>
            <w:r>
              <w:rPr>
                <w:rFonts w:eastAsiaTheme="majorEastAsia"/>
                <w:b/>
                <w:bCs/>
                <w:lang w:bidi="en-US"/>
              </w:rPr>
              <w:t>)</w:t>
            </w:r>
          </w:p>
          <w:p w14:paraId="45EAC264" w14:textId="77777777" w:rsidR="0081525E" w:rsidRPr="00AB38B0" w:rsidRDefault="0081525E" w:rsidP="008241B5">
            <w:pPr>
              <w:pStyle w:val="Tabletext"/>
              <w:keepNext/>
              <w:jc w:val="center"/>
              <w:rPr>
                <w:rFonts w:eastAsiaTheme="majorEastAsia"/>
                <w:b/>
                <w:bCs/>
                <w:lang w:bidi="en-US"/>
              </w:rPr>
            </w:pPr>
            <w:r w:rsidRPr="00AB38B0">
              <w:rPr>
                <w:rFonts w:eastAsiaTheme="majorEastAsia"/>
                <w:b/>
                <w:bCs/>
                <w:lang w:bidi="en-US"/>
              </w:rPr>
              <w:t>n (%)</w:t>
            </w:r>
          </w:p>
        </w:tc>
      </w:tr>
      <w:tr w:rsidR="0081525E" w:rsidRPr="00F06897" w14:paraId="4CF3D53B" w14:textId="77777777" w:rsidTr="005B048B">
        <w:trPr>
          <w:cantSplit/>
        </w:trPr>
        <w:tc>
          <w:tcPr>
            <w:tcW w:w="3964" w:type="dxa"/>
          </w:tcPr>
          <w:p w14:paraId="088949EE" w14:textId="77777777" w:rsidR="0081525E" w:rsidRPr="00F06897" w:rsidRDefault="0081525E" w:rsidP="008241B5">
            <w:pPr>
              <w:pStyle w:val="Tabletext"/>
              <w:keepNext/>
              <w:rPr>
                <w:rFonts w:eastAsiaTheme="majorEastAsia"/>
                <w:lang w:bidi="en-US"/>
              </w:rPr>
            </w:pPr>
            <w:r w:rsidRPr="00F06897">
              <w:rPr>
                <w:rFonts w:eastAsiaTheme="majorEastAsia"/>
                <w:lang w:bidi="en-US"/>
              </w:rPr>
              <w:t>Nausea</w:t>
            </w:r>
          </w:p>
        </w:tc>
        <w:tc>
          <w:tcPr>
            <w:tcW w:w="2268" w:type="dxa"/>
          </w:tcPr>
          <w:p w14:paraId="15E5DAC6"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286 (65.9)</w:t>
            </w:r>
          </w:p>
        </w:tc>
        <w:tc>
          <w:tcPr>
            <w:tcW w:w="2835" w:type="dxa"/>
          </w:tcPr>
          <w:p w14:paraId="2E0690F5"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98 (23.5)</w:t>
            </w:r>
          </w:p>
        </w:tc>
      </w:tr>
      <w:tr w:rsidR="0081525E" w:rsidRPr="00F06897" w14:paraId="568360D9" w14:textId="77777777" w:rsidTr="005B048B">
        <w:trPr>
          <w:cantSplit/>
        </w:trPr>
        <w:tc>
          <w:tcPr>
            <w:tcW w:w="3964" w:type="dxa"/>
          </w:tcPr>
          <w:p w14:paraId="41480430" w14:textId="77777777" w:rsidR="0081525E" w:rsidRPr="00F06897" w:rsidRDefault="0081525E" w:rsidP="008241B5">
            <w:pPr>
              <w:pStyle w:val="Tabletext"/>
              <w:keepNext/>
              <w:rPr>
                <w:rFonts w:eastAsiaTheme="majorEastAsia"/>
                <w:lang w:bidi="en-US"/>
              </w:rPr>
            </w:pPr>
            <w:r w:rsidRPr="00F06897">
              <w:rPr>
                <w:rFonts w:eastAsiaTheme="majorEastAsia"/>
                <w:lang w:bidi="en-US"/>
              </w:rPr>
              <w:t>Alopecia</w:t>
            </w:r>
          </w:p>
        </w:tc>
        <w:tc>
          <w:tcPr>
            <w:tcW w:w="2268" w:type="dxa"/>
          </w:tcPr>
          <w:p w14:paraId="02D5716B"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197 (45.4)</w:t>
            </w:r>
          </w:p>
        </w:tc>
        <w:tc>
          <w:tcPr>
            <w:tcW w:w="2835" w:type="dxa"/>
          </w:tcPr>
          <w:p w14:paraId="516CD064"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81 (19.4)</w:t>
            </w:r>
          </w:p>
        </w:tc>
      </w:tr>
      <w:tr w:rsidR="0081525E" w:rsidRPr="00F06897" w14:paraId="207E77DB" w14:textId="77777777" w:rsidTr="005B048B">
        <w:trPr>
          <w:cantSplit/>
        </w:trPr>
        <w:tc>
          <w:tcPr>
            <w:tcW w:w="3964" w:type="dxa"/>
          </w:tcPr>
          <w:p w14:paraId="0927517B" w14:textId="77777777" w:rsidR="0081525E" w:rsidRPr="00F06897" w:rsidRDefault="0081525E" w:rsidP="008241B5">
            <w:pPr>
              <w:pStyle w:val="Tabletext"/>
              <w:keepNext/>
              <w:rPr>
                <w:rFonts w:eastAsiaTheme="majorEastAsia"/>
                <w:lang w:bidi="en-US"/>
              </w:rPr>
            </w:pPr>
            <w:r w:rsidRPr="00F06897">
              <w:rPr>
                <w:rFonts w:eastAsiaTheme="majorEastAsia"/>
                <w:lang w:bidi="en-US"/>
              </w:rPr>
              <w:t>Anaemia</w:t>
            </w:r>
          </w:p>
        </w:tc>
        <w:tc>
          <w:tcPr>
            <w:tcW w:w="2268" w:type="dxa"/>
          </w:tcPr>
          <w:p w14:paraId="446D9DB2"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118 (27.2)</w:t>
            </w:r>
          </w:p>
        </w:tc>
        <w:tc>
          <w:tcPr>
            <w:tcW w:w="2835" w:type="dxa"/>
          </w:tcPr>
          <w:p w14:paraId="3C47907A"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78 (18.7)</w:t>
            </w:r>
          </w:p>
        </w:tc>
      </w:tr>
      <w:tr w:rsidR="0081525E" w:rsidRPr="00F06897" w14:paraId="30DDF137" w14:textId="77777777" w:rsidTr="005B048B">
        <w:trPr>
          <w:cantSplit/>
        </w:trPr>
        <w:tc>
          <w:tcPr>
            <w:tcW w:w="3964" w:type="dxa"/>
          </w:tcPr>
          <w:p w14:paraId="2EC8D6BD" w14:textId="77777777" w:rsidR="0081525E" w:rsidRPr="00F06897" w:rsidRDefault="0081525E" w:rsidP="008241B5">
            <w:pPr>
              <w:pStyle w:val="Tabletext"/>
              <w:keepNext/>
              <w:rPr>
                <w:rFonts w:eastAsiaTheme="majorEastAsia"/>
                <w:lang w:bidi="en-US"/>
              </w:rPr>
            </w:pPr>
            <w:r w:rsidRPr="00F06897">
              <w:rPr>
                <w:rFonts w:eastAsiaTheme="majorEastAsia"/>
                <w:lang w:bidi="en-US"/>
              </w:rPr>
              <w:t>Vomiting</w:t>
            </w:r>
          </w:p>
        </w:tc>
        <w:tc>
          <w:tcPr>
            <w:tcW w:w="2268" w:type="dxa"/>
          </w:tcPr>
          <w:p w14:paraId="69E2E3C1"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118 (27.2)</w:t>
            </w:r>
          </w:p>
        </w:tc>
        <w:tc>
          <w:tcPr>
            <w:tcW w:w="2835" w:type="dxa"/>
          </w:tcPr>
          <w:p w14:paraId="40484DD0"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39 (9.4)</w:t>
            </w:r>
          </w:p>
        </w:tc>
      </w:tr>
      <w:tr w:rsidR="0081525E" w:rsidRPr="00F06897" w14:paraId="70B860D7" w14:textId="77777777" w:rsidTr="005B048B">
        <w:trPr>
          <w:cantSplit/>
        </w:trPr>
        <w:tc>
          <w:tcPr>
            <w:tcW w:w="3964" w:type="dxa"/>
          </w:tcPr>
          <w:p w14:paraId="4D7B9DDA" w14:textId="77777777" w:rsidR="0081525E" w:rsidRPr="00F06897" w:rsidRDefault="0081525E" w:rsidP="008241B5">
            <w:pPr>
              <w:pStyle w:val="Tabletext"/>
              <w:keepNext/>
              <w:rPr>
                <w:rFonts w:eastAsiaTheme="majorEastAsia"/>
                <w:lang w:bidi="en-US"/>
              </w:rPr>
            </w:pPr>
            <w:r w:rsidRPr="00F06897">
              <w:rPr>
                <w:rFonts w:eastAsiaTheme="majorEastAsia"/>
                <w:lang w:bidi="en-US"/>
              </w:rPr>
              <w:t>Fatigue</w:t>
            </w:r>
          </w:p>
        </w:tc>
        <w:tc>
          <w:tcPr>
            <w:tcW w:w="2268" w:type="dxa"/>
          </w:tcPr>
          <w:p w14:paraId="1A6389FE"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108 (24.9)</w:t>
            </w:r>
          </w:p>
        </w:tc>
        <w:tc>
          <w:tcPr>
            <w:tcW w:w="2835" w:type="dxa"/>
          </w:tcPr>
          <w:p w14:paraId="77B187EC"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73 (17.5)</w:t>
            </w:r>
          </w:p>
        </w:tc>
      </w:tr>
      <w:tr w:rsidR="0081525E" w:rsidRPr="00F06897" w14:paraId="14D548D3" w14:textId="77777777" w:rsidTr="005B048B">
        <w:trPr>
          <w:cantSplit/>
        </w:trPr>
        <w:tc>
          <w:tcPr>
            <w:tcW w:w="3964" w:type="dxa"/>
          </w:tcPr>
          <w:p w14:paraId="6C681EE6" w14:textId="77777777" w:rsidR="0081525E" w:rsidRPr="00F06897" w:rsidRDefault="0081525E" w:rsidP="008241B5">
            <w:pPr>
              <w:pStyle w:val="Tabletext"/>
              <w:keepNext/>
              <w:rPr>
                <w:rFonts w:eastAsiaTheme="majorEastAsia"/>
                <w:lang w:bidi="en-US"/>
              </w:rPr>
            </w:pPr>
            <w:r w:rsidRPr="00F06897">
              <w:rPr>
                <w:rFonts w:eastAsiaTheme="majorEastAsia"/>
                <w:lang w:bidi="en-US"/>
              </w:rPr>
              <w:t>Decreased appetite</w:t>
            </w:r>
          </w:p>
        </w:tc>
        <w:tc>
          <w:tcPr>
            <w:tcW w:w="2268" w:type="dxa"/>
          </w:tcPr>
          <w:p w14:paraId="71765510"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102 (23.5)</w:t>
            </w:r>
          </w:p>
        </w:tc>
        <w:tc>
          <w:tcPr>
            <w:tcW w:w="2835" w:type="dxa"/>
          </w:tcPr>
          <w:p w14:paraId="63AA3C39"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39 (9.4)</w:t>
            </w:r>
          </w:p>
        </w:tc>
      </w:tr>
      <w:tr w:rsidR="0081525E" w:rsidRPr="00F06897" w14:paraId="43F9D88D" w14:textId="77777777" w:rsidTr="005B048B">
        <w:trPr>
          <w:cantSplit/>
        </w:trPr>
        <w:tc>
          <w:tcPr>
            <w:tcW w:w="3964" w:type="dxa"/>
          </w:tcPr>
          <w:p w14:paraId="555792A1" w14:textId="77777777" w:rsidR="0081525E" w:rsidRPr="00F06897" w:rsidRDefault="0081525E" w:rsidP="008241B5">
            <w:pPr>
              <w:pStyle w:val="Tabletext"/>
              <w:keepNext/>
              <w:rPr>
                <w:rFonts w:eastAsiaTheme="majorEastAsia"/>
                <w:lang w:bidi="en-US"/>
              </w:rPr>
            </w:pPr>
            <w:r w:rsidRPr="00F06897">
              <w:rPr>
                <w:rFonts w:eastAsiaTheme="majorEastAsia"/>
                <w:lang w:bidi="en-US"/>
              </w:rPr>
              <w:t>Neutrophil count decreased</w:t>
            </w:r>
          </w:p>
        </w:tc>
        <w:tc>
          <w:tcPr>
            <w:tcW w:w="2268" w:type="dxa"/>
          </w:tcPr>
          <w:p w14:paraId="1BA10B60"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97 (22.4)</w:t>
            </w:r>
          </w:p>
        </w:tc>
        <w:tc>
          <w:tcPr>
            <w:tcW w:w="2835" w:type="dxa"/>
          </w:tcPr>
          <w:p w14:paraId="0C3E1009"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63 (15.1)</w:t>
            </w:r>
          </w:p>
        </w:tc>
      </w:tr>
      <w:tr w:rsidR="0081525E" w:rsidRPr="00F06897" w14:paraId="135342F9" w14:textId="77777777" w:rsidTr="005B048B">
        <w:trPr>
          <w:cantSplit/>
        </w:trPr>
        <w:tc>
          <w:tcPr>
            <w:tcW w:w="3964" w:type="dxa"/>
          </w:tcPr>
          <w:p w14:paraId="62F5644D" w14:textId="77777777" w:rsidR="0081525E" w:rsidRPr="00F06897" w:rsidRDefault="0081525E" w:rsidP="008241B5">
            <w:pPr>
              <w:pStyle w:val="Tabletext"/>
              <w:keepNext/>
              <w:rPr>
                <w:rFonts w:eastAsiaTheme="majorEastAsia"/>
                <w:lang w:bidi="en-US"/>
              </w:rPr>
            </w:pPr>
            <w:r w:rsidRPr="00F06897">
              <w:rPr>
                <w:rFonts w:eastAsiaTheme="majorEastAsia"/>
                <w:lang w:bidi="en-US"/>
              </w:rPr>
              <w:t>AST increased</w:t>
            </w:r>
          </w:p>
        </w:tc>
        <w:tc>
          <w:tcPr>
            <w:tcW w:w="2268" w:type="dxa"/>
          </w:tcPr>
          <w:p w14:paraId="7B15B7F5"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96 (22.1)</w:t>
            </w:r>
          </w:p>
        </w:tc>
        <w:tc>
          <w:tcPr>
            <w:tcW w:w="2835" w:type="dxa"/>
          </w:tcPr>
          <w:p w14:paraId="0B3F37FB"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35 (8.4)</w:t>
            </w:r>
          </w:p>
        </w:tc>
      </w:tr>
      <w:tr w:rsidR="0081525E" w:rsidRPr="00F06897" w14:paraId="0B875BBE" w14:textId="77777777" w:rsidTr="005B048B">
        <w:trPr>
          <w:cantSplit/>
        </w:trPr>
        <w:tc>
          <w:tcPr>
            <w:tcW w:w="3964" w:type="dxa"/>
          </w:tcPr>
          <w:p w14:paraId="7C3CF311" w14:textId="77777777" w:rsidR="0081525E" w:rsidRPr="00F06897" w:rsidRDefault="0081525E" w:rsidP="008241B5">
            <w:pPr>
              <w:pStyle w:val="Tabletext"/>
              <w:keepNext/>
              <w:rPr>
                <w:rFonts w:eastAsiaTheme="majorEastAsia"/>
                <w:lang w:bidi="en-US"/>
              </w:rPr>
            </w:pPr>
            <w:r w:rsidRPr="00F06897">
              <w:rPr>
                <w:rFonts w:eastAsiaTheme="majorEastAsia"/>
                <w:lang w:bidi="en-US"/>
              </w:rPr>
              <w:t>WBC count decreased</w:t>
            </w:r>
          </w:p>
        </w:tc>
        <w:tc>
          <w:tcPr>
            <w:tcW w:w="2268" w:type="dxa"/>
          </w:tcPr>
          <w:p w14:paraId="4945BE40"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75 (17.3)</w:t>
            </w:r>
          </w:p>
        </w:tc>
        <w:tc>
          <w:tcPr>
            <w:tcW w:w="2835" w:type="dxa"/>
          </w:tcPr>
          <w:p w14:paraId="13A06675"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48 (11.5)</w:t>
            </w:r>
          </w:p>
        </w:tc>
      </w:tr>
      <w:tr w:rsidR="0081525E" w:rsidRPr="00F06897" w14:paraId="60531424" w14:textId="77777777" w:rsidTr="005B048B">
        <w:trPr>
          <w:cantSplit/>
        </w:trPr>
        <w:tc>
          <w:tcPr>
            <w:tcW w:w="3964" w:type="dxa"/>
          </w:tcPr>
          <w:p w14:paraId="62D73534" w14:textId="77777777" w:rsidR="0081525E" w:rsidRPr="00F06897" w:rsidRDefault="0081525E" w:rsidP="008241B5">
            <w:pPr>
              <w:pStyle w:val="Tabletext"/>
              <w:keepNext/>
              <w:rPr>
                <w:rFonts w:eastAsiaTheme="majorEastAsia"/>
                <w:lang w:bidi="en-US"/>
              </w:rPr>
            </w:pPr>
            <w:r w:rsidRPr="00F06897">
              <w:rPr>
                <w:rFonts w:eastAsiaTheme="majorEastAsia"/>
                <w:lang w:bidi="en-US"/>
              </w:rPr>
              <w:t>ALT increased</w:t>
            </w:r>
          </w:p>
        </w:tc>
        <w:tc>
          <w:tcPr>
            <w:tcW w:w="2268" w:type="dxa"/>
          </w:tcPr>
          <w:p w14:paraId="7520FA08"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73 (16.8)</w:t>
            </w:r>
          </w:p>
        </w:tc>
        <w:tc>
          <w:tcPr>
            <w:tcW w:w="2835" w:type="dxa"/>
          </w:tcPr>
          <w:p w14:paraId="0D250590"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38 (9.1)</w:t>
            </w:r>
          </w:p>
        </w:tc>
      </w:tr>
      <w:tr w:rsidR="0081525E" w:rsidRPr="00F06897" w14:paraId="0673889C" w14:textId="77777777" w:rsidTr="005B048B">
        <w:trPr>
          <w:cantSplit/>
        </w:trPr>
        <w:tc>
          <w:tcPr>
            <w:tcW w:w="3964" w:type="dxa"/>
          </w:tcPr>
          <w:p w14:paraId="6E389712" w14:textId="77777777" w:rsidR="0081525E" w:rsidRPr="00F06897" w:rsidRDefault="0081525E" w:rsidP="008241B5">
            <w:pPr>
              <w:pStyle w:val="Tabletext"/>
              <w:keepNext/>
              <w:rPr>
                <w:rFonts w:eastAsiaTheme="majorEastAsia"/>
                <w:lang w:bidi="en-US"/>
              </w:rPr>
            </w:pPr>
            <w:r w:rsidRPr="00F06897">
              <w:rPr>
                <w:rFonts w:eastAsiaTheme="majorEastAsia"/>
                <w:lang w:bidi="en-US"/>
              </w:rPr>
              <w:t>Constipation</w:t>
            </w:r>
          </w:p>
        </w:tc>
        <w:tc>
          <w:tcPr>
            <w:tcW w:w="2268" w:type="dxa"/>
          </w:tcPr>
          <w:p w14:paraId="0C088042"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71 (16.4)</w:t>
            </w:r>
          </w:p>
        </w:tc>
        <w:tc>
          <w:tcPr>
            <w:tcW w:w="2835" w:type="dxa"/>
          </w:tcPr>
          <w:p w14:paraId="3D2D1B0D"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25 (6.0)</w:t>
            </w:r>
          </w:p>
        </w:tc>
      </w:tr>
      <w:tr w:rsidR="0081525E" w:rsidRPr="00F06897" w14:paraId="155866E8" w14:textId="77777777" w:rsidTr="005B048B">
        <w:trPr>
          <w:cantSplit/>
        </w:trPr>
        <w:tc>
          <w:tcPr>
            <w:tcW w:w="3964" w:type="dxa"/>
          </w:tcPr>
          <w:p w14:paraId="194C75B5" w14:textId="77777777" w:rsidR="0081525E" w:rsidRPr="00F06897" w:rsidRDefault="0081525E" w:rsidP="008241B5">
            <w:pPr>
              <w:pStyle w:val="Tabletext"/>
              <w:keepNext/>
              <w:rPr>
                <w:rFonts w:eastAsiaTheme="majorEastAsia"/>
                <w:lang w:bidi="en-US"/>
              </w:rPr>
            </w:pPr>
            <w:r w:rsidRPr="00F06897">
              <w:rPr>
                <w:rFonts w:eastAsiaTheme="majorEastAsia"/>
                <w:lang w:bidi="en-US"/>
              </w:rPr>
              <w:t>Platelet count decreased</w:t>
            </w:r>
          </w:p>
        </w:tc>
        <w:tc>
          <w:tcPr>
            <w:tcW w:w="2268" w:type="dxa"/>
          </w:tcPr>
          <w:p w14:paraId="254C5A9A"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56 (12.9)</w:t>
            </w:r>
          </w:p>
        </w:tc>
        <w:tc>
          <w:tcPr>
            <w:tcW w:w="2835" w:type="dxa"/>
          </w:tcPr>
          <w:p w14:paraId="7D3C821C"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11 (2.6)</w:t>
            </w:r>
          </w:p>
        </w:tc>
      </w:tr>
      <w:tr w:rsidR="0081525E" w:rsidRPr="00F06897" w14:paraId="7FE05F48" w14:textId="77777777" w:rsidTr="005B048B">
        <w:trPr>
          <w:cantSplit/>
        </w:trPr>
        <w:tc>
          <w:tcPr>
            <w:tcW w:w="3964" w:type="dxa"/>
          </w:tcPr>
          <w:p w14:paraId="7B709A22" w14:textId="77777777" w:rsidR="0081525E" w:rsidRPr="00F06897" w:rsidRDefault="0081525E" w:rsidP="008241B5">
            <w:pPr>
              <w:pStyle w:val="Tabletext"/>
              <w:keepNext/>
              <w:rPr>
                <w:rFonts w:eastAsiaTheme="majorEastAsia"/>
                <w:lang w:bidi="en-US"/>
              </w:rPr>
            </w:pPr>
            <w:r w:rsidRPr="00F06897">
              <w:rPr>
                <w:rFonts w:eastAsiaTheme="majorEastAsia"/>
                <w:lang w:bidi="en-US"/>
              </w:rPr>
              <w:t>Peripheral sensory neuropathy</w:t>
            </w:r>
          </w:p>
        </w:tc>
        <w:tc>
          <w:tcPr>
            <w:tcW w:w="2268" w:type="dxa"/>
          </w:tcPr>
          <w:p w14:paraId="29D611F9"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9 (2.1)</w:t>
            </w:r>
          </w:p>
        </w:tc>
        <w:tc>
          <w:tcPr>
            <w:tcW w:w="2835" w:type="dxa"/>
          </w:tcPr>
          <w:p w14:paraId="147C4E9B"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46 (11.0)</w:t>
            </w:r>
          </w:p>
        </w:tc>
      </w:tr>
      <w:tr w:rsidR="0081525E" w:rsidRPr="00F06897" w14:paraId="662CAF1B" w14:textId="77777777" w:rsidTr="005B048B">
        <w:trPr>
          <w:cantSplit/>
        </w:trPr>
        <w:tc>
          <w:tcPr>
            <w:tcW w:w="3964" w:type="dxa"/>
          </w:tcPr>
          <w:p w14:paraId="5DB4383A" w14:textId="77777777" w:rsidR="0081525E" w:rsidRPr="00F06897" w:rsidRDefault="0081525E" w:rsidP="008241B5">
            <w:pPr>
              <w:pStyle w:val="Tabletext"/>
              <w:keepNext/>
              <w:rPr>
                <w:rFonts w:eastAsiaTheme="majorEastAsia"/>
                <w:lang w:bidi="en-US"/>
              </w:rPr>
            </w:pPr>
            <w:r w:rsidRPr="00F06897">
              <w:rPr>
                <w:rFonts w:eastAsiaTheme="majorEastAsia"/>
                <w:lang w:bidi="en-US"/>
              </w:rPr>
              <w:t xml:space="preserve">Palmar-plantar </w:t>
            </w:r>
            <w:proofErr w:type="spellStart"/>
            <w:r w:rsidRPr="00F06897">
              <w:rPr>
                <w:rFonts w:eastAsiaTheme="majorEastAsia"/>
                <w:lang w:bidi="en-US"/>
              </w:rPr>
              <w:t>erythrodysaesthesia</w:t>
            </w:r>
            <w:proofErr w:type="spellEnd"/>
            <w:r w:rsidRPr="00F06897">
              <w:rPr>
                <w:rFonts w:eastAsiaTheme="majorEastAsia"/>
                <w:lang w:bidi="en-US"/>
              </w:rPr>
              <w:t xml:space="preserve"> syndrome</w:t>
            </w:r>
          </w:p>
        </w:tc>
        <w:tc>
          <w:tcPr>
            <w:tcW w:w="2268" w:type="dxa"/>
          </w:tcPr>
          <w:p w14:paraId="65DDF8A3"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2 (0.5)</w:t>
            </w:r>
          </w:p>
        </w:tc>
        <w:tc>
          <w:tcPr>
            <w:tcW w:w="2835" w:type="dxa"/>
          </w:tcPr>
          <w:p w14:paraId="0F9870D1" w14:textId="77777777" w:rsidR="0081525E" w:rsidRPr="00F06897" w:rsidRDefault="0081525E" w:rsidP="008241B5">
            <w:pPr>
              <w:pStyle w:val="Tabletext"/>
              <w:keepNext/>
              <w:jc w:val="center"/>
              <w:rPr>
                <w:rFonts w:eastAsiaTheme="majorEastAsia"/>
                <w:lang w:bidi="en-US"/>
              </w:rPr>
            </w:pPr>
            <w:r w:rsidRPr="00F06897">
              <w:rPr>
                <w:rFonts w:eastAsiaTheme="majorEastAsia"/>
                <w:lang w:bidi="en-US"/>
              </w:rPr>
              <w:t>135 (32.4)</w:t>
            </w:r>
          </w:p>
        </w:tc>
      </w:tr>
    </w:tbl>
    <w:p w14:paraId="5B468CF4" w14:textId="77777777" w:rsidR="0081525E" w:rsidRPr="00F06897" w:rsidRDefault="0081525E" w:rsidP="008241B5">
      <w:pPr>
        <w:pStyle w:val="TableFooter"/>
      </w:pPr>
      <w:r w:rsidRPr="00F06897">
        <w:t>Source</w:t>
      </w:r>
      <w:r>
        <w:t>: Table 2-18, p102 of the submission</w:t>
      </w:r>
    </w:p>
    <w:p w14:paraId="3C9A46EE" w14:textId="7AF0DED1" w:rsidR="0081525E" w:rsidRPr="00A3126F" w:rsidRDefault="0081525E" w:rsidP="008241B5">
      <w:pPr>
        <w:pStyle w:val="TableFooter"/>
      </w:pPr>
      <w:r w:rsidRPr="00F06897">
        <w:t xml:space="preserve">AE = adverse event, ALT = alanine aminotransferase, AST = aspartate aminotransferase, </w:t>
      </w:r>
      <w:r>
        <w:t xml:space="preserve">ICC = </w:t>
      </w:r>
      <w:r w:rsidR="00D21370" w:rsidRPr="00D21370">
        <w:t>investigator’s choice of chemotherapy</w:t>
      </w:r>
      <w:r>
        <w:t xml:space="preserve">; </w:t>
      </w:r>
      <w:r w:rsidRPr="006831DD">
        <w:t>T-</w:t>
      </w:r>
      <w:proofErr w:type="spellStart"/>
      <w:r w:rsidRPr="006831DD">
        <w:t>DXd</w:t>
      </w:r>
      <w:proofErr w:type="spellEnd"/>
      <w:r w:rsidRPr="006831DD">
        <w:t xml:space="preserve"> = </w:t>
      </w:r>
      <w:r w:rsidR="00587F2B">
        <w:t>tr</w:t>
      </w:r>
      <w:r w:rsidRPr="006831DD">
        <w:t>astuzumab deruxtecan</w:t>
      </w:r>
      <w:r>
        <w:t>;</w:t>
      </w:r>
      <w:r w:rsidRPr="00F06897">
        <w:t xml:space="preserve"> WBC </w:t>
      </w:r>
      <w:r w:rsidR="005B048B">
        <w:t xml:space="preserve">= </w:t>
      </w:r>
      <w:r w:rsidRPr="00F06897">
        <w:t>white blood ce</w:t>
      </w:r>
      <w:r>
        <w:t>ll</w:t>
      </w:r>
    </w:p>
    <w:p w14:paraId="059FED95" w14:textId="42DD0806" w:rsidR="0081525E" w:rsidRPr="00904162" w:rsidRDefault="007046C1" w:rsidP="008241B5">
      <w:pPr>
        <w:pStyle w:val="3-BodyText"/>
      </w:pPr>
      <w:r w:rsidRPr="00904162">
        <w:t>For the March 2024 DCO, treatment-related gastrointestinal AEs were more common in the T-</w:t>
      </w:r>
      <w:proofErr w:type="spellStart"/>
      <w:r w:rsidRPr="00904162">
        <w:t>DXd</w:t>
      </w:r>
      <w:proofErr w:type="spellEnd"/>
      <w:r w:rsidRPr="00904162">
        <w:t xml:space="preserve"> arm versus the ICC arm (65.9% vs. 23.5% for nausea; 27.2% vs. 9.4% for vomiting; 23.5% vs. 9.4% for decreased appetite; and 16.4% vs. 6.0% for constipation). A higher frequency was also observed in the T-</w:t>
      </w:r>
      <w:proofErr w:type="spellStart"/>
      <w:r w:rsidRPr="00904162">
        <w:t>DXd</w:t>
      </w:r>
      <w:proofErr w:type="spellEnd"/>
      <w:r w:rsidRPr="00904162">
        <w:t xml:space="preserve"> arm for alopecia (</w:t>
      </w:r>
      <w:r w:rsidR="006317EF" w:rsidRPr="00904162">
        <w:t>45.4% vs. 19.4%</w:t>
      </w:r>
      <w:r w:rsidRPr="00904162">
        <w:t>)</w:t>
      </w:r>
      <w:r w:rsidR="006317EF" w:rsidRPr="00904162">
        <w:t>, decreased platelet count (12.9% vs. 2.6%),</w:t>
      </w:r>
      <w:r w:rsidRPr="00904162">
        <w:t xml:space="preserve"> and anaemia (</w:t>
      </w:r>
      <w:r w:rsidR="006317EF" w:rsidRPr="00904162">
        <w:t xml:space="preserve">27.2% </w:t>
      </w:r>
      <w:r w:rsidRPr="00904162">
        <w:t xml:space="preserve">vs. </w:t>
      </w:r>
      <w:r w:rsidR="006317EF" w:rsidRPr="00904162">
        <w:t>18.7</w:t>
      </w:r>
      <w:r w:rsidRPr="00904162">
        <w:t>%).</w:t>
      </w:r>
      <w:r w:rsidR="006317EF" w:rsidRPr="00904162">
        <w:t xml:space="preserve"> </w:t>
      </w:r>
      <w:r w:rsidR="0081525E" w:rsidRPr="00904162">
        <w:t>There was a higher frequency in the ICC arm for peripheral sensory neuropathy (11.0% vs. 2.1%</w:t>
      </w:r>
      <w:r w:rsidR="005B048B" w:rsidRPr="00904162">
        <w:t xml:space="preserve"> in T-</w:t>
      </w:r>
      <w:proofErr w:type="spellStart"/>
      <w:r w:rsidR="005B048B" w:rsidRPr="00904162">
        <w:t>DXd</w:t>
      </w:r>
      <w:proofErr w:type="spellEnd"/>
      <w:r w:rsidR="0081525E" w:rsidRPr="00904162">
        <w:t xml:space="preserve">) and palmar-plantar </w:t>
      </w:r>
      <w:proofErr w:type="spellStart"/>
      <w:r w:rsidR="0081525E" w:rsidRPr="00904162">
        <w:t>erythrodysaesthesia</w:t>
      </w:r>
      <w:proofErr w:type="spellEnd"/>
      <w:r w:rsidR="0081525E" w:rsidRPr="00904162">
        <w:t xml:space="preserve"> syndrome (32.4% vs. 0.5%</w:t>
      </w:r>
      <w:r w:rsidR="005B048B" w:rsidRPr="00904162">
        <w:t xml:space="preserve"> in T-</w:t>
      </w:r>
      <w:proofErr w:type="spellStart"/>
      <w:r w:rsidR="005B048B" w:rsidRPr="00904162">
        <w:t>DXd</w:t>
      </w:r>
      <w:proofErr w:type="spellEnd"/>
      <w:r w:rsidR="005B048B" w:rsidRPr="00904162">
        <w:t>).</w:t>
      </w:r>
      <w:r w:rsidR="006317EF" w:rsidRPr="00904162">
        <w:t xml:space="preserve"> A similar trend was observed for </w:t>
      </w:r>
      <w:r w:rsidR="00A95516" w:rsidRPr="00904162">
        <w:t xml:space="preserve">AEs in general (including AEs related or not related to treatment). </w:t>
      </w:r>
    </w:p>
    <w:p w14:paraId="636A2DCA" w14:textId="7EC50B21" w:rsidR="0081525E" w:rsidRPr="00904162" w:rsidRDefault="0081525E" w:rsidP="008241B5">
      <w:pPr>
        <w:pStyle w:val="3-BodyText"/>
      </w:pPr>
      <w:r w:rsidRPr="00904162">
        <w:t>Safety data regarding the frequency of ILD/</w:t>
      </w:r>
      <w:r w:rsidR="005B048B" w:rsidRPr="00904162">
        <w:t>p</w:t>
      </w:r>
      <w:r w:rsidRPr="00904162">
        <w:t>neumonitis were sourced from the IA2 (DCO March 2025) CSR</w:t>
      </w:r>
      <w:r w:rsidR="00352887">
        <w:t xml:space="preserve">. </w:t>
      </w:r>
      <w:r w:rsidRPr="00904162">
        <w:t>A total of 82 patients (18.9%) in the T-</w:t>
      </w:r>
      <w:proofErr w:type="spellStart"/>
      <w:r w:rsidRPr="00904162">
        <w:t>DXd</w:t>
      </w:r>
      <w:proofErr w:type="spellEnd"/>
      <w:r w:rsidRPr="00904162">
        <w:t xml:space="preserve"> arm and 5 patients (1.2%) in the ICC arm had events of potential ILD/pneumonitis. Events adjudicated as ILD occurred in 59 patients (13.6%) in the T-</w:t>
      </w:r>
      <w:proofErr w:type="spellStart"/>
      <w:r w:rsidRPr="00904162">
        <w:t>DXd</w:t>
      </w:r>
      <w:proofErr w:type="spellEnd"/>
      <w:r w:rsidRPr="00904162">
        <w:t xml:space="preserve"> arm and one patient (0.2%) in the ICC arm. Among these events, a total of 56 patients (12.9%) in the T-</w:t>
      </w:r>
      <w:proofErr w:type="spellStart"/>
      <w:r w:rsidRPr="00904162">
        <w:t>DXd</w:t>
      </w:r>
      <w:proofErr w:type="spellEnd"/>
      <w:r w:rsidRPr="00904162">
        <w:t xml:space="preserve"> arm and one patient (0.2%) in the ICC arm were considered as drug-related.</w:t>
      </w:r>
    </w:p>
    <w:p w14:paraId="7B6B9537" w14:textId="79C58EB9" w:rsidR="0081525E" w:rsidRPr="00904162" w:rsidRDefault="0081525E" w:rsidP="008241B5">
      <w:pPr>
        <w:pStyle w:val="3-BodyText"/>
      </w:pPr>
      <w:r w:rsidRPr="00904162">
        <w:t>At IA2, the percentage of patients who had one or more AE of CTCAE Grade ≥ 3, considered possibly related to treatment by the investigator, was higher in the T</w:t>
      </w:r>
      <w:r w:rsidR="00750AFD">
        <w:noBreakHyphen/>
      </w:r>
      <w:proofErr w:type="spellStart"/>
      <w:r w:rsidRPr="00904162">
        <w:t>DXd</w:t>
      </w:r>
      <w:proofErr w:type="spellEnd"/>
      <w:r w:rsidRPr="00904162">
        <w:t xml:space="preserve"> arm (41.9%) than in the ICC arm (31.7%). AEs with </w:t>
      </w:r>
      <w:r w:rsidR="00F06984" w:rsidRPr="00904162">
        <w:t xml:space="preserve">the </w:t>
      </w:r>
      <w:r w:rsidRPr="00904162">
        <w:t>outcome of death were reported in 11 (2.5%) patients in the T-</w:t>
      </w:r>
      <w:proofErr w:type="spellStart"/>
      <w:r w:rsidRPr="00904162">
        <w:t>DXd</w:t>
      </w:r>
      <w:proofErr w:type="spellEnd"/>
      <w:r w:rsidRPr="00904162">
        <w:t xml:space="preserve"> arm and six (1.6%) patients in the ICC arm</w:t>
      </w:r>
      <w:r w:rsidR="00352887">
        <w:t xml:space="preserve">. </w:t>
      </w:r>
      <w:r w:rsidRPr="00904162">
        <w:t>Infections and infestations leading to death occurred in six (1.4%) patients in the T-</w:t>
      </w:r>
      <w:proofErr w:type="spellStart"/>
      <w:r w:rsidRPr="00904162">
        <w:t>DXd</w:t>
      </w:r>
      <w:proofErr w:type="spellEnd"/>
      <w:r w:rsidRPr="00904162">
        <w:t xml:space="preserve"> arm and one (0.2%) patient in the ICC arm. Interstitial lung disease, related to treatment, resulted in death in two (0.5%) patients in the T</w:t>
      </w:r>
      <w:r w:rsidR="00750AFD">
        <w:noBreakHyphen/>
      </w:r>
      <w:proofErr w:type="spellStart"/>
      <w:r w:rsidRPr="00904162">
        <w:t>DXd</w:t>
      </w:r>
      <w:proofErr w:type="spellEnd"/>
      <w:r w:rsidRPr="00904162">
        <w:t xml:space="preserve"> arm (Table 19, p69 of the IA2 CSR).</w:t>
      </w:r>
    </w:p>
    <w:p w14:paraId="69486254" w14:textId="6C21A55A" w:rsidR="0081525E" w:rsidRDefault="0081525E" w:rsidP="008241B5">
      <w:pPr>
        <w:pStyle w:val="3-BodyText"/>
      </w:pPr>
      <w:r w:rsidRPr="00904162">
        <w:lastRenderedPageBreak/>
        <w:t>At IA2, SAEs were reported in 90 (20.7%) patients in the T-</w:t>
      </w:r>
      <w:proofErr w:type="spellStart"/>
      <w:r w:rsidRPr="00904162">
        <w:t>DXd</w:t>
      </w:r>
      <w:proofErr w:type="spellEnd"/>
      <w:r w:rsidRPr="00904162">
        <w:t xml:space="preserve"> arm and in 67 (16.1%) patients in the ICC arm. The two most frequently reported SAEs in the T-</w:t>
      </w:r>
      <w:proofErr w:type="spellStart"/>
      <w:r w:rsidRPr="00904162">
        <w:t>DXd</w:t>
      </w:r>
      <w:proofErr w:type="spellEnd"/>
      <w:r w:rsidRPr="00904162">
        <w:t xml:space="preserve"> arm were ILD (8 patients; 1.8%) and pneumonitis (8 patients; 1.8%) (Table 21, p71 of the IA2 CSR).</w:t>
      </w:r>
      <w:r w:rsidR="00C916A8" w:rsidRPr="00C916A8">
        <w:t xml:space="preserve"> </w:t>
      </w:r>
    </w:p>
    <w:p w14:paraId="748E3B0D" w14:textId="77777777" w:rsidR="0081525E" w:rsidRPr="0098262F" w:rsidRDefault="0081525E" w:rsidP="008241B5">
      <w:pPr>
        <w:pStyle w:val="4-SubsectionHeading"/>
      </w:pPr>
      <w:bookmarkStart w:id="35" w:name="_Toc22897643"/>
      <w:bookmarkStart w:id="36" w:name="_Toc202884177"/>
      <w:bookmarkStart w:id="37" w:name="_Toc219893554"/>
      <w:r w:rsidRPr="0098262F">
        <w:t>Benefits/harms</w:t>
      </w:r>
      <w:bookmarkEnd w:id="35"/>
      <w:bookmarkEnd w:id="36"/>
      <w:bookmarkEnd w:id="37"/>
    </w:p>
    <w:p w14:paraId="0F7C61EE" w14:textId="1D5DF1E8" w:rsidR="0081525E" w:rsidRPr="00904162" w:rsidRDefault="0081525E" w:rsidP="008241B5">
      <w:pPr>
        <w:pStyle w:val="3-BodyText"/>
        <w:rPr>
          <w:rStyle w:val="CommentReference"/>
        </w:rPr>
      </w:pPr>
      <w:r w:rsidRPr="00904162">
        <w:t>A summary of the comparative benefits and harms for T-</w:t>
      </w:r>
      <w:proofErr w:type="spellStart"/>
      <w:r w:rsidRPr="00904162">
        <w:t>DXd</w:t>
      </w:r>
      <w:proofErr w:type="spellEnd"/>
      <w:r w:rsidRPr="00904162">
        <w:t xml:space="preserve"> versus chemotherapy is presented in </w:t>
      </w:r>
      <w:r w:rsidRPr="00904162">
        <w:fldChar w:fldCharType="begin"/>
      </w:r>
      <w:r w:rsidRPr="00904162">
        <w:instrText xml:space="preserve"> REF _Ref218525941 \h </w:instrText>
      </w:r>
      <w:r w:rsidR="00904162" w:rsidRPr="00904162">
        <w:instrText xml:space="preserve"> \* MERGEFORMAT </w:instrText>
      </w:r>
      <w:r w:rsidRPr="00904162">
        <w:fldChar w:fldCharType="separate"/>
      </w:r>
      <w:r w:rsidR="005D3E29">
        <w:t xml:space="preserve">Table </w:t>
      </w:r>
      <w:r w:rsidR="005D3E29">
        <w:rPr>
          <w:noProof/>
        </w:rPr>
        <w:t>10</w:t>
      </w:r>
      <w:r w:rsidRPr="00904162">
        <w:fldChar w:fldCharType="end"/>
      </w:r>
      <w:r w:rsidRPr="00904162">
        <w:t xml:space="preserve">. </w:t>
      </w:r>
    </w:p>
    <w:p w14:paraId="31C592D8" w14:textId="25AD2677" w:rsidR="0081525E" w:rsidRPr="00D2155B" w:rsidRDefault="0081525E" w:rsidP="008241B5">
      <w:pPr>
        <w:pStyle w:val="Caption"/>
        <w:rPr>
          <w:rStyle w:val="CommentReference"/>
          <w:b/>
          <w:szCs w:val="24"/>
        </w:rPr>
      </w:pPr>
      <w:bookmarkStart w:id="38" w:name="_Ref218525941"/>
      <w:r>
        <w:t xml:space="preserve">Table </w:t>
      </w:r>
      <w:fldSimple w:instr=" SEQ Table \* ARABIC ">
        <w:r w:rsidR="005D3E29">
          <w:rPr>
            <w:noProof/>
          </w:rPr>
          <w:t>10</w:t>
        </w:r>
      </w:fldSimple>
      <w:bookmarkEnd w:id="38"/>
      <w:r>
        <w:t xml:space="preserve">: </w:t>
      </w:r>
      <w:r w:rsidRPr="00D2155B">
        <w:rPr>
          <w:rStyle w:val="CommentReference"/>
          <w:b/>
          <w:szCs w:val="24"/>
        </w:rPr>
        <w:t>Summary of comparative benefits</w:t>
      </w:r>
      <w:r>
        <w:rPr>
          <w:rStyle w:val="CommentReference"/>
          <w:b/>
          <w:szCs w:val="24"/>
        </w:rPr>
        <w:t xml:space="preserve"> (ITT population)</w:t>
      </w:r>
      <w:r w:rsidRPr="00D2155B">
        <w:rPr>
          <w:rStyle w:val="CommentReference"/>
          <w:b/>
          <w:szCs w:val="24"/>
        </w:rPr>
        <w:t xml:space="preserve"> and harms</w:t>
      </w:r>
      <w:r>
        <w:rPr>
          <w:rStyle w:val="CommentReference"/>
          <w:b/>
          <w:szCs w:val="24"/>
        </w:rPr>
        <w:t xml:space="preserve"> (safety population)</w:t>
      </w:r>
      <w:r w:rsidRPr="00D2155B">
        <w:rPr>
          <w:rStyle w:val="CommentReference"/>
          <w:b/>
          <w:szCs w:val="24"/>
        </w:rPr>
        <w:t xml:space="preserve"> for </w:t>
      </w:r>
      <w:r>
        <w:rPr>
          <w:rStyle w:val="CommentReference"/>
          <w:b/>
          <w:szCs w:val="24"/>
        </w:rPr>
        <w:t>T-</w:t>
      </w:r>
      <w:proofErr w:type="spellStart"/>
      <w:r>
        <w:rPr>
          <w:rStyle w:val="CommentReference"/>
          <w:b/>
          <w:szCs w:val="24"/>
        </w:rPr>
        <w:t>DXd</w:t>
      </w:r>
      <w:proofErr w:type="spellEnd"/>
      <w:r w:rsidRPr="00D2155B">
        <w:rPr>
          <w:rStyle w:val="CommentReference"/>
          <w:b/>
          <w:szCs w:val="24"/>
        </w:rPr>
        <w:t xml:space="preserve"> </w:t>
      </w:r>
      <w:r>
        <w:rPr>
          <w:rStyle w:val="CommentReference"/>
          <w:b/>
          <w:szCs w:val="24"/>
        </w:rPr>
        <w:t>versus ICC in DB-06</w:t>
      </w:r>
    </w:p>
    <w:tbl>
      <w:tblPr>
        <w:tblStyle w:val="TableGrid"/>
        <w:tblW w:w="5000" w:type="pct"/>
        <w:tblLayout w:type="fixed"/>
        <w:tblCellMar>
          <w:left w:w="28" w:type="dxa"/>
          <w:right w:w="28" w:type="dxa"/>
        </w:tblCellMar>
        <w:tblLook w:val="04A0" w:firstRow="1" w:lastRow="0" w:firstColumn="1" w:lastColumn="0" w:noHBand="0" w:noVBand="1"/>
        <w:tblCaption w:val="Table 10: Summary of comparative benefits (ITT population) and harms (safety population) for T-DXd versus ICC in DB-06"/>
      </w:tblPr>
      <w:tblGrid>
        <w:gridCol w:w="2449"/>
        <w:gridCol w:w="1436"/>
        <w:gridCol w:w="1506"/>
        <w:gridCol w:w="1996"/>
        <w:gridCol w:w="1630"/>
      </w:tblGrid>
      <w:tr w:rsidR="003D578A" w:rsidRPr="003D578A" w14:paraId="6771D593" w14:textId="77777777" w:rsidTr="000A2785">
        <w:trPr>
          <w:trHeight w:val="20"/>
        </w:trPr>
        <w:tc>
          <w:tcPr>
            <w:tcW w:w="5000" w:type="pct"/>
            <w:gridSpan w:val="5"/>
          </w:tcPr>
          <w:p w14:paraId="2F303519" w14:textId="5E83E192" w:rsidR="003D578A" w:rsidRPr="003D578A" w:rsidRDefault="003D578A" w:rsidP="008241B5">
            <w:pPr>
              <w:pStyle w:val="In-tableHeading"/>
              <w:keepNext/>
              <w:rPr>
                <w:i w:val="0"/>
                <w:iCs w:val="0"/>
              </w:rPr>
            </w:pPr>
            <w:r>
              <w:rPr>
                <w:i w:val="0"/>
                <w:iCs w:val="0"/>
              </w:rPr>
              <w:t>Benefits</w:t>
            </w:r>
          </w:p>
        </w:tc>
      </w:tr>
      <w:tr w:rsidR="000A2785" w:rsidRPr="003D578A" w14:paraId="1C4AC333" w14:textId="77777777" w:rsidTr="000A2785">
        <w:trPr>
          <w:trHeight w:val="20"/>
        </w:trPr>
        <w:tc>
          <w:tcPr>
            <w:tcW w:w="1358" w:type="pct"/>
            <w:tcBorders>
              <w:bottom w:val="single" w:sz="4" w:space="0" w:color="auto"/>
            </w:tcBorders>
          </w:tcPr>
          <w:p w14:paraId="3FB2EC64" w14:textId="77777777" w:rsidR="000A2785" w:rsidRPr="003D578A" w:rsidRDefault="000A2785" w:rsidP="008241B5">
            <w:pPr>
              <w:pStyle w:val="In-tableHeading"/>
              <w:keepNext/>
              <w:rPr>
                <w:i w:val="0"/>
                <w:iCs w:val="0"/>
              </w:rPr>
            </w:pPr>
          </w:p>
        </w:tc>
        <w:tc>
          <w:tcPr>
            <w:tcW w:w="796" w:type="pct"/>
            <w:tcBorders>
              <w:bottom w:val="single" w:sz="4" w:space="0" w:color="auto"/>
            </w:tcBorders>
          </w:tcPr>
          <w:p w14:paraId="4E2380C9" w14:textId="548104D2" w:rsidR="000A2785" w:rsidRPr="003D578A" w:rsidRDefault="000A2785" w:rsidP="008241B5">
            <w:pPr>
              <w:pStyle w:val="In-tableHeading"/>
              <w:keepNext/>
              <w:jc w:val="center"/>
              <w:rPr>
                <w:i w:val="0"/>
                <w:iCs w:val="0"/>
              </w:rPr>
            </w:pPr>
            <w:r w:rsidRPr="003D578A">
              <w:rPr>
                <w:i w:val="0"/>
                <w:iCs w:val="0"/>
              </w:rPr>
              <w:t>T-</w:t>
            </w:r>
            <w:proofErr w:type="spellStart"/>
            <w:r w:rsidRPr="003D578A">
              <w:rPr>
                <w:i w:val="0"/>
                <w:iCs w:val="0"/>
              </w:rPr>
              <w:t>DXd</w:t>
            </w:r>
            <w:proofErr w:type="spellEnd"/>
          </w:p>
        </w:tc>
        <w:tc>
          <w:tcPr>
            <w:tcW w:w="835" w:type="pct"/>
            <w:tcBorders>
              <w:bottom w:val="single" w:sz="4" w:space="0" w:color="auto"/>
            </w:tcBorders>
          </w:tcPr>
          <w:p w14:paraId="43106B4C" w14:textId="74A2C4C7" w:rsidR="000A2785" w:rsidRPr="003D578A" w:rsidRDefault="000A2785" w:rsidP="008241B5">
            <w:pPr>
              <w:pStyle w:val="In-tableHeading"/>
              <w:keepNext/>
              <w:jc w:val="center"/>
              <w:rPr>
                <w:i w:val="0"/>
                <w:iCs w:val="0"/>
              </w:rPr>
            </w:pPr>
            <w:r w:rsidRPr="003D578A">
              <w:rPr>
                <w:i w:val="0"/>
                <w:iCs w:val="0"/>
              </w:rPr>
              <w:t>ICC</w:t>
            </w:r>
          </w:p>
        </w:tc>
        <w:tc>
          <w:tcPr>
            <w:tcW w:w="1107" w:type="pct"/>
          </w:tcPr>
          <w:p w14:paraId="67F11900" w14:textId="2363F3FD" w:rsidR="000A2785" w:rsidRPr="003D578A" w:rsidRDefault="000A2785" w:rsidP="008241B5">
            <w:pPr>
              <w:pStyle w:val="In-tableHeading"/>
              <w:keepNext/>
              <w:jc w:val="center"/>
              <w:rPr>
                <w:rFonts w:asciiTheme="minorHAnsi" w:hAnsiTheme="minorHAnsi"/>
                <w:i w:val="0"/>
                <w:iCs w:val="0"/>
              </w:rPr>
            </w:pPr>
            <w:r w:rsidRPr="003D578A">
              <w:rPr>
                <w:i w:val="0"/>
                <w:iCs w:val="0"/>
              </w:rPr>
              <w:t>Absolute Difference</w:t>
            </w:r>
          </w:p>
        </w:tc>
        <w:tc>
          <w:tcPr>
            <w:tcW w:w="904" w:type="pct"/>
          </w:tcPr>
          <w:p w14:paraId="2758FF66" w14:textId="4C9407C0" w:rsidR="000A2785" w:rsidRPr="003D578A" w:rsidRDefault="000A2785" w:rsidP="008241B5">
            <w:pPr>
              <w:pStyle w:val="In-tableHeading"/>
              <w:keepNext/>
              <w:jc w:val="center"/>
              <w:rPr>
                <w:i w:val="0"/>
                <w:iCs w:val="0"/>
              </w:rPr>
            </w:pPr>
            <w:r>
              <w:rPr>
                <w:i w:val="0"/>
                <w:iCs w:val="0"/>
              </w:rPr>
              <w:t>Hazard ratio</w:t>
            </w:r>
            <w:r w:rsidRPr="003D578A">
              <w:rPr>
                <w:i w:val="0"/>
                <w:iCs w:val="0"/>
              </w:rPr>
              <w:t xml:space="preserve"> </w:t>
            </w:r>
            <w:r>
              <w:rPr>
                <w:i w:val="0"/>
                <w:iCs w:val="0"/>
              </w:rPr>
              <w:br/>
            </w:r>
            <w:r w:rsidRPr="003D578A">
              <w:rPr>
                <w:i w:val="0"/>
                <w:iCs w:val="0"/>
              </w:rPr>
              <w:t>(95% CI)</w:t>
            </w:r>
          </w:p>
        </w:tc>
      </w:tr>
      <w:tr w:rsidR="000A2785" w:rsidRPr="003D578A" w14:paraId="396CDD72" w14:textId="77777777" w:rsidTr="000A2785">
        <w:trPr>
          <w:trHeight w:val="20"/>
        </w:trPr>
        <w:tc>
          <w:tcPr>
            <w:tcW w:w="5000" w:type="pct"/>
            <w:gridSpan w:val="5"/>
          </w:tcPr>
          <w:p w14:paraId="62C4F80C" w14:textId="77777777" w:rsidR="000A2785" w:rsidRPr="003D578A" w:rsidRDefault="000A2785" w:rsidP="008241B5">
            <w:pPr>
              <w:pStyle w:val="In-tableHeading"/>
              <w:keepNext/>
              <w:rPr>
                <w:i w:val="0"/>
                <w:iCs w:val="0"/>
              </w:rPr>
            </w:pPr>
            <w:r w:rsidRPr="003D578A">
              <w:rPr>
                <w:i w:val="0"/>
                <w:iCs w:val="0"/>
              </w:rPr>
              <w:t>Progression free survival</w:t>
            </w:r>
            <w:r w:rsidRPr="003D578A">
              <w:rPr>
                <w:i w:val="0"/>
                <w:iCs w:val="0"/>
                <w:vertAlign w:val="superscript"/>
              </w:rPr>
              <w:t>a</w:t>
            </w:r>
            <w:r w:rsidRPr="003D578A">
              <w:rPr>
                <w:i w:val="0"/>
                <w:iCs w:val="0"/>
              </w:rPr>
              <w:t xml:space="preserve"> (Primary analysis IA1; DCO March 2024)</w:t>
            </w:r>
          </w:p>
        </w:tc>
      </w:tr>
      <w:tr w:rsidR="000A2785" w:rsidRPr="003D578A" w14:paraId="3044B641" w14:textId="77777777" w:rsidTr="000A2785">
        <w:trPr>
          <w:trHeight w:val="20"/>
        </w:trPr>
        <w:tc>
          <w:tcPr>
            <w:tcW w:w="1358" w:type="pct"/>
            <w:tcBorders>
              <w:bottom w:val="single" w:sz="4" w:space="0" w:color="auto"/>
            </w:tcBorders>
          </w:tcPr>
          <w:p w14:paraId="7B2F3884" w14:textId="77777777" w:rsidR="000A2785" w:rsidRPr="003D578A" w:rsidRDefault="000A2785" w:rsidP="008241B5">
            <w:pPr>
              <w:pStyle w:val="In-tableHeading"/>
              <w:keepNext/>
              <w:rPr>
                <w:i w:val="0"/>
                <w:iCs w:val="0"/>
              </w:rPr>
            </w:pPr>
            <w:r w:rsidRPr="003D578A">
              <w:rPr>
                <w:i w:val="0"/>
                <w:iCs w:val="0"/>
              </w:rPr>
              <w:t>Median duration of follow-up</w:t>
            </w:r>
          </w:p>
        </w:tc>
        <w:tc>
          <w:tcPr>
            <w:tcW w:w="796" w:type="pct"/>
            <w:tcBorders>
              <w:bottom w:val="single" w:sz="4" w:space="0" w:color="auto"/>
            </w:tcBorders>
          </w:tcPr>
          <w:p w14:paraId="5D981A9C" w14:textId="77777777" w:rsidR="000A2785" w:rsidRPr="003D578A" w:rsidRDefault="000A2785" w:rsidP="008241B5">
            <w:pPr>
              <w:pStyle w:val="In-tableHeading"/>
              <w:keepNext/>
              <w:jc w:val="center"/>
              <w:rPr>
                <w:b w:val="0"/>
                <w:bCs/>
                <w:i w:val="0"/>
                <w:iCs w:val="0"/>
              </w:rPr>
            </w:pPr>
            <w:r w:rsidRPr="003D578A">
              <w:rPr>
                <w:b w:val="0"/>
                <w:bCs/>
                <w:i w:val="0"/>
                <w:iCs w:val="0"/>
              </w:rPr>
              <w:t>18.6 months</w:t>
            </w:r>
          </w:p>
        </w:tc>
        <w:tc>
          <w:tcPr>
            <w:tcW w:w="835" w:type="pct"/>
            <w:tcBorders>
              <w:bottom w:val="single" w:sz="4" w:space="0" w:color="auto"/>
            </w:tcBorders>
          </w:tcPr>
          <w:p w14:paraId="2F41B9D9" w14:textId="77777777" w:rsidR="000A2785" w:rsidRPr="003D578A" w:rsidRDefault="000A2785" w:rsidP="008241B5">
            <w:pPr>
              <w:pStyle w:val="In-tableHeading"/>
              <w:keepNext/>
              <w:jc w:val="center"/>
              <w:rPr>
                <w:b w:val="0"/>
                <w:bCs/>
                <w:i w:val="0"/>
                <w:iCs w:val="0"/>
              </w:rPr>
            </w:pPr>
            <w:r w:rsidRPr="003D578A">
              <w:rPr>
                <w:b w:val="0"/>
                <w:bCs/>
                <w:i w:val="0"/>
                <w:iCs w:val="0"/>
              </w:rPr>
              <w:t>17.8 months</w:t>
            </w:r>
          </w:p>
        </w:tc>
        <w:tc>
          <w:tcPr>
            <w:tcW w:w="1107" w:type="pct"/>
            <w:tcBorders>
              <w:bottom w:val="single" w:sz="4" w:space="0" w:color="auto"/>
            </w:tcBorders>
          </w:tcPr>
          <w:p w14:paraId="0783983F" w14:textId="77777777" w:rsidR="000A2785" w:rsidRPr="003D578A" w:rsidRDefault="000A2785" w:rsidP="008241B5">
            <w:pPr>
              <w:pStyle w:val="In-tableHeading"/>
              <w:keepNext/>
              <w:jc w:val="center"/>
              <w:rPr>
                <w:i w:val="0"/>
                <w:iCs w:val="0"/>
              </w:rPr>
            </w:pPr>
          </w:p>
        </w:tc>
        <w:tc>
          <w:tcPr>
            <w:tcW w:w="904" w:type="pct"/>
            <w:tcBorders>
              <w:bottom w:val="single" w:sz="4" w:space="0" w:color="auto"/>
            </w:tcBorders>
          </w:tcPr>
          <w:p w14:paraId="5E745744" w14:textId="77777777" w:rsidR="000A2785" w:rsidRPr="003D578A" w:rsidRDefault="000A2785" w:rsidP="008241B5">
            <w:pPr>
              <w:pStyle w:val="In-tableHeading"/>
              <w:keepNext/>
              <w:jc w:val="center"/>
              <w:rPr>
                <w:i w:val="0"/>
                <w:iCs w:val="0"/>
                <w:highlight w:val="yellow"/>
              </w:rPr>
            </w:pPr>
          </w:p>
        </w:tc>
      </w:tr>
      <w:tr w:rsidR="000A2785" w:rsidRPr="003D578A" w14:paraId="69D22887" w14:textId="77777777" w:rsidTr="000A2785">
        <w:trPr>
          <w:trHeight w:val="20"/>
        </w:trPr>
        <w:tc>
          <w:tcPr>
            <w:tcW w:w="1358" w:type="pct"/>
            <w:tcBorders>
              <w:bottom w:val="single" w:sz="4" w:space="0" w:color="auto"/>
              <w:right w:val="single" w:sz="4" w:space="0" w:color="auto"/>
            </w:tcBorders>
          </w:tcPr>
          <w:p w14:paraId="57109A54" w14:textId="77777777" w:rsidR="000A2785" w:rsidRPr="003D578A" w:rsidRDefault="000A2785" w:rsidP="008241B5">
            <w:pPr>
              <w:pStyle w:val="TableText0"/>
            </w:pPr>
            <w:r w:rsidRPr="003D578A">
              <w:t>PFS events, n (%)</w:t>
            </w:r>
          </w:p>
        </w:tc>
        <w:tc>
          <w:tcPr>
            <w:tcW w:w="796" w:type="pct"/>
            <w:tcBorders>
              <w:left w:val="single" w:sz="4" w:space="0" w:color="auto"/>
              <w:bottom w:val="single" w:sz="4" w:space="0" w:color="auto"/>
              <w:right w:val="single" w:sz="4" w:space="0" w:color="auto"/>
            </w:tcBorders>
            <w:vAlign w:val="center"/>
          </w:tcPr>
          <w:p w14:paraId="32FD63A1" w14:textId="77777777" w:rsidR="000A2785" w:rsidRPr="003D578A" w:rsidRDefault="000A2785" w:rsidP="008241B5">
            <w:pPr>
              <w:pStyle w:val="TableText0"/>
              <w:jc w:val="center"/>
            </w:pPr>
            <w:r w:rsidRPr="003D578A">
              <w:rPr>
                <w:rFonts w:cs="Times New Roman"/>
                <w:szCs w:val="20"/>
              </w:rPr>
              <w:t>269/436 (61.7%)</w:t>
            </w:r>
          </w:p>
        </w:tc>
        <w:tc>
          <w:tcPr>
            <w:tcW w:w="835" w:type="pct"/>
            <w:tcBorders>
              <w:left w:val="single" w:sz="4" w:space="0" w:color="auto"/>
              <w:bottom w:val="single" w:sz="4" w:space="0" w:color="auto"/>
              <w:right w:val="single" w:sz="4" w:space="0" w:color="auto"/>
            </w:tcBorders>
            <w:vAlign w:val="center"/>
          </w:tcPr>
          <w:p w14:paraId="3DE3EC88" w14:textId="77777777" w:rsidR="000A2785" w:rsidRPr="003D578A" w:rsidRDefault="000A2785" w:rsidP="008241B5">
            <w:pPr>
              <w:pStyle w:val="TableText0"/>
              <w:jc w:val="center"/>
            </w:pPr>
            <w:r w:rsidRPr="003D578A">
              <w:rPr>
                <w:rFonts w:cs="Times New Roman"/>
                <w:szCs w:val="20"/>
              </w:rPr>
              <w:t>271/430 (63.0%)</w:t>
            </w:r>
          </w:p>
        </w:tc>
        <w:tc>
          <w:tcPr>
            <w:tcW w:w="1107" w:type="pct"/>
            <w:tcBorders>
              <w:left w:val="single" w:sz="4" w:space="0" w:color="auto"/>
              <w:bottom w:val="single" w:sz="4" w:space="0" w:color="auto"/>
              <w:right w:val="single" w:sz="4" w:space="0" w:color="auto"/>
            </w:tcBorders>
            <w:vAlign w:val="center"/>
          </w:tcPr>
          <w:p w14:paraId="6BF5FD76" w14:textId="77777777" w:rsidR="000A2785" w:rsidRPr="003D578A" w:rsidRDefault="000A2785" w:rsidP="008241B5">
            <w:pPr>
              <w:pStyle w:val="TableText0"/>
              <w:jc w:val="center"/>
            </w:pPr>
            <w:r w:rsidRPr="003D578A">
              <w:t>-</w:t>
            </w:r>
          </w:p>
        </w:tc>
        <w:tc>
          <w:tcPr>
            <w:tcW w:w="904" w:type="pct"/>
            <w:vMerge w:val="restart"/>
            <w:tcBorders>
              <w:top w:val="single" w:sz="4" w:space="0" w:color="auto"/>
              <w:left w:val="single" w:sz="4" w:space="0" w:color="auto"/>
              <w:bottom w:val="nil"/>
              <w:right w:val="single" w:sz="4" w:space="0" w:color="auto"/>
            </w:tcBorders>
          </w:tcPr>
          <w:p w14:paraId="570992D3" w14:textId="77777777" w:rsidR="000A2785" w:rsidRPr="003D578A" w:rsidRDefault="000A2785" w:rsidP="008241B5">
            <w:pPr>
              <w:pStyle w:val="TableText0"/>
              <w:jc w:val="center"/>
              <w:rPr>
                <w:b/>
                <w:bCs w:val="0"/>
                <w:szCs w:val="20"/>
              </w:rPr>
            </w:pPr>
            <w:r w:rsidRPr="003D578A">
              <w:rPr>
                <w:b/>
                <w:bCs w:val="0"/>
                <w:szCs w:val="20"/>
              </w:rPr>
              <w:t>0.64 (0.54, 0.76)</w:t>
            </w:r>
          </w:p>
          <w:p w14:paraId="25528557" w14:textId="77777777" w:rsidR="000A2785" w:rsidRPr="003D578A" w:rsidRDefault="000A2785" w:rsidP="008241B5">
            <w:pPr>
              <w:pStyle w:val="TableText0"/>
              <w:jc w:val="center"/>
            </w:pPr>
            <w:r w:rsidRPr="003D578A">
              <w:rPr>
                <w:b/>
                <w:bCs w:val="0"/>
                <w:szCs w:val="20"/>
              </w:rPr>
              <w:t>p&lt; 0.0001</w:t>
            </w:r>
          </w:p>
        </w:tc>
      </w:tr>
      <w:tr w:rsidR="000A2785" w:rsidRPr="003D578A" w14:paraId="5F93D8B5" w14:textId="77777777" w:rsidTr="000A2785">
        <w:trPr>
          <w:trHeight w:val="229"/>
        </w:trPr>
        <w:tc>
          <w:tcPr>
            <w:tcW w:w="1358" w:type="pct"/>
            <w:tcBorders>
              <w:bottom w:val="single" w:sz="4" w:space="0" w:color="auto"/>
              <w:right w:val="single" w:sz="4" w:space="0" w:color="auto"/>
            </w:tcBorders>
          </w:tcPr>
          <w:p w14:paraId="3E69BFA6" w14:textId="77777777" w:rsidR="000A2785" w:rsidRPr="006A1EDE" w:rsidRDefault="000A2785" w:rsidP="008241B5">
            <w:pPr>
              <w:pStyle w:val="TableText0"/>
            </w:pPr>
            <w:r w:rsidRPr="006A1EDE">
              <w:t>Median PFS, months (95% CI)</w:t>
            </w:r>
          </w:p>
        </w:tc>
        <w:tc>
          <w:tcPr>
            <w:tcW w:w="796" w:type="pct"/>
            <w:tcBorders>
              <w:left w:val="single" w:sz="4" w:space="0" w:color="auto"/>
              <w:bottom w:val="single" w:sz="4" w:space="0" w:color="auto"/>
              <w:right w:val="single" w:sz="4" w:space="0" w:color="auto"/>
            </w:tcBorders>
            <w:vAlign w:val="center"/>
          </w:tcPr>
          <w:p w14:paraId="79EA1FC3" w14:textId="77777777" w:rsidR="000A2785" w:rsidRPr="006A1EDE" w:rsidRDefault="000A2785" w:rsidP="008241B5">
            <w:pPr>
              <w:pStyle w:val="TableText0"/>
              <w:jc w:val="center"/>
              <w:rPr>
                <w:rFonts w:cs="Times New Roman"/>
                <w:szCs w:val="20"/>
              </w:rPr>
            </w:pPr>
            <w:r w:rsidRPr="006A1EDE">
              <w:t>13.2 (12.0, 15.2)</w:t>
            </w:r>
          </w:p>
        </w:tc>
        <w:tc>
          <w:tcPr>
            <w:tcW w:w="835" w:type="pct"/>
            <w:tcBorders>
              <w:left w:val="single" w:sz="4" w:space="0" w:color="auto"/>
              <w:bottom w:val="single" w:sz="4" w:space="0" w:color="auto"/>
              <w:right w:val="single" w:sz="4" w:space="0" w:color="auto"/>
            </w:tcBorders>
            <w:vAlign w:val="center"/>
          </w:tcPr>
          <w:p w14:paraId="25D18197" w14:textId="77777777" w:rsidR="000A2785" w:rsidRPr="006A1EDE" w:rsidRDefault="000A2785" w:rsidP="008241B5">
            <w:pPr>
              <w:pStyle w:val="TableText0"/>
              <w:jc w:val="center"/>
              <w:rPr>
                <w:rFonts w:cs="Times New Roman"/>
                <w:szCs w:val="20"/>
              </w:rPr>
            </w:pPr>
            <w:r w:rsidRPr="006A1EDE">
              <w:t>8.1 (7.0, 9.0)</w:t>
            </w:r>
          </w:p>
        </w:tc>
        <w:tc>
          <w:tcPr>
            <w:tcW w:w="1107" w:type="pct"/>
            <w:tcBorders>
              <w:left w:val="single" w:sz="4" w:space="0" w:color="auto"/>
              <w:bottom w:val="single" w:sz="4" w:space="0" w:color="auto"/>
              <w:right w:val="single" w:sz="4" w:space="0" w:color="auto"/>
            </w:tcBorders>
            <w:vAlign w:val="center"/>
          </w:tcPr>
          <w:p w14:paraId="71653A2C" w14:textId="77777777" w:rsidR="000A2785" w:rsidRPr="006A1EDE" w:rsidRDefault="000A2785" w:rsidP="008241B5">
            <w:pPr>
              <w:pStyle w:val="TableText0"/>
              <w:jc w:val="center"/>
            </w:pPr>
            <w:r w:rsidRPr="006A1EDE">
              <w:t>5.1</w:t>
            </w:r>
          </w:p>
        </w:tc>
        <w:tc>
          <w:tcPr>
            <w:tcW w:w="904" w:type="pct"/>
            <w:vMerge/>
            <w:tcBorders>
              <w:top w:val="nil"/>
              <w:left w:val="single" w:sz="4" w:space="0" w:color="auto"/>
              <w:bottom w:val="nil"/>
              <w:right w:val="single" w:sz="4" w:space="0" w:color="auto"/>
            </w:tcBorders>
          </w:tcPr>
          <w:p w14:paraId="53758C4A" w14:textId="77777777" w:rsidR="000A2785" w:rsidRPr="003D578A" w:rsidRDefault="000A2785" w:rsidP="008241B5">
            <w:pPr>
              <w:pStyle w:val="TableText0"/>
              <w:jc w:val="center"/>
              <w:rPr>
                <w:szCs w:val="20"/>
              </w:rPr>
            </w:pPr>
          </w:p>
        </w:tc>
      </w:tr>
      <w:tr w:rsidR="000A2785" w:rsidRPr="003D578A" w14:paraId="48EC0EFB" w14:textId="77777777" w:rsidTr="000A2785">
        <w:trPr>
          <w:trHeight w:val="229"/>
        </w:trPr>
        <w:tc>
          <w:tcPr>
            <w:tcW w:w="1358" w:type="pct"/>
            <w:tcBorders>
              <w:bottom w:val="single" w:sz="4" w:space="0" w:color="auto"/>
              <w:right w:val="single" w:sz="4" w:space="0" w:color="auto"/>
            </w:tcBorders>
          </w:tcPr>
          <w:p w14:paraId="54B50447" w14:textId="51E31663" w:rsidR="000A2785" w:rsidRPr="006A1EDE" w:rsidRDefault="000A2785" w:rsidP="008241B5">
            <w:pPr>
              <w:pStyle w:val="TableText0"/>
            </w:pPr>
            <w:r w:rsidRPr="006A1EDE">
              <w:t>PFS at 12 months (95% CI)</w:t>
            </w:r>
          </w:p>
        </w:tc>
        <w:tc>
          <w:tcPr>
            <w:tcW w:w="796" w:type="pct"/>
            <w:tcBorders>
              <w:left w:val="single" w:sz="4" w:space="0" w:color="auto"/>
              <w:bottom w:val="single" w:sz="4" w:space="0" w:color="auto"/>
              <w:right w:val="single" w:sz="4" w:space="0" w:color="auto"/>
            </w:tcBorders>
            <w:vAlign w:val="center"/>
          </w:tcPr>
          <w:p w14:paraId="3F71EE30" w14:textId="489DA214" w:rsidR="000A2785" w:rsidRPr="006A1EDE" w:rsidRDefault="000A2785" w:rsidP="008241B5">
            <w:pPr>
              <w:pStyle w:val="TableText0"/>
              <w:jc w:val="center"/>
            </w:pPr>
            <w:r w:rsidRPr="006A1EDE">
              <w:t>54.7 (49.6, 59.4)</w:t>
            </w:r>
          </w:p>
        </w:tc>
        <w:tc>
          <w:tcPr>
            <w:tcW w:w="835" w:type="pct"/>
            <w:tcBorders>
              <w:left w:val="single" w:sz="4" w:space="0" w:color="auto"/>
              <w:bottom w:val="single" w:sz="4" w:space="0" w:color="auto"/>
              <w:right w:val="single" w:sz="4" w:space="0" w:color="auto"/>
            </w:tcBorders>
            <w:vAlign w:val="center"/>
          </w:tcPr>
          <w:p w14:paraId="10CB6B7A" w14:textId="66903A05" w:rsidR="000A2785" w:rsidRPr="006A1EDE" w:rsidRDefault="000A2785" w:rsidP="008241B5">
            <w:pPr>
              <w:pStyle w:val="TableText0"/>
              <w:jc w:val="center"/>
            </w:pPr>
            <w:r w:rsidRPr="006A1EDE">
              <w:t>36.9 (31.7, 42.0)</w:t>
            </w:r>
          </w:p>
        </w:tc>
        <w:tc>
          <w:tcPr>
            <w:tcW w:w="1107" w:type="pct"/>
            <w:tcBorders>
              <w:left w:val="single" w:sz="4" w:space="0" w:color="auto"/>
              <w:bottom w:val="single" w:sz="4" w:space="0" w:color="auto"/>
              <w:right w:val="single" w:sz="4" w:space="0" w:color="auto"/>
            </w:tcBorders>
            <w:vAlign w:val="center"/>
          </w:tcPr>
          <w:p w14:paraId="66E6D819" w14:textId="0124AE49" w:rsidR="000A2785" w:rsidRPr="006A1EDE" w:rsidRDefault="000A2785" w:rsidP="008241B5">
            <w:pPr>
              <w:pStyle w:val="TableText0"/>
              <w:jc w:val="center"/>
            </w:pPr>
            <w:r w:rsidRPr="006A1EDE">
              <w:t>17.8%</w:t>
            </w:r>
          </w:p>
        </w:tc>
        <w:tc>
          <w:tcPr>
            <w:tcW w:w="904" w:type="pct"/>
            <w:tcBorders>
              <w:top w:val="nil"/>
              <w:left w:val="single" w:sz="4" w:space="0" w:color="auto"/>
              <w:bottom w:val="nil"/>
              <w:right w:val="single" w:sz="4" w:space="0" w:color="auto"/>
            </w:tcBorders>
          </w:tcPr>
          <w:p w14:paraId="40FD1A70" w14:textId="77777777" w:rsidR="000A2785" w:rsidRPr="003D578A" w:rsidRDefault="000A2785" w:rsidP="008241B5">
            <w:pPr>
              <w:pStyle w:val="TableText0"/>
              <w:jc w:val="center"/>
              <w:rPr>
                <w:szCs w:val="20"/>
              </w:rPr>
            </w:pPr>
          </w:p>
        </w:tc>
      </w:tr>
      <w:tr w:rsidR="000A2785" w:rsidRPr="003D578A" w14:paraId="45EB819B" w14:textId="77777777" w:rsidTr="000A2785">
        <w:trPr>
          <w:trHeight w:val="229"/>
        </w:trPr>
        <w:tc>
          <w:tcPr>
            <w:tcW w:w="1358" w:type="pct"/>
            <w:tcBorders>
              <w:bottom w:val="single" w:sz="4" w:space="0" w:color="auto"/>
              <w:right w:val="single" w:sz="4" w:space="0" w:color="auto"/>
            </w:tcBorders>
          </w:tcPr>
          <w:p w14:paraId="67FC72BB" w14:textId="5FA9262D" w:rsidR="000A2785" w:rsidRPr="006A1EDE" w:rsidRDefault="000A2785" w:rsidP="008241B5">
            <w:pPr>
              <w:pStyle w:val="TableText0"/>
            </w:pPr>
            <w:r w:rsidRPr="006A1EDE">
              <w:t>PFS at 18 months (95% CI)</w:t>
            </w:r>
          </w:p>
        </w:tc>
        <w:tc>
          <w:tcPr>
            <w:tcW w:w="796" w:type="pct"/>
            <w:tcBorders>
              <w:left w:val="single" w:sz="4" w:space="0" w:color="auto"/>
              <w:bottom w:val="single" w:sz="4" w:space="0" w:color="auto"/>
              <w:right w:val="single" w:sz="4" w:space="0" w:color="auto"/>
            </w:tcBorders>
            <w:vAlign w:val="center"/>
          </w:tcPr>
          <w:p w14:paraId="5ACA5DED" w14:textId="1E76DB3B" w:rsidR="000A2785" w:rsidRPr="006A1EDE" w:rsidRDefault="000A2785" w:rsidP="008241B5">
            <w:pPr>
              <w:pStyle w:val="TableText0"/>
              <w:jc w:val="center"/>
            </w:pPr>
            <w:r w:rsidRPr="006A1EDE">
              <w:t>35.1 (30.1, 40.3)</w:t>
            </w:r>
          </w:p>
        </w:tc>
        <w:tc>
          <w:tcPr>
            <w:tcW w:w="835" w:type="pct"/>
            <w:tcBorders>
              <w:left w:val="single" w:sz="4" w:space="0" w:color="auto"/>
              <w:bottom w:val="single" w:sz="4" w:space="0" w:color="auto"/>
              <w:right w:val="single" w:sz="4" w:space="0" w:color="auto"/>
            </w:tcBorders>
            <w:vAlign w:val="center"/>
          </w:tcPr>
          <w:p w14:paraId="20823FD1" w14:textId="091BD87F" w:rsidR="000A2785" w:rsidRPr="006A1EDE" w:rsidRDefault="000A2785" w:rsidP="008241B5">
            <w:pPr>
              <w:pStyle w:val="TableText0"/>
              <w:jc w:val="center"/>
            </w:pPr>
            <w:r w:rsidRPr="006A1EDE">
              <w:t>23.6 (18.8, 28.7)</w:t>
            </w:r>
          </w:p>
        </w:tc>
        <w:tc>
          <w:tcPr>
            <w:tcW w:w="1107" w:type="pct"/>
            <w:tcBorders>
              <w:left w:val="single" w:sz="4" w:space="0" w:color="auto"/>
              <w:bottom w:val="single" w:sz="4" w:space="0" w:color="auto"/>
              <w:right w:val="single" w:sz="4" w:space="0" w:color="auto"/>
            </w:tcBorders>
            <w:vAlign w:val="center"/>
          </w:tcPr>
          <w:p w14:paraId="3FD6EBEC" w14:textId="19B03685" w:rsidR="000A2785" w:rsidRPr="006A1EDE" w:rsidRDefault="000A2785" w:rsidP="008241B5">
            <w:pPr>
              <w:pStyle w:val="TableText0"/>
              <w:jc w:val="center"/>
            </w:pPr>
            <w:r w:rsidRPr="006A1EDE">
              <w:t>11.5%</w:t>
            </w:r>
          </w:p>
        </w:tc>
        <w:tc>
          <w:tcPr>
            <w:tcW w:w="904" w:type="pct"/>
            <w:tcBorders>
              <w:top w:val="nil"/>
              <w:left w:val="single" w:sz="4" w:space="0" w:color="auto"/>
              <w:bottom w:val="nil"/>
              <w:right w:val="single" w:sz="4" w:space="0" w:color="auto"/>
            </w:tcBorders>
          </w:tcPr>
          <w:p w14:paraId="3325A303" w14:textId="77777777" w:rsidR="000A2785" w:rsidRPr="003D578A" w:rsidRDefault="000A2785" w:rsidP="008241B5">
            <w:pPr>
              <w:pStyle w:val="TableText0"/>
              <w:jc w:val="center"/>
              <w:rPr>
                <w:szCs w:val="20"/>
              </w:rPr>
            </w:pPr>
          </w:p>
        </w:tc>
      </w:tr>
      <w:tr w:rsidR="000A2785" w:rsidRPr="003D578A" w14:paraId="51FB7CD6" w14:textId="77777777" w:rsidTr="000A2785">
        <w:trPr>
          <w:trHeight w:val="229"/>
        </w:trPr>
        <w:tc>
          <w:tcPr>
            <w:tcW w:w="1358" w:type="pct"/>
            <w:tcBorders>
              <w:bottom w:val="single" w:sz="4" w:space="0" w:color="auto"/>
              <w:right w:val="single" w:sz="4" w:space="0" w:color="auto"/>
            </w:tcBorders>
          </w:tcPr>
          <w:p w14:paraId="594814D4" w14:textId="2C3B59E0" w:rsidR="000A2785" w:rsidRPr="006A1EDE" w:rsidRDefault="000A2785" w:rsidP="008241B5">
            <w:pPr>
              <w:pStyle w:val="TableText0"/>
            </w:pPr>
            <w:r w:rsidRPr="006A1EDE">
              <w:t>PFS at 24 months (95% CI)</w:t>
            </w:r>
          </w:p>
        </w:tc>
        <w:tc>
          <w:tcPr>
            <w:tcW w:w="796" w:type="pct"/>
            <w:tcBorders>
              <w:left w:val="single" w:sz="4" w:space="0" w:color="auto"/>
              <w:bottom w:val="single" w:sz="4" w:space="0" w:color="auto"/>
              <w:right w:val="single" w:sz="4" w:space="0" w:color="auto"/>
            </w:tcBorders>
            <w:vAlign w:val="center"/>
          </w:tcPr>
          <w:p w14:paraId="3D53F463" w14:textId="1BA57FFD" w:rsidR="000A2785" w:rsidRPr="006A1EDE" w:rsidRDefault="000A2785" w:rsidP="008241B5">
            <w:pPr>
              <w:pStyle w:val="TableText0"/>
              <w:jc w:val="center"/>
            </w:pPr>
            <w:r w:rsidRPr="006A1EDE">
              <w:t>26.0 (20.7, 31.5)</w:t>
            </w:r>
          </w:p>
        </w:tc>
        <w:tc>
          <w:tcPr>
            <w:tcW w:w="835" w:type="pct"/>
            <w:tcBorders>
              <w:left w:val="single" w:sz="4" w:space="0" w:color="auto"/>
              <w:bottom w:val="single" w:sz="4" w:space="0" w:color="auto"/>
              <w:right w:val="single" w:sz="4" w:space="0" w:color="auto"/>
            </w:tcBorders>
            <w:vAlign w:val="center"/>
          </w:tcPr>
          <w:p w14:paraId="58D35EF8" w14:textId="17C2690F" w:rsidR="000A2785" w:rsidRPr="006A1EDE" w:rsidRDefault="000A2785" w:rsidP="008241B5">
            <w:pPr>
              <w:pStyle w:val="TableText0"/>
              <w:jc w:val="center"/>
            </w:pPr>
            <w:r w:rsidRPr="006A1EDE">
              <w:t>15.3 (10.6, 20.8)</w:t>
            </w:r>
          </w:p>
        </w:tc>
        <w:tc>
          <w:tcPr>
            <w:tcW w:w="1107" w:type="pct"/>
            <w:tcBorders>
              <w:left w:val="single" w:sz="4" w:space="0" w:color="auto"/>
              <w:bottom w:val="single" w:sz="4" w:space="0" w:color="auto"/>
              <w:right w:val="single" w:sz="4" w:space="0" w:color="auto"/>
            </w:tcBorders>
            <w:vAlign w:val="center"/>
          </w:tcPr>
          <w:p w14:paraId="3FEF243D" w14:textId="5ABB50E4" w:rsidR="000A2785" w:rsidRPr="006A1EDE" w:rsidRDefault="000A2785" w:rsidP="008241B5">
            <w:pPr>
              <w:pStyle w:val="TableText0"/>
              <w:jc w:val="center"/>
            </w:pPr>
            <w:r w:rsidRPr="006A1EDE">
              <w:t>10.7%</w:t>
            </w:r>
          </w:p>
        </w:tc>
        <w:tc>
          <w:tcPr>
            <w:tcW w:w="904" w:type="pct"/>
            <w:tcBorders>
              <w:top w:val="nil"/>
              <w:left w:val="single" w:sz="4" w:space="0" w:color="auto"/>
              <w:bottom w:val="single" w:sz="4" w:space="0" w:color="auto"/>
              <w:right w:val="single" w:sz="4" w:space="0" w:color="auto"/>
            </w:tcBorders>
          </w:tcPr>
          <w:p w14:paraId="544E1153" w14:textId="77777777" w:rsidR="000A2785" w:rsidRPr="003D578A" w:rsidRDefault="000A2785" w:rsidP="008241B5">
            <w:pPr>
              <w:pStyle w:val="TableText0"/>
              <w:jc w:val="center"/>
              <w:rPr>
                <w:szCs w:val="20"/>
              </w:rPr>
            </w:pPr>
          </w:p>
        </w:tc>
      </w:tr>
      <w:tr w:rsidR="000A2785" w:rsidRPr="003D578A" w14:paraId="460E0DA2" w14:textId="77777777" w:rsidTr="000A2785">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5ED9230" w14:textId="77777777" w:rsidR="000A2785" w:rsidRPr="003D578A" w:rsidRDefault="000A2785" w:rsidP="008241B5">
            <w:pPr>
              <w:pStyle w:val="In-tableHeading"/>
              <w:keepNext/>
              <w:rPr>
                <w:i w:val="0"/>
                <w:iCs w:val="0"/>
              </w:rPr>
            </w:pPr>
            <w:r w:rsidRPr="003D578A">
              <w:rPr>
                <w:i w:val="0"/>
                <w:iCs w:val="0"/>
              </w:rPr>
              <w:t>Overall survival (IA2; DCO March 2025)</w:t>
            </w:r>
          </w:p>
        </w:tc>
      </w:tr>
      <w:tr w:rsidR="000A2785" w:rsidRPr="003D578A" w14:paraId="0BE9EF14" w14:textId="77777777" w:rsidTr="000A2785">
        <w:trPr>
          <w:trHeight w:val="20"/>
        </w:trPr>
        <w:tc>
          <w:tcPr>
            <w:tcW w:w="1358" w:type="pct"/>
            <w:tcBorders>
              <w:bottom w:val="single" w:sz="4" w:space="0" w:color="auto"/>
            </w:tcBorders>
          </w:tcPr>
          <w:p w14:paraId="242DE3A8" w14:textId="77777777" w:rsidR="000A2785" w:rsidRPr="003D578A" w:rsidRDefault="000A2785" w:rsidP="008241B5">
            <w:pPr>
              <w:pStyle w:val="TableText0"/>
              <w:rPr>
                <w:b/>
                <w:bCs w:val="0"/>
              </w:rPr>
            </w:pPr>
            <w:r w:rsidRPr="003D578A">
              <w:rPr>
                <w:b/>
                <w:bCs w:val="0"/>
              </w:rPr>
              <w:t>Median duration of follow-up</w:t>
            </w:r>
          </w:p>
        </w:tc>
        <w:tc>
          <w:tcPr>
            <w:tcW w:w="796" w:type="pct"/>
            <w:tcBorders>
              <w:bottom w:val="single" w:sz="4" w:space="0" w:color="auto"/>
            </w:tcBorders>
          </w:tcPr>
          <w:p w14:paraId="0F837BC7" w14:textId="77777777" w:rsidR="000A2785" w:rsidRPr="003D578A" w:rsidRDefault="000A2785" w:rsidP="008241B5">
            <w:pPr>
              <w:pStyle w:val="TableText0"/>
              <w:jc w:val="center"/>
              <w:rPr>
                <w:rFonts w:cs="Times New Roman"/>
                <w:szCs w:val="20"/>
              </w:rPr>
            </w:pPr>
            <w:r w:rsidRPr="003D578A">
              <w:t>27.6 months</w:t>
            </w:r>
          </w:p>
        </w:tc>
        <w:tc>
          <w:tcPr>
            <w:tcW w:w="835" w:type="pct"/>
            <w:tcBorders>
              <w:bottom w:val="single" w:sz="4" w:space="0" w:color="auto"/>
            </w:tcBorders>
          </w:tcPr>
          <w:p w14:paraId="4230294E" w14:textId="77777777" w:rsidR="000A2785" w:rsidRPr="003D578A" w:rsidRDefault="000A2785" w:rsidP="008241B5">
            <w:pPr>
              <w:pStyle w:val="TableText0"/>
              <w:jc w:val="center"/>
              <w:rPr>
                <w:rFonts w:cs="Times New Roman"/>
                <w:szCs w:val="20"/>
              </w:rPr>
            </w:pPr>
            <w:r w:rsidRPr="003D578A">
              <w:t>25.0 months</w:t>
            </w:r>
          </w:p>
        </w:tc>
        <w:tc>
          <w:tcPr>
            <w:tcW w:w="1107" w:type="pct"/>
            <w:vMerge w:val="restart"/>
            <w:tcBorders>
              <w:top w:val="single" w:sz="4" w:space="0" w:color="auto"/>
              <w:left w:val="single" w:sz="4" w:space="0" w:color="auto"/>
              <w:right w:val="single" w:sz="4" w:space="0" w:color="auto"/>
            </w:tcBorders>
            <w:vAlign w:val="center"/>
          </w:tcPr>
          <w:p w14:paraId="4CAD6F06" w14:textId="77777777" w:rsidR="000A2785" w:rsidRPr="003D578A" w:rsidRDefault="000A2785" w:rsidP="008241B5">
            <w:pPr>
              <w:pStyle w:val="TableText0"/>
              <w:jc w:val="center"/>
            </w:pPr>
            <w:r w:rsidRPr="003D578A">
              <w:t>-</w:t>
            </w:r>
          </w:p>
        </w:tc>
        <w:tc>
          <w:tcPr>
            <w:tcW w:w="904" w:type="pct"/>
            <w:vMerge w:val="restart"/>
            <w:tcBorders>
              <w:top w:val="single" w:sz="4" w:space="0" w:color="auto"/>
              <w:left w:val="single" w:sz="4" w:space="0" w:color="auto"/>
              <w:right w:val="single" w:sz="4" w:space="0" w:color="auto"/>
            </w:tcBorders>
          </w:tcPr>
          <w:p w14:paraId="34892347" w14:textId="77777777" w:rsidR="000A2785" w:rsidRPr="003D578A" w:rsidRDefault="000A2785" w:rsidP="008241B5">
            <w:pPr>
              <w:pStyle w:val="TableText0"/>
              <w:jc w:val="center"/>
              <w:rPr>
                <w:szCs w:val="20"/>
              </w:rPr>
            </w:pPr>
            <w:r w:rsidRPr="003D578A">
              <w:rPr>
                <w:szCs w:val="20"/>
              </w:rPr>
              <w:t>0.79 (0.66, 0.94)</w:t>
            </w:r>
          </w:p>
          <w:p w14:paraId="0C1B3C6E" w14:textId="77777777" w:rsidR="000A2785" w:rsidRPr="003D578A" w:rsidRDefault="000A2785" w:rsidP="008241B5">
            <w:pPr>
              <w:pStyle w:val="TableText0"/>
              <w:jc w:val="center"/>
              <w:rPr>
                <w:bCs w:val="0"/>
                <w:szCs w:val="20"/>
              </w:rPr>
            </w:pPr>
            <w:r w:rsidRPr="003D578A">
              <w:rPr>
                <w:bCs w:val="0"/>
                <w:szCs w:val="20"/>
              </w:rPr>
              <w:t>No formal statistical analysis</w:t>
            </w:r>
          </w:p>
        </w:tc>
      </w:tr>
      <w:tr w:rsidR="000A2785" w:rsidRPr="003D578A" w14:paraId="7EC7BCB2" w14:textId="77777777" w:rsidTr="000A2785">
        <w:trPr>
          <w:trHeight w:val="20"/>
        </w:trPr>
        <w:tc>
          <w:tcPr>
            <w:tcW w:w="1358" w:type="pct"/>
            <w:tcBorders>
              <w:top w:val="single" w:sz="4" w:space="0" w:color="auto"/>
              <w:left w:val="single" w:sz="4" w:space="0" w:color="auto"/>
              <w:bottom w:val="single" w:sz="4" w:space="0" w:color="auto"/>
              <w:right w:val="single" w:sz="4" w:space="0" w:color="auto"/>
            </w:tcBorders>
          </w:tcPr>
          <w:p w14:paraId="28857EB3" w14:textId="77777777" w:rsidR="000A2785" w:rsidRPr="003D578A" w:rsidRDefault="000A2785" w:rsidP="008241B5">
            <w:pPr>
              <w:pStyle w:val="TableText0"/>
            </w:pPr>
            <w:r w:rsidRPr="003D578A">
              <w:t xml:space="preserve">Deaths, n/N (%) </w:t>
            </w:r>
          </w:p>
        </w:tc>
        <w:tc>
          <w:tcPr>
            <w:tcW w:w="796" w:type="pct"/>
            <w:tcBorders>
              <w:top w:val="single" w:sz="4" w:space="0" w:color="auto"/>
              <w:left w:val="single" w:sz="4" w:space="0" w:color="auto"/>
              <w:bottom w:val="single" w:sz="4" w:space="0" w:color="auto"/>
              <w:right w:val="single" w:sz="4" w:space="0" w:color="auto"/>
            </w:tcBorders>
            <w:vAlign w:val="center"/>
          </w:tcPr>
          <w:p w14:paraId="245A67DB" w14:textId="77777777" w:rsidR="000A2785" w:rsidRPr="003D578A" w:rsidRDefault="000A2785" w:rsidP="008241B5">
            <w:pPr>
              <w:pStyle w:val="TableText0"/>
              <w:jc w:val="center"/>
            </w:pPr>
            <w:r w:rsidRPr="003D578A">
              <w:rPr>
                <w:rFonts w:cs="Times New Roman"/>
                <w:szCs w:val="20"/>
              </w:rPr>
              <w:t>232/436 (53.2%)</w:t>
            </w:r>
          </w:p>
        </w:tc>
        <w:tc>
          <w:tcPr>
            <w:tcW w:w="835" w:type="pct"/>
            <w:tcBorders>
              <w:top w:val="single" w:sz="4" w:space="0" w:color="auto"/>
              <w:left w:val="single" w:sz="4" w:space="0" w:color="auto"/>
              <w:bottom w:val="single" w:sz="4" w:space="0" w:color="auto"/>
              <w:right w:val="single" w:sz="4" w:space="0" w:color="auto"/>
            </w:tcBorders>
            <w:vAlign w:val="center"/>
          </w:tcPr>
          <w:p w14:paraId="3B4EF355" w14:textId="77777777" w:rsidR="000A2785" w:rsidRPr="003D578A" w:rsidRDefault="000A2785" w:rsidP="008241B5">
            <w:pPr>
              <w:pStyle w:val="TableText0"/>
              <w:jc w:val="center"/>
            </w:pPr>
            <w:r w:rsidRPr="003D578A">
              <w:rPr>
                <w:rFonts w:cs="Times New Roman"/>
                <w:szCs w:val="20"/>
              </w:rPr>
              <w:t>253/430 (58.8%)</w:t>
            </w:r>
          </w:p>
        </w:tc>
        <w:tc>
          <w:tcPr>
            <w:tcW w:w="1107" w:type="pct"/>
            <w:vMerge/>
            <w:tcBorders>
              <w:left w:val="single" w:sz="4" w:space="0" w:color="auto"/>
              <w:bottom w:val="single" w:sz="4" w:space="0" w:color="auto"/>
              <w:right w:val="single" w:sz="4" w:space="0" w:color="auto"/>
            </w:tcBorders>
            <w:vAlign w:val="center"/>
          </w:tcPr>
          <w:p w14:paraId="5ED9D540" w14:textId="77777777" w:rsidR="000A2785" w:rsidRPr="003D578A" w:rsidRDefault="000A2785" w:rsidP="008241B5">
            <w:pPr>
              <w:pStyle w:val="TableText0"/>
              <w:jc w:val="center"/>
            </w:pPr>
          </w:p>
        </w:tc>
        <w:tc>
          <w:tcPr>
            <w:tcW w:w="904" w:type="pct"/>
            <w:vMerge/>
            <w:tcBorders>
              <w:left w:val="single" w:sz="4" w:space="0" w:color="auto"/>
              <w:right w:val="single" w:sz="4" w:space="0" w:color="auto"/>
            </w:tcBorders>
          </w:tcPr>
          <w:p w14:paraId="65D6DC21" w14:textId="77777777" w:rsidR="000A2785" w:rsidRPr="003D578A" w:rsidRDefault="000A2785" w:rsidP="008241B5">
            <w:pPr>
              <w:pStyle w:val="TableText0"/>
              <w:jc w:val="center"/>
              <w:rPr>
                <w:szCs w:val="20"/>
              </w:rPr>
            </w:pPr>
          </w:p>
        </w:tc>
      </w:tr>
      <w:tr w:rsidR="000A2785" w:rsidRPr="003D578A" w14:paraId="0AB9DD5C" w14:textId="77777777" w:rsidTr="000A2785">
        <w:trPr>
          <w:trHeight w:val="20"/>
        </w:trPr>
        <w:tc>
          <w:tcPr>
            <w:tcW w:w="1358" w:type="pct"/>
            <w:tcBorders>
              <w:top w:val="single" w:sz="4" w:space="0" w:color="auto"/>
              <w:left w:val="single" w:sz="4" w:space="0" w:color="auto"/>
              <w:bottom w:val="single" w:sz="4" w:space="0" w:color="auto"/>
              <w:right w:val="single" w:sz="4" w:space="0" w:color="auto"/>
            </w:tcBorders>
          </w:tcPr>
          <w:p w14:paraId="4F9EE948" w14:textId="77777777" w:rsidR="000A2785" w:rsidRPr="003D578A" w:rsidRDefault="000A2785" w:rsidP="008241B5">
            <w:pPr>
              <w:pStyle w:val="TableText0"/>
            </w:pPr>
            <w:r w:rsidRPr="003D578A">
              <w:t>Median OS, months (95% CI)</w:t>
            </w:r>
          </w:p>
        </w:tc>
        <w:tc>
          <w:tcPr>
            <w:tcW w:w="796" w:type="pct"/>
            <w:tcBorders>
              <w:top w:val="single" w:sz="4" w:space="0" w:color="auto"/>
              <w:left w:val="single" w:sz="4" w:space="0" w:color="auto"/>
              <w:bottom w:val="single" w:sz="4" w:space="0" w:color="auto"/>
              <w:right w:val="single" w:sz="4" w:space="0" w:color="auto"/>
            </w:tcBorders>
            <w:vAlign w:val="center"/>
          </w:tcPr>
          <w:p w14:paraId="1E68494C" w14:textId="77777777" w:rsidR="000A2785" w:rsidRPr="003D578A" w:rsidRDefault="000A2785" w:rsidP="008241B5">
            <w:pPr>
              <w:pStyle w:val="TableText0"/>
              <w:jc w:val="center"/>
              <w:rPr>
                <w:rFonts w:cs="Times New Roman"/>
                <w:szCs w:val="20"/>
              </w:rPr>
            </w:pPr>
            <w:r w:rsidRPr="003D578A">
              <w:t>30.5 (28.4, 33.3)</w:t>
            </w:r>
          </w:p>
        </w:tc>
        <w:tc>
          <w:tcPr>
            <w:tcW w:w="835" w:type="pct"/>
            <w:tcBorders>
              <w:top w:val="single" w:sz="4" w:space="0" w:color="auto"/>
              <w:left w:val="single" w:sz="4" w:space="0" w:color="auto"/>
              <w:bottom w:val="single" w:sz="4" w:space="0" w:color="auto"/>
              <w:right w:val="single" w:sz="4" w:space="0" w:color="auto"/>
            </w:tcBorders>
            <w:vAlign w:val="center"/>
          </w:tcPr>
          <w:p w14:paraId="21D0AFCB" w14:textId="77777777" w:rsidR="000A2785" w:rsidRPr="003D578A" w:rsidRDefault="000A2785" w:rsidP="008241B5">
            <w:pPr>
              <w:pStyle w:val="TableText0"/>
              <w:jc w:val="center"/>
              <w:rPr>
                <w:rFonts w:cs="Times New Roman"/>
                <w:szCs w:val="20"/>
              </w:rPr>
            </w:pPr>
            <w:r w:rsidRPr="003D578A">
              <w:t>27.2 (24.7, 29.2)</w:t>
            </w:r>
          </w:p>
        </w:tc>
        <w:tc>
          <w:tcPr>
            <w:tcW w:w="1107" w:type="pct"/>
            <w:tcBorders>
              <w:top w:val="single" w:sz="4" w:space="0" w:color="auto"/>
              <w:left w:val="single" w:sz="4" w:space="0" w:color="auto"/>
              <w:bottom w:val="single" w:sz="4" w:space="0" w:color="auto"/>
              <w:right w:val="single" w:sz="4" w:space="0" w:color="auto"/>
            </w:tcBorders>
            <w:vAlign w:val="center"/>
          </w:tcPr>
          <w:p w14:paraId="5DF4C7A6" w14:textId="77777777" w:rsidR="000A2785" w:rsidRPr="003D578A" w:rsidRDefault="000A2785" w:rsidP="008241B5">
            <w:pPr>
              <w:pStyle w:val="TableText0"/>
              <w:jc w:val="center"/>
            </w:pPr>
            <w:r w:rsidRPr="003D578A">
              <w:t>3.3</w:t>
            </w:r>
          </w:p>
        </w:tc>
        <w:tc>
          <w:tcPr>
            <w:tcW w:w="904" w:type="pct"/>
            <w:vMerge/>
            <w:tcBorders>
              <w:left w:val="single" w:sz="4" w:space="0" w:color="auto"/>
              <w:right w:val="single" w:sz="4" w:space="0" w:color="auto"/>
            </w:tcBorders>
          </w:tcPr>
          <w:p w14:paraId="129C2165" w14:textId="77777777" w:rsidR="000A2785" w:rsidRPr="003D578A" w:rsidRDefault="000A2785" w:rsidP="008241B5">
            <w:pPr>
              <w:pStyle w:val="TableText0"/>
              <w:jc w:val="center"/>
              <w:rPr>
                <w:szCs w:val="20"/>
              </w:rPr>
            </w:pPr>
          </w:p>
        </w:tc>
      </w:tr>
      <w:tr w:rsidR="000A2785" w:rsidRPr="003D578A" w14:paraId="0FE8AC74" w14:textId="77777777" w:rsidTr="000A2785">
        <w:trPr>
          <w:trHeight w:val="20"/>
        </w:trPr>
        <w:tc>
          <w:tcPr>
            <w:tcW w:w="1358" w:type="pct"/>
            <w:tcBorders>
              <w:top w:val="single" w:sz="4" w:space="0" w:color="auto"/>
              <w:left w:val="single" w:sz="4" w:space="0" w:color="auto"/>
              <w:bottom w:val="single" w:sz="4" w:space="0" w:color="auto"/>
              <w:right w:val="single" w:sz="4" w:space="0" w:color="auto"/>
            </w:tcBorders>
          </w:tcPr>
          <w:p w14:paraId="176DD8B5" w14:textId="77777777" w:rsidR="000A2785" w:rsidRPr="003D578A" w:rsidRDefault="000A2785" w:rsidP="008241B5">
            <w:pPr>
              <w:pStyle w:val="TableText0"/>
            </w:pPr>
            <w:r w:rsidRPr="003D578A">
              <w:t xml:space="preserve">Alive at 12 months (95% CI) </w:t>
            </w:r>
          </w:p>
        </w:tc>
        <w:tc>
          <w:tcPr>
            <w:tcW w:w="796" w:type="pct"/>
            <w:tcBorders>
              <w:top w:val="single" w:sz="4" w:space="0" w:color="auto"/>
              <w:left w:val="single" w:sz="4" w:space="0" w:color="auto"/>
              <w:bottom w:val="single" w:sz="4" w:space="0" w:color="auto"/>
              <w:right w:val="single" w:sz="4" w:space="0" w:color="auto"/>
            </w:tcBorders>
            <w:vAlign w:val="center"/>
          </w:tcPr>
          <w:p w14:paraId="6C1F59C3" w14:textId="77777777" w:rsidR="000A2785" w:rsidRPr="003D578A" w:rsidRDefault="000A2785" w:rsidP="008241B5">
            <w:pPr>
              <w:pStyle w:val="TableText0"/>
              <w:jc w:val="center"/>
            </w:pPr>
            <w:r w:rsidRPr="003D578A">
              <w:rPr>
                <w:rFonts w:cs="Arial"/>
                <w:szCs w:val="20"/>
                <w:lang w:bidi="en-US"/>
              </w:rPr>
              <w:t>87.0 (83.5, 89.9)</w:t>
            </w:r>
          </w:p>
        </w:tc>
        <w:tc>
          <w:tcPr>
            <w:tcW w:w="835" w:type="pct"/>
            <w:tcBorders>
              <w:top w:val="single" w:sz="4" w:space="0" w:color="auto"/>
              <w:left w:val="single" w:sz="4" w:space="0" w:color="auto"/>
              <w:bottom w:val="single" w:sz="4" w:space="0" w:color="auto"/>
              <w:right w:val="single" w:sz="4" w:space="0" w:color="auto"/>
            </w:tcBorders>
            <w:vAlign w:val="center"/>
          </w:tcPr>
          <w:p w14:paraId="09C38F05" w14:textId="77777777" w:rsidR="000A2785" w:rsidRPr="003D578A" w:rsidRDefault="000A2785" w:rsidP="008241B5">
            <w:pPr>
              <w:pStyle w:val="TableText0"/>
              <w:jc w:val="center"/>
              <w:rPr>
                <w:szCs w:val="20"/>
              </w:rPr>
            </w:pPr>
            <w:r w:rsidRPr="003D578A">
              <w:rPr>
                <w:rFonts w:cs="Arial"/>
                <w:szCs w:val="20"/>
                <w:lang w:bidi="en-US"/>
              </w:rPr>
              <w:t>81.1 (77.0, 84.6)</w:t>
            </w:r>
          </w:p>
        </w:tc>
        <w:tc>
          <w:tcPr>
            <w:tcW w:w="1107" w:type="pct"/>
            <w:tcBorders>
              <w:top w:val="single" w:sz="4" w:space="0" w:color="auto"/>
              <w:left w:val="single" w:sz="4" w:space="0" w:color="auto"/>
              <w:bottom w:val="single" w:sz="4" w:space="0" w:color="auto"/>
              <w:right w:val="single" w:sz="4" w:space="0" w:color="auto"/>
            </w:tcBorders>
            <w:vAlign w:val="center"/>
          </w:tcPr>
          <w:p w14:paraId="2E526BFD" w14:textId="77777777" w:rsidR="000A2785" w:rsidRPr="003D578A" w:rsidRDefault="000A2785" w:rsidP="008241B5">
            <w:pPr>
              <w:pStyle w:val="TableText0"/>
              <w:jc w:val="center"/>
            </w:pPr>
            <w:r w:rsidRPr="003D578A">
              <w:t>5.9%</w:t>
            </w:r>
          </w:p>
        </w:tc>
        <w:tc>
          <w:tcPr>
            <w:tcW w:w="904" w:type="pct"/>
            <w:vMerge/>
            <w:tcBorders>
              <w:left w:val="single" w:sz="4" w:space="0" w:color="auto"/>
              <w:right w:val="single" w:sz="4" w:space="0" w:color="auto"/>
            </w:tcBorders>
          </w:tcPr>
          <w:p w14:paraId="2B059317" w14:textId="77777777" w:rsidR="000A2785" w:rsidRPr="003D578A" w:rsidRDefault="000A2785" w:rsidP="008241B5">
            <w:pPr>
              <w:pStyle w:val="TableText0"/>
              <w:jc w:val="center"/>
            </w:pPr>
          </w:p>
        </w:tc>
      </w:tr>
      <w:tr w:rsidR="000A2785" w:rsidRPr="003D578A" w14:paraId="7A1FEA6D" w14:textId="77777777" w:rsidTr="000A2785">
        <w:trPr>
          <w:trHeight w:val="20"/>
        </w:trPr>
        <w:tc>
          <w:tcPr>
            <w:tcW w:w="1358" w:type="pct"/>
            <w:tcBorders>
              <w:top w:val="single" w:sz="4" w:space="0" w:color="auto"/>
              <w:left w:val="single" w:sz="4" w:space="0" w:color="auto"/>
              <w:bottom w:val="single" w:sz="4" w:space="0" w:color="auto"/>
              <w:right w:val="single" w:sz="4" w:space="0" w:color="auto"/>
            </w:tcBorders>
          </w:tcPr>
          <w:p w14:paraId="6C2CA279" w14:textId="77777777" w:rsidR="000A2785" w:rsidRPr="003D578A" w:rsidRDefault="000A2785" w:rsidP="008241B5">
            <w:pPr>
              <w:pStyle w:val="TableText0"/>
            </w:pPr>
            <w:r w:rsidRPr="003D578A">
              <w:t xml:space="preserve">Alive at 18 months (95% CI) </w:t>
            </w:r>
          </w:p>
        </w:tc>
        <w:tc>
          <w:tcPr>
            <w:tcW w:w="796" w:type="pct"/>
            <w:tcBorders>
              <w:top w:val="single" w:sz="4" w:space="0" w:color="auto"/>
              <w:left w:val="single" w:sz="4" w:space="0" w:color="auto"/>
              <w:bottom w:val="single" w:sz="4" w:space="0" w:color="auto"/>
              <w:right w:val="single" w:sz="4" w:space="0" w:color="auto"/>
            </w:tcBorders>
          </w:tcPr>
          <w:p w14:paraId="0761EEFA" w14:textId="77777777" w:rsidR="000A2785" w:rsidRPr="003D578A" w:rsidRDefault="000A2785" w:rsidP="008241B5">
            <w:pPr>
              <w:pStyle w:val="TableText0"/>
              <w:jc w:val="center"/>
              <w:rPr>
                <w:szCs w:val="20"/>
              </w:rPr>
            </w:pPr>
            <w:r w:rsidRPr="003D578A">
              <w:rPr>
                <w:rFonts w:cs="Arial"/>
                <w:szCs w:val="20"/>
                <w:lang w:bidi="en-US"/>
              </w:rPr>
              <w:t>74.9 (70.5, 78.7)</w:t>
            </w:r>
          </w:p>
        </w:tc>
        <w:tc>
          <w:tcPr>
            <w:tcW w:w="835" w:type="pct"/>
            <w:tcBorders>
              <w:top w:val="single" w:sz="4" w:space="0" w:color="auto"/>
              <w:left w:val="single" w:sz="4" w:space="0" w:color="auto"/>
              <w:bottom w:val="single" w:sz="4" w:space="0" w:color="auto"/>
              <w:right w:val="single" w:sz="4" w:space="0" w:color="auto"/>
            </w:tcBorders>
          </w:tcPr>
          <w:p w14:paraId="53199967" w14:textId="77777777" w:rsidR="000A2785" w:rsidRPr="003D578A" w:rsidRDefault="000A2785" w:rsidP="008241B5">
            <w:pPr>
              <w:pStyle w:val="TableText0"/>
              <w:jc w:val="center"/>
              <w:rPr>
                <w:szCs w:val="20"/>
              </w:rPr>
            </w:pPr>
            <w:r w:rsidRPr="003D578A">
              <w:rPr>
                <w:rFonts w:cs="Arial"/>
                <w:szCs w:val="20"/>
                <w:lang w:bidi="en-US"/>
              </w:rPr>
              <w:t>68.4 (63.6, 72.7)</w:t>
            </w:r>
          </w:p>
        </w:tc>
        <w:tc>
          <w:tcPr>
            <w:tcW w:w="1107" w:type="pct"/>
            <w:tcBorders>
              <w:top w:val="single" w:sz="4" w:space="0" w:color="auto"/>
              <w:left w:val="single" w:sz="4" w:space="0" w:color="auto"/>
              <w:bottom w:val="single" w:sz="4" w:space="0" w:color="auto"/>
              <w:right w:val="single" w:sz="4" w:space="0" w:color="auto"/>
            </w:tcBorders>
            <w:vAlign w:val="center"/>
          </w:tcPr>
          <w:p w14:paraId="181EE12F" w14:textId="77777777" w:rsidR="000A2785" w:rsidRPr="003D578A" w:rsidRDefault="000A2785" w:rsidP="008241B5">
            <w:pPr>
              <w:pStyle w:val="TableText0"/>
              <w:jc w:val="center"/>
            </w:pPr>
            <w:r w:rsidRPr="003D578A">
              <w:t>6.5%</w:t>
            </w:r>
          </w:p>
        </w:tc>
        <w:tc>
          <w:tcPr>
            <w:tcW w:w="904" w:type="pct"/>
            <w:vMerge/>
            <w:tcBorders>
              <w:left w:val="single" w:sz="4" w:space="0" w:color="auto"/>
              <w:bottom w:val="nil"/>
              <w:right w:val="single" w:sz="4" w:space="0" w:color="auto"/>
            </w:tcBorders>
          </w:tcPr>
          <w:p w14:paraId="73B1769A" w14:textId="77777777" w:rsidR="000A2785" w:rsidRPr="003D578A" w:rsidRDefault="000A2785" w:rsidP="008241B5">
            <w:pPr>
              <w:pStyle w:val="TableText0"/>
              <w:jc w:val="center"/>
            </w:pPr>
          </w:p>
        </w:tc>
      </w:tr>
    </w:tbl>
    <w:tbl>
      <w:tblPr>
        <w:tblW w:w="5000" w:type="pct"/>
        <w:tblLayout w:type="fixed"/>
        <w:tblCellMar>
          <w:left w:w="28" w:type="dxa"/>
          <w:right w:w="28" w:type="dxa"/>
        </w:tblCellMar>
        <w:tblLook w:val="04A0" w:firstRow="1" w:lastRow="0" w:firstColumn="1" w:lastColumn="0" w:noHBand="0" w:noVBand="1"/>
      </w:tblPr>
      <w:tblGrid>
        <w:gridCol w:w="2123"/>
        <w:gridCol w:w="1417"/>
        <w:gridCol w:w="1417"/>
        <w:gridCol w:w="992"/>
        <w:gridCol w:w="1277"/>
        <w:gridCol w:w="1791"/>
      </w:tblGrid>
      <w:tr w:rsidR="0081525E" w:rsidRPr="003D578A" w14:paraId="58B5200C" w14:textId="77777777" w:rsidTr="003D578A">
        <w:trPr>
          <w:trHeight w:val="20"/>
        </w:trPr>
        <w:tc>
          <w:tcPr>
            <w:tcW w:w="5000" w:type="pct"/>
            <w:gridSpan w:val="6"/>
            <w:tcBorders>
              <w:top w:val="double" w:sz="4" w:space="0" w:color="auto"/>
              <w:left w:val="single" w:sz="4" w:space="0" w:color="auto"/>
              <w:bottom w:val="single" w:sz="4" w:space="0" w:color="auto"/>
              <w:right w:val="single" w:sz="4" w:space="0" w:color="auto"/>
            </w:tcBorders>
            <w:vAlign w:val="center"/>
          </w:tcPr>
          <w:p w14:paraId="35715ACC" w14:textId="77777777" w:rsidR="0081525E" w:rsidRPr="003D578A" w:rsidRDefault="0081525E" w:rsidP="008241B5">
            <w:pPr>
              <w:pStyle w:val="In-tableHeading"/>
              <w:keepNext/>
              <w:rPr>
                <w:i w:val="0"/>
                <w:iCs w:val="0"/>
                <w:highlight w:val="yellow"/>
              </w:rPr>
            </w:pPr>
            <w:r w:rsidRPr="003D578A">
              <w:rPr>
                <w:i w:val="0"/>
                <w:iCs w:val="0"/>
              </w:rPr>
              <w:t xml:space="preserve">Harms </w:t>
            </w:r>
          </w:p>
        </w:tc>
      </w:tr>
      <w:tr w:rsidR="003D578A" w:rsidRPr="003D578A" w14:paraId="2918929D" w14:textId="77777777" w:rsidTr="003D578A">
        <w:trPr>
          <w:trHeight w:val="20"/>
        </w:trPr>
        <w:tc>
          <w:tcPr>
            <w:tcW w:w="1177" w:type="pct"/>
            <w:tcBorders>
              <w:top w:val="single" w:sz="4" w:space="0" w:color="auto"/>
              <w:left w:val="single" w:sz="4" w:space="0" w:color="auto"/>
              <w:bottom w:val="single" w:sz="4" w:space="0" w:color="auto"/>
              <w:right w:val="single" w:sz="4" w:space="0" w:color="auto"/>
            </w:tcBorders>
            <w:vAlign w:val="center"/>
          </w:tcPr>
          <w:p w14:paraId="379B4154" w14:textId="77777777" w:rsidR="003D578A" w:rsidRPr="003D578A" w:rsidRDefault="003D578A" w:rsidP="008241B5">
            <w:pPr>
              <w:pStyle w:val="In-tableHeading"/>
              <w:keepNext/>
              <w:rPr>
                <w:i w:val="0"/>
                <w:iCs w:val="0"/>
              </w:rPr>
            </w:pPr>
          </w:p>
        </w:tc>
        <w:tc>
          <w:tcPr>
            <w:tcW w:w="786" w:type="pct"/>
            <w:tcBorders>
              <w:top w:val="single" w:sz="4" w:space="0" w:color="auto"/>
              <w:bottom w:val="single" w:sz="4" w:space="0" w:color="auto"/>
              <w:right w:val="single" w:sz="4" w:space="0" w:color="auto"/>
            </w:tcBorders>
          </w:tcPr>
          <w:p w14:paraId="5A260C9B" w14:textId="77777777" w:rsidR="003D578A" w:rsidRPr="003D578A" w:rsidRDefault="003D578A" w:rsidP="008241B5">
            <w:pPr>
              <w:pStyle w:val="In-tableHeading"/>
              <w:keepNext/>
              <w:jc w:val="center"/>
              <w:rPr>
                <w:i w:val="0"/>
                <w:iCs w:val="0"/>
              </w:rPr>
            </w:pPr>
            <w:r w:rsidRPr="003D578A">
              <w:rPr>
                <w:i w:val="0"/>
                <w:iCs w:val="0"/>
              </w:rPr>
              <w:t>T-</w:t>
            </w:r>
            <w:proofErr w:type="spellStart"/>
            <w:r w:rsidRPr="003D578A">
              <w:rPr>
                <w:i w:val="0"/>
                <w:iCs w:val="0"/>
              </w:rPr>
              <w:t>DXd</w:t>
            </w:r>
            <w:proofErr w:type="spellEnd"/>
          </w:p>
          <w:p w14:paraId="00BE6F07" w14:textId="77777777" w:rsidR="003D578A" w:rsidRPr="003D578A" w:rsidRDefault="003D578A" w:rsidP="008241B5">
            <w:pPr>
              <w:pStyle w:val="In-tableHeading"/>
              <w:keepNext/>
              <w:jc w:val="center"/>
              <w:rPr>
                <w:i w:val="0"/>
                <w:iCs w:val="0"/>
              </w:rPr>
            </w:pPr>
            <w:r w:rsidRPr="003D578A">
              <w:rPr>
                <w:i w:val="0"/>
                <w:iCs w:val="0"/>
              </w:rPr>
              <w:t>n/N</w:t>
            </w:r>
          </w:p>
        </w:tc>
        <w:tc>
          <w:tcPr>
            <w:tcW w:w="786" w:type="pct"/>
            <w:tcBorders>
              <w:top w:val="single" w:sz="4" w:space="0" w:color="auto"/>
              <w:left w:val="single" w:sz="4" w:space="0" w:color="auto"/>
              <w:right w:val="single" w:sz="4" w:space="0" w:color="auto"/>
            </w:tcBorders>
          </w:tcPr>
          <w:p w14:paraId="24B6156B" w14:textId="77777777" w:rsidR="003D578A" w:rsidRPr="003D578A" w:rsidRDefault="003D578A" w:rsidP="008241B5">
            <w:pPr>
              <w:pStyle w:val="In-tableHeading"/>
              <w:keepNext/>
              <w:jc w:val="center"/>
              <w:rPr>
                <w:i w:val="0"/>
                <w:iCs w:val="0"/>
              </w:rPr>
            </w:pPr>
            <w:r w:rsidRPr="003D578A">
              <w:rPr>
                <w:i w:val="0"/>
                <w:iCs w:val="0"/>
              </w:rPr>
              <w:t>ICC</w:t>
            </w:r>
          </w:p>
          <w:p w14:paraId="78607459" w14:textId="77777777" w:rsidR="003D578A" w:rsidRPr="003D578A" w:rsidRDefault="003D578A" w:rsidP="008241B5">
            <w:pPr>
              <w:pStyle w:val="In-tableHeading"/>
              <w:keepNext/>
              <w:jc w:val="center"/>
              <w:rPr>
                <w:i w:val="0"/>
                <w:iCs w:val="0"/>
              </w:rPr>
            </w:pPr>
            <w:r w:rsidRPr="003D578A">
              <w:rPr>
                <w:i w:val="0"/>
                <w:iCs w:val="0"/>
              </w:rPr>
              <w:t>n/N</w:t>
            </w:r>
          </w:p>
        </w:tc>
        <w:tc>
          <w:tcPr>
            <w:tcW w:w="1258" w:type="pct"/>
            <w:gridSpan w:val="2"/>
            <w:vMerge w:val="restart"/>
            <w:tcBorders>
              <w:top w:val="single" w:sz="4" w:space="0" w:color="auto"/>
              <w:left w:val="single" w:sz="4" w:space="0" w:color="auto"/>
              <w:right w:val="single" w:sz="4" w:space="0" w:color="auto"/>
            </w:tcBorders>
            <w:vAlign w:val="center"/>
          </w:tcPr>
          <w:p w14:paraId="275C74CE" w14:textId="77777777" w:rsidR="003D578A" w:rsidRPr="003D578A" w:rsidRDefault="003D578A" w:rsidP="008241B5">
            <w:pPr>
              <w:pStyle w:val="In-tableHeading"/>
              <w:keepNext/>
              <w:jc w:val="center"/>
              <w:rPr>
                <w:i w:val="0"/>
                <w:iCs w:val="0"/>
              </w:rPr>
            </w:pPr>
            <w:r w:rsidRPr="003D578A">
              <w:rPr>
                <w:i w:val="0"/>
                <w:iCs w:val="0"/>
              </w:rPr>
              <w:t>Event rate/100 patients</w:t>
            </w:r>
          </w:p>
        </w:tc>
        <w:tc>
          <w:tcPr>
            <w:tcW w:w="993" w:type="pct"/>
            <w:vMerge w:val="restart"/>
            <w:tcBorders>
              <w:top w:val="single" w:sz="4" w:space="0" w:color="auto"/>
              <w:left w:val="single" w:sz="4" w:space="0" w:color="auto"/>
              <w:right w:val="single" w:sz="4" w:space="0" w:color="auto"/>
            </w:tcBorders>
            <w:vAlign w:val="center"/>
          </w:tcPr>
          <w:p w14:paraId="20F9C573" w14:textId="780BEA7E" w:rsidR="003D578A" w:rsidRPr="003D578A" w:rsidRDefault="0007270E" w:rsidP="008241B5">
            <w:pPr>
              <w:pStyle w:val="In-tableHeading"/>
              <w:keepNext/>
              <w:jc w:val="center"/>
              <w:rPr>
                <w:i w:val="0"/>
                <w:iCs w:val="0"/>
              </w:rPr>
            </w:pPr>
            <w:r>
              <w:rPr>
                <w:i w:val="0"/>
                <w:iCs w:val="0"/>
              </w:rPr>
              <w:t>Absolute d</w:t>
            </w:r>
            <w:r w:rsidR="003D578A" w:rsidRPr="003D578A">
              <w:rPr>
                <w:i w:val="0"/>
                <w:iCs w:val="0"/>
              </w:rPr>
              <w:t xml:space="preserve">ifference </w:t>
            </w:r>
            <w:r w:rsidR="003D578A">
              <w:rPr>
                <w:i w:val="0"/>
                <w:iCs w:val="0"/>
              </w:rPr>
              <w:br/>
            </w:r>
            <w:r w:rsidR="003D578A" w:rsidRPr="003D578A">
              <w:rPr>
                <w:i w:val="0"/>
                <w:iCs w:val="0"/>
              </w:rPr>
              <w:t>(T-</w:t>
            </w:r>
            <w:proofErr w:type="spellStart"/>
            <w:r w:rsidR="003D578A" w:rsidRPr="003D578A">
              <w:rPr>
                <w:i w:val="0"/>
                <w:iCs w:val="0"/>
              </w:rPr>
              <w:t>DXd</w:t>
            </w:r>
            <w:proofErr w:type="spellEnd"/>
            <w:r w:rsidR="003D578A" w:rsidRPr="003D578A">
              <w:rPr>
                <w:i w:val="0"/>
                <w:iCs w:val="0"/>
              </w:rPr>
              <w:t xml:space="preserve"> </w:t>
            </w:r>
            <w:r>
              <w:t>vs.</w:t>
            </w:r>
            <w:r w:rsidR="003D578A">
              <w:t xml:space="preserve"> </w:t>
            </w:r>
            <w:r w:rsidR="003D578A" w:rsidRPr="003D578A">
              <w:rPr>
                <w:i w:val="0"/>
                <w:iCs w:val="0"/>
              </w:rPr>
              <w:t>ICC)</w:t>
            </w:r>
          </w:p>
        </w:tc>
      </w:tr>
      <w:tr w:rsidR="003D578A" w:rsidRPr="003D578A" w14:paraId="500D446F" w14:textId="77777777" w:rsidTr="003D578A">
        <w:trPr>
          <w:trHeight w:val="230"/>
        </w:trPr>
        <w:tc>
          <w:tcPr>
            <w:tcW w:w="1177" w:type="pct"/>
            <w:vMerge w:val="restart"/>
            <w:tcBorders>
              <w:top w:val="single" w:sz="4" w:space="0" w:color="auto"/>
              <w:left w:val="single" w:sz="4" w:space="0" w:color="auto"/>
              <w:bottom w:val="single" w:sz="4" w:space="0" w:color="auto"/>
              <w:right w:val="single" w:sz="4" w:space="0" w:color="auto"/>
            </w:tcBorders>
            <w:vAlign w:val="center"/>
          </w:tcPr>
          <w:p w14:paraId="2EBD4F9A" w14:textId="77777777" w:rsidR="003D578A" w:rsidRPr="003D578A" w:rsidRDefault="003D578A" w:rsidP="008241B5">
            <w:pPr>
              <w:pStyle w:val="In-tableHeading"/>
              <w:keepNext/>
              <w:rPr>
                <w:i w:val="0"/>
                <w:iCs w:val="0"/>
              </w:rPr>
            </w:pPr>
            <w:r w:rsidRPr="003D578A">
              <w:rPr>
                <w:i w:val="0"/>
                <w:iCs w:val="0"/>
              </w:rPr>
              <w:t>Median duration of follow-up (IA2)</w:t>
            </w:r>
          </w:p>
        </w:tc>
        <w:tc>
          <w:tcPr>
            <w:tcW w:w="786" w:type="pct"/>
            <w:vMerge w:val="restart"/>
            <w:tcBorders>
              <w:top w:val="single" w:sz="4" w:space="0" w:color="auto"/>
              <w:bottom w:val="single" w:sz="4" w:space="0" w:color="auto"/>
              <w:right w:val="single" w:sz="4" w:space="0" w:color="auto"/>
            </w:tcBorders>
          </w:tcPr>
          <w:p w14:paraId="2FA3941F" w14:textId="77777777" w:rsidR="003D578A" w:rsidRPr="003D578A" w:rsidRDefault="003D578A" w:rsidP="008241B5">
            <w:pPr>
              <w:pStyle w:val="In-tableHeading"/>
              <w:keepNext/>
              <w:jc w:val="center"/>
              <w:rPr>
                <w:b w:val="0"/>
                <w:bCs/>
                <w:i w:val="0"/>
                <w:iCs w:val="0"/>
              </w:rPr>
            </w:pPr>
            <w:r w:rsidRPr="003D578A">
              <w:rPr>
                <w:b w:val="0"/>
                <w:bCs/>
                <w:i w:val="0"/>
                <w:iCs w:val="0"/>
              </w:rPr>
              <w:t>27.6 months</w:t>
            </w:r>
          </w:p>
        </w:tc>
        <w:tc>
          <w:tcPr>
            <w:tcW w:w="786" w:type="pct"/>
            <w:vMerge w:val="restart"/>
            <w:tcBorders>
              <w:top w:val="single" w:sz="4" w:space="0" w:color="auto"/>
              <w:left w:val="single" w:sz="4" w:space="0" w:color="auto"/>
              <w:right w:val="single" w:sz="4" w:space="0" w:color="auto"/>
            </w:tcBorders>
          </w:tcPr>
          <w:p w14:paraId="3176468C" w14:textId="77777777" w:rsidR="003D578A" w:rsidRPr="003D578A" w:rsidRDefault="003D578A" w:rsidP="008241B5">
            <w:pPr>
              <w:pStyle w:val="In-tableHeading"/>
              <w:keepNext/>
              <w:jc w:val="center"/>
              <w:rPr>
                <w:b w:val="0"/>
                <w:bCs/>
                <w:i w:val="0"/>
                <w:iCs w:val="0"/>
              </w:rPr>
            </w:pPr>
            <w:r w:rsidRPr="003D578A">
              <w:rPr>
                <w:b w:val="0"/>
                <w:bCs/>
                <w:i w:val="0"/>
                <w:iCs w:val="0"/>
              </w:rPr>
              <w:t>25.2 months</w:t>
            </w:r>
          </w:p>
        </w:tc>
        <w:tc>
          <w:tcPr>
            <w:tcW w:w="1258" w:type="pct"/>
            <w:gridSpan w:val="2"/>
            <w:vMerge/>
            <w:tcBorders>
              <w:left w:val="single" w:sz="4" w:space="0" w:color="auto"/>
              <w:bottom w:val="single" w:sz="4" w:space="0" w:color="auto"/>
              <w:right w:val="single" w:sz="4" w:space="0" w:color="auto"/>
            </w:tcBorders>
            <w:vAlign w:val="center"/>
          </w:tcPr>
          <w:p w14:paraId="217D482C" w14:textId="77777777" w:rsidR="003D578A" w:rsidRPr="003D578A" w:rsidRDefault="003D578A" w:rsidP="008241B5">
            <w:pPr>
              <w:pStyle w:val="In-tableHeading"/>
              <w:keepNext/>
              <w:jc w:val="center"/>
              <w:rPr>
                <w:i w:val="0"/>
                <w:iCs w:val="0"/>
              </w:rPr>
            </w:pPr>
          </w:p>
        </w:tc>
        <w:tc>
          <w:tcPr>
            <w:tcW w:w="993" w:type="pct"/>
            <w:vMerge/>
            <w:tcBorders>
              <w:left w:val="single" w:sz="4" w:space="0" w:color="auto"/>
              <w:right w:val="single" w:sz="4" w:space="0" w:color="auto"/>
            </w:tcBorders>
            <w:vAlign w:val="center"/>
          </w:tcPr>
          <w:p w14:paraId="5E467542" w14:textId="48F7C642" w:rsidR="003D578A" w:rsidRPr="003D578A" w:rsidRDefault="003D578A" w:rsidP="008241B5">
            <w:pPr>
              <w:pStyle w:val="In-tableHeading"/>
              <w:keepNext/>
              <w:jc w:val="center"/>
              <w:rPr>
                <w:i w:val="0"/>
                <w:iCs w:val="0"/>
              </w:rPr>
            </w:pPr>
          </w:p>
        </w:tc>
      </w:tr>
      <w:tr w:rsidR="003D578A" w:rsidRPr="007032D5" w14:paraId="60807CC8" w14:textId="77777777" w:rsidTr="003D578A">
        <w:trPr>
          <w:trHeight w:val="20"/>
        </w:trPr>
        <w:tc>
          <w:tcPr>
            <w:tcW w:w="1177" w:type="pct"/>
            <w:vMerge/>
            <w:tcBorders>
              <w:top w:val="single" w:sz="4" w:space="0" w:color="auto"/>
              <w:left w:val="single" w:sz="4" w:space="0" w:color="auto"/>
              <w:bottom w:val="single" w:sz="4" w:space="0" w:color="auto"/>
              <w:right w:val="single" w:sz="4" w:space="0" w:color="auto"/>
            </w:tcBorders>
            <w:vAlign w:val="center"/>
          </w:tcPr>
          <w:p w14:paraId="28073FE6" w14:textId="77777777" w:rsidR="003D578A" w:rsidRPr="00452C9D" w:rsidRDefault="003D578A" w:rsidP="008241B5">
            <w:pPr>
              <w:pStyle w:val="In-tableHeading"/>
              <w:keepNext/>
            </w:pPr>
          </w:p>
        </w:tc>
        <w:tc>
          <w:tcPr>
            <w:tcW w:w="786" w:type="pct"/>
            <w:vMerge/>
            <w:tcBorders>
              <w:top w:val="single" w:sz="4" w:space="0" w:color="auto"/>
              <w:left w:val="single" w:sz="4" w:space="0" w:color="auto"/>
              <w:bottom w:val="single" w:sz="4" w:space="0" w:color="auto"/>
              <w:right w:val="single" w:sz="4" w:space="0" w:color="auto"/>
            </w:tcBorders>
            <w:vAlign w:val="center"/>
          </w:tcPr>
          <w:p w14:paraId="392B31C6" w14:textId="77777777" w:rsidR="003D578A" w:rsidRPr="00452C9D" w:rsidRDefault="003D578A" w:rsidP="008241B5">
            <w:pPr>
              <w:pStyle w:val="In-tableHeading"/>
              <w:keepNext/>
            </w:pPr>
          </w:p>
        </w:tc>
        <w:tc>
          <w:tcPr>
            <w:tcW w:w="786" w:type="pct"/>
            <w:vMerge/>
            <w:tcBorders>
              <w:left w:val="single" w:sz="4" w:space="0" w:color="auto"/>
              <w:bottom w:val="single" w:sz="4" w:space="0" w:color="auto"/>
              <w:right w:val="single" w:sz="4" w:space="0" w:color="auto"/>
            </w:tcBorders>
            <w:vAlign w:val="center"/>
          </w:tcPr>
          <w:p w14:paraId="49213CE4" w14:textId="77777777" w:rsidR="003D578A" w:rsidRPr="00452C9D" w:rsidRDefault="003D578A" w:rsidP="008241B5">
            <w:pPr>
              <w:pStyle w:val="In-tableHeading"/>
              <w:keepNext/>
            </w:pPr>
          </w:p>
        </w:tc>
        <w:tc>
          <w:tcPr>
            <w:tcW w:w="550" w:type="pct"/>
            <w:tcBorders>
              <w:top w:val="single" w:sz="4" w:space="0" w:color="auto"/>
              <w:bottom w:val="single" w:sz="4" w:space="0" w:color="auto"/>
              <w:right w:val="single" w:sz="4" w:space="0" w:color="auto"/>
            </w:tcBorders>
          </w:tcPr>
          <w:p w14:paraId="1B29C701" w14:textId="77777777" w:rsidR="003D578A" w:rsidRPr="003D578A" w:rsidRDefault="003D578A" w:rsidP="008241B5">
            <w:pPr>
              <w:pStyle w:val="In-tableHeading"/>
              <w:keepNext/>
              <w:jc w:val="center"/>
              <w:rPr>
                <w:i w:val="0"/>
                <w:iCs w:val="0"/>
              </w:rPr>
            </w:pPr>
            <w:r w:rsidRPr="003D578A">
              <w:rPr>
                <w:i w:val="0"/>
                <w:iCs w:val="0"/>
              </w:rPr>
              <w:t>T-</w:t>
            </w:r>
            <w:proofErr w:type="spellStart"/>
            <w:r w:rsidRPr="003D578A">
              <w:rPr>
                <w:i w:val="0"/>
                <w:iCs w:val="0"/>
              </w:rPr>
              <w:t>DXd</w:t>
            </w:r>
            <w:proofErr w:type="spellEnd"/>
          </w:p>
        </w:tc>
        <w:tc>
          <w:tcPr>
            <w:tcW w:w="708" w:type="pct"/>
            <w:tcBorders>
              <w:top w:val="single" w:sz="4" w:space="0" w:color="auto"/>
              <w:left w:val="single" w:sz="4" w:space="0" w:color="auto"/>
              <w:right w:val="single" w:sz="4" w:space="0" w:color="auto"/>
            </w:tcBorders>
          </w:tcPr>
          <w:p w14:paraId="2CC4327A" w14:textId="77777777" w:rsidR="003D578A" w:rsidRPr="003D578A" w:rsidRDefault="003D578A" w:rsidP="008241B5">
            <w:pPr>
              <w:pStyle w:val="In-tableHeading"/>
              <w:keepNext/>
              <w:jc w:val="center"/>
              <w:rPr>
                <w:i w:val="0"/>
                <w:iCs w:val="0"/>
              </w:rPr>
            </w:pPr>
            <w:r w:rsidRPr="003D578A">
              <w:rPr>
                <w:i w:val="0"/>
                <w:iCs w:val="0"/>
              </w:rPr>
              <w:t>ICC</w:t>
            </w:r>
          </w:p>
        </w:tc>
        <w:tc>
          <w:tcPr>
            <w:tcW w:w="993" w:type="pct"/>
            <w:vMerge/>
            <w:tcBorders>
              <w:left w:val="single" w:sz="4" w:space="0" w:color="auto"/>
              <w:bottom w:val="single" w:sz="4" w:space="0" w:color="auto"/>
              <w:right w:val="single" w:sz="4" w:space="0" w:color="auto"/>
            </w:tcBorders>
            <w:vAlign w:val="center"/>
          </w:tcPr>
          <w:p w14:paraId="7DD1463D" w14:textId="77777777" w:rsidR="003D578A" w:rsidRPr="00452C9D" w:rsidRDefault="003D578A" w:rsidP="008241B5">
            <w:pPr>
              <w:pStyle w:val="In-tableHeading"/>
              <w:keepNext/>
            </w:pPr>
          </w:p>
        </w:tc>
      </w:tr>
      <w:tr w:rsidR="0081525E" w:rsidRPr="007032D5" w14:paraId="11E5688B" w14:textId="77777777" w:rsidTr="003D578A">
        <w:trPr>
          <w:trHeight w:val="20"/>
        </w:trPr>
        <w:tc>
          <w:tcPr>
            <w:tcW w:w="1177" w:type="pct"/>
            <w:tcBorders>
              <w:top w:val="single" w:sz="4" w:space="0" w:color="auto"/>
              <w:left w:val="single" w:sz="4" w:space="0" w:color="auto"/>
              <w:bottom w:val="single" w:sz="4" w:space="0" w:color="auto"/>
              <w:right w:val="single" w:sz="4" w:space="0" w:color="auto"/>
            </w:tcBorders>
            <w:vAlign w:val="center"/>
          </w:tcPr>
          <w:p w14:paraId="3C3FF0C7" w14:textId="77777777" w:rsidR="0081525E" w:rsidRPr="00452C9D" w:rsidRDefault="0081525E" w:rsidP="008241B5">
            <w:pPr>
              <w:pStyle w:val="TableText0"/>
            </w:pPr>
            <w:r w:rsidRPr="00452C9D">
              <w:t xml:space="preserve">CTCAE Grade ≥ 3 possibly related to drug </w:t>
            </w:r>
          </w:p>
        </w:tc>
        <w:tc>
          <w:tcPr>
            <w:tcW w:w="786" w:type="pct"/>
            <w:tcBorders>
              <w:top w:val="single" w:sz="4" w:space="0" w:color="auto"/>
              <w:left w:val="single" w:sz="4" w:space="0" w:color="auto"/>
              <w:bottom w:val="single" w:sz="4" w:space="0" w:color="auto"/>
              <w:right w:val="single" w:sz="4" w:space="0" w:color="auto"/>
            </w:tcBorders>
            <w:vAlign w:val="center"/>
          </w:tcPr>
          <w:p w14:paraId="7C04E040" w14:textId="77777777" w:rsidR="0081525E" w:rsidRPr="00452C9D" w:rsidRDefault="0081525E" w:rsidP="008241B5">
            <w:pPr>
              <w:pStyle w:val="TableText0"/>
              <w:jc w:val="center"/>
            </w:pPr>
            <w:r w:rsidRPr="00452C9D">
              <w:t>182/434</w:t>
            </w:r>
          </w:p>
        </w:tc>
        <w:tc>
          <w:tcPr>
            <w:tcW w:w="786" w:type="pct"/>
            <w:tcBorders>
              <w:top w:val="single" w:sz="4" w:space="0" w:color="auto"/>
              <w:left w:val="single" w:sz="4" w:space="0" w:color="auto"/>
              <w:bottom w:val="single" w:sz="4" w:space="0" w:color="auto"/>
              <w:right w:val="single" w:sz="4" w:space="0" w:color="auto"/>
            </w:tcBorders>
            <w:vAlign w:val="center"/>
          </w:tcPr>
          <w:p w14:paraId="621BEEE9" w14:textId="77777777" w:rsidR="0081525E" w:rsidRPr="00452C9D" w:rsidRDefault="0081525E" w:rsidP="008241B5">
            <w:pPr>
              <w:pStyle w:val="TableText0"/>
              <w:jc w:val="center"/>
            </w:pPr>
            <w:r w:rsidRPr="00452C9D">
              <w:t>132/417</w:t>
            </w:r>
          </w:p>
        </w:tc>
        <w:tc>
          <w:tcPr>
            <w:tcW w:w="550" w:type="pct"/>
            <w:tcBorders>
              <w:top w:val="single" w:sz="4" w:space="0" w:color="auto"/>
              <w:left w:val="single" w:sz="4" w:space="0" w:color="auto"/>
              <w:bottom w:val="single" w:sz="4" w:space="0" w:color="auto"/>
              <w:right w:val="single" w:sz="4" w:space="0" w:color="auto"/>
            </w:tcBorders>
            <w:vAlign w:val="center"/>
          </w:tcPr>
          <w:p w14:paraId="64A93DA1" w14:textId="77777777" w:rsidR="0081525E" w:rsidRPr="00452C9D" w:rsidRDefault="0081525E" w:rsidP="008241B5">
            <w:pPr>
              <w:pStyle w:val="TableText0"/>
              <w:jc w:val="center"/>
            </w:pPr>
            <w:r w:rsidRPr="00452C9D">
              <w:t>42</w:t>
            </w:r>
          </w:p>
        </w:tc>
        <w:tc>
          <w:tcPr>
            <w:tcW w:w="708" w:type="pct"/>
            <w:tcBorders>
              <w:top w:val="single" w:sz="4" w:space="0" w:color="auto"/>
              <w:left w:val="single" w:sz="4" w:space="0" w:color="auto"/>
              <w:bottom w:val="single" w:sz="4" w:space="0" w:color="auto"/>
              <w:right w:val="single" w:sz="4" w:space="0" w:color="auto"/>
            </w:tcBorders>
            <w:vAlign w:val="center"/>
          </w:tcPr>
          <w:p w14:paraId="4BAE3349" w14:textId="77777777" w:rsidR="0081525E" w:rsidRPr="00452C9D" w:rsidRDefault="0081525E" w:rsidP="008241B5">
            <w:pPr>
              <w:pStyle w:val="TableText0"/>
              <w:jc w:val="center"/>
            </w:pPr>
            <w:r w:rsidRPr="00452C9D">
              <w:t>32</w:t>
            </w:r>
          </w:p>
        </w:tc>
        <w:tc>
          <w:tcPr>
            <w:tcW w:w="993" w:type="pct"/>
            <w:tcBorders>
              <w:top w:val="single" w:sz="4" w:space="0" w:color="auto"/>
              <w:left w:val="single" w:sz="4" w:space="0" w:color="auto"/>
              <w:bottom w:val="single" w:sz="4" w:space="0" w:color="auto"/>
              <w:right w:val="single" w:sz="4" w:space="0" w:color="auto"/>
            </w:tcBorders>
            <w:vAlign w:val="center"/>
          </w:tcPr>
          <w:p w14:paraId="74F263A3" w14:textId="77777777" w:rsidR="0081525E" w:rsidRPr="00452C9D" w:rsidRDefault="0081525E" w:rsidP="008241B5">
            <w:pPr>
              <w:pStyle w:val="TableText0"/>
              <w:jc w:val="center"/>
            </w:pPr>
            <w:r w:rsidRPr="00452C9D">
              <w:t xml:space="preserve">10 </w:t>
            </w:r>
          </w:p>
        </w:tc>
      </w:tr>
      <w:tr w:rsidR="0081525E" w:rsidRPr="007032D5" w14:paraId="0E12668B" w14:textId="77777777" w:rsidTr="003D578A">
        <w:trPr>
          <w:trHeight w:val="20"/>
        </w:trPr>
        <w:tc>
          <w:tcPr>
            <w:tcW w:w="1177" w:type="pct"/>
            <w:tcBorders>
              <w:top w:val="single" w:sz="4" w:space="0" w:color="auto"/>
              <w:left w:val="single" w:sz="4" w:space="0" w:color="auto"/>
              <w:bottom w:val="single" w:sz="4" w:space="0" w:color="auto"/>
              <w:right w:val="single" w:sz="4" w:space="0" w:color="auto"/>
            </w:tcBorders>
            <w:vAlign w:val="center"/>
          </w:tcPr>
          <w:p w14:paraId="28E84795" w14:textId="3B98AE10" w:rsidR="0081525E" w:rsidRPr="00452C9D" w:rsidRDefault="0081525E" w:rsidP="008241B5">
            <w:pPr>
              <w:pStyle w:val="TableText0"/>
            </w:pPr>
            <w:r>
              <w:t>A</w:t>
            </w:r>
            <w:r w:rsidRPr="00452C9D">
              <w:t>ny SAE, possibly related to treatment</w:t>
            </w:r>
          </w:p>
        </w:tc>
        <w:tc>
          <w:tcPr>
            <w:tcW w:w="786" w:type="pct"/>
            <w:tcBorders>
              <w:top w:val="single" w:sz="4" w:space="0" w:color="auto"/>
              <w:left w:val="single" w:sz="4" w:space="0" w:color="auto"/>
              <w:bottom w:val="single" w:sz="4" w:space="0" w:color="auto"/>
              <w:right w:val="single" w:sz="4" w:space="0" w:color="auto"/>
            </w:tcBorders>
            <w:vAlign w:val="center"/>
          </w:tcPr>
          <w:p w14:paraId="720EE39C" w14:textId="77777777" w:rsidR="0081525E" w:rsidRPr="00452C9D" w:rsidRDefault="0081525E" w:rsidP="008241B5">
            <w:pPr>
              <w:pStyle w:val="TableText0"/>
              <w:jc w:val="center"/>
            </w:pPr>
            <w:r>
              <w:t>47/434</w:t>
            </w:r>
          </w:p>
        </w:tc>
        <w:tc>
          <w:tcPr>
            <w:tcW w:w="786" w:type="pct"/>
            <w:tcBorders>
              <w:top w:val="single" w:sz="4" w:space="0" w:color="auto"/>
              <w:left w:val="single" w:sz="4" w:space="0" w:color="auto"/>
              <w:bottom w:val="single" w:sz="4" w:space="0" w:color="auto"/>
              <w:right w:val="single" w:sz="4" w:space="0" w:color="auto"/>
            </w:tcBorders>
            <w:vAlign w:val="center"/>
          </w:tcPr>
          <w:p w14:paraId="403ED8A0" w14:textId="77777777" w:rsidR="0081525E" w:rsidRPr="00452C9D" w:rsidRDefault="0081525E" w:rsidP="008241B5">
            <w:pPr>
              <w:pStyle w:val="TableText0"/>
              <w:jc w:val="center"/>
            </w:pPr>
            <w:r>
              <w:t>24/417</w:t>
            </w:r>
          </w:p>
        </w:tc>
        <w:tc>
          <w:tcPr>
            <w:tcW w:w="550" w:type="pct"/>
            <w:tcBorders>
              <w:top w:val="single" w:sz="4" w:space="0" w:color="auto"/>
              <w:left w:val="single" w:sz="4" w:space="0" w:color="auto"/>
              <w:bottom w:val="single" w:sz="4" w:space="0" w:color="auto"/>
              <w:right w:val="single" w:sz="4" w:space="0" w:color="auto"/>
            </w:tcBorders>
            <w:vAlign w:val="center"/>
          </w:tcPr>
          <w:p w14:paraId="46093CD4" w14:textId="77777777" w:rsidR="0081525E" w:rsidRPr="00452C9D" w:rsidRDefault="0081525E" w:rsidP="008241B5">
            <w:pPr>
              <w:pStyle w:val="TableText0"/>
              <w:jc w:val="center"/>
            </w:pPr>
            <w:r>
              <w:t>11</w:t>
            </w:r>
          </w:p>
        </w:tc>
        <w:tc>
          <w:tcPr>
            <w:tcW w:w="708" w:type="pct"/>
            <w:tcBorders>
              <w:top w:val="single" w:sz="4" w:space="0" w:color="auto"/>
              <w:left w:val="single" w:sz="4" w:space="0" w:color="auto"/>
              <w:bottom w:val="single" w:sz="4" w:space="0" w:color="auto"/>
              <w:right w:val="single" w:sz="4" w:space="0" w:color="auto"/>
            </w:tcBorders>
            <w:vAlign w:val="center"/>
          </w:tcPr>
          <w:p w14:paraId="6B6F6E86" w14:textId="77777777" w:rsidR="0081525E" w:rsidRPr="00452C9D" w:rsidRDefault="0081525E" w:rsidP="008241B5">
            <w:pPr>
              <w:pStyle w:val="TableText0"/>
              <w:jc w:val="center"/>
            </w:pPr>
            <w:r>
              <w:t>6</w:t>
            </w:r>
          </w:p>
        </w:tc>
        <w:tc>
          <w:tcPr>
            <w:tcW w:w="993" w:type="pct"/>
            <w:tcBorders>
              <w:top w:val="single" w:sz="4" w:space="0" w:color="auto"/>
              <w:left w:val="single" w:sz="4" w:space="0" w:color="auto"/>
              <w:bottom w:val="single" w:sz="4" w:space="0" w:color="auto"/>
              <w:right w:val="single" w:sz="4" w:space="0" w:color="auto"/>
            </w:tcBorders>
            <w:vAlign w:val="center"/>
          </w:tcPr>
          <w:p w14:paraId="2CEFFEE5" w14:textId="77777777" w:rsidR="0081525E" w:rsidRPr="00452C9D" w:rsidRDefault="0081525E" w:rsidP="008241B5">
            <w:pPr>
              <w:pStyle w:val="TableText0"/>
              <w:jc w:val="center"/>
            </w:pPr>
            <w:r>
              <w:t>5</w:t>
            </w:r>
          </w:p>
        </w:tc>
      </w:tr>
      <w:tr w:rsidR="0081525E" w:rsidRPr="007032D5" w14:paraId="78633132" w14:textId="77777777" w:rsidTr="003D578A">
        <w:trPr>
          <w:trHeight w:val="20"/>
        </w:trPr>
        <w:tc>
          <w:tcPr>
            <w:tcW w:w="1177" w:type="pct"/>
            <w:tcBorders>
              <w:top w:val="single" w:sz="4" w:space="0" w:color="auto"/>
              <w:left w:val="single" w:sz="4" w:space="0" w:color="auto"/>
              <w:bottom w:val="single" w:sz="4" w:space="0" w:color="auto"/>
              <w:right w:val="single" w:sz="4" w:space="0" w:color="auto"/>
            </w:tcBorders>
            <w:vAlign w:val="center"/>
          </w:tcPr>
          <w:p w14:paraId="72F4A3AE" w14:textId="77777777" w:rsidR="0081525E" w:rsidRDefault="0081525E" w:rsidP="008241B5">
            <w:pPr>
              <w:pStyle w:val="TableText0"/>
            </w:pPr>
            <w:r>
              <w:t>Events adjudicated as ILD related to study drug</w:t>
            </w:r>
          </w:p>
        </w:tc>
        <w:tc>
          <w:tcPr>
            <w:tcW w:w="786" w:type="pct"/>
            <w:tcBorders>
              <w:top w:val="single" w:sz="4" w:space="0" w:color="auto"/>
              <w:left w:val="single" w:sz="4" w:space="0" w:color="auto"/>
              <w:bottom w:val="single" w:sz="4" w:space="0" w:color="auto"/>
              <w:right w:val="single" w:sz="4" w:space="0" w:color="auto"/>
            </w:tcBorders>
            <w:vAlign w:val="center"/>
          </w:tcPr>
          <w:p w14:paraId="2E384B77" w14:textId="77777777" w:rsidR="0081525E" w:rsidRDefault="0081525E" w:rsidP="008241B5">
            <w:pPr>
              <w:pStyle w:val="TableText0"/>
              <w:jc w:val="center"/>
            </w:pPr>
            <w:r>
              <w:t>56/434</w:t>
            </w:r>
          </w:p>
        </w:tc>
        <w:tc>
          <w:tcPr>
            <w:tcW w:w="786" w:type="pct"/>
            <w:tcBorders>
              <w:top w:val="single" w:sz="4" w:space="0" w:color="auto"/>
              <w:left w:val="single" w:sz="4" w:space="0" w:color="auto"/>
              <w:bottom w:val="single" w:sz="4" w:space="0" w:color="auto"/>
              <w:right w:val="single" w:sz="4" w:space="0" w:color="auto"/>
            </w:tcBorders>
            <w:vAlign w:val="center"/>
          </w:tcPr>
          <w:p w14:paraId="40B3D472" w14:textId="77777777" w:rsidR="0081525E" w:rsidRDefault="0081525E" w:rsidP="008241B5">
            <w:pPr>
              <w:pStyle w:val="TableText0"/>
              <w:jc w:val="center"/>
            </w:pPr>
            <w:r>
              <w:t>1/417</w:t>
            </w:r>
          </w:p>
        </w:tc>
        <w:tc>
          <w:tcPr>
            <w:tcW w:w="550" w:type="pct"/>
            <w:tcBorders>
              <w:top w:val="single" w:sz="4" w:space="0" w:color="auto"/>
              <w:left w:val="single" w:sz="4" w:space="0" w:color="auto"/>
              <w:bottom w:val="single" w:sz="4" w:space="0" w:color="auto"/>
              <w:right w:val="single" w:sz="4" w:space="0" w:color="auto"/>
            </w:tcBorders>
            <w:vAlign w:val="center"/>
          </w:tcPr>
          <w:p w14:paraId="4DE9E671" w14:textId="77777777" w:rsidR="0081525E" w:rsidRDefault="0081525E" w:rsidP="008241B5">
            <w:pPr>
              <w:pStyle w:val="TableText0"/>
              <w:jc w:val="center"/>
            </w:pPr>
            <w:r>
              <w:t>13</w:t>
            </w:r>
          </w:p>
        </w:tc>
        <w:tc>
          <w:tcPr>
            <w:tcW w:w="708" w:type="pct"/>
            <w:tcBorders>
              <w:top w:val="single" w:sz="4" w:space="0" w:color="auto"/>
              <w:left w:val="single" w:sz="4" w:space="0" w:color="auto"/>
              <w:bottom w:val="single" w:sz="4" w:space="0" w:color="auto"/>
              <w:right w:val="single" w:sz="4" w:space="0" w:color="auto"/>
            </w:tcBorders>
            <w:vAlign w:val="center"/>
          </w:tcPr>
          <w:p w14:paraId="213A4C67" w14:textId="77777777" w:rsidR="0081525E" w:rsidRDefault="0081525E" w:rsidP="008241B5">
            <w:pPr>
              <w:pStyle w:val="TableText0"/>
              <w:jc w:val="center"/>
            </w:pPr>
            <w:r>
              <w:t>1</w:t>
            </w:r>
          </w:p>
        </w:tc>
        <w:tc>
          <w:tcPr>
            <w:tcW w:w="993" w:type="pct"/>
            <w:tcBorders>
              <w:top w:val="single" w:sz="4" w:space="0" w:color="auto"/>
              <w:left w:val="single" w:sz="4" w:space="0" w:color="auto"/>
              <w:bottom w:val="single" w:sz="4" w:space="0" w:color="auto"/>
              <w:right w:val="single" w:sz="4" w:space="0" w:color="auto"/>
            </w:tcBorders>
            <w:vAlign w:val="center"/>
          </w:tcPr>
          <w:p w14:paraId="5491CC9B" w14:textId="77777777" w:rsidR="0081525E" w:rsidRDefault="0081525E" w:rsidP="008241B5">
            <w:pPr>
              <w:pStyle w:val="TableText0"/>
              <w:jc w:val="center"/>
            </w:pPr>
            <w:r>
              <w:t>12</w:t>
            </w:r>
          </w:p>
        </w:tc>
      </w:tr>
    </w:tbl>
    <w:p w14:paraId="106331AB" w14:textId="200192A9" w:rsidR="0081525E" w:rsidRPr="00421CF5" w:rsidRDefault="0081525E" w:rsidP="008241B5">
      <w:pPr>
        <w:pStyle w:val="FooterTableFigure"/>
        <w:rPr>
          <w:sz w:val="20"/>
        </w:rPr>
      </w:pPr>
      <w:r w:rsidRPr="00421CF5">
        <w:t>Source: Section 12.2.2 and Table 10, p53 of the DB-06 IA2 Clinical Study Report (DC</w:t>
      </w:r>
      <w:r w:rsidR="00246A8F">
        <w:t xml:space="preserve">O </w:t>
      </w:r>
      <w:r w:rsidRPr="00421CF5">
        <w:t>March 2025), Table 2-18, p102 and Table 2-26, p99</w:t>
      </w:r>
      <w:r w:rsidR="008241B5">
        <w:t xml:space="preserve"> </w:t>
      </w:r>
      <w:r w:rsidRPr="00421CF5">
        <w:t>of the submission.</w:t>
      </w:r>
    </w:p>
    <w:p w14:paraId="4875332E" w14:textId="5103DAA0" w:rsidR="0081525E" w:rsidRDefault="0007270E" w:rsidP="008241B5">
      <w:pPr>
        <w:pStyle w:val="FooterTableFigure"/>
      </w:pPr>
      <w:r>
        <w:t xml:space="preserve">CI = confidence interval; </w:t>
      </w:r>
      <w:r w:rsidR="0081525E" w:rsidRPr="00421CF5">
        <w:t xml:space="preserve">CTCAE = </w:t>
      </w:r>
      <w:r w:rsidR="003D578A">
        <w:t>C</w:t>
      </w:r>
      <w:r w:rsidR="0081525E" w:rsidRPr="00421CF5">
        <w:t xml:space="preserve">ommon </w:t>
      </w:r>
      <w:r w:rsidR="003D578A">
        <w:t>T</w:t>
      </w:r>
      <w:r w:rsidR="0081525E" w:rsidRPr="00421CF5">
        <w:t xml:space="preserve">erminology </w:t>
      </w:r>
      <w:r w:rsidR="003D578A">
        <w:t>C</w:t>
      </w:r>
      <w:r w:rsidR="0081525E" w:rsidRPr="00421CF5">
        <w:t xml:space="preserve">riteria </w:t>
      </w:r>
      <w:r w:rsidR="003D578A">
        <w:t>A</w:t>
      </w:r>
      <w:r w:rsidR="0081525E" w:rsidRPr="00421CF5">
        <w:t xml:space="preserve">dverse </w:t>
      </w:r>
      <w:r w:rsidR="003D578A">
        <w:t>E</w:t>
      </w:r>
      <w:r w:rsidR="0081525E" w:rsidRPr="00421CF5">
        <w:t xml:space="preserve">vent; </w:t>
      </w:r>
      <w:r>
        <w:t xml:space="preserve">DCO = data cutoff; IA = Interim analysis; </w:t>
      </w:r>
      <w:r w:rsidR="0081525E" w:rsidRPr="00421CF5">
        <w:t xml:space="preserve">ICC = </w:t>
      </w:r>
      <w:r w:rsidR="00D21370" w:rsidRPr="00D21370">
        <w:t>investigator’s choice of chemotherapy</w:t>
      </w:r>
      <w:r w:rsidR="0081525E" w:rsidRPr="00421CF5">
        <w:t xml:space="preserve">; </w:t>
      </w:r>
      <w:r>
        <w:t xml:space="preserve">ILD = </w:t>
      </w:r>
      <w:r w:rsidRPr="0007270E">
        <w:t>interstitial lung disease</w:t>
      </w:r>
      <w:r>
        <w:t xml:space="preserve">; ITT = intention-to-treat; OS = overall survival; PFS = progression-free survival; SAE = serious adverse event; </w:t>
      </w:r>
      <w:r w:rsidR="0081525E" w:rsidRPr="00421CF5">
        <w:t>T-</w:t>
      </w:r>
      <w:proofErr w:type="spellStart"/>
      <w:r w:rsidR="0081525E" w:rsidRPr="00421CF5">
        <w:t>DXd</w:t>
      </w:r>
      <w:proofErr w:type="spellEnd"/>
      <w:r w:rsidR="0081525E" w:rsidRPr="00421CF5">
        <w:t xml:space="preserve"> = trastuzumab deruxtecan</w:t>
      </w:r>
      <w:r w:rsidR="0081525E">
        <w:t>.</w:t>
      </w:r>
    </w:p>
    <w:p w14:paraId="53393F2E" w14:textId="73F804C4" w:rsidR="0081525E" w:rsidRPr="00D66A99" w:rsidRDefault="00587F2B" w:rsidP="008241B5">
      <w:pPr>
        <w:pStyle w:val="FooterTableFigure"/>
      </w:pPr>
      <w:r w:rsidRPr="00D66A99">
        <w:rPr>
          <w:vertAlign w:val="superscript"/>
        </w:rPr>
        <w:t>a</w:t>
      </w:r>
      <w:r w:rsidRPr="00D66A99">
        <w:t xml:space="preserve"> </w:t>
      </w:r>
      <w:proofErr w:type="gramStart"/>
      <w:r w:rsidRPr="00D66A99">
        <w:t>Landmark</w:t>
      </w:r>
      <w:r w:rsidR="0081525E" w:rsidRPr="00D66A99">
        <w:t xml:space="preserve"> analyses</w:t>
      </w:r>
      <w:proofErr w:type="gramEnd"/>
      <w:r w:rsidR="0081525E" w:rsidRPr="00D66A99">
        <w:t xml:space="preserve"> for PFS by BICR </w:t>
      </w:r>
      <w:r w:rsidR="00EB2D61" w:rsidRPr="00D66A99">
        <w:t>were provided in the PSCR</w:t>
      </w:r>
    </w:p>
    <w:p w14:paraId="5639AEE3" w14:textId="2B8F6A84" w:rsidR="0081525E" w:rsidRPr="0007270E" w:rsidRDefault="0081525E" w:rsidP="008241B5">
      <w:pPr>
        <w:pStyle w:val="3-BodyText"/>
      </w:pPr>
      <w:r w:rsidRPr="0007270E">
        <w:t xml:space="preserve">Based on direct evidence presented by the submission, for every 100 patients with HR-positive HER2-low or HER2-ultralow metastatic BC, who had progressed on standard of care and </w:t>
      </w:r>
      <w:r w:rsidR="00B52024">
        <w:t xml:space="preserve">were </w:t>
      </w:r>
      <w:r w:rsidRPr="0007270E">
        <w:t>not suitable for further ET therapy, treated with T-</w:t>
      </w:r>
      <w:proofErr w:type="spellStart"/>
      <w:r w:rsidRPr="0007270E">
        <w:t>DXd</w:t>
      </w:r>
      <w:proofErr w:type="spellEnd"/>
      <w:r w:rsidRPr="0007270E">
        <w:t xml:space="preserve"> instead of single</w:t>
      </w:r>
      <w:r w:rsidR="0007270E">
        <w:t>-</w:t>
      </w:r>
      <w:r w:rsidRPr="0007270E">
        <w:t>agent chemotherapy:</w:t>
      </w:r>
    </w:p>
    <w:p w14:paraId="0B821E1F" w14:textId="42556782" w:rsidR="0081525E" w:rsidRPr="00B13CE3" w:rsidRDefault="00C91F7E" w:rsidP="008241B5">
      <w:pPr>
        <w:pStyle w:val="3-BodyText"/>
        <w:numPr>
          <w:ilvl w:val="0"/>
          <w:numId w:val="11"/>
        </w:numPr>
        <w:rPr>
          <w:iCs/>
        </w:rPr>
      </w:pPr>
      <w:r w:rsidRPr="00B13CE3">
        <w:rPr>
          <w:iCs/>
        </w:rPr>
        <w:lastRenderedPageBreak/>
        <w:t xml:space="preserve">Approximately </w:t>
      </w:r>
      <w:r w:rsidR="00951615" w:rsidRPr="00B13CE3">
        <w:rPr>
          <w:iCs/>
        </w:rPr>
        <w:t xml:space="preserve">18 additional patients will remain progression free at 12 months, and 11 additional patients at </w:t>
      </w:r>
      <w:r w:rsidR="008B5DD5" w:rsidRPr="00B13CE3">
        <w:rPr>
          <w:iCs/>
        </w:rPr>
        <w:t>24 months</w:t>
      </w:r>
      <w:r w:rsidR="00E0763C" w:rsidRPr="00B13CE3">
        <w:rPr>
          <w:iCs/>
        </w:rPr>
        <w:t xml:space="preserve"> (median follow-up of </w:t>
      </w:r>
      <w:r w:rsidR="00132208" w:rsidRPr="00B13CE3">
        <w:rPr>
          <w:iCs/>
        </w:rPr>
        <w:t>18-</w:t>
      </w:r>
      <w:r w:rsidR="008216B3" w:rsidRPr="00B13CE3">
        <w:rPr>
          <w:iCs/>
        </w:rPr>
        <w:t>19</w:t>
      </w:r>
      <w:r w:rsidR="00E0763C" w:rsidRPr="00B13CE3">
        <w:rPr>
          <w:iCs/>
        </w:rPr>
        <w:t xml:space="preserve"> months)</w:t>
      </w:r>
      <w:r w:rsidR="008B5DD5" w:rsidRPr="00B13CE3">
        <w:rPr>
          <w:iCs/>
        </w:rPr>
        <w:t>.</w:t>
      </w:r>
    </w:p>
    <w:p w14:paraId="19CA4F86" w14:textId="7EADD3FB" w:rsidR="0081525E" w:rsidRPr="0007270E" w:rsidRDefault="0081525E" w:rsidP="008241B5">
      <w:pPr>
        <w:pStyle w:val="ListParagraph"/>
      </w:pPr>
      <w:r w:rsidRPr="0007270E">
        <w:t>Approximately 7 additional patients will remain alive at 18 months (median follow-up of 25-28 months).</w:t>
      </w:r>
      <w:r w:rsidR="00A30398">
        <w:t xml:space="preserve"> </w:t>
      </w:r>
      <w:r w:rsidR="00A30398" w:rsidRPr="00A30398">
        <w:t xml:space="preserve">OS </w:t>
      </w:r>
      <w:r w:rsidR="00A30398">
        <w:t>results were</w:t>
      </w:r>
      <w:r w:rsidR="00A30398" w:rsidRPr="00A30398">
        <w:t xml:space="preserve"> not formally tested for statistical significance.</w:t>
      </w:r>
    </w:p>
    <w:p w14:paraId="01598D5E" w14:textId="6DA962F1" w:rsidR="0081525E" w:rsidRPr="0007270E" w:rsidRDefault="0081525E" w:rsidP="008241B5">
      <w:pPr>
        <w:pStyle w:val="3-BodyText"/>
      </w:pPr>
      <w:r w:rsidRPr="0007270E">
        <w:t xml:space="preserve">Based on direct evidence presented by the submission in </w:t>
      </w:r>
      <w:r w:rsidR="00701234">
        <w:t>pa</w:t>
      </w:r>
      <w:r w:rsidR="00E67B0A">
        <w:t xml:space="preserve">tients with </w:t>
      </w:r>
      <w:r w:rsidRPr="0007270E">
        <w:t>HR-positive HER2-low or HER2-ultralow metastatic BC, who had progressed on standard of care and not suitable for further ET therapy (median follow-up of 25-28 months), treated with T-</w:t>
      </w:r>
      <w:proofErr w:type="spellStart"/>
      <w:r w:rsidRPr="0007270E">
        <w:t>DXd</w:t>
      </w:r>
      <w:proofErr w:type="spellEnd"/>
      <w:r w:rsidRPr="0007270E">
        <w:t xml:space="preserve"> instead of single</w:t>
      </w:r>
      <w:r w:rsidR="0007270E">
        <w:t>-</w:t>
      </w:r>
      <w:r w:rsidRPr="0007270E">
        <w:t>agent chemotherapy:</w:t>
      </w:r>
    </w:p>
    <w:p w14:paraId="6390FFC6" w14:textId="77777777" w:rsidR="0081525E" w:rsidRPr="0007270E" w:rsidRDefault="0081525E" w:rsidP="008241B5">
      <w:pPr>
        <w:pStyle w:val="3-BodyText"/>
        <w:numPr>
          <w:ilvl w:val="0"/>
          <w:numId w:val="12"/>
        </w:numPr>
      </w:pPr>
      <w:r w:rsidRPr="0007270E">
        <w:t>Approximately 10 additional patients would experience a Grade ≥ 3 AE possibly related to T-</w:t>
      </w:r>
      <w:proofErr w:type="spellStart"/>
      <w:r w:rsidRPr="0007270E">
        <w:t>DXd</w:t>
      </w:r>
      <w:proofErr w:type="spellEnd"/>
      <w:r w:rsidRPr="0007270E">
        <w:t>.</w:t>
      </w:r>
    </w:p>
    <w:p w14:paraId="4CB14AB6" w14:textId="6D9BF3FB" w:rsidR="0081525E" w:rsidRPr="0007270E" w:rsidRDefault="0081525E" w:rsidP="008241B5">
      <w:pPr>
        <w:pStyle w:val="3-BodyText"/>
        <w:numPr>
          <w:ilvl w:val="0"/>
          <w:numId w:val="12"/>
        </w:numPr>
      </w:pPr>
      <w:r w:rsidRPr="0007270E">
        <w:t xml:space="preserve">Approximately 5 additional patients would experience a SAE (includes </w:t>
      </w:r>
      <w:r w:rsidR="0007270E">
        <w:t xml:space="preserve">fatal </w:t>
      </w:r>
      <w:r w:rsidRPr="0007270E">
        <w:t>AE</w:t>
      </w:r>
      <w:r w:rsidR="0007270E">
        <w:t>)</w:t>
      </w:r>
      <w:r w:rsidRPr="0007270E">
        <w:t xml:space="preserve"> possibly related to T-</w:t>
      </w:r>
      <w:proofErr w:type="spellStart"/>
      <w:r w:rsidRPr="0007270E">
        <w:t>DXd</w:t>
      </w:r>
      <w:proofErr w:type="spellEnd"/>
      <w:r w:rsidRPr="0007270E">
        <w:t>.</w:t>
      </w:r>
    </w:p>
    <w:p w14:paraId="40532D3C" w14:textId="212D8A6D" w:rsidR="0081525E" w:rsidRPr="0098262F" w:rsidRDefault="0081525E" w:rsidP="008241B5">
      <w:pPr>
        <w:pStyle w:val="3-BodyText"/>
        <w:numPr>
          <w:ilvl w:val="0"/>
          <w:numId w:val="12"/>
        </w:numPr>
      </w:pPr>
      <w:r w:rsidRPr="0007270E">
        <w:t xml:space="preserve">Approximately 12 additional patients would experience a </w:t>
      </w:r>
      <w:r w:rsidR="008971B9">
        <w:t xml:space="preserve">lung </w:t>
      </w:r>
      <w:r w:rsidRPr="0007270E">
        <w:t>event</w:t>
      </w:r>
      <w:r w:rsidR="008971B9">
        <w:t xml:space="preserve"> which</w:t>
      </w:r>
      <w:r w:rsidR="008971B9" w:rsidRPr="008971B9">
        <w:t xml:space="preserve"> cause</w:t>
      </w:r>
      <w:r w:rsidR="008971B9">
        <w:t>s</w:t>
      </w:r>
      <w:r w:rsidR="008971B9" w:rsidRPr="008971B9">
        <w:t xml:space="preserve"> inflammation or scarring in the lung</w:t>
      </w:r>
      <w:r w:rsidRPr="0007270E">
        <w:t>.</w:t>
      </w:r>
    </w:p>
    <w:p w14:paraId="7A1772B6" w14:textId="23BB3145" w:rsidR="00B60939" w:rsidRPr="0098262F" w:rsidRDefault="00B60939" w:rsidP="008241B5">
      <w:pPr>
        <w:pStyle w:val="4-SubsectionHeading"/>
      </w:pPr>
      <w:bookmarkStart w:id="39" w:name="_Toc219893555"/>
      <w:r w:rsidRPr="0098262F">
        <w:t>Clinical claim</w:t>
      </w:r>
      <w:bookmarkEnd w:id="16"/>
      <w:bookmarkEnd w:id="39"/>
    </w:p>
    <w:p w14:paraId="7F613CD1" w14:textId="3B6A849F" w:rsidR="005F7588" w:rsidRPr="00904162" w:rsidRDefault="00337C22" w:rsidP="008241B5">
      <w:pPr>
        <w:pStyle w:val="3-BodyText"/>
        <w:rPr>
          <w:rFonts w:eastAsia="Calibri"/>
        </w:rPr>
      </w:pPr>
      <w:r w:rsidRPr="00904162">
        <w:rPr>
          <w:rFonts w:eastAsia="Calibri"/>
        </w:rPr>
        <w:t>The submission described T-</w:t>
      </w:r>
      <w:proofErr w:type="spellStart"/>
      <w:r w:rsidRPr="00904162">
        <w:rPr>
          <w:rFonts w:eastAsia="Calibri"/>
        </w:rPr>
        <w:t>DXd</w:t>
      </w:r>
      <w:proofErr w:type="spellEnd"/>
      <w:r w:rsidRPr="00904162">
        <w:rPr>
          <w:rFonts w:eastAsia="Calibri"/>
        </w:rPr>
        <w:t xml:space="preserve"> as superior in terms of effectiveness compared with chemotherapy and inferior but with a manageable safety profile compared with chemotherapy.</w:t>
      </w:r>
      <w:r w:rsidR="0016522F">
        <w:rPr>
          <w:rFonts w:eastAsia="Calibri"/>
        </w:rPr>
        <w:t xml:space="preserve"> </w:t>
      </w:r>
      <w:r w:rsidR="0016522F" w:rsidRPr="00B13CE3">
        <w:rPr>
          <w:rFonts w:eastAsia="Calibri"/>
          <w:iCs/>
        </w:rPr>
        <w:t xml:space="preserve">The </w:t>
      </w:r>
      <w:r w:rsidR="00D85B8B" w:rsidRPr="00B13CE3">
        <w:rPr>
          <w:rFonts w:eastAsia="Calibri"/>
          <w:iCs/>
        </w:rPr>
        <w:t>Sub-Committees</w:t>
      </w:r>
      <w:r w:rsidR="006E34F6" w:rsidRPr="00B13CE3">
        <w:rPr>
          <w:rFonts w:eastAsia="Calibri"/>
          <w:iCs/>
        </w:rPr>
        <w:t xml:space="preserve"> </w:t>
      </w:r>
      <w:r w:rsidR="0016522F" w:rsidRPr="00B13CE3">
        <w:rPr>
          <w:rFonts w:eastAsia="Calibri"/>
          <w:iCs/>
        </w:rPr>
        <w:t xml:space="preserve">noted that </w:t>
      </w:r>
      <w:r w:rsidR="00A97C72" w:rsidRPr="00B13CE3">
        <w:rPr>
          <w:rFonts w:eastAsia="Calibri"/>
          <w:iCs/>
        </w:rPr>
        <w:t>T-</w:t>
      </w:r>
      <w:proofErr w:type="spellStart"/>
      <w:r w:rsidR="00A97C72" w:rsidRPr="00B13CE3">
        <w:rPr>
          <w:rFonts w:eastAsia="Calibri"/>
          <w:iCs/>
        </w:rPr>
        <w:t>D</w:t>
      </w:r>
      <w:r w:rsidR="00ED4D1C" w:rsidRPr="00B13CE3">
        <w:rPr>
          <w:rFonts w:eastAsia="Calibri"/>
          <w:iCs/>
        </w:rPr>
        <w:t>X</w:t>
      </w:r>
      <w:r w:rsidR="00A97C72" w:rsidRPr="00B13CE3">
        <w:rPr>
          <w:rFonts w:eastAsia="Calibri"/>
          <w:iCs/>
        </w:rPr>
        <w:t>d</w:t>
      </w:r>
      <w:proofErr w:type="spellEnd"/>
      <w:r w:rsidR="004E21C3" w:rsidRPr="00B13CE3">
        <w:rPr>
          <w:rFonts w:eastAsia="Calibri"/>
          <w:iCs/>
        </w:rPr>
        <w:t xml:space="preserve"> </w:t>
      </w:r>
      <w:r w:rsidR="00D37067" w:rsidRPr="00B13CE3">
        <w:rPr>
          <w:rFonts w:eastAsia="Calibri"/>
          <w:iCs/>
        </w:rPr>
        <w:t>demonstrated</w:t>
      </w:r>
      <w:r w:rsidR="00A97C72" w:rsidRPr="00B13CE3">
        <w:rPr>
          <w:rFonts w:eastAsia="Calibri"/>
          <w:iCs/>
        </w:rPr>
        <w:t xml:space="preserve"> </w:t>
      </w:r>
      <w:r w:rsidR="004E21C3" w:rsidRPr="00B13CE3">
        <w:rPr>
          <w:rFonts w:eastAsia="Calibri"/>
          <w:iCs/>
        </w:rPr>
        <w:t>a</w:t>
      </w:r>
      <w:r w:rsidR="001F7745" w:rsidRPr="00B13CE3">
        <w:rPr>
          <w:rFonts w:eastAsia="Calibri"/>
          <w:iCs/>
        </w:rPr>
        <w:t xml:space="preserve"> modest increase</w:t>
      </w:r>
      <w:r w:rsidR="004E21C3" w:rsidRPr="00B13CE3">
        <w:rPr>
          <w:rFonts w:eastAsia="Calibri"/>
          <w:iCs/>
        </w:rPr>
        <w:t xml:space="preserve"> in</w:t>
      </w:r>
      <w:r w:rsidR="001F7745" w:rsidRPr="00B13CE3">
        <w:rPr>
          <w:rFonts w:eastAsia="Calibri"/>
          <w:iCs/>
        </w:rPr>
        <w:t xml:space="preserve"> effectiveness</w:t>
      </w:r>
      <w:r w:rsidR="00B419AB" w:rsidRPr="00B13CE3">
        <w:rPr>
          <w:rFonts w:eastAsia="Calibri"/>
          <w:iCs/>
        </w:rPr>
        <w:t xml:space="preserve"> in terms of PFS</w:t>
      </w:r>
      <w:r w:rsidR="009F2476" w:rsidRPr="00B13CE3">
        <w:rPr>
          <w:rFonts w:eastAsia="Calibri"/>
          <w:iCs/>
        </w:rPr>
        <w:t>, unclear OS benefit</w:t>
      </w:r>
      <w:r w:rsidR="00ED6870" w:rsidRPr="00B13CE3">
        <w:rPr>
          <w:rFonts w:eastAsia="Calibri"/>
          <w:iCs/>
        </w:rPr>
        <w:t xml:space="preserve">, </w:t>
      </w:r>
      <w:r w:rsidR="00FB5B1B" w:rsidRPr="00B13CE3">
        <w:rPr>
          <w:rFonts w:eastAsia="Calibri"/>
          <w:iCs/>
        </w:rPr>
        <w:t>no clear QoL benefit</w:t>
      </w:r>
      <w:r w:rsidR="001F7745" w:rsidRPr="00B13CE3">
        <w:rPr>
          <w:rFonts w:eastAsia="Calibri"/>
          <w:iCs/>
        </w:rPr>
        <w:t xml:space="preserve">, and </w:t>
      </w:r>
      <w:r w:rsidR="004E21C3" w:rsidRPr="00B13CE3">
        <w:rPr>
          <w:rFonts w:eastAsia="Calibri"/>
          <w:iCs/>
        </w:rPr>
        <w:t>a</w:t>
      </w:r>
      <w:r w:rsidR="001F7745" w:rsidRPr="00B13CE3">
        <w:rPr>
          <w:rFonts w:eastAsia="Calibri"/>
          <w:iCs/>
        </w:rPr>
        <w:t xml:space="preserve"> clear</w:t>
      </w:r>
      <w:r w:rsidR="004E21C3" w:rsidRPr="00B13CE3">
        <w:rPr>
          <w:rFonts w:eastAsia="Calibri"/>
          <w:iCs/>
        </w:rPr>
        <w:t xml:space="preserve"> increase in </w:t>
      </w:r>
      <w:r w:rsidR="00D55043" w:rsidRPr="00B13CE3">
        <w:rPr>
          <w:rFonts w:eastAsia="Calibri"/>
          <w:iCs/>
        </w:rPr>
        <w:t>associated harms</w:t>
      </w:r>
      <w:r w:rsidR="00FB5B1B" w:rsidRPr="00B13CE3">
        <w:rPr>
          <w:rFonts w:eastAsia="Calibri"/>
          <w:iCs/>
        </w:rPr>
        <w:t xml:space="preserve">, </w:t>
      </w:r>
      <w:r w:rsidR="00227066" w:rsidRPr="00B13CE3">
        <w:rPr>
          <w:rFonts w:eastAsia="Calibri"/>
          <w:iCs/>
        </w:rPr>
        <w:t>including life-threatening adverse events</w:t>
      </w:r>
      <w:r w:rsidR="00D55043" w:rsidRPr="00B13CE3">
        <w:rPr>
          <w:rFonts w:eastAsia="Calibri"/>
          <w:iCs/>
        </w:rPr>
        <w:t>.</w:t>
      </w:r>
    </w:p>
    <w:p w14:paraId="6C95C3E8" w14:textId="5C4F65D5" w:rsidR="00337C22" w:rsidRPr="00904162" w:rsidRDefault="00337C22" w:rsidP="008241B5">
      <w:pPr>
        <w:pStyle w:val="3-BodyText"/>
        <w:rPr>
          <w:rFonts w:eastAsia="Calibri"/>
        </w:rPr>
      </w:pPr>
      <w:r w:rsidRPr="00904162">
        <w:rPr>
          <w:rFonts w:eastAsia="Calibri"/>
        </w:rPr>
        <w:t xml:space="preserve">The </w:t>
      </w:r>
      <w:r w:rsidR="00D85B8B" w:rsidRPr="00B13CE3">
        <w:rPr>
          <w:rFonts w:eastAsia="Calibri"/>
          <w:iCs/>
        </w:rPr>
        <w:t>Sub-Committees</w:t>
      </w:r>
      <w:r w:rsidR="006E34F6" w:rsidRPr="00B13CE3">
        <w:rPr>
          <w:rFonts w:eastAsia="Calibri"/>
          <w:iCs/>
        </w:rPr>
        <w:t xml:space="preserve"> </w:t>
      </w:r>
      <w:r w:rsidR="002918AA" w:rsidRPr="00B13CE3">
        <w:rPr>
          <w:rFonts w:eastAsia="Calibri"/>
          <w:iCs/>
        </w:rPr>
        <w:t>agreed with the evaluation that the</w:t>
      </w:r>
      <w:r w:rsidR="00C143E3">
        <w:rPr>
          <w:rFonts w:eastAsia="Calibri"/>
        </w:rPr>
        <w:t xml:space="preserve"> </w:t>
      </w:r>
      <w:r w:rsidRPr="00904162">
        <w:rPr>
          <w:rFonts w:eastAsia="Calibri"/>
        </w:rPr>
        <w:t xml:space="preserve">therapeutic conclusion presented in the submission was partially supported by the evidence from the key DB-06 trial. </w:t>
      </w:r>
    </w:p>
    <w:p w14:paraId="18812041" w14:textId="3A25A7C3" w:rsidR="001746F4" w:rsidRPr="00904162" w:rsidRDefault="00337C22" w:rsidP="008241B5">
      <w:pPr>
        <w:pStyle w:val="3-BodyText"/>
        <w:rPr>
          <w:rFonts w:eastAsia="Calibri"/>
        </w:rPr>
      </w:pPr>
      <w:r w:rsidRPr="00904162">
        <w:t>The DB-06 trial data showed that there was a PFS benefit associated with T</w:t>
      </w:r>
      <w:r w:rsidR="00680386">
        <w:noBreakHyphen/>
      </w:r>
      <w:proofErr w:type="spellStart"/>
      <w:r w:rsidRPr="00904162">
        <w:t>DXd</w:t>
      </w:r>
      <w:proofErr w:type="spellEnd"/>
      <w:r w:rsidRPr="00904162">
        <w:t xml:space="preserve"> </w:t>
      </w:r>
      <w:r w:rsidR="0007270E" w:rsidRPr="00904162">
        <w:t>relative to</w:t>
      </w:r>
      <w:r w:rsidRPr="00904162">
        <w:t xml:space="preserve"> ICC. </w:t>
      </w:r>
      <w:r w:rsidRPr="00B13CE3">
        <w:rPr>
          <w:iCs/>
        </w:rPr>
        <w:t>However, no significant benefit in OS</w:t>
      </w:r>
      <w:r w:rsidR="00333F49" w:rsidRPr="00B13CE3">
        <w:rPr>
          <w:iCs/>
        </w:rPr>
        <w:t xml:space="preserve"> was demonstrated as the OS hypothesis in the ITT population was not formally tested for statistical significance</w:t>
      </w:r>
      <w:r w:rsidR="0007270E" w:rsidRPr="00B13CE3">
        <w:rPr>
          <w:iCs/>
        </w:rPr>
        <w:t xml:space="preserve">. </w:t>
      </w:r>
      <w:r w:rsidR="00E32148" w:rsidRPr="00B13CE3">
        <w:rPr>
          <w:iCs/>
        </w:rPr>
        <w:t>Separation between the OS KM curves appeared modest</w:t>
      </w:r>
      <w:r w:rsidR="00CB7E4A" w:rsidRPr="00B13CE3">
        <w:rPr>
          <w:iCs/>
        </w:rPr>
        <w:t>,</w:t>
      </w:r>
      <w:r w:rsidR="00CB7E4A">
        <w:t xml:space="preserve"> </w:t>
      </w:r>
      <w:r w:rsidRPr="00904162">
        <w:rPr>
          <w:rFonts w:eastAsia="Calibri"/>
        </w:rPr>
        <w:t xml:space="preserve">despite a lower-than-expected </w:t>
      </w:r>
      <w:r w:rsidR="00FF1B39" w:rsidRPr="00904162">
        <w:rPr>
          <w:rFonts w:eastAsia="Calibri"/>
        </w:rPr>
        <w:t>percentage</w:t>
      </w:r>
      <w:r w:rsidRPr="00904162">
        <w:rPr>
          <w:rFonts w:eastAsia="Calibri"/>
        </w:rPr>
        <w:t xml:space="preserve"> of patients </w:t>
      </w:r>
      <w:r w:rsidR="00FF1B39" w:rsidRPr="00904162">
        <w:rPr>
          <w:rFonts w:eastAsia="Calibri"/>
        </w:rPr>
        <w:t xml:space="preserve">(approximately 34%) </w:t>
      </w:r>
      <w:r w:rsidRPr="00904162">
        <w:rPr>
          <w:rFonts w:eastAsia="Calibri"/>
        </w:rPr>
        <w:t xml:space="preserve">in the DB-06 ICC comparator arm </w:t>
      </w:r>
      <w:r w:rsidR="00FF1B39" w:rsidRPr="00904162">
        <w:rPr>
          <w:rFonts w:eastAsia="Calibri"/>
        </w:rPr>
        <w:t xml:space="preserve">who received </w:t>
      </w:r>
      <w:r w:rsidRPr="00904162">
        <w:rPr>
          <w:rFonts w:eastAsia="Calibri"/>
        </w:rPr>
        <w:t>subsequent therapy with T-</w:t>
      </w:r>
      <w:proofErr w:type="spellStart"/>
      <w:r w:rsidRPr="00904162">
        <w:rPr>
          <w:rFonts w:eastAsia="Calibri"/>
        </w:rPr>
        <w:t>DXd</w:t>
      </w:r>
      <w:proofErr w:type="spellEnd"/>
      <w:r w:rsidR="00FF1B39" w:rsidRPr="00904162">
        <w:rPr>
          <w:rFonts w:eastAsia="Calibri"/>
        </w:rPr>
        <w:t xml:space="preserve">. </w:t>
      </w:r>
      <w:r w:rsidR="007D4268">
        <w:rPr>
          <w:rFonts w:eastAsia="Calibri"/>
        </w:rPr>
        <w:t xml:space="preserve">The </w:t>
      </w:r>
      <w:r w:rsidR="001F0CFF">
        <w:rPr>
          <w:rFonts w:eastAsia="Calibri"/>
        </w:rPr>
        <w:t>Sub-Committees</w:t>
      </w:r>
      <w:r w:rsidR="007D4268">
        <w:rPr>
          <w:rFonts w:eastAsia="Calibri"/>
        </w:rPr>
        <w:t xml:space="preserve"> considered</w:t>
      </w:r>
      <w:r w:rsidR="00EA25EB">
        <w:rPr>
          <w:rFonts w:eastAsia="Calibri"/>
        </w:rPr>
        <w:t xml:space="preserve"> that this </w:t>
      </w:r>
      <w:r w:rsidR="000C3703">
        <w:rPr>
          <w:rFonts w:eastAsia="Calibri"/>
        </w:rPr>
        <w:t xml:space="preserve">resulted in a high degree of uncertainty </w:t>
      </w:r>
      <w:r w:rsidR="007507AD">
        <w:rPr>
          <w:rFonts w:eastAsia="Calibri"/>
        </w:rPr>
        <w:t xml:space="preserve">determining the benefit of the proposed use of </w:t>
      </w:r>
      <w:r w:rsidR="00864725">
        <w:rPr>
          <w:rFonts w:eastAsia="Calibri"/>
        </w:rPr>
        <w:t>T-</w:t>
      </w:r>
      <w:proofErr w:type="spellStart"/>
      <w:r w:rsidR="00864725">
        <w:rPr>
          <w:rFonts w:eastAsia="Calibri"/>
        </w:rPr>
        <w:t>DXd</w:t>
      </w:r>
      <w:proofErr w:type="spellEnd"/>
      <w:r w:rsidR="007D4268">
        <w:rPr>
          <w:rFonts w:eastAsia="Calibri"/>
        </w:rPr>
        <w:t xml:space="preserve">. </w:t>
      </w:r>
      <w:r w:rsidR="001746F4" w:rsidRPr="00904162">
        <w:rPr>
          <w:rFonts w:eastAsia="Calibri"/>
        </w:rPr>
        <w:t xml:space="preserve">Patients who </w:t>
      </w:r>
      <w:r w:rsidR="00C07678">
        <w:rPr>
          <w:rFonts w:eastAsia="Calibri"/>
        </w:rPr>
        <w:t>progress</w:t>
      </w:r>
      <w:r w:rsidR="00C07678" w:rsidRPr="00904162">
        <w:rPr>
          <w:rFonts w:eastAsia="Calibri"/>
        </w:rPr>
        <w:t xml:space="preserve"> </w:t>
      </w:r>
      <w:r w:rsidR="001746F4" w:rsidRPr="00904162">
        <w:rPr>
          <w:rFonts w:eastAsia="Calibri"/>
        </w:rPr>
        <w:t xml:space="preserve">on chemotherapy </w:t>
      </w:r>
      <w:r w:rsidR="004A2AD5" w:rsidRPr="00904162">
        <w:rPr>
          <w:rFonts w:eastAsia="Calibri"/>
        </w:rPr>
        <w:t xml:space="preserve">are likely to </w:t>
      </w:r>
      <w:r w:rsidR="0007270E" w:rsidRPr="00904162">
        <w:rPr>
          <w:rFonts w:eastAsia="Calibri"/>
        </w:rPr>
        <w:t xml:space="preserve">gain </w:t>
      </w:r>
      <w:r w:rsidR="001746F4" w:rsidRPr="00904162">
        <w:rPr>
          <w:rFonts w:eastAsia="Calibri"/>
        </w:rPr>
        <w:t xml:space="preserve">some OS benefit </w:t>
      </w:r>
      <w:r w:rsidR="00AF0097">
        <w:rPr>
          <w:rFonts w:eastAsia="Calibri"/>
        </w:rPr>
        <w:t xml:space="preserve">from </w:t>
      </w:r>
      <w:r w:rsidR="00463646" w:rsidRPr="00904162">
        <w:rPr>
          <w:rFonts w:eastAsia="Calibri"/>
        </w:rPr>
        <w:t>later-line</w:t>
      </w:r>
      <w:r w:rsidR="001746F4" w:rsidRPr="00904162">
        <w:rPr>
          <w:rFonts w:eastAsia="Calibri"/>
        </w:rPr>
        <w:t xml:space="preserve"> T-</w:t>
      </w:r>
      <w:proofErr w:type="spellStart"/>
      <w:r w:rsidR="001746F4" w:rsidRPr="00904162">
        <w:rPr>
          <w:rFonts w:eastAsia="Calibri"/>
        </w:rPr>
        <w:t>DXd</w:t>
      </w:r>
      <w:proofErr w:type="spellEnd"/>
      <w:r w:rsidR="001746F4" w:rsidRPr="00904162">
        <w:rPr>
          <w:rFonts w:eastAsia="Calibri"/>
        </w:rPr>
        <w:t xml:space="preserve"> </w:t>
      </w:r>
      <w:r w:rsidR="00463646" w:rsidRPr="00904162">
        <w:rPr>
          <w:rFonts w:eastAsia="Calibri"/>
        </w:rPr>
        <w:t xml:space="preserve">treatment </w:t>
      </w:r>
      <w:r w:rsidR="001746F4" w:rsidRPr="00904162">
        <w:rPr>
          <w:rFonts w:eastAsia="Calibri"/>
        </w:rPr>
        <w:t>in clinical practice.</w:t>
      </w:r>
      <w:r w:rsidR="005D3CD9">
        <w:rPr>
          <w:rFonts w:eastAsia="Calibri"/>
        </w:rPr>
        <w:t xml:space="preserve"> </w:t>
      </w:r>
    </w:p>
    <w:p w14:paraId="41C88B28" w14:textId="048D435E" w:rsidR="00337C22" w:rsidRPr="00904162" w:rsidRDefault="00337C22" w:rsidP="008241B5">
      <w:pPr>
        <w:pStyle w:val="3-BodyText"/>
      </w:pPr>
      <w:r w:rsidRPr="00904162">
        <w:t xml:space="preserve">The risk of AEs in general, including </w:t>
      </w:r>
      <w:r w:rsidR="00D744EB" w:rsidRPr="00904162">
        <w:t xml:space="preserve">ILD and </w:t>
      </w:r>
      <w:r w:rsidRPr="00904162">
        <w:t>gastrointestinal</w:t>
      </w:r>
      <w:r w:rsidR="001746F4" w:rsidRPr="00904162">
        <w:t xml:space="preserve"> </w:t>
      </w:r>
      <w:r w:rsidR="00D744EB" w:rsidRPr="00904162">
        <w:t>AEs</w:t>
      </w:r>
      <w:r w:rsidR="001746F4" w:rsidRPr="00904162">
        <w:t xml:space="preserve"> </w:t>
      </w:r>
      <w:r w:rsidRPr="00904162">
        <w:t>was much higher in the T-</w:t>
      </w:r>
      <w:proofErr w:type="spellStart"/>
      <w:r w:rsidRPr="00904162">
        <w:t>DXd</w:t>
      </w:r>
      <w:proofErr w:type="spellEnd"/>
      <w:r w:rsidRPr="00904162">
        <w:t xml:space="preserve"> arm. </w:t>
      </w:r>
      <w:bookmarkStart w:id="40" w:name="_Hlk219717115"/>
      <w:r w:rsidR="008C55DD" w:rsidRPr="00904162">
        <w:t xml:space="preserve">This </w:t>
      </w:r>
      <w:r w:rsidR="00755F0C" w:rsidRPr="00904162">
        <w:t xml:space="preserve">AE risk </w:t>
      </w:r>
      <w:r w:rsidR="007A30C2" w:rsidRPr="00904162">
        <w:t>should be considered</w:t>
      </w:r>
      <w:r w:rsidR="008C55DD" w:rsidRPr="00904162">
        <w:t xml:space="preserve"> in the context of</w:t>
      </w:r>
      <w:r w:rsidRPr="00904162">
        <w:t xml:space="preserve"> a </w:t>
      </w:r>
      <w:r w:rsidR="008C55DD" w:rsidRPr="00904162">
        <w:t xml:space="preserve">demonstrated </w:t>
      </w:r>
      <w:r w:rsidRPr="00904162">
        <w:t>PFS benefit associated with T</w:t>
      </w:r>
      <w:r w:rsidR="005966F5" w:rsidRPr="00904162">
        <w:noBreakHyphen/>
      </w:r>
      <w:proofErr w:type="spellStart"/>
      <w:r w:rsidRPr="00904162">
        <w:t>DXd</w:t>
      </w:r>
      <w:proofErr w:type="spellEnd"/>
      <w:r w:rsidR="008C55DD" w:rsidRPr="00904162">
        <w:t>,</w:t>
      </w:r>
      <w:r w:rsidRPr="00904162">
        <w:t xml:space="preserve"> b</w:t>
      </w:r>
      <w:r w:rsidR="008C55DD" w:rsidRPr="00904162">
        <w:t>ut</w:t>
      </w:r>
      <w:r w:rsidRPr="00904162">
        <w:t xml:space="preserve"> unclear benefit in OS. </w:t>
      </w:r>
      <w:bookmarkEnd w:id="40"/>
      <w:r w:rsidR="00BE3962" w:rsidRPr="00904162">
        <w:t>T</w:t>
      </w:r>
      <w:r w:rsidRPr="00904162">
        <w:t xml:space="preserve">here was no clear benefit in QoL </w:t>
      </w:r>
      <w:r w:rsidR="001746F4" w:rsidRPr="00904162">
        <w:t>from the DB-06 trial data.</w:t>
      </w:r>
      <w:r w:rsidR="00D744EB" w:rsidRPr="00904162">
        <w:t xml:space="preserve"> </w:t>
      </w:r>
      <w:r w:rsidR="006828F5" w:rsidRPr="00B13CE3">
        <w:rPr>
          <w:iCs/>
        </w:rPr>
        <w:t xml:space="preserve">The PSCR </w:t>
      </w:r>
      <w:r w:rsidR="00B1611E" w:rsidRPr="00B13CE3">
        <w:rPr>
          <w:iCs/>
        </w:rPr>
        <w:t>stated that due to the availability of T-</w:t>
      </w:r>
      <w:proofErr w:type="spellStart"/>
      <w:r w:rsidR="00B1611E" w:rsidRPr="00B13CE3">
        <w:rPr>
          <w:iCs/>
        </w:rPr>
        <w:t>D</w:t>
      </w:r>
      <w:r w:rsidR="0050525B" w:rsidRPr="00B13CE3">
        <w:rPr>
          <w:iCs/>
        </w:rPr>
        <w:t>X</w:t>
      </w:r>
      <w:r w:rsidR="00B1611E" w:rsidRPr="00B13CE3">
        <w:rPr>
          <w:iCs/>
        </w:rPr>
        <w:t>d</w:t>
      </w:r>
      <w:proofErr w:type="spellEnd"/>
      <w:r w:rsidR="00B1611E" w:rsidRPr="00B13CE3">
        <w:rPr>
          <w:iCs/>
        </w:rPr>
        <w:t xml:space="preserve"> on the PBS</w:t>
      </w:r>
      <w:r w:rsidR="0050525B" w:rsidRPr="00B13CE3">
        <w:rPr>
          <w:iCs/>
        </w:rPr>
        <w:t xml:space="preserve"> for other indications</w:t>
      </w:r>
      <w:r w:rsidR="00B1611E" w:rsidRPr="00B13CE3">
        <w:rPr>
          <w:iCs/>
        </w:rPr>
        <w:t>, clinicians</w:t>
      </w:r>
      <w:r w:rsidR="003B486D" w:rsidRPr="00B13CE3">
        <w:rPr>
          <w:iCs/>
        </w:rPr>
        <w:t xml:space="preserve"> were familiar with the early diagnosis and </w:t>
      </w:r>
      <w:r w:rsidR="003B486D" w:rsidRPr="00B13CE3">
        <w:rPr>
          <w:iCs/>
        </w:rPr>
        <w:lastRenderedPageBreak/>
        <w:t>treatment of ILD</w:t>
      </w:r>
      <w:r w:rsidR="00E274E4" w:rsidRPr="00B13CE3">
        <w:rPr>
          <w:iCs/>
        </w:rPr>
        <w:t xml:space="preserve">. </w:t>
      </w:r>
      <w:r w:rsidR="00225A13" w:rsidRPr="00B13CE3">
        <w:rPr>
          <w:iCs/>
        </w:rPr>
        <w:t xml:space="preserve">The </w:t>
      </w:r>
      <w:r w:rsidR="00D85B8B" w:rsidRPr="00B13CE3">
        <w:rPr>
          <w:iCs/>
        </w:rPr>
        <w:t>Sub-Committees</w:t>
      </w:r>
      <w:r w:rsidR="006E34F6" w:rsidRPr="00B13CE3">
        <w:rPr>
          <w:iCs/>
        </w:rPr>
        <w:t xml:space="preserve"> </w:t>
      </w:r>
      <w:r w:rsidR="00C80A86" w:rsidRPr="00B13CE3">
        <w:rPr>
          <w:iCs/>
        </w:rPr>
        <w:t>considered</w:t>
      </w:r>
      <w:r w:rsidR="00225A13" w:rsidRPr="00B13CE3">
        <w:rPr>
          <w:iCs/>
        </w:rPr>
        <w:t xml:space="preserve"> that </w:t>
      </w:r>
      <w:r w:rsidR="00206A2D" w:rsidRPr="00B13CE3">
        <w:rPr>
          <w:iCs/>
        </w:rPr>
        <w:t>although clinicians are familiar with the use of T-</w:t>
      </w:r>
      <w:proofErr w:type="spellStart"/>
      <w:r w:rsidR="00206A2D" w:rsidRPr="00B13CE3">
        <w:rPr>
          <w:iCs/>
        </w:rPr>
        <w:t>DXd</w:t>
      </w:r>
      <w:proofErr w:type="spellEnd"/>
      <w:r w:rsidR="00206A2D" w:rsidRPr="00B13CE3">
        <w:rPr>
          <w:iCs/>
        </w:rPr>
        <w:t>, AEs remain potentially life-threatenin</w:t>
      </w:r>
      <w:r w:rsidR="00174F8B" w:rsidRPr="00B13CE3">
        <w:rPr>
          <w:iCs/>
        </w:rPr>
        <w:t xml:space="preserve">g and </w:t>
      </w:r>
      <w:r w:rsidR="00102E1D" w:rsidRPr="00B13CE3">
        <w:rPr>
          <w:iCs/>
        </w:rPr>
        <w:t>are a</w:t>
      </w:r>
      <w:r w:rsidR="00615190" w:rsidRPr="00B13CE3">
        <w:rPr>
          <w:iCs/>
        </w:rPr>
        <w:t xml:space="preserve"> </w:t>
      </w:r>
      <w:r w:rsidR="00F75D44" w:rsidRPr="00B13CE3">
        <w:rPr>
          <w:iCs/>
        </w:rPr>
        <w:t xml:space="preserve">relevant </w:t>
      </w:r>
      <w:r w:rsidR="00615190" w:rsidRPr="00B13CE3">
        <w:rPr>
          <w:iCs/>
        </w:rPr>
        <w:t>consider</w:t>
      </w:r>
      <w:r w:rsidR="005D328F" w:rsidRPr="00B13CE3">
        <w:rPr>
          <w:iCs/>
        </w:rPr>
        <w:t xml:space="preserve">ation in the context of </w:t>
      </w:r>
      <w:r w:rsidR="00615190" w:rsidRPr="00B13CE3">
        <w:rPr>
          <w:iCs/>
        </w:rPr>
        <w:t xml:space="preserve">the modest </w:t>
      </w:r>
      <w:r w:rsidR="004C17A3" w:rsidRPr="00B13CE3">
        <w:rPr>
          <w:iCs/>
        </w:rPr>
        <w:t xml:space="preserve">PFS and uncertain OS </w:t>
      </w:r>
      <w:r w:rsidR="00615190" w:rsidRPr="00B13CE3">
        <w:rPr>
          <w:iCs/>
        </w:rPr>
        <w:t>benefit</w:t>
      </w:r>
      <w:r w:rsidR="00B37F11" w:rsidRPr="00B13CE3">
        <w:rPr>
          <w:iCs/>
        </w:rPr>
        <w:t xml:space="preserve"> T-</w:t>
      </w:r>
      <w:proofErr w:type="spellStart"/>
      <w:r w:rsidR="00B37F11" w:rsidRPr="00B13CE3">
        <w:rPr>
          <w:iCs/>
        </w:rPr>
        <w:t>D</w:t>
      </w:r>
      <w:r w:rsidR="004865B3" w:rsidRPr="00B13CE3">
        <w:rPr>
          <w:iCs/>
        </w:rPr>
        <w:t>X</w:t>
      </w:r>
      <w:r w:rsidR="00B37F11" w:rsidRPr="00B13CE3">
        <w:rPr>
          <w:iCs/>
        </w:rPr>
        <w:t>d</w:t>
      </w:r>
      <w:proofErr w:type="spellEnd"/>
      <w:r w:rsidR="00B37F11" w:rsidRPr="00B13CE3">
        <w:rPr>
          <w:iCs/>
        </w:rPr>
        <w:t xml:space="preserve"> provides.</w:t>
      </w:r>
      <w:r w:rsidR="005D328F" w:rsidRPr="00B13CE3">
        <w:rPr>
          <w:iCs/>
        </w:rPr>
        <w:t xml:space="preserve"> The TGA Delegate</w:t>
      </w:r>
      <w:r w:rsidR="00EE5294" w:rsidRPr="00B13CE3">
        <w:rPr>
          <w:iCs/>
        </w:rPr>
        <w:t xml:space="preserve">’s </w:t>
      </w:r>
      <w:r w:rsidR="00F75D44" w:rsidRPr="00B13CE3">
        <w:rPr>
          <w:iCs/>
        </w:rPr>
        <w:t>O</w:t>
      </w:r>
      <w:r w:rsidR="00EE5294" w:rsidRPr="00B13CE3">
        <w:rPr>
          <w:iCs/>
        </w:rPr>
        <w:t>verview stated that “t</w:t>
      </w:r>
      <w:r w:rsidR="005D328F" w:rsidRPr="00B13CE3">
        <w:rPr>
          <w:rFonts w:eastAsia="Calibri"/>
          <w:iCs/>
        </w:rPr>
        <w:t>he toxicities are significant, however, in the setting of this life-threatening and endocrine</w:t>
      </w:r>
      <w:r w:rsidR="00074BBC">
        <w:rPr>
          <w:rFonts w:eastAsia="Calibri"/>
          <w:iCs/>
        </w:rPr>
        <w:t xml:space="preserve"> </w:t>
      </w:r>
      <w:r w:rsidR="005D328F" w:rsidRPr="00B13CE3">
        <w:rPr>
          <w:rFonts w:eastAsia="Calibri"/>
          <w:iCs/>
        </w:rPr>
        <w:t>resistant disease, this treatment provides a therapeutic option that increases the duration of time before progression or death at a population level, at the cost of potentially manageable toxicity</w:t>
      </w:r>
      <w:r w:rsidR="00F75D44" w:rsidRPr="00B13CE3">
        <w:rPr>
          <w:rFonts w:eastAsia="Calibri"/>
          <w:iCs/>
        </w:rPr>
        <w:t>”</w:t>
      </w:r>
      <w:r w:rsidR="005D328F" w:rsidRPr="00B13CE3">
        <w:rPr>
          <w:rFonts w:eastAsia="Calibri"/>
          <w:iCs/>
        </w:rPr>
        <w:t xml:space="preserve">. </w:t>
      </w:r>
      <w:r w:rsidR="00C07F9F" w:rsidRPr="00B13CE3">
        <w:rPr>
          <w:iCs/>
        </w:rPr>
        <w:t xml:space="preserve">The </w:t>
      </w:r>
      <w:r w:rsidR="00D85B8B" w:rsidRPr="00B13CE3">
        <w:rPr>
          <w:iCs/>
        </w:rPr>
        <w:t>Sub-Committees</w:t>
      </w:r>
      <w:r w:rsidR="006E34F6" w:rsidRPr="00B13CE3">
        <w:rPr>
          <w:iCs/>
        </w:rPr>
        <w:t xml:space="preserve"> </w:t>
      </w:r>
      <w:r w:rsidR="00C07F9F" w:rsidRPr="00B13CE3">
        <w:rPr>
          <w:iCs/>
        </w:rPr>
        <w:t xml:space="preserve">noted </w:t>
      </w:r>
      <w:r w:rsidR="003F4DA5" w:rsidRPr="00B13CE3">
        <w:rPr>
          <w:iCs/>
        </w:rPr>
        <w:t xml:space="preserve">consumer inputs indicated that patients may accept </w:t>
      </w:r>
      <w:r w:rsidR="00336F4E" w:rsidRPr="00B13CE3">
        <w:rPr>
          <w:iCs/>
        </w:rPr>
        <w:t xml:space="preserve">the risk of side effects where there is a </w:t>
      </w:r>
      <w:r w:rsidR="00E07C28" w:rsidRPr="00B13CE3">
        <w:rPr>
          <w:iCs/>
        </w:rPr>
        <w:t>potential</w:t>
      </w:r>
      <w:r w:rsidR="00336F4E" w:rsidRPr="00B13CE3">
        <w:rPr>
          <w:iCs/>
        </w:rPr>
        <w:t xml:space="preserve"> efficacy benefit.</w:t>
      </w:r>
      <w:r w:rsidR="00074BBC" w:rsidRPr="00074BBC">
        <w:t xml:space="preserve"> </w:t>
      </w:r>
      <w:r w:rsidR="00074BBC">
        <w:t>The pre-PBAC response argued that clinicians are familiar with the early recognition and management of adverse events associated with T-</w:t>
      </w:r>
      <w:proofErr w:type="spellStart"/>
      <w:r w:rsidR="00074BBC">
        <w:t>DXd</w:t>
      </w:r>
      <w:proofErr w:type="spellEnd"/>
      <w:r w:rsidR="00074BBC">
        <w:t>, as noted in the clinician hearing. The pre-PBAC response also cited real-world evidence</w:t>
      </w:r>
      <w:r w:rsidR="00074BBC">
        <w:rPr>
          <w:rStyle w:val="FootnoteReference"/>
        </w:rPr>
        <w:footnoteReference w:id="22"/>
      </w:r>
      <w:r w:rsidR="00074BBC">
        <w:t xml:space="preserve"> suggesting that </w:t>
      </w:r>
      <w:r w:rsidR="00074BBC" w:rsidRPr="00115FEE">
        <w:t>AE rates observed in practice are lower than those reported in trial</w:t>
      </w:r>
      <w:r w:rsidR="00074BBC">
        <w:t>s, including rates of ILD.</w:t>
      </w:r>
    </w:p>
    <w:p w14:paraId="458F5CC4" w14:textId="2A82A3F5" w:rsidR="00337C22" w:rsidRPr="00904162" w:rsidRDefault="00337C22" w:rsidP="008241B5">
      <w:pPr>
        <w:pStyle w:val="3-BodyText"/>
        <w:rPr>
          <w:rFonts w:eastAsia="Calibri"/>
        </w:rPr>
      </w:pPr>
      <w:r w:rsidRPr="00904162">
        <w:rPr>
          <w:rFonts w:eastAsia="Calibri"/>
        </w:rPr>
        <w:t xml:space="preserve">Other issues </w:t>
      </w:r>
      <w:r w:rsidR="00B32E81">
        <w:rPr>
          <w:rFonts w:eastAsia="Calibri"/>
        </w:rPr>
        <w:t>noted during the evaluation</w:t>
      </w:r>
      <w:r w:rsidRPr="00904162">
        <w:rPr>
          <w:rFonts w:eastAsia="Calibri"/>
        </w:rPr>
        <w:t xml:space="preserve"> include:</w:t>
      </w:r>
    </w:p>
    <w:p w14:paraId="5D95AF05" w14:textId="77777777" w:rsidR="001746F4" w:rsidRPr="00904162" w:rsidRDefault="001746F4" w:rsidP="008241B5">
      <w:pPr>
        <w:pStyle w:val="3-BodyText"/>
        <w:numPr>
          <w:ilvl w:val="0"/>
          <w:numId w:val="13"/>
        </w:numPr>
        <w:ind w:left="1418" w:hanging="284"/>
        <w:rPr>
          <w:rFonts w:eastAsia="Calibri"/>
        </w:rPr>
      </w:pPr>
      <w:r w:rsidRPr="00904162">
        <w:rPr>
          <w:rFonts w:eastAsia="Calibri"/>
        </w:rPr>
        <w:t>T</w:t>
      </w:r>
      <w:r w:rsidR="00337C22" w:rsidRPr="00904162">
        <w:rPr>
          <w:rFonts w:eastAsia="Calibri"/>
        </w:rPr>
        <w:t>he open-label design of the DB-06 trial which may have impacted QoL and safety assessments</w:t>
      </w:r>
      <w:r w:rsidRPr="00904162">
        <w:rPr>
          <w:rFonts w:eastAsia="Calibri"/>
        </w:rPr>
        <w:t xml:space="preserve"> in favour of T-</w:t>
      </w:r>
      <w:proofErr w:type="spellStart"/>
      <w:r w:rsidRPr="00904162">
        <w:rPr>
          <w:rFonts w:eastAsia="Calibri"/>
        </w:rPr>
        <w:t>DXd</w:t>
      </w:r>
      <w:proofErr w:type="spellEnd"/>
      <w:r w:rsidRPr="00904162">
        <w:rPr>
          <w:rFonts w:eastAsia="Calibri"/>
        </w:rPr>
        <w:t>.</w:t>
      </w:r>
    </w:p>
    <w:p w14:paraId="55901197" w14:textId="10BC97E6" w:rsidR="00337C22" w:rsidRPr="00BC3957" w:rsidRDefault="001746F4" w:rsidP="008241B5">
      <w:pPr>
        <w:pStyle w:val="3-BodyText"/>
        <w:numPr>
          <w:ilvl w:val="0"/>
          <w:numId w:val="13"/>
        </w:numPr>
        <w:ind w:left="1418" w:hanging="284"/>
        <w:rPr>
          <w:rFonts w:eastAsia="Calibri"/>
        </w:rPr>
      </w:pPr>
      <w:r w:rsidRPr="00904162">
        <w:rPr>
          <w:rFonts w:eastAsia="Calibri"/>
        </w:rPr>
        <w:t>T</w:t>
      </w:r>
      <w:r w:rsidR="00337C22" w:rsidRPr="00904162">
        <w:rPr>
          <w:rFonts w:eastAsia="Calibri"/>
        </w:rPr>
        <w:t xml:space="preserve">he </w:t>
      </w:r>
      <w:r w:rsidR="00364CA6">
        <w:rPr>
          <w:rFonts w:eastAsia="Calibri"/>
        </w:rPr>
        <w:t>small</w:t>
      </w:r>
      <w:r w:rsidR="00337C22" w:rsidRPr="00904162">
        <w:rPr>
          <w:rFonts w:eastAsia="Calibri"/>
        </w:rPr>
        <w:t xml:space="preserve"> sample size of the HER2-ultralow population </w:t>
      </w:r>
      <w:r w:rsidRPr="00904162">
        <w:rPr>
          <w:rFonts w:eastAsia="Calibri"/>
        </w:rPr>
        <w:t>(152 patients)</w:t>
      </w:r>
      <w:r w:rsidR="00337C22" w:rsidRPr="00904162">
        <w:rPr>
          <w:rFonts w:eastAsia="Calibri"/>
        </w:rPr>
        <w:t>.</w:t>
      </w:r>
      <w:r w:rsidR="00255044">
        <w:rPr>
          <w:rFonts w:eastAsia="Calibri"/>
        </w:rPr>
        <w:t xml:space="preserve"> </w:t>
      </w:r>
      <w:r w:rsidR="00255044" w:rsidRPr="00B13CE3">
        <w:rPr>
          <w:rFonts w:eastAsia="Calibri"/>
          <w:iCs/>
        </w:rPr>
        <w:t>The PSCR</w:t>
      </w:r>
      <w:r w:rsidR="00E54DF1" w:rsidRPr="00B13CE3">
        <w:rPr>
          <w:rFonts w:eastAsia="Calibri"/>
          <w:iCs/>
        </w:rPr>
        <w:t xml:space="preserve"> </w:t>
      </w:r>
      <w:r w:rsidR="00255044" w:rsidRPr="00B13CE3">
        <w:rPr>
          <w:rFonts w:eastAsia="Calibri"/>
          <w:iCs/>
        </w:rPr>
        <w:t xml:space="preserve">stated that </w:t>
      </w:r>
      <w:r w:rsidR="00B83216" w:rsidRPr="00B13CE3">
        <w:rPr>
          <w:rFonts w:eastAsia="Calibri"/>
          <w:iCs/>
        </w:rPr>
        <w:t>w</w:t>
      </w:r>
      <w:r w:rsidR="001D6786" w:rsidRPr="00B13CE3">
        <w:rPr>
          <w:rFonts w:eastAsia="Calibri"/>
          <w:iCs/>
        </w:rPr>
        <w:t>hile the HER2-ultralow subset is not powered for formal hypothesis testing, the internal consistency of benefit across the HER2</w:t>
      </w:r>
      <w:r w:rsidR="001D6786" w:rsidRPr="00B13CE3">
        <w:rPr>
          <w:rFonts w:ascii="Cambria Math" w:eastAsia="Calibri" w:hAnsi="Cambria Math" w:cs="Cambria Math"/>
          <w:iCs/>
        </w:rPr>
        <w:t>‑</w:t>
      </w:r>
      <w:r w:rsidR="001D6786" w:rsidRPr="00B13CE3">
        <w:rPr>
          <w:rFonts w:eastAsia="Calibri"/>
          <w:iCs/>
        </w:rPr>
        <w:t>low and ITT populations</w:t>
      </w:r>
      <w:r w:rsidR="00BC6B91" w:rsidRPr="00B13CE3">
        <w:rPr>
          <w:rFonts w:eastAsia="Calibri"/>
          <w:iCs/>
        </w:rPr>
        <w:t xml:space="preserve"> </w:t>
      </w:r>
      <w:r w:rsidR="001D6786" w:rsidRPr="00B13CE3">
        <w:rPr>
          <w:rFonts w:eastAsia="Calibri"/>
          <w:iCs/>
        </w:rPr>
        <w:t xml:space="preserve">supports the expectation of clinical benefit for all Australian patients eligible for treatment under the </w:t>
      </w:r>
      <w:r w:rsidR="00BC6B91" w:rsidRPr="00B13CE3">
        <w:rPr>
          <w:rFonts w:eastAsia="Calibri"/>
          <w:iCs/>
        </w:rPr>
        <w:t>proposed listing</w:t>
      </w:r>
      <w:r w:rsidR="001D6786" w:rsidRPr="00B13CE3">
        <w:rPr>
          <w:rFonts w:eastAsia="Calibri"/>
          <w:iCs/>
        </w:rPr>
        <w:t>.</w:t>
      </w:r>
    </w:p>
    <w:p w14:paraId="15991943" w14:textId="18D96A17" w:rsidR="001746F4" w:rsidRDefault="001746F4" w:rsidP="008241B5">
      <w:pPr>
        <w:pStyle w:val="3-BodyText"/>
        <w:numPr>
          <w:ilvl w:val="0"/>
          <w:numId w:val="13"/>
        </w:numPr>
        <w:ind w:left="1418" w:hanging="284"/>
        <w:rPr>
          <w:rFonts w:eastAsia="Calibri"/>
        </w:rPr>
      </w:pPr>
      <w:r w:rsidRPr="00904162">
        <w:rPr>
          <w:rFonts w:eastAsia="Calibri"/>
        </w:rPr>
        <w:t>The challenges in Australian practice that pathologists may face which include a requirement for support, peer training, and practice to score consistently BC HER2 IHC patterns at the low end of the protein expression</w:t>
      </w:r>
      <w:r w:rsidR="00E24EB2" w:rsidRPr="00904162">
        <w:rPr>
          <w:rFonts w:eastAsia="Calibri"/>
        </w:rPr>
        <w:t xml:space="preserve"> (Delegate’s overview ENHERTU trastuzumab deruxtecan PM-2024-04768-1-4)</w:t>
      </w:r>
      <w:r w:rsidRPr="00904162">
        <w:rPr>
          <w:rFonts w:eastAsia="Calibri"/>
        </w:rPr>
        <w:t>.</w:t>
      </w:r>
    </w:p>
    <w:p w14:paraId="5EC25A75" w14:textId="06CBB7D3" w:rsidR="00BF1188" w:rsidRPr="00CE42B4" w:rsidRDefault="00BF1188" w:rsidP="008241B5">
      <w:pPr>
        <w:numPr>
          <w:ilvl w:val="1"/>
          <w:numId w:val="1"/>
        </w:numPr>
        <w:spacing w:after="120"/>
        <w:rPr>
          <w:rFonts w:asciiTheme="minorHAnsi" w:hAnsiTheme="minorHAnsi"/>
          <w:snapToGrid w:val="0"/>
          <w:szCs w:val="20"/>
        </w:rPr>
      </w:pPr>
      <w:bookmarkStart w:id="41"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w:t>
      </w:r>
      <w:r w:rsidR="00F3641F">
        <w:rPr>
          <w:rFonts w:asciiTheme="minorHAnsi" w:hAnsiTheme="minorHAnsi"/>
          <w:snapToGrid w:val="0"/>
          <w:szCs w:val="20"/>
        </w:rPr>
        <w:t xml:space="preserve"> in the HER2 low population</w:t>
      </w:r>
      <w:r w:rsidRPr="00CE42B4">
        <w:rPr>
          <w:rFonts w:asciiTheme="minorHAnsi" w:hAnsiTheme="minorHAnsi"/>
          <w:snapToGrid w:val="0"/>
          <w:szCs w:val="20"/>
        </w:rPr>
        <w:t xml:space="preserve"> was reasonable</w:t>
      </w:r>
      <w:r w:rsidR="006E4CF7">
        <w:rPr>
          <w:rFonts w:asciiTheme="minorHAnsi" w:hAnsiTheme="minorHAnsi"/>
          <w:snapToGrid w:val="0"/>
          <w:szCs w:val="20"/>
        </w:rPr>
        <w:t xml:space="preserve"> for PFS</w:t>
      </w:r>
      <w:r w:rsidR="00EE4194">
        <w:rPr>
          <w:rFonts w:asciiTheme="minorHAnsi" w:hAnsiTheme="minorHAnsi"/>
          <w:snapToGrid w:val="0"/>
          <w:szCs w:val="20"/>
        </w:rPr>
        <w:t>,</w:t>
      </w:r>
      <w:r w:rsidR="006E4CF7">
        <w:rPr>
          <w:rFonts w:asciiTheme="minorHAnsi" w:hAnsiTheme="minorHAnsi"/>
          <w:snapToGrid w:val="0"/>
          <w:szCs w:val="20"/>
        </w:rPr>
        <w:t xml:space="preserve"> </w:t>
      </w:r>
      <w:r w:rsidR="001D2204">
        <w:rPr>
          <w:rFonts w:asciiTheme="minorHAnsi" w:hAnsiTheme="minorHAnsi"/>
          <w:snapToGrid w:val="0"/>
          <w:szCs w:val="20"/>
        </w:rPr>
        <w:t xml:space="preserve">with a modest benefit </w:t>
      </w:r>
      <w:r w:rsidR="00EE4194">
        <w:rPr>
          <w:rFonts w:asciiTheme="minorHAnsi" w:hAnsiTheme="minorHAnsi"/>
          <w:snapToGrid w:val="0"/>
          <w:szCs w:val="20"/>
        </w:rPr>
        <w:t>shown</w:t>
      </w:r>
      <w:r w:rsidR="006E4CF7">
        <w:rPr>
          <w:rFonts w:asciiTheme="minorHAnsi" w:hAnsiTheme="minorHAnsi"/>
          <w:snapToGrid w:val="0"/>
          <w:szCs w:val="20"/>
        </w:rPr>
        <w:t>,</w:t>
      </w:r>
      <w:r w:rsidR="00006A97">
        <w:rPr>
          <w:rFonts w:asciiTheme="minorHAnsi" w:hAnsiTheme="minorHAnsi"/>
          <w:snapToGrid w:val="0"/>
          <w:szCs w:val="20"/>
        </w:rPr>
        <w:t xml:space="preserve"> </w:t>
      </w:r>
      <w:r w:rsidR="001601B1">
        <w:rPr>
          <w:rFonts w:asciiTheme="minorHAnsi" w:hAnsiTheme="minorHAnsi"/>
          <w:snapToGrid w:val="0"/>
          <w:szCs w:val="20"/>
        </w:rPr>
        <w:t xml:space="preserve">and uncertain for OS </w:t>
      </w:r>
      <w:r w:rsidR="00EE4194">
        <w:rPr>
          <w:rFonts w:asciiTheme="minorHAnsi" w:hAnsiTheme="minorHAnsi"/>
          <w:snapToGrid w:val="0"/>
          <w:szCs w:val="20"/>
        </w:rPr>
        <w:t xml:space="preserve">based on the </w:t>
      </w:r>
      <w:r w:rsidR="001601B1">
        <w:rPr>
          <w:rFonts w:asciiTheme="minorHAnsi" w:hAnsiTheme="minorHAnsi"/>
          <w:snapToGrid w:val="0"/>
          <w:szCs w:val="20"/>
        </w:rPr>
        <w:t>data presented</w:t>
      </w:r>
      <w:r w:rsidRPr="00CE42B4">
        <w:rPr>
          <w:rFonts w:asciiTheme="minorHAnsi" w:hAnsiTheme="minorHAnsi"/>
          <w:snapToGrid w:val="0"/>
          <w:szCs w:val="20"/>
        </w:rPr>
        <w:t>.</w:t>
      </w:r>
      <w:r w:rsidR="00F3641F">
        <w:rPr>
          <w:rFonts w:asciiTheme="minorHAnsi" w:hAnsiTheme="minorHAnsi"/>
          <w:snapToGrid w:val="0"/>
          <w:szCs w:val="20"/>
        </w:rPr>
        <w:t xml:space="preserve"> </w:t>
      </w:r>
      <w:r w:rsidR="00093A87">
        <w:rPr>
          <w:rFonts w:asciiTheme="minorHAnsi" w:hAnsiTheme="minorHAnsi"/>
          <w:snapToGrid w:val="0"/>
          <w:szCs w:val="20"/>
        </w:rPr>
        <w:t xml:space="preserve">The PBAC considered that the claim of </w:t>
      </w:r>
      <w:r w:rsidR="00156887">
        <w:rPr>
          <w:rFonts w:asciiTheme="minorHAnsi" w:hAnsiTheme="minorHAnsi"/>
          <w:snapToGrid w:val="0"/>
          <w:szCs w:val="20"/>
        </w:rPr>
        <w:t xml:space="preserve">superior comparative effectiveness </w:t>
      </w:r>
      <w:r w:rsidR="007B4136">
        <w:rPr>
          <w:rFonts w:asciiTheme="minorHAnsi" w:hAnsiTheme="minorHAnsi"/>
          <w:snapToGrid w:val="0"/>
          <w:szCs w:val="20"/>
        </w:rPr>
        <w:t xml:space="preserve">in the HER2 ultra-low population was </w:t>
      </w:r>
      <w:r w:rsidR="00522E9D">
        <w:rPr>
          <w:rFonts w:asciiTheme="minorHAnsi" w:hAnsiTheme="minorHAnsi"/>
          <w:snapToGrid w:val="0"/>
          <w:szCs w:val="20"/>
        </w:rPr>
        <w:t xml:space="preserve">considerably </w:t>
      </w:r>
      <w:r w:rsidR="006D0FA9">
        <w:rPr>
          <w:rFonts w:asciiTheme="minorHAnsi" w:hAnsiTheme="minorHAnsi"/>
          <w:snapToGrid w:val="0"/>
          <w:szCs w:val="20"/>
        </w:rPr>
        <w:t xml:space="preserve">less certain as the claim was based on data from a small </w:t>
      </w:r>
      <w:r w:rsidR="00174622">
        <w:rPr>
          <w:rFonts w:asciiTheme="minorHAnsi" w:hAnsiTheme="minorHAnsi"/>
          <w:snapToGrid w:val="0"/>
          <w:szCs w:val="20"/>
        </w:rPr>
        <w:t xml:space="preserve">subset of patient in the </w:t>
      </w:r>
      <w:r w:rsidR="00BB0DFF">
        <w:rPr>
          <w:rFonts w:asciiTheme="minorHAnsi" w:hAnsiTheme="minorHAnsi"/>
          <w:snapToGrid w:val="0"/>
          <w:szCs w:val="20"/>
        </w:rPr>
        <w:t>DB-06 trial</w:t>
      </w:r>
      <w:r w:rsidR="007B4136">
        <w:rPr>
          <w:rFonts w:asciiTheme="minorHAnsi" w:hAnsiTheme="minorHAnsi"/>
          <w:snapToGrid w:val="0"/>
          <w:szCs w:val="20"/>
        </w:rPr>
        <w:t xml:space="preserve">. </w:t>
      </w:r>
    </w:p>
    <w:p w14:paraId="61152919" w14:textId="073CE650" w:rsidR="00BF1188" w:rsidRPr="00CE42B4" w:rsidRDefault="00BF1188" w:rsidP="008241B5">
      <w:pPr>
        <w:numPr>
          <w:ilvl w:val="1"/>
          <w:numId w:val="1"/>
        </w:numPr>
        <w:spacing w:after="120"/>
        <w:rPr>
          <w:rFonts w:asciiTheme="minorHAnsi" w:hAnsiTheme="minorHAnsi"/>
          <w:snapToGrid w:val="0"/>
          <w:szCs w:val="20"/>
        </w:rPr>
      </w:pPr>
      <w:r w:rsidRPr="00CE42B4">
        <w:rPr>
          <w:rFonts w:asciiTheme="minorHAnsi" w:hAnsiTheme="minorHAnsi"/>
          <w:snapToGrid w:val="0"/>
          <w:szCs w:val="20"/>
        </w:rPr>
        <w:t xml:space="preserve">The PBAC considered that the claim of inferior comparative safety </w:t>
      </w:r>
      <w:r w:rsidR="007B4136">
        <w:rPr>
          <w:rFonts w:asciiTheme="minorHAnsi" w:hAnsiTheme="minorHAnsi"/>
          <w:snapToGrid w:val="0"/>
          <w:szCs w:val="20"/>
        </w:rPr>
        <w:t xml:space="preserve">in both populations </w:t>
      </w:r>
      <w:r w:rsidRPr="00CE42B4">
        <w:rPr>
          <w:rFonts w:asciiTheme="minorHAnsi" w:hAnsiTheme="minorHAnsi"/>
          <w:snapToGrid w:val="0"/>
          <w:szCs w:val="20"/>
        </w:rPr>
        <w:t>was reasonable</w:t>
      </w:r>
      <w:r w:rsidR="007B4136">
        <w:rPr>
          <w:rFonts w:asciiTheme="minorHAnsi" w:hAnsiTheme="minorHAnsi"/>
          <w:snapToGrid w:val="0"/>
          <w:szCs w:val="20"/>
        </w:rPr>
        <w:t>.</w:t>
      </w:r>
    </w:p>
    <w:bookmarkEnd w:id="41"/>
    <w:p w14:paraId="365CE8BE" w14:textId="77777777" w:rsidR="008710CC" w:rsidRPr="00904162" w:rsidRDefault="008710CC" w:rsidP="008241B5">
      <w:pPr>
        <w:pStyle w:val="3-BodyText"/>
        <w:numPr>
          <w:ilvl w:val="0"/>
          <w:numId w:val="0"/>
        </w:numPr>
      </w:pPr>
    </w:p>
    <w:p w14:paraId="74A1172E" w14:textId="128C170E" w:rsidR="00B60939" w:rsidRPr="0098262F" w:rsidRDefault="00B60939" w:rsidP="008241B5">
      <w:pPr>
        <w:pStyle w:val="4-SubsectionHeading"/>
      </w:pPr>
      <w:bookmarkStart w:id="42" w:name="_Toc22897645"/>
      <w:bookmarkStart w:id="43" w:name="_Toc219893556"/>
      <w:r w:rsidRPr="0098262F">
        <w:lastRenderedPageBreak/>
        <w:t>Economic analysis</w:t>
      </w:r>
      <w:bookmarkEnd w:id="42"/>
      <w:bookmarkEnd w:id="43"/>
      <w:r w:rsidR="00491B3A" w:rsidRPr="0098262F">
        <w:t xml:space="preserve"> </w:t>
      </w:r>
    </w:p>
    <w:p w14:paraId="4EC0AAFC" w14:textId="465C4BCD" w:rsidR="00412FD8" w:rsidRPr="00994CB4" w:rsidRDefault="00412FD8" w:rsidP="008241B5">
      <w:pPr>
        <w:pStyle w:val="3-BodyText"/>
        <w:rPr>
          <w:b/>
          <w:bCs/>
        </w:rPr>
      </w:pPr>
      <w:bookmarkStart w:id="44" w:name="_Toc22897646"/>
      <w:r w:rsidRPr="00994CB4">
        <w:t xml:space="preserve">The submission presented a </w:t>
      </w:r>
      <w:bookmarkStart w:id="45" w:name="_Hlk219136525"/>
      <w:r w:rsidR="00A94B84" w:rsidRPr="00A94B84">
        <w:t>modelled economic evaluation</w:t>
      </w:r>
      <w:r w:rsidR="00A94B84">
        <w:t xml:space="preserve"> based on the key DB-06 trial</w:t>
      </w:r>
      <w:bookmarkEnd w:id="45"/>
      <w:r w:rsidRPr="00994CB4">
        <w:t>, which compared T-</w:t>
      </w:r>
      <w:proofErr w:type="spellStart"/>
      <w:r w:rsidRPr="00994CB4">
        <w:t>DXd</w:t>
      </w:r>
      <w:proofErr w:type="spellEnd"/>
      <w:r w:rsidRPr="00994CB4">
        <w:t xml:space="preserve"> with ICC for the treatment of patients with HR</w:t>
      </w:r>
      <w:r w:rsidR="00D65300">
        <w:noBreakHyphen/>
      </w:r>
      <w:r w:rsidRPr="00994CB4">
        <w:t>positive, HER2-low or HER2-ultralow mBC who have received at least one prior line of ET in the metastatic setting and are no longer considered suitable for ET.</w:t>
      </w:r>
    </w:p>
    <w:p w14:paraId="506C574B" w14:textId="239C350C" w:rsidR="00412FD8" w:rsidRPr="00994CB4" w:rsidRDefault="00412FD8" w:rsidP="008241B5">
      <w:pPr>
        <w:pStyle w:val="3-BodyText"/>
      </w:pPr>
      <w:r w:rsidRPr="00994CB4">
        <w:t>The key components of the economic evaluation are summarised</w:t>
      </w:r>
      <w:r>
        <w:t xml:space="preserve"> </w:t>
      </w:r>
      <w:r>
        <w:fldChar w:fldCharType="begin"/>
      </w:r>
      <w:r>
        <w:instrText xml:space="preserve"> REF _Ref217663537 \h </w:instrText>
      </w:r>
      <w:r>
        <w:fldChar w:fldCharType="separate"/>
      </w:r>
      <w:r w:rsidR="005D3E29" w:rsidRPr="0098262F">
        <w:t xml:space="preserve">Table </w:t>
      </w:r>
      <w:r w:rsidR="005D3E29">
        <w:rPr>
          <w:noProof/>
        </w:rPr>
        <w:t>11</w:t>
      </w:r>
      <w:r>
        <w:fldChar w:fldCharType="end"/>
      </w:r>
      <w:r>
        <w:t>.</w:t>
      </w:r>
    </w:p>
    <w:p w14:paraId="675DB89A" w14:textId="0FBFFAD2" w:rsidR="00412FD8" w:rsidRPr="0098262F" w:rsidRDefault="00412FD8" w:rsidP="008241B5">
      <w:pPr>
        <w:pStyle w:val="Caption"/>
        <w:jc w:val="left"/>
        <w:rPr>
          <w:rStyle w:val="CommentReference"/>
          <w:b/>
          <w:szCs w:val="24"/>
        </w:rPr>
      </w:pPr>
      <w:bookmarkStart w:id="46" w:name="_Ref217663537"/>
      <w:r w:rsidRPr="0098262F">
        <w:t xml:space="preserve">Table </w:t>
      </w:r>
      <w:fldSimple w:instr=" SEQ Table \* ARABIC ">
        <w:r w:rsidR="005D3E29">
          <w:rPr>
            <w:noProof/>
          </w:rPr>
          <w:t>11</w:t>
        </w:r>
      </w:fldSimple>
      <w:bookmarkEnd w:id="46"/>
      <w:r w:rsidRPr="0098262F">
        <w:t>:</w:t>
      </w:r>
      <w:r w:rsidRPr="0098262F">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Summary of model structure, key inputs and rationale"/>
      </w:tblPr>
      <w:tblGrid>
        <w:gridCol w:w="1555"/>
        <w:gridCol w:w="7462"/>
      </w:tblGrid>
      <w:tr w:rsidR="00412FD8" w:rsidRPr="0098262F" w14:paraId="7D3427AB" w14:textId="77777777">
        <w:trPr>
          <w:tblHeader/>
        </w:trPr>
        <w:tc>
          <w:tcPr>
            <w:tcW w:w="862" w:type="pct"/>
            <w:vAlign w:val="center"/>
          </w:tcPr>
          <w:p w14:paraId="117FDC6A" w14:textId="77777777" w:rsidR="00412FD8" w:rsidRPr="00994CB4" w:rsidRDefault="00412FD8" w:rsidP="008241B5">
            <w:pPr>
              <w:pStyle w:val="In-tableHeading"/>
              <w:rPr>
                <w:i w:val="0"/>
                <w:iCs w:val="0"/>
              </w:rPr>
            </w:pPr>
            <w:r w:rsidRPr="00994CB4">
              <w:rPr>
                <w:i w:val="0"/>
                <w:iCs w:val="0"/>
              </w:rPr>
              <w:t>Component</w:t>
            </w:r>
          </w:p>
        </w:tc>
        <w:tc>
          <w:tcPr>
            <w:tcW w:w="4138" w:type="pct"/>
            <w:vAlign w:val="center"/>
          </w:tcPr>
          <w:p w14:paraId="71379AA2" w14:textId="77777777" w:rsidR="00412FD8" w:rsidRPr="00994CB4" w:rsidRDefault="00412FD8" w:rsidP="008241B5">
            <w:pPr>
              <w:pStyle w:val="In-tableHeading"/>
              <w:rPr>
                <w:i w:val="0"/>
                <w:iCs w:val="0"/>
              </w:rPr>
            </w:pPr>
            <w:r w:rsidRPr="00994CB4">
              <w:rPr>
                <w:i w:val="0"/>
                <w:iCs w:val="0"/>
              </w:rPr>
              <w:t>Summary</w:t>
            </w:r>
          </w:p>
        </w:tc>
      </w:tr>
      <w:tr w:rsidR="00412FD8" w:rsidRPr="0098262F" w14:paraId="346FE398" w14:textId="77777777">
        <w:tc>
          <w:tcPr>
            <w:tcW w:w="862" w:type="pct"/>
            <w:vAlign w:val="center"/>
          </w:tcPr>
          <w:p w14:paraId="54E2BDD6" w14:textId="77777777" w:rsidR="00412FD8" w:rsidRPr="0098262F" w:rsidRDefault="00412FD8" w:rsidP="008241B5">
            <w:pPr>
              <w:pStyle w:val="TableText0"/>
            </w:pPr>
            <w:r w:rsidRPr="0098262F">
              <w:t>Treatments</w:t>
            </w:r>
          </w:p>
        </w:tc>
        <w:tc>
          <w:tcPr>
            <w:tcW w:w="4138" w:type="pct"/>
            <w:vAlign w:val="center"/>
          </w:tcPr>
          <w:p w14:paraId="1999982E" w14:textId="77777777" w:rsidR="00412FD8" w:rsidRPr="00994CB4" w:rsidRDefault="00412FD8" w:rsidP="008241B5">
            <w:pPr>
              <w:pStyle w:val="TableText0"/>
            </w:pPr>
            <w:r>
              <w:t>T-</w:t>
            </w:r>
            <w:proofErr w:type="spellStart"/>
            <w:r>
              <w:t>DXd</w:t>
            </w:r>
            <w:proofErr w:type="spellEnd"/>
            <w:r>
              <w:t xml:space="preserve"> </w:t>
            </w:r>
            <w:r w:rsidRPr="00B13CE3">
              <w:rPr>
                <w:iCs/>
              </w:rPr>
              <w:t xml:space="preserve">vs. </w:t>
            </w:r>
            <w:r>
              <w:t>ICC</w:t>
            </w:r>
          </w:p>
        </w:tc>
      </w:tr>
      <w:tr w:rsidR="00412FD8" w:rsidRPr="0098262F" w14:paraId="64C6F10D" w14:textId="77777777">
        <w:tc>
          <w:tcPr>
            <w:tcW w:w="862" w:type="pct"/>
            <w:vAlign w:val="center"/>
          </w:tcPr>
          <w:p w14:paraId="437B119D" w14:textId="77777777" w:rsidR="00412FD8" w:rsidRPr="0098262F" w:rsidRDefault="00412FD8" w:rsidP="008241B5">
            <w:pPr>
              <w:pStyle w:val="TableText0"/>
            </w:pPr>
            <w:r w:rsidRPr="0098262F">
              <w:t>Time horizon</w:t>
            </w:r>
          </w:p>
        </w:tc>
        <w:tc>
          <w:tcPr>
            <w:tcW w:w="4138" w:type="pct"/>
            <w:vAlign w:val="center"/>
          </w:tcPr>
          <w:p w14:paraId="635F943E" w14:textId="77777777" w:rsidR="00412FD8" w:rsidRPr="0098262F" w:rsidRDefault="00412FD8" w:rsidP="008241B5">
            <w:pPr>
              <w:pStyle w:val="TableText0"/>
            </w:pPr>
            <w:r>
              <w:t xml:space="preserve">15 years in the </w:t>
            </w:r>
            <w:r w:rsidRPr="0098262F">
              <w:t xml:space="preserve">model base case vs. </w:t>
            </w:r>
            <w:r>
              <w:t>27.6</w:t>
            </w:r>
            <w:r w:rsidRPr="00E8542E">
              <w:t xml:space="preserve"> months in the T-</w:t>
            </w:r>
            <w:proofErr w:type="spellStart"/>
            <w:r w:rsidRPr="00E8542E">
              <w:t>DXd</w:t>
            </w:r>
            <w:proofErr w:type="spellEnd"/>
            <w:r w:rsidRPr="00E8542E">
              <w:t xml:space="preserve"> arm and </w:t>
            </w:r>
            <w:r>
              <w:t>25.0</w:t>
            </w:r>
            <w:r w:rsidRPr="00E8542E">
              <w:t xml:space="preserve"> months in the chemotherapy arm </w:t>
            </w:r>
            <w:r w:rsidRPr="0098262F">
              <w:t xml:space="preserve">in </w:t>
            </w:r>
            <w:r>
              <w:t>the DB-06</w:t>
            </w:r>
            <w:r w:rsidRPr="0098262F">
              <w:t xml:space="preserve"> trial</w:t>
            </w:r>
          </w:p>
        </w:tc>
      </w:tr>
      <w:tr w:rsidR="00412FD8" w:rsidRPr="0098262F" w14:paraId="12D3C4F1" w14:textId="77777777">
        <w:tc>
          <w:tcPr>
            <w:tcW w:w="862" w:type="pct"/>
            <w:vAlign w:val="center"/>
          </w:tcPr>
          <w:p w14:paraId="3F1A7A75" w14:textId="77777777" w:rsidR="00412FD8" w:rsidRPr="0098262F" w:rsidRDefault="00412FD8" w:rsidP="008241B5">
            <w:pPr>
              <w:pStyle w:val="TableText0"/>
            </w:pPr>
            <w:r w:rsidRPr="0098262F">
              <w:t>Outcomes</w:t>
            </w:r>
          </w:p>
        </w:tc>
        <w:tc>
          <w:tcPr>
            <w:tcW w:w="4138" w:type="pct"/>
            <w:vAlign w:val="center"/>
          </w:tcPr>
          <w:p w14:paraId="75D8A235" w14:textId="77777777" w:rsidR="00412FD8" w:rsidRPr="0098262F" w:rsidRDefault="00412FD8" w:rsidP="008241B5">
            <w:pPr>
              <w:pStyle w:val="TableText0"/>
            </w:pPr>
            <w:r w:rsidRPr="002774A8">
              <w:rPr>
                <w:rFonts w:cs="Arial"/>
                <w:szCs w:val="20"/>
                <w:lang w:bidi="en-US"/>
              </w:rPr>
              <w:t>LYs gained, QALYs gained</w:t>
            </w:r>
          </w:p>
        </w:tc>
      </w:tr>
      <w:tr w:rsidR="00412FD8" w:rsidRPr="0098262F" w14:paraId="39C35B3F" w14:textId="77777777">
        <w:tc>
          <w:tcPr>
            <w:tcW w:w="862" w:type="pct"/>
            <w:vAlign w:val="center"/>
          </w:tcPr>
          <w:p w14:paraId="6137046D" w14:textId="77777777" w:rsidR="00412FD8" w:rsidRPr="0098262F" w:rsidRDefault="00412FD8" w:rsidP="008241B5">
            <w:pPr>
              <w:pStyle w:val="TableText0"/>
            </w:pPr>
            <w:r w:rsidRPr="0098262F">
              <w:t>Methods used to generate results</w:t>
            </w:r>
          </w:p>
        </w:tc>
        <w:tc>
          <w:tcPr>
            <w:tcW w:w="4138" w:type="pct"/>
            <w:vAlign w:val="center"/>
          </w:tcPr>
          <w:p w14:paraId="16B1B041" w14:textId="77777777" w:rsidR="00412FD8" w:rsidRPr="0098262F" w:rsidRDefault="00412FD8" w:rsidP="008241B5">
            <w:pPr>
              <w:pStyle w:val="TableText0"/>
            </w:pPr>
            <w:r w:rsidRPr="00E8542E">
              <w:t>Partitioned survival model</w:t>
            </w:r>
          </w:p>
        </w:tc>
      </w:tr>
      <w:tr w:rsidR="00412FD8" w:rsidRPr="0098262F" w14:paraId="338CA93C" w14:textId="77777777">
        <w:tc>
          <w:tcPr>
            <w:tcW w:w="862" w:type="pct"/>
            <w:vAlign w:val="center"/>
          </w:tcPr>
          <w:p w14:paraId="16904B1E" w14:textId="77777777" w:rsidR="00412FD8" w:rsidRPr="0098262F" w:rsidRDefault="00412FD8" w:rsidP="008241B5">
            <w:pPr>
              <w:pStyle w:val="TableText0"/>
            </w:pPr>
            <w:r w:rsidRPr="0098262F">
              <w:t>Health states</w:t>
            </w:r>
          </w:p>
        </w:tc>
        <w:tc>
          <w:tcPr>
            <w:tcW w:w="4138" w:type="pct"/>
            <w:vAlign w:val="center"/>
          </w:tcPr>
          <w:p w14:paraId="389E7F76" w14:textId="77777777" w:rsidR="00412FD8" w:rsidRPr="0098262F" w:rsidRDefault="00412FD8" w:rsidP="008241B5">
            <w:pPr>
              <w:pStyle w:val="TableText0"/>
            </w:pPr>
            <w:r w:rsidRPr="0047139A">
              <w:t xml:space="preserve">PF, </w:t>
            </w:r>
            <w:r>
              <w:t xml:space="preserve">PD, </w:t>
            </w:r>
            <w:r w:rsidRPr="0047139A">
              <w:t>death</w:t>
            </w:r>
          </w:p>
        </w:tc>
      </w:tr>
      <w:tr w:rsidR="00412FD8" w:rsidRPr="0098262F" w14:paraId="536AA771" w14:textId="77777777">
        <w:tc>
          <w:tcPr>
            <w:tcW w:w="862" w:type="pct"/>
            <w:vAlign w:val="center"/>
          </w:tcPr>
          <w:p w14:paraId="364534B2" w14:textId="77777777" w:rsidR="00412FD8" w:rsidRPr="0098262F" w:rsidRDefault="00412FD8" w:rsidP="008241B5">
            <w:pPr>
              <w:pStyle w:val="TableText0"/>
            </w:pPr>
            <w:r w:rsidRPr="0098262F">
              <w:t>Cycle length</w:t>
            </w:r>
          </w:p>
        </w:tc>
        <w:tc>
          <w:tcPr>
            <w:tcW w:w="4138" w:type="pct"/>
            <w:vAlign w:val="center"/>
          </w:tcPr>
          <w:p w14:paraId="18035899" w14:textId="77777777" w:rsidR="00412FD8" w:rsidRPr="0098262F" w:rsidRDefault="00412FD8" w:rsidP="008241B5">
            <w:pPr>
              <w:pStyle w:val="TableText0"/>
            </w:pPr>
            <w:r>
              <w:t>3</w:t>
            </w:r>
            <w:r w:rsidRPr="0047139A">
              <w:t>-weekly cycle</w:t>
            </w:r>
            <w:r>
              <w:t>s</w:t>
            </w:r>
          </w:p>
        </w:tc>
      </w:tr>
      <w:tr w:rsidR="00412FD8" w:rsidRPr="0098262F" w14:paraId="0356D9EF" w14:textId="77777777">
        <w:trPr>
          <w:trHeight w:val="596"/>
        </w:trPr>
        <w:tc>
          <w:tcPr>
            <w:tcW w:w="862" w:type="pct"/>
            <w:vAlign w:val="center"/>
          </w:tcPr>
          <w:p w14:paraId="3DA68D4A" w14:textId="77777777" w:rsidR="00412FD8" w:rsidRPr="0098262F" w:rsidRDefault="00412FD8" w:rsidP="008241B5">
            <w:pPr>
              <w:pStyle w:val="TableText0"/>
            </w:pPr>
            <w:r w:rsidRPr="0098262F">
              <w:t>Allocation to health states</w:t>
            </w:r>
          </w:p>
        </w:tc>
        <w:tc>
          <w:tcPr>
            <w:tcW w:w="4138" w:type="pct"/>
          </w:tcPr>
          <w:p w14:paraId="398737A9" w14:textId="0D66B2D3" w:rsidR="00412FD8" w:rsidRDefault="00412FD8" w:rsidP="008241B5">
            <w:pPr>
              <w:pStyle w:val="TableText0"/>
            </w:pPr>
            <w:r w:rsidRPr="00A538AB">
              <w:t>Health state allocation over time in the T-</w:t>
            </w:r>
            <w:proofErr w:type="spellStart"/>
            <w:r w:rsidRPr="00A538AB">
              <w:t>DXd</w:t>
            </w:r>
            <w:proofErr w:type="spellEnd"/>
            <w:r w:rsidRPr="00A538AB">
              <w:t xml:space="preserve"> and ICC arms was determined by the PFS and OS data from the DB-06 trial up to the truncation time point (18.0 months and 10.4 months for PFS in the T</w:t>
            </w:r>
            <w:r w:rsidR="00A20571">
              <w:noBreakHyphen/>
            </w:r>
            <w:proofErr w:type="spellStart"/>
            <w:r w:rsidRPr="00A538AB">
              <w:t>DXd</w:t>
            </w:r>
            <w:proofErr w:type="spellEnd"/>
            <w:r w:rsidRPr="00A538AB">
              <w:t xml:space="preserve"> and ICC arms, respectively; 24.9 months for OS in both treatment arms). </w:t>
            </w:r>
          </w:p>
          <w:p w14:paraId="136F17D4" w14:textId="77777777" w:rsidR="00412FD8" w:rsidRDefault="00412FD8" w:rsidP="008241B5">
            <w:pPr>
              <w:pStyle w:val="TableText0"/>
            </w:pPr>
          </w:p>
          <w:p w14:paraId="27F1D3CB" w14:textId="77777777" w:rsidR="00412FD8" w:rsidRPr="0098262F" w:rsidRDefault="00412FD8" w:rsidP="008241B5">
            <w:pPr>
              <w:pStyle w:val="TableText0"/>
            </w:pPr>
            <w:r>
              <w:t>An upward adjustment was applied to the OS curve of the ICC arm to reflect the increased survival likely observed from increased subsequent T-</w:t>
            </w:r>
            <w:proofErr w:type="spellStart"/>
            <w:r>
              <w:t>DXd</w:t>
            </w:r>
            <w:proofErr w:type="spellEnd"/>
            <w:r>
              <w:t xml:space="preserve"> use in clinical practice, compared with that in the clinical trial.</w:t>
            </w:r>
          </w:p>
        </w:tc>
      </w:tr>
      <w:tr w:rsidR="00412FD8" w:rsidRPr="0098262F" w14:paraId="41D4ADDC" w14:textId="77777777">
        <w:tc>
          <w:tcPr>
            <w:tcW w:w="862" w:type="pct"/>
            <w:vAlign w:val="center"/>
          </w:tcPr>
          <w:p w14:paraId="35F3485E" w14:textId="77777777" w:rsidR="00412FD8" w:rsidRPr="0098262F" w:rsidRDefault="00412FD8" w:rsidP="008241B5">
            <w:pPr>
              <w:pStyle w:val="TableText0"/>
            </w:pPr>
            <w:r w:rsidRPr="0098262F">
              <w:t>Extrapolation method</w:t>
            </w:r>
          </w:p>
        </w:tc>
        <w:tc>
          <w:tcPr>
            <w:tcW w:w="4138" w:type="pct"/>
          </w:tcPr>
          <w:p w14:paraId="512C0DDF" w14:textId="77777777" w:rsidR="00412FD8" w:rsidRDefault="00412FD8" w:rsidP="008241B5">
            <w:pPr>
              <w:pStyle w:val="TableText0"/>
              <w:rPr>
                <w:rFonts w:cs="Arial"/>
                <w:szCs w:val="20"/>
                <w:lang w:bidi="en-US"/>
              </w:rPr>
            </w:pPr>
            <w:r w:rsidRPr="002774A8">
              <w:rPr>
                <w:rFonts w:cs="Arial"/>
                <w:szCs w:val="20"/>
                <w:lang w:bidi="en-US"/>
              </w:rPr>
              <w:t xml:space="preserve">PFS and OS </w:t>
            </w:r>
            <w:r>
              <w:rPr>
                <w:rFonts w:cs="Arial"/>
                <w:szCs w:val="20"/>
                <w:lang w:bidi="en-US"/>
              </w:rPr>
              <w:t xml:space="preserve">were </w:t>
            </w:r>
            <w:r w:rsidRPr="002774A8">
              <w:rPr>
                <w:rFonts w:cs="Arial"/>
                <w:szCs w:val="20"/>
                <w:lang w:bidi="en-US"/>
              </w:rPr>
              <w:t xml:space="preserve">extrapolated using </w:t>
            </w:r>
            <w:r>
              <w:rPr>
                <w:rFonts w:cs="Arial"/>
                <w:szCs w:val="20"/>
                <w:lang w:bidi="en-US"/>
              </w:rPr>
              <w:t xml:space="preserve">independent </w:t>
            </w:r>
            <w:r w:rsidRPr="002774A8">
              <w:rPr>
                <w:rFonts w:cs="Arial"/>
                <w:szCs w:val="20"/>
                <w:lang w:bidi="en-US"/>
              </w:rPr>
              <w:t xml:space="preserve">parametric functions fitted to </w:t>
            </w:r>
            <w:r>
              <w:rPr>
                <w:rFonts w:cs="Arial"/>
                <w:szCs w:val="20"/>
                <w:lang w:bidi="en-US"/>
              </w:rPr>
              <w:t>the DB-06 trial data. The selection of extrapolation functions was based on goodness of fit to trial data based on AIC/BIC, visual inspection, and shape of hazard function over time. PFS was extrapolated</w:t>
            </w:r>
            <w:r w:rsidRPr="002002A5">
              <w:rPr>
                <w:rFonts w:cs="Arial"/>
                <w:szCs w:val="20"/>
                <w:lang w:bidi="en-US"/>
              </w:rPr>
              <w:t xml:space="preserve"> using </w:t>
            </w:r>
            <w:r>
              <w:rPr>
                <w:rFonts w:cs="Arial"/>
                <w:szCs w:val="20"/>
                <w:lang w:bidi="en-US"/>
              </w:rPr>
              <w:t>a</w:t>
            </w:r>
            <w:r w:rsidRPr="002002A5">
              <w:rPr>
                <w:rFonts w:cs="Arial"/>
                <w:szCs w:val="20"/>
                <w:lang w:bidi="en-US"/>
              </w:rPr>
              <w:t xml:space="preserve"> log-logistic </w:t>
            </w:r>
            <w:r>
              <w:rPr>
                <w:rFonts w:cs="Arial"/>
                <w:szCs w:val="20"/>
                <w:lang w:bidi="en-US"/>
              </w:rPr>
              <w:t>function for T-</w:t>
            </w:r>
            <w:proofErr w:type="spellStart"/>
            <w:r>
              <w:rPr>
                <w:rFonts w:cs="Arial"/>
                <w:szCs w:val="20"/>
                <w:lang w:bidi="en-US"/>
              </w:rPr>
              <w:t>DXd</w:t>
            </w:r>
            <w:proofErr w:type="spellEnd"/>
            <w:r>
              <w:rPr>
                <w:rFonts w:cs="Arial"/>
                <w:szCs w:val="20"/>
                <w:lang w:bidi="en-US"/>
              </w:rPr>
              <w:t xml:space="preserve"> and a log-normal function for ICC</w:t>
            </w:r>
            <w:r w:rsidRPr="002002A5">
              <w:rPr>
                <w:rFonts w:cs="Arial"/>
                <w:szCs w:val="20"/>
                <w:lang w:bidi="en-US"/>
              </w:rPr>
              <w:t xml:space="preserve">. </w:t>
            </w:r>
            <w:r>
              <w:rPr>
                <w:rFonts w:cs="Arial"/>
                <w:szCs w:val="20"/>
                <w:lang w:bidi="en-US"/>
              </w:rPr>
              <w:t>A</w:t>
            </w:r>
            <w:r w:rsidRPr="002002A5">
              <w:rPr>
                <w:rFonts w:cs="Arial"/>
                <w:szCs w:val="20"/>
                <w:lang w:bidi="en-US"/>
              </w:rPr>
              <w:t xml:space="preserve"> log-logistic </w:t>
            </w:r>
            <w:r>
              <w:rPr>
                <w:rFonts w:cs="Arial"/>
                <w:szCs w:val="20"/>
                <w:lang w:bidi="en-US"/>
              </w:rPr>
              <w:t xml:space="preserve">distribution </w:t>
            </w:r>
            <w:r w:rsidRPr="002002A5">
              <w:rPr>
                <w:rFonts w:cs="Arial"/>
                <w:szCs w:val="20"/>
                <w:lang w:bidi="en-US"/>
              </w:rPr>
              <w:t>was chosen to extrapolate OS in both arms.</w:t>
            </w:r>
          </w:p>
          <w:p w14:paraId="221D080B" w14:textId="77777777" w:rsidR="00412FD8" w:rsidRDefault="00412FD8" w:rsidP="008241B5">
            <w:pPr>
              <w:pStyle w:val="TableText0"/>
              <w:rPr>
                <w:rFonts w:cs="Arial"/>
                <w:szCs w:val="20"/>
                <w:lang w:bidi="en-US"/>
              </w:rPr>
            </w:pPr>
          </w:p>
          <w:p w14:paraId="4ECA5447" w14:textId="77777777" w:rsidR="00412FD8" w:rsidRDefault="00412FD8" w:rsidP="008241B5">
            <w:pPr>
              <w:pStyle w:val="TableText0"/>
              <w:rPr>
                <w:rFonts w:cs="Arial"/>
                <w:szCs w:val="20"/>
                <w:lang w:bidi="en-US"/>
              </w:rPr>
            </w:pPr>
            <w:r w:rsidRPr="002774A8">
              <w:rPr>
                <w:rFonts w:cs="Arial"/>
                <w:szCs w:val="20"/>
                <w:lang w:bidi="en-US"/>
              </w:rPr>
              <w:t xml:space="preserve">Australian lifetables </w:t>
            </w:r>
            <w:r>
              <w:rPr>
                <w:rFonts w:cs="Arial"/>
                <w:szCs w:val="20"/>
                <w:lang w:bidi="en-US"/>
              </w:rPr>
              <w:t xml:space="preserve">were </w:t>
            </w:r>
            <w:r w:rsidRPr="002774A8">
              <w:rPr>
                <w:rFonts w:cs="Arial"/>
                <w:szCs w:val="20"/>
                <w:lang w:bidi="en-US"/>
              </w:rPr>
              <w:t>applied after end of trial follow-up to capture all-cause mortality observed after the trial.</w:t>
            </w:r>
          </w:p>
          <w:p w14:paraId="4310102B" w14:textId="77777777" w:rsidR="00412FD8" w:rsidRDefault="00412FD8" w:rsidP="008241B5">
            <w:pPr>
              <w:pStyle w:val="TableText0"/>
              <w:rPr>
                <w:rFonts w:cs="Arial"/>
                <w:lang w:bidi="en-US"/>
              </w:rPr>
            </w:pPr>
          </w:p>
          <w:p w14:paraId="5A491C6F" w14:textId="326C27D8" w:rsidR="00412FD8" w:rsidRPr="0098262F" w:rsidRDefault="00412FD8" w:rsidP="008241B5">
            <w:pPr>
              <w:pStyle w:val="TableText0"/>
            </w:pPr>
            <w:r>
              <w:t>LYs gained (undiscounted) in the extrapolation period: 54.8% for T-</w:t>
            </w:r>
            <w:proofErr w:type="spellStart"/>
            <w:r>
              <w:t>DXd</w:t>
            </w:r>
            <w:proofErr w:type="spellEnd"/>
            <w:r>
              <w:t xml:space="preserve"> and 50.2% for ICC, with 88.7% of the incremental LYs gained associated with T-</w:t>
            </w:r>
            <w:proofErr w:type="spellStart"/>
            <w:r>
              <w:t>DXd</w:t>
            </w:r>
            <w:proofErr w:type="spellEnd"/>
            <w:r>
              <w:t xml:space="preserve"> relative to ICC accrued during the extrapolation period.</w:t>
            </w:r>
          </w:p>
        </w:tc>
      </w:tr>
      <w:tr w:rsidR="00412FD8" w:rsidRPr="0098262F" w14:paraId="6FA258C6" w14:textId="77777777">
        <w:tc>
          <w:tcPr>
            <w:tcW w:w="862" w:type="pct"/>
            <w:vAlign w:val="center"/>
          </w:tcPr>
          <w:p w14:paraId="171E9B1B" w14:textId="77777777" w:rsidR="00412FD8" w:rsidRPr="0098262F" w:rsidRDefault="00412FD8" w:rsidP="008241B5">
            <w:pPr>
              <w:pStyle w:val="TableText0"/>
            </w:pPr>
            <w:r w:rsidRPr="0098262F">
              <w:t>Health related quality of life</w:t>
            </w:r>
          </w:p>
        </w:tc>
        <w:tc>
          <w:tcPr>
            <w:tcW w:w="4138" w:type="pct"/>
            <w:vAlign w:val="center"/>
          </w:tcPr>
          <w:p w14:paraId="0C31078B" w14:textId="75B679F9" w:rsidR="00412FD8" w:rsidRDefault="00412FD8" w:rsidP="008241B5">
            <w:pPr>
              <w:pStyle w:val="TableText0"/>
              <w:rPr>
                <w:rFonts w:cs="Arial"/>
                <w:szCs w:val="20"/>
                <w:lang w:bidi="en-US"/>
              </w:rPr>
            </w:pPr>
            <w:r>
              <w:rPr>
                <w:rFonts w:cs="Arial"/>
                <w:szCs w:val="20"/>
                <w:lang w:bidi="en-US"/>
              </w:rPr>
              <w:t>PF: 0.8018 for T-</w:t>
            </w:r>
            <w:proofErr w:type="spellStart"/>
            <w:r>
              <w:rPr>
                <w:rFonts w:cs="Arial"/>
                <w:szCs w:val="20"/>
                <w:lang w:bidi="en-US"/>
              </w:rPr>
              <w:t>DXd</w:t>
            </w:r>
            <w:proofErr w:type="spellEnd"/>
            <w:r>
              <w:rPr>
                <w:rFonts w:cs="Arial"/>
                <w:szCs w:val="20"/>
                <w:lang w:bidi="en-US"/>
              </w:rPr>
              <w:t xml:space="preserve"> and 0.7666 for ICC, based on QoL data from DB-06 with utility score</w:t>
            </w:r>
            <w:r w:rsidR="00CD1310">
              <w:rPr>
                <w:rFonts w:cs="Arial"/>
                <w:szCs w:val="20"/>
                <w:lang w:bidi="en-US"/>
              </w:rPr>
              <w:t>s</w:t>
            </w:r>
            <w:r>
              <w:rPr>
                <w:rFonts w:cs="Arial"/>
                <w:szCs w:val="20"/>
                <w:lang w:bidi="en-US"/>
              </w:rPr>
              <w:t xml:space="preserve"> generated from the Viney 2011 value set. </w:t>
            </w:r>
          </w:p>
          <w:p w14:paraId="4FFB23D4" w14:textId="77777777" w:rsidR="00412FD8" w:rsidRDefault="00412FD8" w:rsidP="008241B5">
            <w:pPr>
              <w:pStyle w:val="TableText0"/>
              <w:rPr>
                <w:rFonts w:cs="Arial"/>
                <w:szCs w:val="20"/>
                <w:lang w:bidi="en-US"/>
              </w:rPr>
            </w:pPr>
            <w:r>
              <w:rPr>
                <w:rFonts w:cs="Arial"/>
                <w:szCs w:val="20"/>
                <w:lang w:bidi="en-US"/>
              </w:rPr>
              <w:t xml:space="preserve">PD: 0.5298 in both arms, by </w:t>
            </w:r>
            <w:r w:rsidRPr="00C20654">
              <w:rPr>
                <w:rFonts w:cs="Arial"/>
                <w:szCs w:val="20"/>
                <w:lang w:bidi="en-US"/>
              </w:rPr>
              <w:t>applying the utility decrement associated with disease progression of mBC reported in Lloyd et al 2006 (-0.272) to the PF utility score in the T-</w:t>
            </w:r>
            <w:proofErr w:type="spellStart"/>
            <w:r w:rsidRPr="00C20654">
              <w:rPr>
                <w:rFonts w:cs="Arial"/>
                <w:szCs w:val="20"/>
                <w:lang w:bidi="en-US"/>
              </w:rPr>
              <w:t>DXd</w:t>
            </w:r>
            <w:proofErr w:type="spellEnd"/>
            <w:r w:rsidRPr="00C20654">
              <w:rPr>
                <w:rFonts w:cs="Arial"/>
                <w:szCs w:val="20"/>
                <w:lang w:bidi="en-US"/>
              </w:rPr>
              <w:t xml:space="preserve"> arm</w:t>
            </w:r>
          </w:p>
          <w:p w14:paraId="709A6F07" w14:textId="77777777" w:rsidR="00412FD8" w:rsidRPr="0098262F" w:rsidRDefault="00412FD8" w:rsidP="008241B5">
            <w:pPr>
              <w:pStyle w:val="TableText0"/>
            </w:pPr>
            <w:r>
              <w:rPr>
                <w:rFonts w:cs="Arial"/>
                <w:szCs w:val="20"/>
                <w:lang w:bidi="en-US"/>
              </w:rPr>
              <w:t>Disutilities associated with AEs were not included in the base case analysis.</w:t>
            </w:r>
          </w:p>
        </w:tc>
      </w:tr>
    </w:tbl>
    <w:p w14:paraId="4234A03C" w14:textId="77777777" w:rsidR="00412FD8" w:rsidRDefault="00412FD8" w:rsidP="008241B5">
      <w:pPr>
        <w:pStyle w:val="FooterTableFigure"/>
      </w:pPr>
      <w:r>
        <w:t>Source: Table 3.1, p120 of the submission.</w:t>
      </w:r>
    </w:p>
    <w:p w14:paraId="77F404D2" w14:textId="4587F3A8" w:rsidR="00412FD8" w:rsidRPr="0098262F" w:rsidRDefault="00412FD8" w:rsidP="008241B5">
      <w:pPr>
        <w:pStyle w:val="FooterTableFigure"/>
      </w:pPr>
      <w:r w:rsidRPr="002774A8">
        <w:rPr>
          <w:rFonts w:cs="Tahoma"/>
          <w:color w:val="000000"/>
          <w:szCs w:val="18"/>
          <w:lang w:val="en-US"/>
        </w:rPr>
        <w:t>AIC = Akaike information criterion</w:t>
      </w:r>
      <w:r>
        <w:rPr>
          <w:rFonts w:cs="Tahoma"/>
          <w:color w:val="000000"/>
          <w:szCs w:val="18"/>
          <w:lang w:val="en-US"/>
        </w:rPr>
        <w:t>;</w:t>
      </w:r>
      <w:r w:rsidRPr="002774A8">
        <w:rPr>
          <w:rFonts w:cs="Tahoma"/>
          <w:color w:val="000000"/>
          <w:szCs w:val="18"/>
          <w:lang w:val="en-US"/>
        </w:rPr>
        <w:t xml:space="preserve"> BIC = Bayesian information criterion</w:t>
      </w:r>
      <w:r>
        <w:rPr>
          <w:rFonts w:cs="Tahoma"/>
          <w:color w:val="000000"/>
          <w:szCs w:val="18"/>
          <w:lang w:val="en-US"/>
        </w:rPr>
        <w:t>;</w:t>
      </w:r>
      <w:r w:rsidRPr="002774A8">
        <w:rPr>
          <w:rFonts w:cs="Tahoma"/>
          <w:color w:val="000000"/>
          <w:szCs w:val="18"/>
          <w:lang w:val="en-US"/>
        </w:rPr>
        <w:t xml:space="preserve"> </w:t>
      </w:r>
      <w:r>
        <w:t xml:space="preserve">ICC = investigator’s choice of chemotherapy; LYs = life years; </w:t>
      </w:r>
      <w:r w:rsidR="00E05707">
        <w:t xml:space="preserve">mBC = metastatic breast cancer; </w:t>
      </w:r>
      <w:r>
        <w:t>OS = overall survival; PD = progressive disease; PF = progression-free; PFS = progression-free survival; QALYs = quality-adjusted life years; T-</w:t>
      </w:r>
      <w:proofErr w:type="spellStart"/>
      <w:r>
        <w:t>DXd</w:t>
      </w:r>
      <w:proofErr w:type="spellEnd"/>
      <w:r>
        <w:t xml:space="preserve"> = trastuzumab deruxtecan.</w:t>
      </w:r>
    </w:p>
    <w:p w14:paraId="6769E320" w14:textId="35FD883B" w:rsidR="00412FD8" w:rsidRPr="00904162" w:rsidRDefault="00412FD8" w:rsidP="008241B5">
      <w:pPr>
        <w:pStyle w:val="3-BodyText"/>
      </w:pPr>
      <w:bookmarkStart w:id="47" w:name="_Ref221792372"/>
      <w:r w:rsidRPr="00904162">
        <w:t xml:space="preserve">The economic model </w:t>
      </w:r>
      <w:r w:rsidR="00AA1DC3" w:rsidRPr="00904162">
        <w:t>used</w:t>
      </w:r>
      <w:r w:rsidRPr="00904162">
        <w:t xml:space="preserve"> a time horizon of 15 years in the base case analysis, considering the mean baseline age of the model patients (58.2 years), PFS and OS benefits associated with T-</w:t>
      </w:r>
      <w:proofErr w:type="spellStart"/>
      <w:r w:rsidRPr="00904162">
        <w:t>DXd</w:t>
      </w:r>
      <w:proofErr w:type="spellEnd"/>
      <w:r w:rsidRPr="00904162">
        <w:t xml:space="preserve"> as reported in the DB-06 trial, and the previous </w:t>
      </w:r>
      <w:proofErr w:type="spellStart"/>
      <w:r w:rsidRPr="00904162">
        <w:lastRenderedPageBreak/>
        <w:t>capivasertib</w:t>
      </w:r>
      <w:proofErr w:type="spellEnd"/>
      <w:r w:rsidRPr="00904162">
        <w:t xml:space="preserve"> model (for treatment of PKT</w:t>
      </w:r>
      <w:r w:rsidRPr="00904162">
        <w:rPr>
          <w:rStyle w:val="FootnoteReference"/>
        </w:rPr>
        <w:footnoteReference w:id="23"/>
      </w:r>
      <w:r w:rsidRPr="00904162">
        <w:t xml:space="preserve">-pathway altered, HR-positive, HER2-negative, mBC following ET-based therapy). Other mBC economic models previously accepted by the PBAC had a shorter time horizon </w:t>
      </w:r>
      <w:r w:rsidR="00AA1DC3" w:rsidRPr="00904162">
        <w:t>(</w:t>
      </w:r>
      <w:r w:rsidRPr="00904162">
        <w:t>5 – 10 years</w:t>
      </w:r>
      <w:r w:rsidR="00AA1DC3" w:rsidRPr="00904162">
        <w:t>)</w:t>
      </w:r>
      <w:r w:rsidRPr="00904162">
        <w:t xml:space="preserve">. When the </w:t>
      </w:r>
      <w:proofErr w:type="spellStart"/>
      <w:r w:rsidRPr="00904162">
        <w:t>capivasertib</w:t>
      </w:r>
      <w:proofErr w:type="spellEnd"/>
      <w:r w:rsidRPr="00904162">
        <w:t xml:space="preserve"> submission was reviewed, the ESC acknowledged that 15 years of survival may be clinically plausible for some patients, but considered that a shorter time horizon may be more appropriate given the short duration of follow-up for CAPItello-291 trial (14-15 months) and the high level of uncertainty with regard to longer term outcomes, particularly OS (para 6.59, </w:t>
      </w:r>
      <w:proofErr w:type="spellStart"/>
      <w:r w:rsidRPr="00904162">
        <w:t>capivasertib</w:t>
      </w:r>
      <w:proofErr w:type="spellEnd"/>
      <w:r w:rsidRPr="00904162">
        <w:t xml:space="preserve"> Public Summary Document (PSD), November 2024 PBAC meeting with Addendum March 2025 PBAC meeting). The PBAC advised that that the </w:t>
      </w:r>
      <w:proofErr w:type="spellStart"/>
      <w:r w:rsidRPr="00904162">
        <w:t>capivasertib</w:t>
      </w:r>
      <w:proofErr w:type="spellEnd"/>
      <w:r w:rsidRPr="00904162">
        <w:t xml:space="preserve"> submission’s incremental cost-effectiveness ratio (ICER) was likely to be underestimated, primarily due to the optimistic assumptions in the model of OS benefit over a 15-year time horizon, along with other economic issues, and considered that </w:t>
      </w:r>
      <w:proofErr w:type="spellStart"/>
      <w:r w:rsidRPr="00904162">
        <w:t>capivasertib</w:t>
      </w:r>
      <w:proofErr w:type="spellEnd"/>
      <w:r w:rsidRPr="00904162">
        <w:t xml:space="preserve"> would be acceptably cost-effective at the substantially reduced proposed price, which it considered adequately addressed uncertainty in the cost-effectiveness (para 11.7, </w:t>
      </w:r>
      <w:proofErr w:type="spellStart"/>
      <w:r w:rsidRPr="00904162">
        <w:t>capivasertib</w:t>
      </w:r>
      <w:proofErr w:type="spellEnd"/>
      <w:r w:rsidRPr="00904162">
        <w:t xml:space="preserve"> PSD, November 2024 PBAC meeting with Addendum March 2025 PBAC meeting). The</w:t>
      </w:r>
      <w:r w:rsidR="0095354C">
        <w:t xml:space="preserve"> evaluation considered the</w:t>
      </w:r>
      <w:r w:rsidRPr="00904162">
        <w:t xml:space="preserve"> final positive recommendation of listing </w:t>
      </w:r>
      <w:proofErr w:type="spellStart"/>
      <w:r w:rsidRPr="00904162">
        <w:t>capivasertib</w:t>
      </w:r>
      <w:proofErr w:type="spellEnd"/>
      <w:r w:rsidRPr="00904162">
        <w:t xml:space="preserve"> is unlikely to indicate that the 15-year time horizon was considered appropriate by the PBAC. </w:t>
      </w:r>
      <w:proofErr w:type="gramStart"/>
      <w:r w:rsidRPr="00904162">
        <w:t>With regard to</w:t>
      </w:r>
      <w:proofErr w:type="gramEnd"/>
      <w:r w:rsidRPr="00904162">
        <w:t xml:space="preserve"> the </w:t>
      </w:r>
      <w:r w:rsidR="00AA1DC3" w:rsidRPr="00904162">
        <w:t xml:space="preserve">current </w:t>
      </w:r>
      <w:r w:rsidRPr="00904162">
        <w:t>T-</w:t>
      </w:r>
      <w:proofErr w:type="spellStart"/>
      <w:r w:rsidRPr="00904162">
        <w:t>DXd</w:t>
      </w:r>
      <w:proofErr w:type="spellEnd"/>
      <w:r w:rsidRPr="00904162">
        <w:t xml:space="preserve"> model, there were issues regarding the selection of parametric survival functions to extrapolate PFS and OS (</w:t>
      </w:r>
      <w:r w:rsidR="00F30D50">
        <w:t>p</w:t>
      </w:r>
      <w:r w:rsidRPr="00904162">
        <w:t xml:space="preserve">aragraph </w:t>
      </w:r>
      <w:r w:rsidRPr="00904162">
        <w:fldChar w:fldCharType="begin"/>
      </w:r>
      <w:r w:rsidRPr="00904162">
        <w:instrText xml:space="preserve"> REF _Ref217763569 \r \h </w:instrText>
      </w:r>
      <w:r w:rsidR="00904162" w:rsidRPr="00904162">
        <w:instrText xml:space="preserve"> \* MERGEFORMAT </w:instrText>
      </w:r>
      <w:r w:rsidRPr="00904162">
        <w:fldChar w:fldCharType="separate"/>
      </w:r>
      <w:r w:rsidR="00453A02">
        <w:t>6.57</w:t>
      </w:r>
      <w:r w:rsidRPr="00904162">
        <w:fldChar w:fldCharType="end"/>
      </w:r>
      <w:r w:rsidRPr="00904162">
        <w:t>) and the submission’s method of adjustment for higher subsequent T-</w:t>
      </w:r>
      <w:proofErr w:type="spellStart"/>
      <w:r w:rsidRPr="00904162">
        <w:t>DXd</w:t>
      </w:r>
      <w:proofErr w:type="spellEnd"/>
      <w:r w:rsidRPr="00904162">
        <w:t xml:space="preserve"> use in the comparator arm (Paragraph </w:t>
      </w:r>
      <w:r w:rsidRPr="00904162">
        <w:fldChar w:fldCharType="begin"/>
      </w:r>
      <w:r w:rsidRPr="00904162">
        <w:instrText xml:space="preserve"> REF _Ref218787491 \r \h </w:instrText>
      </w:r>
      <w:r w:rsidR="00904162" w:rsidRPr="00904162">
        <w:instrText xml:space="preserve"> \* MERGEFORMAT </w:instrText>
      </w:r>
      <w:r w:rsidRPr="00904162">
        <w:fldChar w:fldCharType="separate"/>
      </w:r>
      <w:r w:rsidR="00453A02">
        <w:t>6.62</w:t>
      </w:r>
      <w:r w:rsidRPr="00904162">
        <w:fldChar w:fldCharType="end"/>
      </w:r>
      <w:r w:rsidRPr="00904162">
        <w:t>). It is likely that adopting a shorter time horizon would reduce the uncertainty around extrapolations.</w:t>
      </w:r>
      <w:r w:rsidR="00583F54">
        <w:t xml:space="preserve"> </w:t>
      </w:r>
      <w:r w:rsidR="00583F54" w:rsidRPr="00B13CE3">
        <w:rPr>
          <w:iCs/>
        </w:rPr>
        <w:t>The PSCR maintained that</w:t>
      </w:r>
      <w:r w:rsidR="00170C04" w:rsidRPr="00B13CE3">
        <w:rPr>
          <w:iCs/>
        </w:rPr>
        <w:t xml:space="preserve"> a </w:t>
      </w:r>
      <w:proofErr w:type="gramStart"/>
      <w:r w:rsidR="00170C04" w:rsidRPr="00B13CE3">
        <w:rPr>
          <w:iCs/>
        </w:rPr>
        <w:t>15 year</w:t>
      </w:r>
      <w:proofErr w:type="gramEnd"/>
      <w:r w:rsidR="00170C04" w:rsidRPr="00B13CE3">
        <w:rPr>
          <w:iCs/>
        </w:rPr>
        <w:t xml:space="preserve"> time horizon is appropriate</w:t>
      </w:r>
      <w:r w:rsidR="0064722B" w:rsidRPr="00B13CE3">
        <w:rPr>
          <w:iCs/>
        </w:rPr>
        <w:t>, as treatment is being used in earlier line settings with better prognoses and stronger evidence than in previous metastatic submissions</w:t>
      </w:r>
      <w:r w:rsidR="00DD0C34">
        <w:rPr>
          <w:iCs/>
        </w:rPr>
        <w:t xml:space="preserve">. </w:t>
      </w:r>
      <w:r w:rsidR="003D5AB9" w:rsidRPr="00B13CE3">
        <w:rPr>
          <w:iCs/>
        </w:rPr>
        <w:t xml:space="preserve">Consistent with its advice regarding the </w:t>
      </w:r>
      <w:proofErr w:type="spellStart"/>
      <w:r w:rsidR="003D5AB9" w:rsidRPr="00B13CE3">
        <w:rPr>
          <w:iCs/>
        </w:rPr>
        <w:t>capivasertib</w:t>
      </w:r>
      <w:proofErr w:type="spellEnd"/>
      <w:r w:rsidR="003D5AB9" w:rsidRPr="00B13CE3">
        <w:rPr>
          <w:iCs/>
        </w:rPr>
        <w:t xml:space="preserve"> submission, t</w:t>
      </w:r>
      <w:r w:rsidR="006148B8" w:rsidRPr="00B13CE3">
        <w:rPr>
          <w:iCs/>
        </w:rPr>
        <w:t xml:space="preserve">he </w:t>
      </w:r>
      <w:r w:rsidR="00D85B8B" w:rsidRPr="00B13CE3">
        <w:rPr>
          <w:iCs/>
        </w:rPr>
        <w:t>Sub-Committees</w:t>
      </w:r>
      <w:r w:rsidR="006E34F6" w:rsidRPr="00B13CE3">
        <w:rPr>
          <w:iCs/>
        </w:rPr>
        <w:t xml:space="preserve"> </w:t>
      </w:r>
      <w:r w:rsidR="003D5AB9" w:rsidRPr="00B13CE3">
        <w:rPr>
          <w:iCs/>
        </w:rPr>
        <w:t>maintained</w:t>
      </w:r>
      <w:r w:rsidR="006148B8" w:rsidRPr="00B13CE3">
        <w:rPr>
          <w:iCs/>
        </w:rPr>
        <w:t xml:space="preserve"> that</w:t>
      </w:r>
      <w:r w:rsidR="003D5AB9" w:rsidRPr="00B13CE3">
        <w:rPr>
          <w:iCs/>
        </w:rPr>
        <w:t xml:space="preserve"> </w:t>
      </w:r>
      <w:r w:rsidR="00507129" w:rsidRPr="00B13CE3">
        <w:rPr>
          <w:iCs/>
        </w:rPr>
        <w:t>a</w:t>
      </w:r>
      <w:r w:rsidR="003D5AB9" w:rsidRPr="00B13CE3">
        <w:rPr>
          <w:iCs/>
        </w:rPr>
        <w:t xml:space="preserve"> 15 year </w:t>
      </w:r>
      <w:r w:rsidR="00F16B91" w:rsidRPr="00B13CE3">
        <w:rPr>
          <w:iCs/>
        </w:rPr>
        <w:t xml:space="preserve">time horizon was optimistic and </w:t>
      </w:r>
      <w:r w:rsidR="006148B8" w:rsidRPr="00B13CE3">
        <w:rPr>
          <w:iCs/>
        </w:rPr>
        <w:t>a 5</w:t>
      </w:r>
      <w:r w:rsidR="00F16B91" w:rsidRPr="00B13CE3">
        <w:rPr>
          <w:iCs/>
        </w:rPr>
        <w:t>-10</w:t>
      </w:r>
      <w:r w:rsidR="006148B8" w:rsidRPr="00B13CE3">
        <w:rPr>
          <w:iCs/>
        </w:rPr>
        <w:t xml:space="preserve"> year time horizon </w:t>
      </w:r>
      <w:r w:rsidR="00F16B91" w:rsidRPr="00B13CE3">
        <w:rPr>
          <w:iCs/>
        </w:rPr>
        <w:t>would</w:t>
      </w:r>
      <w:r w:rsidR="006148B8" w:rsidRPr="00B13CE3">
        <w:rPr>
          <w:iCs/>
        </w:rPr>
        <w:t xml:space="preserve"> be appropriate</w:t>
      </w:r>
      <w:r w:rsidR="00F16B91" w:rsidRPr="00B13CE3">
        <w:rPr>
          <w:iCs/>
        </w:rPr>
        <w:t xml:space="preserve"> for </w:t>
      </w:r>
      <w:r w:rsidR="00736EE0" w:rsidRPr="00B13CE3">
        <w:rPr>
          <w:iCs/>
        </w:rPr>
        <w:t>th</w:t>
      </w:r>
      <w:r w:rsidR="009200B1" w:rsidRPr="00B13CE3">
        <w:rPr>
          <w:iCs/>
        </w:rPr>
        <w:t>is</w:t>
      </w:r>
      <w:r w:rsidR="00736EE0" w:rsidRPr="00B13CE3">
        <w:rPr>
          <w:iCs/>
        </w:rPr>
        <w:t xml:space="preserve"> patient</w:t>
      </w:r>
      <w:r w:rsidR="009200B1" w:rsidRPr="00B13CE3">
        <w:rPr>
          <w:iCs/>
        </w:rPr>
        <w:t xml:space="preserve"> population</w:t>
      </w:r>
      <w:r w:rsidR="00736EE0" w:rsidRPr="00B13CE3">
        <w:rPr>
          <w:iCs/>
        </w:rPr>
        <w:t xml:space="preserve"> </w:t>
      </w:r>
      <w:r w:rsidR="00500AA9" w:rsidRPr="00B13CE3">
        <w:rPr>
          <w:iCs/>
        </w:rPr>
        <w:t>(</w:t>
      </w:r>
      <w:r w:rsidR="00736EE0" w:rsidRPr="00B13CE3">
        <w:rPr>
          <w:iCs/>
        </w:rPr>
        <w:t xml:space="preserve">who have progressed on </w:t>
      </w:r>
      <w:r w:rsidR="006E0758" w:rsidRPr="00B13CE3">
        <w:rPr>
          <w:iCs/>
        </w:rPr>
        <w:t>ET and CDK</w:t>
      </w:r>
      <w:r w:rsidR="009200B1" w:rsidRPr="00B13CE3">
        <w:rPr>
          <w:iCs/>
        </w:rPr>
        <w:t>4/6</w:t>
      </w:r>
      <w:r w:rsidR="006E0758" w:rsidRPr="00B13CE3">
        <w:rPr>
          <w:iCs/>
        </w:rPr>
        <w:t>i</w:t>
      </w:r>
      <w:r w:rsidR="00EF3436" w:rsidRPr="00B13CE3">
        <w:rPr>
          <w:iCs/>
        </w:rPr>
        <w:t xml:space="preserve"> and would be expected to have</w:t>
      </w:r>
      <w:r w:rsidR="00323C36" w:rsidRPr="00B13CE3">
        <w:rPr>
          <w:iCs/>
        </w:rPr>
        <w:t xml:space="preserve"> a relatively poor</w:t>
      </w:r>
      <w:r w:rsidR="009B3401" w:rsidRPr="00B13CE3">
        <w:rPr>
          <w:iCs/>
        </w:rPr>
        <w:t xml:space="preserve"> prognosis</w:t>
      </w:r>
      <w:r w:rsidR="00500AA9" w:rsidRPr="00B13CE3">
        <w:rPr>
          <w:iCs/>
        </w:rPr>
        <w:t>)</w:t>
      </w:r>
      <w:r w:rsidR="000C11EC" w:rsidRPr="00B13CE3">
        <w:rPr>
          <w:iCs/>
        </w:rPr>
        <w:t xml:space="preserve"> and in the context of uncertain OS benefit</w:t>
      </w:r>
      <w:r w:rsidR="006148B8" w:rsidRPr="00B13CE3">
        <w:rPr>
          <w:iCs/>
        </w:rPr>
        <w:t>.</w:t>
      </w:r>
      <w:bookmarkEnd w:id="47"/>
      <w:r w:rsidR="00F01F9A" w:rsidRPr="00F01F9A">
        <w:rPr>
          <w:iCs/>
        </w:rPr>
        <w:t xml:space="preserve"> </w:t>
      </w:r>
      <w:r w:rsidR="00F01F9A">
        <w:rPr>
          <w:iCs/>
        </w:rPr>
        <w:t>The pre-PBAC response maintained that a</w:t>
      </w:r>
      <w:r w:rsidR="00F01F9A" w:rsidRPr="003C18D9">
        <w:rPr>
          <w:iCs/>
        </w:rPr>
        <w:t xml:space="preserve"> 15</w:t>
      </w:r>
      <w:r w:rsidR="00F01F9A" w:rsidRPr="003C18D9">
        <w:rPr>
          <w:rFonts w:ascii="Cambria Math" w:hAnsi="Cambria Math" w:cs="Cambria Math"/>
          <w:iCs/>
        </w:rPr>
        <w:t>‑</w:t>
      </w:r>
      <w:r w:rsidR="00F01F9A" w:rsidRPr="003C18D9">
        <w:rPr>
          <w:iCs/>
        </w:rPr>
        <w:t xml:space="preserve">year horizon </w:t>
      </w:r>
      <w:r w:rsidR="00F01F9A">
        <w:rPr>
          <w:iCs/>
        </w:rPr>
        <w:t>was</w:t>
      </w:r>
      <w:r w:rsidR="00F01F9A" w:rsidRPr="003C18D9">
        <w:rPr>
          <w:iCs/>
        </w:rPr>
        <w:t xml:space="preserve"> justified, given </w:t>
      </w:r>
      <w:r w:rsidR="00BE5A12">
        <w:rPr>
          <w:iCs/>
        </w:rPr>
        <w:t xml:space="preserve">the </w:t>
      </w:r>
      <w:r w:rsidR="00F01F9A" w:rsidRPr="003C18D9">
        <w:rPr>
          <w:iCs/>
        </w:rPr>
        <w:t xml:space="preserve">mean baseline age </w:t>
      </w:r>
      <w:r w:rsidR="00F01F9A">
        <w:rPr>
          <w:iCs/>
        </w:rPr>
        <w:t xml:space="preserve">and </w:t>
      </w:r>
      <w:r w:rsidR="00BE5A12">
        <w:rPr>
          <w:iCs/>
        </w:rPr>
        <w:t xml:space="preserve">based on </w:t>
      </w:r>
      <w:r w:rsidR="00F01F9A">
        <w:rPr>
          <w:iCs/>
        </w:rPr>
        <w:t>studies indicating a substantial number of patients surviving</w:t>
      </w:r>
      <w:r w:rsidR="00F01F9A" w:rsidRPr="003C18D9">
        <w:rPr>
          <w:iCs/>
        </w:rPr>
        <w:t xml:space="preserve"> post 10 and 15 years</w:t>
      </w:r>
      <w:r w:rsidR="00F01F9A">
        <w:rPr>
          <w:iCs/>
        </w:rPr>
        <w:t xml:space="preserve"> after diagnosis of mBC</w:t>
      </w:r>
      <w:r w:rsidR="00F01F9A" w:rsidRPr="003C18D9">
        <w:rPr>
          <w:iCs/>
        </w:rPr>
        <w:t xml:space="preserve">. </w:t>
      </w:r>
      <w:r w:rsidR="00F01F9A">
        <w:rPr>
          <w:iCs/>
        </w:rPr>
        <w:t xml:space="preserve">The sponsor considered </w:t>
      </w:r>
      <w:r w:rsidR="00F01F9A" w:rsidRPr="003C18D9">
        <w:rPr>
          <w:iCs/>
        </w:rPr>
        <w:t>that the time horizon for DB-06 should be no shorter than 10 years based on DB-04</w:t>
      </w:r>
      <w:r w:rsidR="00F01F9A" w:rsidRPr="00B13CE3">
        <w:rPr>
          <w:iCs/>
        </w:rPr>
        <w:t>.</w:t>
      </w:r>
    </w:p>
    <w:p w14:paraId="643B1FC2" w14:textId="3B223D0D" w:rsidR="00412FD8" w:rsidRPr="00904162" w:rsidRDefault="00412FD8" w:rsidP="008241B5">
      <w:pPr>
        <w:pStyle w:val="3-BodyText"/>
      </w:pPr>
      <w:r w:rsidRPr="00904162">
        <w:t>The submission adopted a partitioned survival analysis model (PSM), in which the proportions of patients in individual health states per cycle were determined by PFS and OS estimates, estimated based on the KM data on PFS by investigator assessment and OS from the DB-06 trial</w:t>
      </w:r>
      <w:r w:rsidR="008971B9" w:rsidRPr="00904162">
        <w:t xml:space="preserve"> at IA2 DCO</w:t>
      </w:r>
      <w:r w:rsidRPr="00904162">
        <w:t xml:space="preserve">. Based on the IA1 results, </w:t>
      </w:r>
      <w:r w:rsidR="00AA1DC3" w:rsidRPr="00904162">
        <w:t xml:space="preserve">compared with PFS by BICR, </w:t>
      </w:r>
      <w:r w:rsidRPr="00904162">
        <w:t xml:space="preserve">PFS </w:t>
      </w:r>
      <w:r w:rsidR="00F9054D">
        <w:t xml:space="preserve">by </w:t>
      </w:r>
      <w:r w:rsidRPr="00904162">
        <w:t>investigator assessment reported a larger reduction in the hazard of progression or death associated with T-</w:t>
      </w:r>
      <w:proofErr w:type="spellStart"/>
      <w:r w:rsidRPr="00904162">
        <w:t>DXd</w:t>
      </w:r>
      <w:proofErr w:type="spellEnd"/>
      <w:r w:rsidRPr="00904162">
        <w:t xml:space="preserve"> (hazard ratio [95% CI]: 0.51 [0.44, 0.60] vs. 0.64 [0.54, 0.76]). This may be due to the open-label design of the trial. Therefore, </w:t>
      </w:r>
      <w:r w:rsidRPr="00904162">
        <w:lastRenderedPageBreak/>
        <w:t>the use of investigator assessed-PFS, instead of PFS by BICR, in the economic model was likely to favour T-</w:t>
      </w:r>
      <w:proofErr w:type="spellStart"/>
      <w:r w:rsidRPr="00904162">
        <w:t>DXd</w:t>
      </w:r>
      <w:proofErr w:type="spellEnd"/>
      <w:r w:rsidRPr="00904162">
        <w:t>.</w:t>
      </w:r>
      <w:r w:rsidR="00EA110F">
        <w:t xml:space="preserve"> </w:t>
      </w:r>
      <w:r w:rsidR="00EA110F" w:rsidRPr="00B13CE3">
        <w:rPr>
          <w:iCs/>
        </w:rPr>
        <w:t xml:space="preserve">The </w:t>
      </w:r>
      <w:r w:rsidR="00D85B8B" w:rsidRPr="00B13CE3">
        <w:rPr>
          <w:iCs/>
        </w:rPr>
        <w:t>Sub-Committees</w:t>
      </w:r>
      <w:r w:rsidR="006E34F6" w:rsidRPr="00B13CE3">
        <w:rPr>
          <w:iCs/>
        </w:rPr>
        <w:t xml:space="preserve"> </w:t>
      </w:r>
      <w:r w:rsidR="00EA110F" w:rsidRPr="00B13CE3">
        <w:rPr>
          <w:iCs/>
        </w:rPr>
        <w:t>noted that this could not be tested in sensitivity analyses.</w:t>
      </w:r>
    </w:p>
    <w:p w14:paraId="4B3E4D36" w14:textId="54AC01DA" w:rsidR="00412FD8" w:rsidRPr="00904162" w:rsidRDefault="00412FD8" w:rsidP="008241B5">
      <w:pPr>
        <w:pStyle w:val="3-BodyText"/>
      </w:pPr>
      <w:bookmarkStart w:id="48" w:name="_Ref221792379"/>
      <w:r w:rsidRPr="00904162">
        <w:t>The submission stated that the extrapolation time point (18.0 months for T-</w:t>
      </w:r>
      <w:proofErr w:type="spellStart"/>
      <w:r w:rsidRPr="00904162">
        <w:t>DXd</w:t>
      </w:r>
      <w:proofErr w:type="spellEnd"/>
      <w:r w:rsidRPr="00904162">
        <w:t xml:space="preserve"> PFS, 10.4 months for ICC PFS, and 24.9 months for OS in both arms) was selected as the point at which approximately 15% of patients remained at risk for a PFS or OS event. The trial KM data used in the economic model were based on the DCO for IA2 (March 2025), whereas the number of patients at risk was apparently derived from the survival curves at an earlier DCO (March 2024). As a result, KM data remained reliable beyond the submission’s nominated truncation time point and should be included in the economic model</w:t>
      </w:r>
      <w:r w:rsidR="0091629D">
        <w:t>, noting</w:t>
      </w:r>
      <w:r w:rsidRPr="00904162">
        <w:t xml:space="preserve"> PBAC’s preference </w:t>
      </w:r>
      <w:r w:rsidR="0091629D">
        <w:t>for</w:t>
      </w:r>
      <w:r w:rsidRPr="00904162">
        <w:t xml:space="preserve"> observed rather than modelled data, as per PBAC Guidelines (v5.0). Alternative truncation time points based on Gebski (2018) Criterion 2</w:t>
      </w:r>
      <w:r w:rsidRPr="00904162">
        <w:rPr>
          <w:rStyle w:val="FootnoteReference"/>
        </w:rPr>
        <w:footnoteReference w:id="24"/>
      </w:r>
      <w:r w:rsidRPr="00904162">
        <w:t xml:space="preserve"> were calculated during the evaluation and used in the sensitivity analysis.</w:t>
      </w:r>
      <w:r w:rsidR="00AF36CA" w:rsidRPr="00B13CE3">
        <w:rPr>
          <w:iCs/>
        </w:rPr>
        <w:t xml:space="preserve"> The </w:t>
      </w:r>
      <w:r w:rsidR="00D85B8B" w:rsidRPr="00B13CE3">
        <w:rPr>
          <w:iCs/>
        </w:rPr>
        <w:t>Sub-Committees</w:t>
      </w:r>
      <w:r w:rsidR="006E34F6" w:rsidRPr="00B13CE3">
        <w:rPr>
          <w:iCs/>
        </w:rPr>
        <w:t xml:space="preserve"> </w:t>
      </w:r>
      <w:r w:rsidR="00AF36CA" w:rsidRPr="00B13CE3">
        <w:rPr>
          <w:iCs/>
        </w:rPr>
        <w:t xml:space="preserve">considered the </w:t>
      </w:r>
      <w:r w:rsidR="001674C1" w:rsidRPr="00B13CE3">
        <w:rPr>
          <w:iCs/>
        </w:rPr>
        <w:t>truncation points used</w:t>
      </w:r>
      <w:r w:rsidR="00932A6E" w:rsidRPr="00B13CE3">
        <w:rPr>
          <w:iCs/>
        </w:rPr>
        <w:t xml:space="preserve"> </w:t>
      </w:r>
      <w:r w:rsidR="001674C1" w:rsidRPr="00B13CE3">
        <w:rPr>
          <w:iCs/>
        </w:rPr>
        <w:t xml:space="preserve">in sensitivity analyses were appropriate and the </w:t>
      </w:r>
      <w:r w:rsidR="00AF36CA" w:rsidRPr="00B13CE3">
        <w:rPr>
          <w:iCs/>
        </w:rPr>
        <w:t>additional KM data should be use</w:t>
      </w:r>
      <w:r w:rsidR="00295743" w:rsidRPr="00B13CE3">
        <w:rPr>
          <w:iCs/>
        </w:rPr>
        <w:t>d</w:t>
      </w:r>
      <w:r w:rsidR="001674C1" w:rsidRPr="00B13CE3">
        <w:rPr>
          <w:iCs/>
        </w:rPr>
        <w:t xml:space="preserve">. The </w:t>
      </w:r>
      <w:r w:rsidR="00D85B8B" w:rsidRPr="00B13CE3">
        <w:rPr>
          <w:iCs/>
        </w:rPr>
        <w:t>Sub-Committees</w:t>
      </w:r>
      <w:r w:rsidR="006E34F6" w:rsidRPr="00B13CE3">
        <w:rPr>
          <w:iCs/>
        </w:rPr>
        <w:t xml:space="preserve"> </w:t>
      </w:r>
      <w:r w:rsidR="00295743" w:rsidRPr="00B13CE3">
        <w:rPr>
          <w:iCs/>
        </w:rPr>
        <w:t>noted that t</w:t>
      </w:r>
      <w:r w:rsidR="00AF36CA" w:rsidRPr="00B13CE3">
        <w:rPr>
          <w:iCs/>
        </w:rPr>
        <w:t>his results in a decrease in the ICER.</w:t>
      </w:r>
      <w:bookmarkEnd w:id="48"/>
    </w:p>
    <w:p w14:paraId="612E7934" w14:textId="77777777" w:rsidR="00DC34B6" w:rsidRDefault="00412FD8" w:rsidP="008241B5">
      <w:pPr>
        <w:pStyle w:val="3-BodyText"/>
      </w:pPr>
      <w:bookmarkStart w:id="49" w:name="_Ref221792387"/>
      <w:bookmarkStart w:id="50" w:name="_Ref217763569"/>
      <w:r w:rsidRPr="00904162">
        <w:t>The parametric functions for extrapolation of PFS and OS used in the base case (log-logistic for T-</w:t>
      </w:r>
      <w:proofErr w:type="spellStart"/>
      <w:r w:rsidRPr="00904162">
        <w:t>DXd</w:t>
      </w:r>
      <w:proofErr w:type="spellEnd"/>
      <w:r w:rsidRPr="00904162">
        <w:t xml:space="preserve"> PFS, log-normal for ICC PFS, and log-logistic for OS in both treatment arms) were selected based on goodness of fit to the trial KM data and to the shape of hazard function.</w:t>
      </w:r>
      <w:bookmarkEnd w:id="49"/>
      <w:r w:rsidRPr="00904162">
        <w:t xml:space="preserve"> </w:t>
      </w:r>
    </w:p>
    <w:p w14:paraId="13583C32" w14:textId="206C3D86" w:rsidR="00DC34B6" w:rsidRDefault="00412FD8" w:rsidP="008241B5">
      <w:pPr>
        <w:pStyle w:val="3-BodyText"/>
      </w:pPr>
      <w:r w:rsidRPr="00904162">
        <w:t>The log-logistic function selected to extrapolate PFS in the T-</w:t>
      </w:r>
      <w:proofErr w:type="spellStart"/>
      <w:r w:rsidRPr="00904162">
        <w:t>DXd</w:t>
      </w:r>
      <w:proofErr w:type="spellEnd"/>
      <w:r w:rsidRPr="00904162">
        <w:t xml:space="preserve"> arm was not the statistically best fitting parametric function, nor a better visual fit to the trial data. The log-logistic model provided more favourable PFS estimates than any other parametric models (</w:t>
      </w:r>
      <w:r w:rsidRPr="00904162">
        <w:fldChar w:fldCharType="begin"/>
      </w:r>
      <w:r w:rsidRPr="00904162">
        <w:instrText xml:space="preserve"> REF _Ref217672387 \h  \* MERGEFORMAT </w:instrText>
      </w:r>
      <w:r w:rsidRPr="00904162">
        <w:fldChar w:fldCharType="separate"/>
      </w:r>
      <w:r w:rsidR="005D3E29">
        <w:t xml:space="preserve">Figure </w:t>
      </w:r>
      <w:r w:rsidR="005D3E29">
        <w:rPr>
          <w:noProof/>
        </w:rPr>
        <w:t>4</w:t>
      </w:r>
      <w:r w:rsidRPr="00904162">
        <w:fldChar w:fldCharType="end"/>
      </w:r>
      <w:r w:rsidRPr="00904162">
        <w:t>), but the clinical plausibility of long-term predictions in the unobserved period was not justified in the submission.</w:t>
      </w:r>
      <w:r w:rsidR="00E00229">
        <w:t xml:space="preserve"> </w:t>
      </w:r>
      <w:r w:rsidRPr="00904162">
        <w:t xml:space="preserve">The log-normal function for ICC PFS was the best fitting parametric function both statistically and visually, and the </w:t>
      </w:r>
      <w:bookmarkStart w:id="51" w:name="_Hlk219709157"/>
      <w:r w:rsidRPr="00904162">
        <w:t>model was not sensitive to this variable</w:t>
      </w:r>
      <w:bookmarkEnd w:id="51"/>
      <w:r w:rsidRPr="00904162">
        <w:t xml:space="preserve">. </w:t>
      </w:r>
      <w:r w:rsidR="001A32A5" w:rsidRPr="00B13CE3">
        <w:rPr>
          <w:iCs/>
        </w:rPr>
        <w:t>The Sub-Committees advised that the gamma distribution provided the best statistical and visual fit for PFS extrapolations in the T</w:t>
      </w:r>
      <w:r w:rsidR="00112CA3">
        <w:rPr>
          <w:iCs/>
        </w:rPr>
        <w:noBreakHyphen/>
      </w:r>
      <w:proofErr w:type="spellStart"/>
      <w:r w:rsidR="001A32A5" w:rsidRPr="00B13CE3">
        <w:rPr>
          <w:iCs/>
        </w:rPr>
        <w:t>DXd</w:t>
      </w:r>
      <w:proofErr w:type="spellEnd"/>
      <w:r w:rsidR="001A32A5" w:rsidRPr="00B13CE3">
        <w:rPr>
          <w:iCs/>
        </w:rPr>
        <w:t xml:space="preserve"> arm, which increased the submission base case ICER by </w:t>
      </w:r>
      <w:r w:rsidR="006340CE" w:rsidRPr="006340CE">
        <w:rPr>
          <w:iCs/>
          <w:sz w:val="2"/>
          <w:highlight w:val="black"/>
        </w:rPr>
        <w:t>redacted content</w:t>
      </w:r>
      <w:r w:rsidR="001A32A5" w:rsidRPr="00B13CE3">
        <w:rPr>
          <w:iCs/>
        </w:rPr>
        <w:t xml:space="preserve">%. </w:t>
      </w:r>
      <w:r w:rsidR="00F8543B">
        <w:t xml:space="preserve">The pre-PBAC response stated that </w:t>
      </w:r>
      <w:r w:rsidR="00C77740">
        <w:t>use</w:t>
      </w:r>
      <w:r w:rsidR="00F8543B" w:rsidRPr="4B8B1008">
        <w:rPr>
          <w:rFonts w:eastAsia="Calibri" w:cs="Calibri"/>
        </w:rPr>
        <w:t xml:space="preserve"> of the Gamma </w:t>
      </w:r>
      <w:r w:rsidR="00C77740">
        <w:rPr>
          <w:rFonts w:eastAsia="Calibri" w:cs="Calibri"/>
        </w:rPr>
        <w:t xml:space="preserve">function </w:t>
      </w:r>
      <w:r w:rsidR="0005112F">
        <w:rPr>
          <w:rFonts w:eastAsia="Calibri" w:cs="Calibri"/>
        </w:rPr>
        <w:t>for the T-</w:t>
      </w:r>
      <w:proofErr w:type="spellStart"/>
      <w:r w:rsidR="0005112F">
        <w:rPr>
          <w:rFonts w:eastAsia="Calibri" w:cs="Calibri"/>
        </w:rPr>
        <w:t>DXd</w:t>
      </w:r>
      <w:proofErr w:type="spellEnd"/>
      <w:r w:rsidR="0005112F">
        <w:rPr>
          <w:rFonts w:eastAsia="Calibri" w:cs="Calibri"/>
        </w:rPr>
        <w:t xml:space="preserve"> arm </w:t>
      </w:r>
      <w:r w:rsidR="00F8543B" w:rsidRPr="4B8B1008">
        <w:rPr>
          <w:rFonts w:eastAsia="Calibri" w:cs="Calibri"/>
        </w:rPr>
        <w:t>resulted in a PFS curve that dropped well below the tail of the KM data</w:t>
      </w:r>
      <w:r w:rsidR="00F8543B" w:rsidRPr="00B554F8">
        <w:rPr>
          <w:rFonts w:eastAsia="Calibri" w:cs="Calibri"/>
        </w:rPr>
        <w:t>, and</w:t>
      </w:r>
      <w:r w:rsidR="0005112F">
        <w:rPr>
          <w:rFonts w:eastAsia="Calibri" w:cs="Calibri"/>
        </w:rPr>
        <w:t xml:space="preserve"> that</w:t>
      </w:r>
      <w:r w:rsidR="00F8543B" w:rsidRPr="00B554F8">
        <w:rPr>
          <w:rFonts w:eastAsia="Calibri" w:cs="Calibri"/>
        </w:rPr>
        <w:t xml:space="preserve"> the gamma distribution cannot capture the rise-then-fall pattern associated </w:t>
      </w:r>
      <w:r w:rsidR="00F8543B" w:rsidRPr="4B8B1008">
        <w:rPr>
          <w:rFonts w:eastAsia="Calibri" w:cs="Calibri"/>
        </w:rPr>
        <w:t xml:space="preserve">with the observed hazard shape in the </w:t>
      </w:r>
      <w:r w:rsidR="00F8543B">
        <w:rPr>
          <w:rFonts w:eastAsia="Calibri" w:cs="Calibri"/>
        </w:rPr>
        <w:t>T-</w:t>
      </w:r>
      <w:proofErr w:type="spellStart"/>
      <w:r w:rsidR="00F8543B">
        <w:rPr>
          <w:rFonts w:eastAsia="Calibri" w:cs="Calibri"/>
        </w:rPr>
        <w:t>DXd</w:t>
      </w:r>
      <w:proofErr w:type="spellEnd"/>
      <w:r w:rsidR="00F8543B" w:rsidRPr="4B8B1008">
        <w:rPr>
          <w:rFonts w:eastAsia="Calibri" w:cs="Calibri"/>
        </w:rPr>
        <w:t xml:space="preserve"> arm, where the hazard increases initially and then decreases.</w:t>
      </w:r>
    </w:p>
    <w:p w14:paraId="24FBEEC3" w14:textId="39FA404B" w:rsidR="00857484" w:rsidRPr="00857484" w:rsidRDefault="00412FD8" w:rsidP="008241B5">
      <w:pPr>
        <w:pStyle w:val="3-BodyText"/>
      </w:pPr>
      <w:bookmarkStart w:id="52" w:name="_Ref221792397"/>
      <w:r w:rsidRPr="00904162">
        <w:t>For OS modelling, the four parametric functions with better goodness of fit statistics (log-logistic, gamma, Weibull, and generalised gamma) fit to the OS KM reasonably well until approximately Month 36, and thereafter the extrapolation curves diverged rapidly. E</w:t>
      </w:r>
      <w:r w:rsidRPr="00904162">
        <w:rPr>
          <w:rFonts w:eastAsia="Arial"/>
        </w:rPr>
        <w:t>xcept for the poorest fitting functions, t</w:t>
      </w:r>
      <w:r w:rsidRPr="00904162">
        <w:t xml:space="preserve">he log-logistic functions (used in the base case) provided the most optimal survival in both treatment arms, e.g. a 5-year </w:t>
      </w:r>
      <w:r w:rsidRPr="00904162">
        <w:lastRenderedPageBreak/>
        <w:t>survival rate of 24% in the T-</w:t>
      </w:r>
      <w:proofErr w:type="spellStart"/>
      <w:r w:rsidRPr="00904162">
        <w:t>DXd</w:t>
      </w:r>
      <w:proofErr w:type="spellEnd"/>
      <w:r w:rsidR="000218EA" w:rsidRPr="00904162">
        <w:t xml:space="preserve"> arm</w:t>
      </w:r>
      <w:r w:rsidRPr="00904162">
        <w:t xml:space="preserve"> and 18% in the ICC </w:t>
      </w:r>
      <w:r w:rsidR="000218EA" w:rsidRPr="00904162">
        <w:t xml:space="preserve">arm </w:t>
      </w:r>
      <w:r w:rsidRPr="00904162">
        <w:t>(</w:t>
      </w:r>
      <w:r w:rsidRPr="00904162">
        <w:fldChar w:fldCharType="begin"/>
      </w:r>
      <w:r w:rsidRPr="00904162">
        <w:instrText xml:space="preserve"> REF _Ref217672287 \h  \* MERGEFORMAT </w:instrText>
      </w:r>
      <w:r w:rsidRPr="00904162">
        <w:fldChar w:fldCharType="separate"/>
      </w:r>
      <w:r w:rsidR="005D3E29">
        <w:t xml:space="preserve">Figure </w:t>
      </w:r>
      <w:r w:rsidR="005D3E29">
        <w:rPr>
          <w:noProof/>
        </w:rPr>
        <w:t>5</w:t>
      </w:r>
      <w:r w:rsidRPr="00904162">
        <w:fldChar w:fldCharType="end"/>
      </w:r>
      <w:r w:rsidRPr="00904162">
        <w:t xml:space="preserve"> and </w:t>
      </w:r>
      <w:r w:rsidRPr="00904162">
        <w:fldChar w:fldCharType="begin"/>
      </w:r>
      <w:r w:rsidRPr="00904162">
        <w:instrText xml:space="preserve"> REF _Ref217672289 \h  \* MERGEFORMAT </w:instrText>
      </w:r>
      <w:r w:rsidRPr="00904162">
        <w:fldChar w:fldCharType="separate"/>
      </w:r>
      <w:r w:rsidR="005D3E29">
        <w:t xml:space="preserve">Figure </w:t>
      </w:r>
      <w:r w:rsidR="005D3E29">
        <w:rPr>
          <w:noProof/>
        </w:rPr>
        <w:t>6</w:t>
      </w:r>
      <w:r w:rsidRPr="00904162">
        <w:fldChar w:fldCharType="end"/>
      </w:r>
      <w:r w:rsidRPr="00904162">
        <w:t>). The long-term extrapolation of OS following T-</w:t>
      </w:r>
      <w:proofErr w:type="spellStart"/>
      <w:r w:rsidRPr="00904162">
        <w:t>DXd</w:t>
      </w:r>
      <w:proofErr w:type="spellEnd"/>
      <w:r w:rsidRPr="00904162">
        <w:t xml:space="preserve"> or ICC in the proposed target population </w:t>
      </w:r>
      <w:r w:rsidR="00EB200D">
        <w:t>w</w:t>
      </w:r>
      <w:r w:rsidRPr="00904162">
        <w:t>as not well validated in the submission and remained an area of uncertainty.</w:t>
      </w:r>
      <w:bookmarkEnd w:id="50"/>
      <w:r w:rsidRPr="00904162">
        <w:t xml:space="preserve"> </w:t>
      </w:r>
      <w:r w:rsidR="00E05800">
        <w:rPr>
          <w:iCs/>
        </w:rPr>
        <w:t>T</w:t>
      </w:r>
      <w:r w:rsidR="00E05800" w:rsidRPr="00B13CE3">
        <w:rPr>
          <w:iCs/>
        </w:rPr>
        <w:t>he Sub-Committees noted that the Weibull and gamma distributions also provided a good fit for the OS extrapolations in the T-</w:t>
      </w:r>
      <w:proofErr w:type="spellStart"/>
      <w:r w:rsidR="00E05800" w:rsidRPr="00B13CE3">
        <w:rPr>
          <w:iCs/>
        </w:rPr>
        <w:t>DXd</w:t>
      </w:r>
      <w:proofErr w:type="spellEnd"/>
      <w:r w:rsidR="00E05800" w:rsidRPr="00B13CE3">
        <w:rPr>
          <w:iCs/>
        </w:rPr>
        <w:t xml:space="preserve"> arm, where the Weibull curve increases the ICER by </w:t>
      </w:r>
      <w:r w:rsidR="006340CE" w:rsidRPr="006340CE">
        <w:rPr>
          <w:iCs/>
          <w:sz w:val="2"/>
          <w:highlight w:val="black"/>
        </w:rPr>
        <w:t>redacted content</w:t>
      </w:r>
      <w:r w:rsidR="00E05800" w:rsidRPr="00B13CE3">
        <w:rPr>
          <w:iCs/>
        </w:rPr>
        <w:t>%, and the gamma curve slightly decreases the ICER.</w:t>
      </w:r>
      <w:r w:rsidR="008241B5">
        <w:rPr>
          <w:iCs/>
        </w:rPr>
        <w:t xml:space="preserve"> </w:t>
      </w:r>
    </w:p>
    <w:p w14:paraId="02FBFBC2" w14:textId="4A2267FB" w:rsidR="001A32A5" w:rsidRDefault="00E05800" w:rsidP="008241B5">
      <w:pPr>
        <w:pStyle w:val="3-BodyText"/>
      </w:pPr>
      <w:r w:rsidRPr="00B13CE3">
        <w:rPr>
          <w:iCs/>
        </w:rPr>
        <w:t xml:space="preserve">The Sub-Committees considered that the variation in ICERs based on chosen extrapolation functions demonstrated the uncertainty associated with extrapolation of the trial data over the </w:t>
      </w:r>
      <w:proofErr w:type="gramStart"/>
      <w:r w:rsidRPr="00B13CE3">
        <w:rPr>
          <w:iCs/>
        </w:rPr>
        <w:t>15 year</w:t>
      </w:r>
      <w:proofErr w:type="gramEnd"/>
      <w:r w:rsidRPr="00B13CE3">
        <w:rPr>
          <w:iCs/>
        </w:rPr>
        <w:t xml:space="preserve"> time horizon.</w:t>
      </w:r>
    </w:p>
    <w:bookmarkEnd w:id="52"/>
    <w:p w14:paraId="14C48AD9" w14:textId="77777777" w:rsidR="00412FD8" w:rsidRPr="00251F48" w:rsidRDefault="00412FD8" w:rsidP="008241B5">
      <w:pPr>
        <w:pStyle w:val="3-BodyText"/>
        <w:numPr>
          <w:ilvl w:val="0"/>
          <w:numId w:val="0"/>
        </w:numPr>
      </w:pPr>
    </w:p>
    <w:p w14:paraId="530F7116" w14:textId="2F5AA0A5" w:rsidR="00412FD8" w:rsidRDefault="00412FD8" w:rsidP="008241B5">
      <w:pPr>
        <w:pStyle w:val="Caption"/>
        <w:rPr>
          <w:color w:val="3366FF"/>
        </w:rPr>
      </w:pPr>
      <w:bookmarkStart w:id="53" w:name="_Ref217672387"/>
      <w:r>
        <w:t xml:space="preserve">Figure </w:t>
      </w:r>
      <w:fldSimple w:instr=" SEQ Figure \* ARABIC ">
        <w:r w:rsidR="005D3E29">
          <w:rPr>
            <w:noProof/>
          </w:rPr>
          <w:t>4</w:t>
        </w:r>
      </w:fldSimple>
      <w:bookmarkEnd w:id="53"/>
      <w:r>
        <w:t xml:space="preserve">: </w:t>
      </w:r>
      <w:r w:rsidRPr="00230324">
        <w:t xml:space="preserve">Fit of parametric functions to the </w:t>
      </w:r>
      <w:r>
        <w:t>KM</w:t>
      </w:r>
      <w:r w:rsidRPr="00230324">
        <w:t xml:space="preserve"> data for </w:t>
      </w:r>
      <w:r>
        <w:t>T-</w:t>
      </w:r>
      <w:proofErr w:type="spellStart"/>
      <w:r>
        <w:t>DXd</w:t>
      </w:r>
      <w:proofErr w:type="spellEnd"/>
      <w:r>
        <w:t xml:space="preserve"> </w:t>
      </w:r>
      <w:r w:rsidRPr="00230324">
        <w:t>PFS</w:t>
      </w:r>
      <w:r>
        <w:t xml:space="preserve"> </w:t>
      </w:r>
    </w:p>
    <w:p w14:paraId="1272330F" w14:textId="77777777" w:rsidR="00412FD8" w:rsidRDefault="00412FD8" w:rsidP="008241B5">
      <w:pPr>
        <w:pStyle w:val="TableFooter"/>
      </w:pPr>
      <w:r>
        <w:rPr>
          <w:noProof/>
        </w:rPr>
        <w:drawing>
          <wp:inline distT="0" distB="0" distL="0" distR="0" wp14:anchorId="402C787B" wp14:editId="69E63B25">
            <wp:extent cx="5753100" cy="2790190"/>
            <wp:effectExtent l="0" t="0" r="0" b="0"/>
            <wp:docPr id="34139191" name="Picture 1" descr="Figure 4: Fit of parametric functions to the KM data for T-DXd PF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9191" name="Picture 1" descr="Figure 4: Fit of parametric functions to the KM data for T-DXd PFS "/>
                    <pic:cNvPicPr>
                      <a:picLocks noChangeAspect="1" noChangeArrowheads="1"/>
                    </pic:cNvPicPr>
                  </pic:nvPicPr>
                  <pic:blipFill rotWithShape="1">
                    <a:blip r:embed="rId14">
                      <a:extLst>
                        <a:ext uri="{28A0092B-C50C-407E-A947-70E740481C1C}">
                          <a14:useLocalDpi xmlns:a14="http://schemas.microsoft.com/office/drawing/2010/main" val="0"/>
                        </a:ext>
                      </a:extLst>
                    </a:blip>
                    <a:srcRect l="823" t="11391" r="2303" b="1791"/>
                    <a:stretch>
                      <a:fillRect/>
                    </a:stretch>
                  </pic:blipFill>
                  <pic:spPr bwMode="auto">
                    <a:xfrm>
                      <a:off x="0" y="0"/>
                      <a:ext cx="5763264" cy="2795119"/>
                    </a:xfrm>
                    <a:prstGeom prst="rect">
                      <a:avLst/>
                    </a:prstGeom>
                    <a:noFill/>
                    <a:ln>
                      <a:noFill/>
                    </a:ln>
                    <a:extLst>
                      <a:ext uri="{53640926-AAD7-44D8-BBD7-CCE9431645EC}">
                        <a14:shadowObscured xmlns:a14="http://schemas.microsoft.com/office/drawing/2010/main"/>
                      </a:ext>
                    </a:extLst>
                  </pic:spPr>
                </pic:pic>
              </a:graphicData>
            </a:graphic>
          </wp:inline>
        </w:drawing>
      </w:r>
    </w:p>
    <w:p w14:paraId="421D86AA" w14:textId="77777777" w:rsidR="00412FD8" w:rsidRDefault="00412FD8" w:rsidP="008241B5">
      <w:pPr>
        <w:pStyle w:val="TableFooter"/>
      </w:pPr>
      <w:r>
        <w:t>Source: Adapted from Figure 3.3, p134 of the submission, using ‘T-</w:t>
      </w:r>
      <w:proofErr w:type="spellStart"/>
      <w:r>
        <w:t>DXd</w:t>
      </w:r>
      <w:proofErr w:type="spellEnd"/>
      <w:r>
        <w:t xml:space="preserve"> </w:t>
      </w:r>
      <w:proofErr w:type="spellStart"/>
      <w:r>
        <w:t>extrap</w:t>
      </w:r>
      <w:proofErr w:type="spellEnd"/>
      <w:r>
        <w:t xml:space="preserve">’ spreadsheet in the “Economic Evaluation” Excel workbook </w:t>
      </w:r>
    </w:p>
    <w:p w14:paraId="01C3F4CA" w14:textId="77777777" w:rsidR="00412FD8" w:rsidRDefault="00412FD8" w:rsidP="008241B5">
      <w:pPr>
        <w:pStyle w:val="TableFooter"/>
        <w:rPr>
          <w:lang w:val="en-US"/>
        </w:rPr>
      </w:pPr>
      <w:r>
        <w:rPr>
          <w:lang w:val="en-US"/>
        </w:rPr>
        <w:t xml:space="preserve">KM = Kaplan-Meier; </w:t>
      </w:r>
      <w:r w:rsidRPr="002774A8">
        <w:rPr>
          <w:lang w:val="en-US"/>
        </w:rPr>
        <w:t>PFS = progression-free survival</w:t>
      </w:r>
      <w:r>
        <w:rPr>
          <w:lang w:val="en-US"/>
        </w:rPr>
        <w:t>; T-</w:t>
      </w:r>
      <w:proofErr w:type="spellStart"/>
      <w:r>
        <w:rPr>
          <w:lang w:val="en-US"/>
        </w:rPr>
        <w:t>DXd</w:t>
      </w:r>
      <w:proofErr w:type="spellEnd"/>
      <w:r>
        <w:rPr>
          <w:lang w:val="en-US"/>
        </w:rPr>
        <w:t xml:space="preserve"> = trastuzumab deruxtecan </w:t>
      </w:r>
    </w:p>
    <w:p w14:paraId="5592925E" w14:textId="77777777" w:rsidR="00412FD8" w:rsidRDefault="00412FD8" w:rsidP="008241B5">
      <w:pPr>
        <w:pStyle w:val="TableFooter"/>
        <w:rPr>
          <w:lang w:val="en-US"/>
        </w:rPr>
      </w:pPr>
    </w:p>
    <w:p w14:paraId="730607B3" w14:textId="3330B11D" w:rsidR="00412FD8" w:rsidRDefault="00412FD8" w:rsidP="008241B5">
      <w:pPr>
        <w:pStyle w:val="Caption"/>
        <w:rPr>
          <w:lang w:val="en-US"/>
        </w:rPr>
      </w:pPr>
      <w:bookmarkStart w:id="54" w:name="_Ref217672287"/>
      <w:r>
        <w:lastRenderedPageBreak/>
        <w:t xml:space="preserve">Figure </w:t>
      </w:r>
      <w:fldSimple w:instr=" SEQ Figure \* ARABIC ">
        <w:r w:rsidR="005D3E29">
          <w:rPr>
            <w:noProof/>
          </w:rPr>
          <w:t>5</w:t>
        </w:r>
      </w:fldSimple>
      <w:bookmarkEnd w:id="54"/>
      <w:r>
        <w:t xml:space="preserve">: </w:t>
      </w:r>
      <w:r w:rsidRPr="00B61B39">
        <w:t>Fit of parametric functions to the KM data for T-</w:t>
      </w:r>
      <w:proofErr w:type="spellStart"/>
      <w:r w:rsidRPr="00B61B39">
        <w:t>DXd</w:t>
      </w:r>
      <w:proofErr w:type="spellEnd"/>
      <w:r w:rsidRPr="00B61B39">
        <w:t xml:space="preserve"> OS</w:t>
      </w:r>
    </w:p>
    <w:p w14:paraId="49624FEB" w14:textId="77777777" w:rsidR="00412FD8" w:rsidRDefault="00412FD8" w:rsidP="008241B5">
      <w:pPr>
        <w:pStyle w:val="TableFooter"/>
      </w:pPr>
      <w:r>
        <w:rPr>
          <w:noProof/>
        </w:rPr>
        <w:drawing>
          <wp:inline distT="0" distB="0" distL="0" distR="0" wp14:anchorId="59AA869C" wp14:editId="74A166E1">
            <wp:extent cx="5740400" cy="3334884"/>
            <wp:effectExtent l="0" t="0" r="0" b="0"/>
            <wp:docPr id="1632488779" name="Picture 2" descr="Figure 5: Fit of parametric functions to the KM data for T-DX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88779" name="Picture 2" descr="Figure 5: Fit of parametric functions to the KM data for T-DXd OS"/>
                    <pic:cNvPicPr>
                      <a:picLocks noChangeAspect="1" noChangeArrowheads="1"/>
                    </pic:cNvPicPr>
                  </pic:nvPicPr>
                  <pic:blipFill rotWithShape="1">
                    <a:blip r:embed="rId15">
                      <a:extLst>
                        <a:ext uri="{28A0092B-C50C-407E-A947-70E740481C1C}">
                          <a14:useLocalDpi xmlns:a14="http://schemas.microsoft.com/office/drawing/2010/main" val="0"/>
                        </a:ext>
                      </a:extLst>
                    </a:blip>
                    <a:srcRect/>
                    <a:stretch>
                      <a:fillRect/>
                    </a:stretch>
                  </pic:blipFill>
                  <pic:spPr bwMode="auto">
                    <a:xfrm>
                      <a:off x="0" y="0"/>
                      <a:ext cx="5771171" cy="3352761"/>
                    </a:xfrm>
                    <a:prstGeom prst="rect">
                      <a:avLst/>
                    </a:prstGeom>
                    <a:noFill/>
                    <a:ln>
                      <a:noFill/>
                    </a:ln>
                    <a:extLst>
                      <a:ext uri="{53640926-AAD7-44D8-BBD7-CCE9431645EC}">
                        <a14:shadowObscured xmlns:a14="http://schemas.microsoft.com/office/drawing/2010/main"/>
                      </a:ext>
                    </a:extLst>
                  </pic:spPr>
                </pic:pic>
              </a:graphicData>
            </a:graphic>
          </wp:inline>
        </w:drawing>
      </w:r>
    </w:p>
    <w:p w14:paraId="5BA0C7CE" w14:textId="77777777" w:rsidR="00412FD8" w:rsidRDefault="00412FD8" w:rsidP="008241B5">
      <w:pPr>
        <w:pStyle w:val="TableFooter"/>
      </w:pPr>
      <w:r>
        <w:t>Source: Adapted from Figure 3.11, p140 of the submission, using ‘T-</w:t>
      </w:r>
      <w:proofErr w:type="spellStart"/>
      <w:r>
        <w:t>DXd</w:t>
      </w:r>
      <w:proofErr w:type="spellEnd"/>
      <w:r>
        <w:t xml:space="preserve"> </w:t>
      </w:r>
      <w:proofErr w:type="spellStart"/>
      <w:r>
        <w:t>extrap</w:t>
      </w:r>
      <w:proofErr w:type="spellEnd"/>
      <w:r>
        <w:t xml:space="preserve">’ spreadsheet in the “Economic Evaluation” Excel workbook </w:t>
      </w:r>
    </w:p>
    <w:p w14:paraId="421E1715" w14:textId="77777777" w:rsidR="00412FD8" w:rsidRDefault="00412FD8" w:rsidP="008241B5">
      <w:pPr>
        <w:pStyle w:val="TableFooter"/>
      </w:pPr>
      <w:r w:rsidRPr="00B61B39">
        <w:t>KM = Kaplan-Meier; OS = overall survival; T-</w:t>
      </w:r>
      <w:proofErr w:type="spellStart"/>
      <w:r w:rsidRPr="00B61B39">
        <w:t>DXd</w:t>
      </w:r>
      <w:proofErr w:type="spellEnd"/>
      <w:r w:rsidRPr="00B61B39">
        <w:t xml:space="preserve"> = trastuzumab deruxtecan </w:t>
      </w:r>
    </w:p>
    <w:p w14:paraId="17685407" w14:textId="77777777" w:rsidR="00412FD8" w:rsidRPr="00B61B39" w:rsidRDefault="00412FD8" w:rsidP="008241B5">
      <w:pPr>
        <w:pStyle w:val="TableFooter"/>
      </w:pPr>
    </w:p>
    <w:p w14:paraId="186C4A64" w14:textId="7CD0A156" w:rsidR="00412FD8" w:rsidRPr="00502127" w:rsidRDefault="00412FD8" w:rsidP="008241B5">
      <w:pPr>
        <w:pStyle w:val="Caption"/>
      </w:pPr>
      <w:bookmarkStart w:id="55" w:name="_Ref217672289"/>
      <w:r>
        <w:t xml:space="preserve">Figure </w:t>
      </w:r>
      <w:fldSimple w:instr=" SEQ Figure \* ARABIC ">
        <w:r w:rsidR="005D3E29">
          <w:rPr>
            <w:noProof/>
          </w:rPr>
          <w:t>6</w:t>
        </w:r>
      </w:fldSimple>
      <w:bookmarkEnd w:id="55"/>
      <w:r>
        <w:t xml:space="preserve">: </w:t>
      </w:r>
      <w:r w:rsidRPr="00230324">
        <w:t xml:space="preserve">Fit of parametric functions to the </w:t>
      </w:r>
      <w:r>
        <w:t xml:space="preserve">KM </w:t>
      </w:r>
      <w:r w:rsidRPr="00230324">
        <w:t xml:space="preserve">data for </w:t>
      </w:r>
      <w:r>
        <w:t>ICC O</w:t>
      </w:r>
      <w:r w:rsidRPr="00230324">
        <w:t>S</w:t>
      </w:r>
      <w:r>
        <w:t xml:space="preserve"> </w:t>
      </w:r>
    </w:p>
    <w:p w14:paraId="0D6E9A80" w14:textId="77777777" w:rsidR="00412FD8" w:rsidRDefault="00412FD8" w:rsidP="009C2B6F">
      <w:pPr>
        <w:pStyle w:val="TableFigureFooter"/>
      </w:pPr>
      <w:r>
        <w:rPr>
          <w:noProof/>
        </w:rPr>
        <w:drawing>
          <wp:inline distT="0" distB="0" distL="0" distR="0" wp14:anchorId="1EE1ADD0" wp14:editId="4698F674">
            <wp:extent cx="5638800" cy="2873375"/>
            <wp:effectExtent l="0" t="0" r="0" b="3175"/>
            <wp:docPr id="111233995" name="Picture 6" descr="Figure 6: Fit of parametric functions to the KM data for ICC 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3995" name="Picture 6" descr="Figure 6: Fit of parametric functions to the KM data for ICC OS "/>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a:fillRect/>
                    </a:stretch>
                  </pic:blipFill>
                  <pic:spPr bwMode="auto">
                    <a:xfrm>
                      <a:off x="0" y="0"/>
                      <a:ext cx="5667183" cy="2887838"/>
                    </a:xfrm>
                    <a:prstGeom prst="rect">
                      <a:avLst/>
                    </a:prstGeom>
                    <a:noFill/>
                    <a:ln>
                      <a:noFill/>
                    </a:ln>
                    <a:extLst>
                      <a:ext uri="{53640926-AAD7-44D8-BBD7-CCE9431645EC}">
                        <a14:shadowObscured xmlns:a14="http://schemas.microsoft.com/office/drawing/2010/main"/>
                      </a:ext>
                    </a:extLst>
                  </pic:spPr>
                </pic:pic>
              </a:graphicData>
            </a:graphic>
          </wp:inline>
        </w:drawing>
      </w:r>
    </w:p>
    <w:p w14:paraId="6729CE81" w14:textId="77777777" w:rsidR="00412FD8" w:rsidRDefault="00412FD8" w:rsidP="009C2B6F">
      <w:pPr>
        <w:pStyle w:val="TableFigureFooter"/>
      </w:pPr>
      <w:r>
        <w:t>Source: Adapted from Figure 3.11, p140 of the submission</w:t>
      </w:r>
      <w:r>
        <w:rPr>
          <w:i/>
          <w:iCs/>
        </w:rPr>
        <w:t>,</w:t>
      </w:r>
      <w:r>
        <w:t xml:space="preserve"> using ‘T-</w:t>
      </w:r>
      <w:proofErr w:type="spellStart"/>
      <w:r>
        <w:t>DXd</w:t>
      </w:r>
      <w:proofErr w:type="spellEnd"/>
      <w:r>
        <w:t xml:space="preserve"> </w:t>
      </w:r>
      <w:proofErr w:type="spellStart"/>
      <w:r>
        <w:t>extrap</w:t>
      </w:r>
      <w:proofErr w:type="spellEnd"/>
      <w:r>
        <w:t xml:space="preserve">’ spreadsheet in the “Economic Evaluation” Excel workbook </w:t>
      </w:r>
    </w:p>
    <w:p w14:paraId="49E418EF" w14:textId="77777777" w:rsidR="00412FD8" w:rsidRDefault="00412FD8" w:rsidP="009C2B6F">
      <w:pPr>
        <w:pStyle w:val="TableFigureFooter"/>
        <w:rPr>
          <w:lang w:val="en-US"/>
        </w:rPr>
      </w:pPr>
      <w:r w:rsidRPr="004D7C3E">
        <w:rPr>
          <w:lang w:val="en-US"/>
        </w:rPr>
        <w:t>ICC = investigator’s choice of chemotherapy; KM = Kaplan-Meier; OS = overall survival</w:t>
      </w:r>
      <w:r>
        <w:rPr>
          <w:lang w:val="en-US"/>
        </w:rPr>
        <w:t xml:space="preserve"> </w:t>
      </w:r>
    </w:p>
    <w:p w14:paraId="0077680A" w14:textId="2940F7F7" w:rsidR="0039363A" w:rsidRDefault="00412FD8" w:rsidP="008241B5">
      <w:pPr>
        <w:pStyle w:val="3-BodyText"/>
      </w:pPr>
      <w:bookmarkStart w:id="56" w:name="_Ref221792407"/>
      <w:bookmarkStart w:id="57" w:name="_Ref217763631"/>
      <w:r w:rsidRPr="00904162">
        <w:rPr>
          <w:lang w:val="en-US"/>
        </w:rPr>
        <w:t>The distribution of subsequent therapies after T-</w:t>
      </w:r>
      <w:proofErr w:type="spellStart"/>
      <w:r w:rsidRPr="00904162">
        <w:rPr>
          <w:lang w:val="en-US"/>
        </w:rPr>
        <w:t>DXd</w:t>
      </w:r>
      <w:proofErr w:type="spellEnd"/>
      <w:r w:rsidRPr="00904162">
        <w:rPr>
          <w:lang w:val="en-US"/>
        </w:rPr>
        <w:t xml:space="preserve"> or ICC was sourced from the DB</w:t>
      </w:r>
      <w:r w:rsidR="0015083F">
        <w:rPr>
          <w:lang w:val="en-US"/>
        </w:rPr>
        <w:noBreakHyphen/>
      </w:r>
      <w:r w:rsidRPr="00904162">
        <w:rPr>
          <w:lang w:val="en-US"/>
        </w:rPr>
        <w:t>06 trial. At DCO1 of the DB-06 trial, 2</w:t>
      </w:r>
      <w:r w:rsidRPr="00904162">
        <w:t>3.5% of ICC patients who received subsequent anti-cancer therapies were treated with T-</w:t>
      </w:r>
      <w:proofErr w:type="spellStart"/>
      <w:r w:rsidRPr="00904162">
        <w:t>DXd</w:t>
      </w:r>
      <w:proofErr w:type="spellEnd"/>
      <w:r w:rsidRPr="00904162">
        <w:t xml:space="preserve">. This was </w:t>
      </w:r>
      <w:r w:rsidR="001810B6">
        <w:t xml:space="preserve">substantially lower than </w:t>
      </w:r>
      <w:r w:rsidR="001810B6">
        <w:lastRenderedPageBreak/>
        <w:t>would be</w:t>
      </w:r>
      <w:r w:rsidR="004E5489">
        <w:t xml:space="preserve"> expected</w:t>
      </w:r>
      <w:r w:rsidRPr="00904162">
        <w:t xml:space="preserve"> in Australian clinical practice</w:t>
      </w:r>
      <w:r w:rsidR="002B4E86">
        <w:t xml:space="preserve"> as </w:t>
      </w:r>
      <w:r w:rsidR="001C6045">
        <w:t>T-</w:t>
      </w:r>
      <w:proofErr w:type="spellStart"/>
      <w:r w:rsidR="001C6045">
        <w:t>DXd</w:t>
      </w:r>
      <w:proofErr w:type="spellEnd"/>
      <w:r w:rsidR="001C6045">
        <w:t xml:space="preserve"> is PBS listed for </w:t>
      </w:r>
      <w:r w:rsidR="002B4E86">
        <w:t xml:space="preserve">HER2-low patients </w:t>
      </w:r>
      <w:r w:rsidR="00337067">
        <w:t>after prior chemotherapy</w:t>
      </w:r>
      <w:r w:rsidRPr="00904162">
        <w:t>. Based on the distribution of HER2-low versus HER2-ultralow (not eligible for later-line T-</w:t>
      </w:r>
      <w:proofErr w:type="spellStart"/>
      <w:r w:rsidRPr="00904162">
        <w:t>DXd</w:t>
      </w:r>
      <w:proofErr w:type="spellEnd"/>
      <w:r w:rsidRPr="00904162">
        <w:t xml:space="preserve">) as observed in the DB-06 trial at baseline, the submission assumed that 82.2% of progressed patients in the ICC arm </w:t>
      </w:r>
      <w:r w:rsidR="00E24C02" w:rsidRPr="00B13CE3">
        <w:rPr>
          <w:iCs/>
        </w:rPr>
        <w:t xml:space="preserve">(i.e. </w:t>
      </w:r>
      <w:r w:rsidR="00907A78" w:rsidRPr="00B13CE3">
        <w:rPr>
          <w:iCs/>
        </w:rPr>
        <w:t>100% of HER2-low patients)</w:t>
      </w:r>
      <w:r w:rsidR="00907A78">
        <w:t xml:space="preserve"> </w:t>
      </w:r>
      <w:r w:rsidRPr="00904162">
        <w:t>would receive subsequent T-</w:t>
      </w:r>
      <w:proofErr w:type="spellStart"/>
      <w:r w:rsidRPr="00904162">
        <w:t>DXd</w:t>
      </w:r>
      <w:proofErr w:type="spellEnd"/>
      <w:r w:rsidRPr="00904162">
        <w:t xml:space="preserve"> in clinical practice. Of the 82.2%, the health outcomes associated with 23.5% use of subsequent T-</w:t>
      </w:r>
      <w:proofErr w:type="spellStart"/>
      <w:r w:rsidRPr="00904162">
        <w:t>DXd</w:t>
      </w:r>
      <w:proofErr w:type="spellEnd"/>
      <w:r w:rsidRPr="00904162">
        <w:t xml:space="preserve"> had already been captured by the trial survival data (adjustment factor of 1), and, thus, OS adjustment would be required to account for the extra 58.7% use in clinical practice. </w:t>
      </w:r>
      <w:r w:rsidR="00C675C0" w:rsidRPr="00B13CE3">
        <w:rPr>
          <w:iCs/>
        </w:rPr>
        <w:t>The PSCR</w:t>
      </w:r>
      <w:r w:rsidR="002930E1" w:rsidRPr="00B13CE3">
        <w:rPr>
          <w:iCs/>
        </w:rPr>
        <w:t xml:space="preserve"> </w:t>
      </w:r>
      <w:r w:rsidR="00C675C0" w:rsidRPr="00B13CE3">
        <w:rPr>
          <w:iCs/>
        </w:rPr>
        <w:t xml:space="preserve">noted that </w:t>
      </w:r>
      <w:r w:rsidR="002930E1" w:rsidRPr="00B13CE3">
        <w:rPr>
          <w:iCs/>
        </w:rPr>
        <w:t xml:space="preserve">the </w:t>
      </w:r>
      <w:r w:rsidR="00407074" w:rsidRPr="00B13CE3">
        <w:rPr>
          <w:iCs/>
        </w:rPr>
        <w:t xml:space="preserve">proportion of </w:t>
      </w:r>
      <w:r w:rsidR="0072170C" w:rsidRPr="00B13CE3">
        <w:rPr>
          <w:iCs/>
        </w:rPr>
        <w:t>subsequent T-</w:t>
      </w:r>
      <w:proofErr w:type="spellStart"/>
      <w:r w:rsidR="0072170C" w:rsidRPr="00B13CE3">
        <w:rPr>
          <w:iCs/>
        </w:rPr>
        <w:t>DXd</w:t>
      </w:r>
      <w:proofErr w:type="spellEnd"/>
      <w:r w:rsidR="0072170C" w:rsidRPr="00B13CE3">
        <w:rPr>
          <w:iCs/>
        </w:rPr>
        <w:t xml:space="preserve"> </w:t>
      </w:r>
      <w:r w:rsidR="0008193C" w:rsidRPr="00B13CE3">
        <w:rPr>
          <w:iCs/>
        </w:rPr>
        <w:t xml:space="preserve">in the ICC arm </w:t>
      </w:r>
      <w:r w:rsidR="004C61A8" w:rsidRPr="00B13CE3">
        <w:rPr>
          <w:iCs/>
        </w:rPr>
        <w:t xml:space="preserve">increased from 23.5% to </w:t>
      </w:r>
      <w:r w:rsidR="00043BD4" w:rsidRPr="00B13CE3">
        <w:rPr>
          <w:iCs/>
        </w:rPr>
        <w:t xml:space="preserve">33.6% in the IA2 </w:t>
      </w:r>
      <w:r w:rsidR="005B2373" w:rsidRPr="00B13CE3">
        <w:rPr>
          <w:iCs/>
        </w:rPr>
        <w:t xml:space="preserve">DCO (which was </w:t>
      </w:r>
      <w:r w:rsidR="003A7C1D" w:rsidRPr="00B13CE3">
        <w:rPr>
          <w:iCs/>
        </w:rPr>
        <w:t xml:space="preserve">the DCO </w:t>
      </w:r>
      <w:r w:rsidR="005B2373" w:rsidRPr="00B13CE3">
        <w:rPr>
          <w:iCs/>
        </w:rPr>
        <w:t xml:space="preserve">applied in the </w:t>
      </w:r>
      <w:r w:rsidR="00606FDE" w:rsidRPr="00B13CE3">
        <w:rPr>
          <w:iCs/>
        </w:rPr>
        <w:t>model)</w:t>
      </w:r>
      <w:r w:rsidR="00F448FE" w:rsidRPr="00B13CE3">
        <w:rPr>
          <w:iCs/>
        </w:rPr>
        <w:t xml:space="preserve"> and therefore the </w:t>
      </w:r>
      <w:r w:rsidR="007F2508" w:rsidRPr="00B13CE3">
        <w:rPr>
          <w:iCs/>
        </w:rPr>
        <w:t xml:space="preserve">adjustment factor should only be applied to </w:t>
      </w:r>
      <w:r w:rsidR="00AC4AB6" w:rsidRPr="00B13CE3">
        <w:rPr>
          <w:iCs/>
        </w:rPr>
        <w:t xml:space="preserve">48.6% of patients rather than </w:t>
      </w:r>
      <w:r w:rsidR="00F3338A" w:rsidRPr="00B13CE3">
        <w:rPr>
          <w:iCs/>
        </w:rPr>
        <w:t>58.7%</w:t>
      </w:r>
      <w:r w:rsidR="00606FDE">
        <w:t>.</w:t>
      </w:r>
      <w:bookmarkEnd w:id="56"/>
      <w:r w:rsidR="00606FDE">
        <w:t xml:space="preserve"> </w:t>
      </w:r>
    </w:p>
    <w:p w14:paraId="3F1188F9" w14:textId="3AABE327" w:rsidR="005D3E29" w:rsidRDefault="00412FD8" w:rsidP="008241B5">
      <w:pPr>
        <w:pStyle w:val="3-BodyText"/>
      </w:pPr>
      <w:r w:rsidRPr="00904162">
        <w:t xml:space="preserve">The adjustment factor applied to </w:t>
      </w:r>
      <w:r w:rsidR="0039363A">
        <w:t xml:space="preserve">the </w:t>
      </w:r>
      <w:r w:rsidRPr="00904162">
        <w:t>OS curve was estimated based on the hazard ratio for OS associated with later-line T-</w:t>
      </w:r>
      <w:proofErr w:type="spellStart"/>
      <w:r w:rsidRPr="00904162">
        <w:t>DXd</w:t>
      </w:r>
      <w:proofErr w:type="spellEnd"/>
      <w:r w:rsidRPr="00904162">
        <w:t xml:space="preserve"> versus chemotherapy (0.69) as reported in the external study DB-04 (Table 4, T-</w:t>
      </w:r>
      <w:proofErr w:type="spellStart"/>
      <w:r w:rsidRPr="00904162">
        <w:t>DXd</w:t>
      </w:r>
      <w:proofErr w:type="spellEnd"/>
      <w:r w:rsidRPr="00904162">
        <w:t xml:space="preserve"> PSD, March 2024 PBAC meeting). The weighted adjustment factor was </w:t>
      </w:r>
      <w:r w:rsidR="00706E02" w:rsidRPr="00904162">
        <w:t>calculated to be 0.779</w:t>
      </w:r>
      <w:r w:rsidR="00706E02" w:rsidRPr="00904162">
        <w:rPr>
          <w:rStyle w:val="FootnoteReference"/>
        </w:rPr>
        <w:footnoteReference w:id="25"/>
      </w:r>
      <w:r w:rsidRPr="00904162">
        <w:t>. This adjustment factor was applied to the per cycle death derived from the OS function from Month 8 (the median PFS in the ICC arm of DB-06), linearly increasing to 1 at Month 23 (the assumed median time to second disease progression after first subsequent therapy or death).</w:t>
      </w:r>
      <w:bookmarkEnd w:id="57"/>
      <w:r w:rsidRPr="00904162">
        <w:t xml:space="preserve"> </w:t>
      </w:r>
      <w:bookmarkStart w:id="58" w:name="_Ref218787491"/>
      <w:bookmarkStart w:id="59" w:name="_Ref217763603"/>
      <w:r w:rsidRPr="00904162">
        <w:t xml:space="preserve">The submission’s method of adjustment for OS modelling in the ICC arm only resulted in a slight increase in OS estimates (red dash line vs. green dash line, </w:t>
      </w:r>
      <w:r w:rsidRPr="00904162">
        <w:fldChar w:fldCharType="begin"/>
      </w:r>
      <w:r w:rsidRPr="00904162">
        <w:instrText xml:space="preserve"> REF _Ref217678926 \h  \* MERGEFORMAT </w:instrText>
      </w:r>
      <w:r w:rsidRPr="00904162">
        <w:fldChar w:fldCharType="separate"/>
      </w:r>
      <w:r w:rsidR="005D3E29">
        <w:t xml:space="preserve">Figure </w:t>
      </w:r>
      <w:r w:rsidR="005D3E29">
        <w:rPr>
          <w:noProof/>
        </w:rPr>
        <w:t>7</w:t>
      </w:r>
      <w:r w:rsidRPr="00904162">
        <w:fldChar w:fldCharType="end"/>
      </w:r>
      <w:r w:rsidRPr="00904162">
        <w:t xml:space="preserve">). </w:t>
      </w:r>
    </w:p>
    <w:p w14:paraId="255FB64F" w14:textId="3999FEBA" w:rsidR="00D74E69" w:rsidRPr="005D3E29" w:rsidRDefault="00412FD8" w:rsidP="008241B5">
      <w:pPr>
        <w:pStyle w:val="3-BodyText"/>
      </w:pPr>
      <w:r w:rsidRPr="005D3E29">
        <w:fldChar w:fldCharType="begin"/>
      </w:r>
      <w:r w:rsidRPr="005D3E29">
        <w:instrText xml:space="preserve"> REF _Ref217771392 \h </w:instrText>
      </w:r>
      <w:r w:rsidR="00904162" w:rsidRPr="005D3E29">
        <w:instrText xml:space="preserve"> \* MERGEFORMAT </w:instrText>
      </w:r>
      <w:r w:rsidRPr="005D3E29">
        <w:fldChar w:fldCharType="separate"/>
      </w:r>
      <w:r w:rsidR="005D3E29" w:rsidRPr="00213C8D">
        <w:t xml:space="preserve">Table </w:t>
      </w:r>
      <w:r w:rsidR="005D3E29">
        <w:rPr>
          <w:noProof/>
        </w:rPr>
        <w:t>12</w:t>
      </w:r>
      <w:r w:rsidRPr="005D3E29">
        <w:fldChar w:fldCharType="end"/>
      </w:r>
      <w:r w:rsidRPr="005D3E29">
        <w:t xml:space="preserve"> compares costs and quality-adjusted life years (QALYs) in the ICC arm of the model when 23.5% (no adjustment for OS required) and 82.2% (using the submission’s adjustment assumption) of patients receiving subsequent T-</w:t>
      </w:r>
      <w:proofErr w:type="spellStart"/>
      <w:r w:rsidRPr="005D3E29">
        <w:t>DXd</w:t>
      </w:r>
      <w:proofErr w:type="spellEnd"/>
      <w:r w:rsidRPr="005D3E29">
        <w:t xml:space="preserve">. Results showed that </w:t>
      </w:r>
      <w:r w:rsidR="00EF08D3" w:rsidRPr="005D3E29">
        <w:t xml:space="preserve">an </w:t>
      </w:r>
      <w:r w:rsidRPr="005D3E29">
        <w:t>extra 58.7% patients receiving subsequent T-</w:t>
      </w:r>
      <w:proofErr w:type="spellStart"/>
      <w:r w:rsidRPr="005D3E29">
        <w:t>DXd</w:t>
      </w:r>
      <w:proofErr w:type="spellEnd"/>
      <w:r w:rsidRPr="005D3E29">
        <w:t xml:space="preserve"> in the ICC arm provided a QALY gain of 0.052 at a cost of $</w:t>
      </w:r>
      <w:r w:rsidR="009645B2">
        <w:t>15,000 to &lt; $25,000</w:t>
      </w:r>
      <w:r w:rsidRPr="005D3E29">
        <w:t xml:space="preserve">. The </w:t>
      </w:r>
      <w:r w:rsidR="00706E02" w:rsidRPr="005D3E29">
        <w:t>resulting</w:t>
      </w:r>
      <w:r w:rsidRPr="005D3E29">
        <w:t xml:space="preserve"> ICER associated with subsequent T</w:t>
      </w:r>
      <w:r w:rsidR="009F3041" w:rsidRPr="005D3E29">
        <w:noBreakHyphen/>
      </w:r>
      <w:proofErr w:type="spellStart"/>
      <w:r w:rsidRPr="005D3E29">
        <w:t>DXd</w:t>
      </w:r>
      <w:proofErr w:type="spellEnd"/>
      <w:r w:rsidRPr="005D3E29">
        <w:t xml:space="preserve"> use exceeded $</w:t>
      </w:r>
      <w:r w:rsidR="009C2B6F">
        <w:t>355,000 to &lt; $455,000</w:t>
      </w:r>
      <w:r w:rsidRPr="005D3E29">
        <w:t>/QALY, substantially higher than what the PBAC had previously considered cost-effective (less than $50,000</w:t>
      </w:r>
      <w:r w:rsidR="00287C9A" w:rsidRPr="005D3E29">
        <w:t>/</w:t>
      </w:r>
      <w:r w:rsidRPr="005D3E29">
        <w:t>QALY) (para 5.14, T-</w:t>
      </w:r>
      <w:proofErr w:type="spellStart"/>
      <w:r w:rsidRPr="005D3E29">
        <w:t>DXd</w:t>
      </w:r>
      <w:proofErr w:type="spellEnd"/>
      <w:r w:rsidRPr="005D3E29">
        <w:t xml:space="preserve"> PSD, March 2024 PBAC meeting). The inclusion of a non-cost-effective subsequent therapy in the comparator ICC arm favoured T-</w:t>
      </w:r>
      <w:proofErr w:type="spellStart"/>
      <w:r w:rsidRPr="005D3E29">
        <w:t>DXd</w:t>
      </w:r>
      <w:proofErr w:type="spellEnd"/>
      <w:r w:rsidRPr="005D3E29">
        <w:t>. To address this issue, an alternative adjustment method was used to estimate the likely ICER for T-</w:t>
      </w:r>
      <w:proofErr w:type="spellStart"/>
      <w:r w:rsidRPr="005D3E29">
        <w:t>DXd</w:t>
      </w:r>
      <w:proofErr w:type="spellEnd"/>
      <w:r w:rsidRPr="005D3E29">
        <w:t xml:space="preserve"> versus ICC in Australian clinical practice (see the “Revised economic analysis” section below).</w:t>
      </w:r>
      <w:bookmarkEnd w:id="58"/>
      <w:r w:rsidR="002D1D40" w:rsidRPr="005D3E29">
        <w:t xml:space="preserve"> The </w:t>
      </w:r>
      <w:r w:rsidR="00D85B8B" w:rsidRPr="005D3E29">
        <w:t>Sub-Committees</w:t>
      </w:r>
      <w:r w:rsidR="006E34F6" w:rsidRPr="005D3E29">
        <w:t xml:space="preserve"> </w:t>
      </w:r>
      <w:r w:rsidR="002D1D40" w:rsidRPr="005D3E29">
        <w:t xml:space="preserve">considered that the </w:t>
      </w:r>
      <w:r w:rsidR="004C2921" w:rsidRPr="005D3E29">
        <w:t xml:space="preserve">submission’s approach to </w:t>
      </w:r>
      <w:r w:rsidR="003C718A" w:rsidRPr="005D3E29">
        <w:t xml:space="preserve">adjusting for the </w:t>
      </w:r>
      <w:r w:rsidR="00373E67" w:rsidRPr="005D3E29">
        <w:t>higher subsequent use of T-</w:t>
      </w:r>
      <w:proofErr w:type="spellStart"/>
      <w:r w:rsidR="00373E67" w:rsidRPr="005D3E29">
        <w:t>DXd</w:t>
      </w:r>
      <w:proofErr w:type="spellEnd"/>
      <w:r w:rsidR="00373E67" w:rsidRPr="005D3E29">
        <w:t xml:space="preserve"> in clinical practice lacked face validity.</w:t>
      </w:r>
      <w:bookmarkEnd w:id="59"/>
    </w:p>
    <w:p w14:paraId="05E4D0AF" w14:textId="4B415B7D" w:rsidR="00412FD8" w:rsidRPr="002D1D40" w:rsidRDefault="00412FD8" w:rsidP="008241B5">
      <w:pPr>
        <w:pStyle w:val="3-BodyText"/>
        <w:numPr>
          <w:ilvl w:val="0"/>
          <w:numId w:val="0"/>
        </w:numPr>
        <w:ind w:left="720"/>
        <w:rPr>
          <w:bCs/>
          <w:snapToGrid w:val="0"/>
        </w:rPr>
      </w:pPr>
      <w:r w:rsidRPr="002D1D40">
        <w:rPr>
          <w:bCs/>
          <w:snapToGrid w:val="0"/>
        </w:rPr>
        <w:t xml:space="preserve"> </w:t>
      </w:r>
    </w:p>
    <w:p w14:paraId="362689DD" w14:textId="5A13DF20" w:rsidR="00412FD8" w:rsidRPr="002774A8" w:rsidRDefault="00412FD8" w:rsidP="008241B5">
      <w:pPr>
        <w:pStyle w:val="Caption"/>
      </w:pPr>
      <w:bookmarkStart w:id="60" w:name="_Ref217678926"/>
      <w:r>
        <w:lastRenderedPageBreak/>
        <w:t xml:space="preserve">Figure </w:t>
      </w:r>
      <w:fldSimple w:instr=" SEQ Figure \* ARABIC ">
        <w:r w:rsidR="005D3E29">
          <w:rPr>
            <w:noProof/>
          </w:rPr>
          <w:t>7</w:t>
        </w:r>
      </w:fldSimple>
      <w:bookmarkEnd w:id="60"/>
      <w:r>
        <w:t xml:space="preserve">: </w:t>
      </w:r>
      <w:r w:rsidRPr="002774A8">
        <w:t xml:space="preserve">Modelled OS curves </w:t>
      </w:r>
      <w:r>
        <w:t>before and after adjustment to ICC arm</w:t>
      </w:r>
    </w:p>
    <w:p w14:paraId="7F83B747" w14:textId="77777777" w:rsidR="00412FD8" w:rsidRPr="002774A8" w:rsidRDefault="00412FD8" w:rsidP="009C2B6F">
      <w:pPr>
        <w:pStyle w:val="TableFigureFooter"/>
      </w:pPr>
      <w:r>
        <w:rPr>
          <w:noProof/>
        </w:rPr>
        <w:drawing>
          <wp:inline distT="0" distB="0" distL="0" distR="0" wp14:anchorId="70B972FC" wp14:editId="35F83914">
            <wp:extent cx="4844955" cy="2729230"/>
            <wp:effectExtent l="0" t="0" r="0" b="0"/>
            <wp:docPr id="1162030608" name="Picture 1" descr="Figure 7: Modelled OS curves before and after adjustment to IC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30608" name="Picture 1" descr="Figure 7: Modelled OS curves before and after adjustment to ICC arm"/>
                    <pic:cNvPicPr>
                      <a:picLocks noChangeAspect="1" noChangeArrowheads="1"/>
                    </pic:cNvPicPr>
                  </pic:nvPicPr>
                  <pic:blipFill rotWithShape="1">
                    <a:blip r:embed="rId17">
                      <a:extLst>
                        <a:ext uri="{28A0092B-C50C-407E-A947-70E740481C1C}">
                          <a14:useLocalDpi xmlns:a14="http://schemas.microsoft.com/office/drawing/2010/main" val="0"/>
                        </a:ext>
                      </a:extLst>
                    </a:blip>
                    <a:srcRect l="3014" t="8010" r="2742" b="8850"/>
                    <a:stretch>
                      <a:fillRect/>
                    </a:stretch>
                  </pic:blipFill>
                  <pic:spPr bwMode="auto">
                    <a:xfrm>
                      <a:off x="0" y="0"/>
                      <a:ext cx="4863001" cy="2739396"/>
                    </a:xfrm>
                    <a:prstGeom prst="rect">
                      <a:avLst/>
                    </a:prstGeom>
                    <a:noFill/>
                    <a:ln>
                      <a:noFill/>
                    </a:ln>
                    <a:extLst>
                      <a:ext uri="{53640926-AAD7-44D8-BBD7-CCE9431645EC}">
                        <a14:shadowObscured xmlns:a14="http://schemas.microsoft.com/office/drawing/2010/main"/>
                      </a:ext>
                    </a:extLst>
                  </pic:spPr>
                </pic:pic>
              </a:graphicData>
            </a:graphic>
          </wp:inline>
        </w:drawing>
      </w:r>
    </w:p>
    <w:p w14:paraId="7B1B1062" w14:textId="77777777" w:rsidR="00412FD8" w:rsidRPr="00213C8D" w:rsidRDefault="00412FD8" w:rsidP="009C2B6F">
      <w:pPr>
        <w:pStyle w:val="TableFigureFooter"/>
      </w:pPr>
      <w:r w:rsidRPr="00213C8D">
        <w:t xml:space="preserve">Source: Figure constructed during the evaluation, using the “Economic Evaluation” Excel workbook. </w:t>
      </w:r>
    </w:p>
    <w:p w14:paraId="58506787" w14:textId="21DEE520" w:rsidR="00412FD8" w:rsidRPr="00213C8D" w:rsidRDefault="00412FD8" w:rsidP="009C2B6F">
      <w:pPr>
        <w:pStyle w:val="TableFigureFooter"/>
        <w:rPr>
          <w:szCs w:val="18"/>
        </w:rPr>
      </w:pPr>
      <w:r w:rsidRPr="00213C8D">
        <w:t xml:space="preserve">ICC = investigator’s choice of chemotherapy, KM = Kaplan-Meier; </w:t>
      </w:r>
      <w:r w:rsidRPr="00213C8D">
        <w:rPr>
          <w:szCs w:val="18"/>
        </w:rPr>
        <w:t xml:space="preserve">OS = overall survival; </w:t>
      </w:r>
      <w:r w:rsidRPr="00213C8D">
        <w:t>T-</w:t>
      </w:r>
      <w:proofErr w:type="spellStart"/>
      <w:r w:rsidRPr="00213C8D">
        <w:t>DXd</w:t>
      </w:r>
      <w:proofErr w:type="spellEnd"/>
      <w:r w:rsidRPr="00213C8D">
        <w:t xml:space="preserve"> = trastuzumab deruxtecan</w:t>
      </w:r>
      <w:r w:rsidR="008241B5">
        <w:rPr>
          <w:szCs w:val="18"/>
        </w:rPr>
        <w:t xml:space="preserve"> </w:t>
      </w:r>
    </w:p>
    <w:p w14:paraId="1FA07D7D" w14:textId="6A809A78" w:rsidR="00412FD8" w:rsidRPr="00213C8D" w:rsidRDefault="00412FD8" w:rsidP="008241B5">
      <w:pPr>
        <w:pStyle w:val="Caption"/>
      </w:pPr>
      <w:bookmarkStart w:id="61" w:name="_Ref217771392"/>
      <w:r w:rsidRPr="00213C8D">
        <w:t xml:space="preserve">Table </w:t>
      </w:r>
      <w:fldSimple w:instr=" SEQ Table \* ARABIC ">
        <w:r w:rsidR="005D3E29">
          <w:rPr>
            <w:noProof/>
          </w:rPr>
          <w:t>12</w:t>
        </w:r>
      </w:fldSimple>
      <w:bookmarkEnd w:id="61"/>
      <w:r w:rsidRPr="00213C8D">
        <w:t>: A comparison of costs and QALYs in the ICC arm when 23.5% and 82.2% of patients receiving subsequent T-</w:t>
      </w:r>
      <w:proofErr w:type="spellStart"/>
      <w:r w:rsidRPr="00213C8D">
        <w:t>DXd</w:t>
      </w:r>
      <w:proofErr w:type="spellEnd"/>
    </w:p>
    <w:tbl>
      <w:tblPr>
        <w:tblStyle w:val="TableGrid"/>
        <w:tblW w:w="0" w:type="auto"/>
        <w:tblLook w:val="04A0" w:firstRow="1" w:lastRow="0" w:firstColumn="1" w:lastColumn="0" w:noHBand="0" w:noVBand="1"/>
        <w:tblCaption w:val="Table 12: A comparison of costs and QALYs in the ICC arm when 23.5% and 82.2% of patients receiving subsequent T-DXd"/>
      </w:tblPr>
      <w:tblGrid>
        <w:gridCol w:w="3964"/>
        <w:gridCol w:w="1843"/>
        <w:gridCol w:w="1701"/>
        <w:gridCol w:w="1481"/>
      </w:tblGrid>
      <w:tr w:rsidR="00412FD8" w:rsidRPr="00213C8D" w14:paraId="31F65E1E" w14:textId="77777777">
        <w:tc>
          <w:tcPr>
            <w:tcW w:w="3964" w:type="dxa"/>
          </w:tcPr>
          <w:p w14:paraId="6AFAD6E9" w14:textId="77777777" w:rsidR="00412FD8" w:rsidRPr="00213C8D" w:rsidRDefault="00412FD8" w:rsidP="008241B5">
            <w:pPr>
              <w:pStyle w:val="TableText0"/>
              <w:rPr>
                <w:b/>
                <w:bCs w:val="0"/>
              </w:rPr>
            </w:pPr>
            <w:r w:rsidRPr="00213C8D">
              <w:rPr>
                <w:b/>
                <w:bCs w:val="0"/>
              </w:rPr>
              <w:t>Subsequent T-</w:t>
            </w:r>
            <w:proofErr w:type="spellStart"/>
            <w:r w:rsidRPr="00213C8D">
              <w:rPr>
                <w:b/>
                <w:bCs w:val="0"/>
              </w:rPr>
              <w:t>DXd</w:t>
            </w:r>
            <w:proofErr w:type="spellEnd"/>
            <w:r w:rsidRPr="00213C8D">
              <w:rPr>
                <w:b/>
                <w:bCs w:val="0"/>
              </w:rPr>
              <w:t xml:space="preserve"> use </w:t>
            </w:r>
          </w:p>
        </w:tc>
        <w:tc>
          <w:tcPr>
            <w:tcW w:w="1843" w:type="dxa"/>
          </w:tcPr>
          <w:p w14:paraId="341392D2" w14:textId="77777777" w:rsidR="00412FD8" w:rsidRPr="00213C8D" w:rsidRDefault="00412FD8" w:rsidP="008241B5">
            <w:pPr>
              <w:pStyle w:val="TableText0"/>
              <w:jc w:val="center"/>
              <w:rPr>
                <w:b/>
                <w:bCs w:val="0"/>
                <w:vertAlign w:val="superscript"/>
              </w:rPr>
            </w:pPr>
            <w:r w:rsidRPr="00213C8D">
              <w:rPr>
                <w:b/>
                <w:bCs w:val="0"/>
              </w:rPr>
              <w:t>Costs</w:t>
            </w:r>
            <w:r w:rsidRPr="00213C8D">
              <w:rPr>
                <w:b/>
                <w:bCs w:val="0"/>
                <w:vertAlign w:val="superscript"/>
              </w:rPr>
              <w:t>a</w:t>
            </w:r>
          </w:p>
        </w:tc>
        <w:tc>
          <w:tcPr>
            <w:tcW w:w="1701" w:type="dxa"/>
          </w:tcPr>
          <w:p w14:paraId="6DF44499" w14:textId="77777777" w:rsidR="00412FD8" w:rsidRPr="00213C8D" w:rsidRDefault="00412FD8" w:rsidP="008241B5">
            <w:pPr>
              <w:pStyle w:val="TableText0"/>
              <w:jc w:val="center"/>
              <w:rPr>
                <w:b/>
                <w:bCs w:val="0"/>
                <w:vertAlign w:val="superscript"/>
              </w:rPr>
            </w:pPr>
            <w:proofErr w:type="spellStart"/>
            <w:r w:rsidRPr="00213C8D">
              <w:rPr>
                <w:b/>
                <w:bCs w:val="0"/>
              </w:rPr>
              <w:t>QALYs</w:t>
            </w:r>
            <w:r w:rsidRPr="00213C8D">
              <w:rPr>
                <w:b/>
                <w:bCs w:val="0"/>
                <w:vertAlign w:val="superscript"/>
              </w:rPr>
              <w:t>b</w:t>
            </w:r>
            <w:proofErr w:type="spellEnd"/>
          </w:p>
        </w:tc>
        <w:tc>
          <w:tcPr>
            <w:tcW w:w="1481" w:type="dxa"/>
          </w:tcPr>
          <w:p w14:paraId="4EF89845" w14:textId="77777777" w:rsidR="00412FD8" w:rsidRPr="00213C8D" w:rsidRDefault="00412FD8" w:rsidP="008241B5">
            <w:pPr>
              <w:pStyle w:val="TableText0"/>
              <w:jc w:val="center"/>
              <w:rPr>
                <w:b/>
                <w:bCs w:val="0"/>
              </w:rPr>
            </w:pPr>
            <w:r w:rsidRPr="00213C8D">
              <w:rPr>
                <w:b/>
                <w:bCs w:val="0"/>
              </w:rPr>
              <w:t>ICER</w:t>
            </w:r>
          </w:p>
        </w:tc>
      </w:tr>
      <w:tr w:rsidR="00412FD8" w:rsidRPr="00213C8D" w14:paraId="0FAFD143" w14:textId="77777777">
        <w:tc>
          <w:tcPr>
            <w:tcW w:w="3964" w:type="dxa"/>
          </w:tcPr>
          <w:p w14:paraId="53857093" w14:textId="77777777" w:rsidR="00412FD8" w:rsidRPr="00213C8D" w:rsidRDefault="00412FD8" w:rsidP="008241B5">
            <w:pPr>
              <w:pStyle w:val="TableText0"/>
            </w:pPr>
            <w:r w:rsidRPr="00213C8D">
              <w:t>23.5% (trial-based, no adjustment for OS required)</w:t>
            </w:r>
          </w:p>
        </w:tc>
        <w:tc>
          <w:tcPr>
            <w:tcW w:w="1843" w:type="dxa"/>
          </w:tcPr>
          <w:p w14:paraId="413CA2C6" w14:textId="097BA0C2" w:rsidR="00412FD8" w:rsidRPr="00213C8D" w:rsidRDefault="00412FD8" w:rsidP="008241B5">
            <w:pPr>
              <w:pStyle w:val="TableText0"/>
              <w:jc w:val="center"/>
            </w:pPr>
            <w:r w:rsidRPr="00213C8D">
              <w:t>$</w:t>
            </w:r>
            <w:r w:rsidR="006340CE" w:rsidRPr="006340CE">
              <w:rPr>
                <w:sz w:val="2"/>
                <w:highlight w:val="black"/>
              </w:rPr>
              <w:t>redacted content</w:t>
            </w:r>
          </w:p>
        </w:tc>
        <w:tc>
          <w:tcPr>
            <w:tcW w:w="1701" w:type="dxa"/>
          </w:tcPr>
          <w:p w14:paraId="4E3D6AEF" w14:textId="77777777" w:rsidR="00412FD8" w:rsidRPr="00213C8D" w:rsidRDefault="00412FD8" w:rsidP="008241B5">
            <w:pPr>
              <w:pStyle w:val="TableText0"/>
              <w:jc w:val="center"/>
            </w:pPr>
            <w:r w:rsidRPr="00213C8D">
              <w:t>1.738</w:t>
            </w:r>
          </w:p>
        </w:tc>
        <w:tc>
          <w:tcPr>
            <w:tcW w:w="1481" w:type="dxa"/>
          </w:tcPr>
          <w:p w14:paraId="253C26F8" w14:textId="77777777" w:rsidR="00412FD8" w:rsidRPr="00213C8D" w:rsidRDefault="00412FD8" w:rsidP="008241B5">
            <w:pPr>
              <w:pStyle w:val="TableText0"/>
              <w:jc w:val="center"/>
            </w:pPr>
            <w:r w:rsidRPr="00213C8D">
              <w:t>–</w:t>
            </w:r>
          </w:p>
        </w:tc>
      </w:tr>
      <w:tr w:rsidR="00412FD8" w:rsidRPr="00213C8D" w14:paraId="5526791B" w14:textId="77777777">
        <w:tc>
          <w:tcPr>
            <w:tcW w:w="3964" w:type="dxa"/>
          </w:tcPr>
          <w:p w14:paraId="66FBB0A8" w14:textId="77777777" w:rsidR="00412FD8" w:rsidRPr="00213C8D" w:rsidRDefault="00412FD8" w:rsidP="008241B5">
            <w:pPr>
              <w:pStyle w:val="TableText0"/>
            </w:pPr>
            <w:r w:rsidRPr="00213C8D">
              <w:t>82.2% (as in the submission’s base case)</w:t>
            </w:r>
          </w:p>
        </w:tc>
        <w:tc>
          <w:tcPr>
            <w:tcW w:w="1843" w:type="dxa"/>
          </w:tcPr>
          <w:p w14:paraId="60B51B82" w14:textId="4576002C" w:rsidR="00412FD8" w:rsidRPr="00213C8D" w:rsidRDefault="00412FD8" w:rsidP="008241B5">
            <w:pPr>
              <w:pStyle w:val="TableText0"/>
              <w:jc w:val="center"/>
            </w:pPr>
            <w:r w:rsidRPr="00213C8D">
              <w:t>$</w:t>
            </w:r>
            <w:r w:rsidR="006340CE" w:rsidRPr="006340CE">
              <w:rPr>
                <w:sz w:val="2"/>
                <w:highlight w:val="black"/>
              </w:rPr>
              <w:t>redacted content</w:t>
            </w:r>
          </w:p>
        </w:tc>
        <w:tc>
          <w:tcPr>
            <w:tcW w:w="1701" w:type="dxa"/>
          </w:tcPr>
          <w:p w14:paraId="1EED3B72" w14:textId="77777777" w:rsidR="00412FD8" w:rsidRPr="00213C8D" w:rsidRDefault="00412FD8" w:rsidP="008241B5">
            <w:pPr>
              <w:pStyle w:val="TableText0"/>
              <w:jc w:val="center"/>
            </w:pPr>
            <w:r w:rsidRPr="00213C8D">
              <w:t>1.791</w:t>
            </w:r>
          </w:p>
        </w:tc>
        <w:tc>
          <w:tcPr>
            <w:tcW w:w="1481" w:type="dxa"/>
          </w:tcPr>
          <w:p w14:paraId="0E0E4980" w14:textId="77777777" w:rsidR="00412FD8" w:rsidRPr="00213C8D" w:rsidRDefault="00412FD8" w:rsidP="008241B5">
            <w:pPr>
              <w:pStyle w:val="TableText0"/>
              <w:jc w:val="center"/>
            </w:pPr>
            <w:r w:rsidRPr="00213C8D">
              <w:t>–</w:t>
            </w:r>
          </w:p>
        </w:tc>
      </w:tr>
      <w:tr w:rsidR="00412FD8" w:rsidRPr="00213C8D" w14:paraId="4E202F72" w14:textId="77777777">
        <w:tc>
          <w:tcPr>
            <w:tcW w:w="3964" w:type="dxa"/>
          </w:tcPr>
          <w:p w14:paraId="4000F732" w14:textId="77777777" w:rsidR="00412FD8" w:rsidRPr="00213C8D" w:rsidRDefault="00412FD8" w:rsidP="008241B5">
            <w:pPr>
              <w:pStyle w:val="TableText0"/>
            </w:pPr>
            <w:r w:rsidRPr="00213C8D">
              <w:t xml:space="preserve">Difference </w:t>
            </w:r>
          </w:p>
        </w:tc>
        <w:tc>
          <w:tcPr>
            <w:tcW w:w="1843" w:type="dxa"/>
          </w:tcPr>
          <w:p w14:paraId="001812B5" w14:textId="7C2CB75F" w:rsidR="00412FD8" w:rsidRPr="00213C8D" w:rsidRDefault="00412FD8" w:rsidP="008241B5">
            <w:pPr>
              <w:pStyle w:val="TableText0"/>
              <w:jc w:val="center"/>
            </w:pPr>
            <w:r w:rsidRPr="00213C8D">
              <w:t>$</w:t>
            </w:r>
            <w:r w:rsidR="006340CE" w:rsidRPr="006340CE">
              <w:rPr>
                <w:sz w:val="2"/>
                <w:highlight w:val="black"/>
              </w:rPr>
              <w:t>redacted content</w:t>
            </w:r>
          </w:p>
        </w:tc>
        <w:tc>
          <w:tcPr>
            <w:tcW w:w="1701" w:type="dxa"/>
          </w:tcPr>
          <w:p w14:paraId="36925F8E" w14:textId="77777777" w:rsidR="00412FD8" w:rsidRPr="00213C8D" w:rsidRDefault="00412FD8" w:rsidP="008241B5">
            <w:pPr>
              <w:pStyle w:val="TableText0"/>
              <w:jc w:val="center"/>
            </w:pPr>
            <w:r w:rsidRPr="00213C8D">
              <w:t>0.052</w:t>
            </w:r>
          </w:p>
        </w:tc>
        <w:tc>
          <w:tcPr>
            <w:tcW w:w="1481" w:type="dxa"/>
          </w:tcPr>
          <w:p w14:paraId="28688E19" w14:textId="0A70B621" w:rsidR="00412FD8" w:rsidRPr="009C2B6F" w:rsidRDefault="00412FD8" w:rsidP="008241B5">
            <w:pPr>
              <w:pStyle w:val="TableText0"/>
              <w:jc w:val="center"/>
              <w:rPr>
                <w:vertAlign w:val="superscript"/>
              </w:rPr>
            </w:pPr>
            <w:r w:rsidRPr="00213C8D">
              <w:t>$</w:t>
            </w:r>
            <w:r w:rsidR="006340CE" w:rsidRPr="006340CE">
              <w:rPr>
                <w:sz w:val="2"/>
                <w:highlight w:val="black"/>
              </w:rPr>
              <w:t>redacted content</w:t>
            </w:r>
            <w:r w:rsidR="009C2B6F">
              <w:rPr>
                <w:vertAlign w:val="superscript"/>
              </w:rPr>
              <w:t>1</w:t>
            </w:r>
            <w:r w:rsidRPr="00213C8D">
              <w:t>/QALY</w:t>
            </w:r>
          </w:p>
        </w:tc>
      </w:tr>
    </w:tbl>
    <w:p w14:paraId="43C90480" w14:textId="77777777" w:rsidR="00412FD8" w:rsidRPr="00213C8D" w:rsidRDefault="00412FD8" w:rsidP="009C2B6F">
      <w:pPr>
        <w:pStyle w:val="TableFigureFooter"/>
      </w:pPr>
      <w:r w:rsidRPr="00213C8D">
        <w:t>Source: Table compiled during the evaluation</w:t>
      </w:r>
    </w:p>
    <w:p w14:paraId="11BE8569" w14:textId="77777777" w:rsidR="00412FD8" w:rsidRPr="00213C8D" w:rsidRDefault="00412FD8" w:rsidP="009C2B6F">
      <w:pPr>
        <w:pStyle w:val="TableFigureFooter"/>
      </w:pPr>
      <w:r w:rsidRPr="00213C8D">
        <w:t>ICC = investigator’s choice of chemotherapy; ICER = incremental cost-effectiveness ratio; OS = overall survival; PD = progressive disease; QALYs = quality-adjusted life years; T-</w:t>
      </w:r>
      <w:proofErr w:type="spellStart"/>
      <w:r w:rsidRPr="00213C8D">
        <w:t>DXd</w:t>
      </w:r>
      <w:proofErr w:type="spellEnd"/>
      <w:r w:rsidRPr="00213C8D">
        <w:t xml:space="preserve"> = trastuzumab deruxtecan</w:t>
      </w:r>
    </w:p>
    <w:p w14:paraId="5510B7A1" w14:textId="3B4BA906" w:rsidR="00412FD8" w:rsidRPr="00213C8D" w:rsidRDefault="00412FD8" w:rsidP="009C2B6F">
      <w:pPr>
        <w:pStyle w:val="TableFigureFooter"/>
      </w:pPr>
      <w:proofErr w:type="spellStart"/>
      <w:r w:rsidRPr="009B41A8">
        <w:rPr>
          <w:vertAlign w:val="superscript"/>
        </w:rPr>
        <w:t>a</w:t>
      </w:r>
      <w:proofErr w:type="spellEnd"/>
      <w:r w:rsidRPr="009B41A8">
        <w:rPr>
          <w:vertAlign w:val="superscript"/>
        </w:rPr>
        <w:t xml:space="preserve"> </w:t>
      </w:r>
      <w:proofErr w:type="gramStart"/>
      <w:r w:rsidRPr="009B41A8">
        <w:t>The</w:t>
      </w:r>
      <w:proofErr w:type="gramEnd"/>
      <w:r w:rsidRPr="009B41A8">
        <w:t xml:space="preserve"> differences in costs between the two scenarios include costs associated with subsequent anti-cancer treatment ($</w:t>
      </w:r>
      <w:r w:rsidR="006340CE" w:rsidRPr="006340CE">
        <w:rPr>
          <w:sz w:val="2"/>
          <w:highlight w:val="black"/>
        </w:rPr>
        <w:t>redacted content</w:t>
      </w:r>
      <w:r w:rsidRPr="009B41A8">
        <w:t xml:space="preserve"> vs. $</w:t>
      </w:r>
      <w:r w:rsidR="006340CE" w:rsidRPr="006340CE">
        <w:rPr>
          <w:sz w:val="2"/>
          <w:highlight w:val="black"/>
        </w:rPr>
        <w:t>redacted content</w:t>
      </w:r>
      <w:r w:rsidRPr="009B41A8">
        <w:t>), disease monitoring in the PD health state ($</w:t>
      </w:r>
      <w:r w:rsidR="006340CE" w:rsidRPr="006340CE">
        <w:rPr>
          <w:sz w:val="2"/>
          <w:highlight w:val="black"/>
        </w:rPr>
        <w:t>redacted content</w:t>
      </w:r>
      <w:r w:rsidRPr="009B41A8">
        <w:t xml:space="preserve"> vs. $</w:t>
      </w:r>
      <w:r w:rsidR="006340CE" w:rsidRPr="006340CE">
        <w:rPr>
          <w:sz w:val="2"/>
          <w:highlight w:val="black"/>
        </w:rPr>
        <w:t>redacted content</w:t>
      </w:r>
      <w:r w:rsidRPr="009B41A8">
        <w:t xml:space="preserve">) and terminal care </w:t>
      </w:r>
      <w:r w:rsidRPr="009B41A8">
        <w:rPr>
          <w:b/>
          <w:bCs/>
        </w:rPr>
        <w:t>(</w:t>
      </w:r>
      <w:r w:rsidR="009B41A8" w:rsidRPr="009B41A8">
        <w:t>$</w:t>
      </w:r>
      <w:r w:rsidR="006340CE" w:rsidRPr="006340CE">
        <w:rPr>
          <w:sz w:val="2"/>
          <w:highlight w:val="black"/>
        </w:rPr>
        <w:t>redacted content</w:t>
      </w:r>
      <w:r w:rsidRPr="009B41A8">
        <w:t xml:space="preserve"> vs. $</w:t>
      </w:r>
      <w:r w:rsidR="006340CE" w:rsidRPr="006340CE">
        <w:rPr>
          <w:sz w:val="2"/>
          <w:highlight w:val="black"/>
        </w:rPr>
        <w:t>redacted content</w:t>
      </w:r>
      <w:r w:rsidRPr="009B41A8">
        <w:t>).</w:t>
      </w:r>
    </w:p>
    <w:p w14:paraId="7D6174F3" w14:textId="7520BDB4" w:rsidR="00412FD8" w:rsidRPr="009C2B6F" w:rsidRDefault="00412FD8" w:rsidP="009C2B6F">
      <w:pPr>
        <w:pStyle w:val="TableFigureFooter"/>
        <w:rPr>
          <w:i/>
          <w:iCs/>
        </w:rPr>
      </w:pPr>
      <w:r w:rsidRPr="00213C8D">
        <w:rPr>
          <w:vertAlign w:val="superscript"/>
        </w:rPr>
        <w:t>b</w:t>
      </w:r>
      <w:r w:rsidRPr="00213C8D">
        <w:t xml:space="preserve"> </w:t>
      </w:r>
      <w:proofErr w:type="gramStart"/>
      <w:r w:rsidRPr="00213C8D">
        <w:t>The</w:t>
      </w:r>
      <w:proofErr w:type="gramEnd"/>
      <w:r w:rsidRPr="00213C8D">
        <w:t xml:space="preserve"> difference in health outcomes between the two scenarios was the QALYs accrued during the PD health state (1.097 vs. 1.149). </w:t>
      </w:r>
      <w:r w:rsidR="009C2B6F">
        <w:br/>
      </w:r>
      <w:r w:rsidR="009C2B6F">
        <w:rPr>
          <w:i/>
          <w:iCs/>
        </w:rPr>
        <w:t>The redacted value corresponds to the following range:</w:t>
      </w:r>
      <w:r w:rsidR="009C2B6F">
        <w:br/>
      </w:r>
      <w:r w:rsidR="009C2B6F">
        <w:rPr>
          <w:i/>
          <w:iCs/>
          <w:vertAlign w:val="superscript"/>
        </w:rPr>
        <w:t>1</w:t>
      </w:r>
      <w:r w:rsidR="009C2B6F">
        <w:rPr>
          <w:i/>
          <w:iCs/>
        </w:rPr>
        <w:t xml:space="preserve"> $355,000 to &lt; $455,000</w:t>
      </w:r>
    </w:p>
    <w:p w14:paraId="07018D6F" w14:textId="77777777" w:rsidR="00FB25D0" w:rsidRPr="00FB25D0" w:rsidRDefault="00412FD8" w:rsidP="008241B5">
      <w:pPr>
        <w:pStyle w:val="3-BodyText"/>
        <w:rPr>
          <w:iCs/>
        </w:rPr>
      </w:pPr>
      <w:bookmarkStart w:id="62" w:name="_Ref221792416"/>
      <w:r w:rsidRPr="00904162">
        <w:t xml:space="preserve">The health state utilities applied to the economic model were derived from the </w:t>
      </w:r>
      <w:r w:rsidR="009A6806" w:rsidRPr="00904162">
        <w:t xml:space="preserve">EuroQol 5-dimension 5-level questionnaire (EQ-5D-5L) </w:t>
      </w:r>
      <w:r w:rsidRPr="00904162">
        <w:t>data collected in DB-06, converted to EQ-5D-3L utilities using the cross-walk methodology described by van Hout et al (2012)</w:t>
      </w:r>
      <w:r w:rsidRPr="00904162">
        <w:rPr>
          <w:rStyle w:val="FootnoteReference"/>
        </w:rPr>
        <w:footnoteReference w:id="26"/>
      </w:r>
      <w:r w:rsidRPr="00904162">
        <w:t xml:space="preserve"> and then applying the Australian value set by Viney et al (2011)</w:t>
      </w:r>
      <w:r w:rsidRPr="00904162">
        <w:rPr>
          <w:rStyle w:val="FootnoteReference"/>
        </w:rPr>
        <w:footnoteReference w:id="27"/>
      </w:r>
      <w:r w:rsidRPr="00904162">
        <w:t xml:space="preserve">. </w:t>
      </w:r>
      <w:r w:rsidR="00C10D64" w:rsidRPr="00904162">
        <w:t>The other Australian algorithm to transform EQ-5D</w:t>
      </w:r>
      <w:r w:rsidR="000273C2" w:rsidRPr="00904162">
        <w:t>-5L</w:t>
      </w:r>
      <w:r w:rsidR="00C10D64" w:rsidRPr="00904162">
        <w:t xml:space="preserve"> scores into health state utilities (Norman et al 2023</w:t>
      </w:r>
      <w:r w:rsidR="00C10D64" w:rsidRPr="00904162">
        <w:rPr>
          <w:rStyle w:val="FootnoteReference"/>
        </w:rPr>
        <w:footnoteReference w:id="28"/>
      </w:r>
      <w:r w:rsidR="00C10D64" w:rsidRPr="00904162">
        <w:t xml:space="preserve">) was not used as it generated progression-free (PF) utilities that were overly optimistic for patients with mBC, even higher than the mean utility </w:t>
      </w:r>
      <w:r w:rsidR="00C10D64" w:rsidRPr="00904162">
        <w:lastRenderedPageBreak/>
        <w:t>for the general Australian population (</w:t>
      </w:r>
      <w:r w:rsidR="00622C8A" w:rsidRPr="00904162">
        <w:t>0.8905-</w:t>
      </w:r>
      <w:r w:rsidR="00C10D64" w:rsidRPr="00904162">
        <w:t>0.9135</w:t>
      </w:r>
      <w:r w:rsidR="00622C8A" w:rsidRPr="00904162">
        <w:t xml:space="preserve"> </w:t>
      </w:r>
      <w:r w:rsidR="00C10D64" w:rsidRPr="00904162">
        <w:t xml:space="preserve">vs. 0.88 for females aged 55-64 years). </w:t>
      </w:r>
    </w:p>
    <w:p w14:paraId="6AA5D8F9" w14:textId="4E5FA23F" w:rsidR="007278C6" w:rsidRPr="002F2A87" w:rsidRDefault="00412FD8" w:rsidP="008241B5">
      <w:pPr>
        <w:pStyle w:val="3-BodyText"/>
      </w:pPr>
      <w:r w:rsidRPr="00904162">
        <w:t>The model used treatment-specific utilities for patients in the PF health state (0.8018 for T-</w:t>
      </w:r>
      <w:proofErr w:type="spellStart"/>
      <w:r w:rsidRPr="00904162">
        <w:t>DXd</w:t>
      </w:r>
      <w:proofErr w:type="spellEnd"/>
      <w:r w:rsidRPr="00904162">
        <w:t xml:space="preserve"> vs. 0.7666 for ICC), as the regression analyses indicated a statistically significant difference between the two treatment arms. Information regarding compliance rates for EQ-5D by disease progression status across treatment arms was not available. Due to the open-label design of DB-06, </w:t>
      </w:r>
      <w:r w:rsidR="009A6806" w:rsidRPr="00904162">
        <w:t xml:space="preserve">PROs </w:t>
      </w:r>
      <w:r w:rsidRPr="00904162">
        <w:t>were subject to performance/assessment bias. The higher PF utility value in patients receiving T-</w:t>
      </w:r>
      <w:proofErr w:type="spellStart"/>
      <w:r w:rsidRPr="00904162">
        <w:t>DXd</w:t>
      </w:r>
      <w:proofErr w:type="spellEnd"/>
      <w:r w:rsidRPr="00904162">
        <w:t xml:space="preserve"> was not consistent with the inferior safety claim, compared with ICC. </w:t>
      </w:r>
      <w:r w:rsidR="004854FF" w:rsidRPr="00212D75">
        <w:rPr>
          <w:iCs/>
        </w:rPr>
        <w:t>The PSC</w:t>
      </w:r>
      <w:r w:rsidR="002E2F8A" w:rsidRPr="00212D75">
        <w:rPr>
          <w:iCs/>
        </w:rPr>
        <w:t>R</w:t>
      </w:r>
      <w:r w:rsidR="004854FF" w:rsidRPr="00212D75">
        <w:rPr>
          <w:iCs/>
        </w:rPr>
        <w:t xml:space="preserve"> </w:t>
      </w:r>
      <w:r w:rsidR="007E0314" w:rsidRPr="00212D75">
        <w:rPr>
          <w:iCs/>
        </w:rPr>
        <w:t xml:space="preserve">noted that </w:t>
      </w:r>
      <w:r w:rsidR="007E0314" w:rsidRPr="00212D75">
        <w:rPr>
          <w:rFonts w:eastAsia="Arial Narrow" w:cs="Calibri"/>
          <w:iCs/>
        </w:rPr>
        <w:t>the overall incidence of grade 3+ AEs was 11% higher</w:t>
      </w:r>
      <w:r w:rsidR="007E0314" w:rsidRPr="00212D75">
        <w:rPr>
          <w:rFonts w:eastAsia="Arial Narrow" w:cs="Calibri"/>
        </w:rPr>
        <w:t xml:space="preserve"> in </w:t>
      </w:r>
      <w:r w:rsidR="007E0314" w:rsidRPr="00212D75">
        <w:rPr>
          <w:rFonts w:eastAsia="Arial Narrow" w:cs="Calibri"/>
          <w:iCs/>
        </w:rPr>
        <w:t>the T-</w:t>
      </w:r>
      <w:proofErr w:type="spellStart"/>
      <w:r w:rsidR="007E0314" w:rsidRPr="00212D75">
        <w:rPr>
          <w:rFonts w:eastAsia="Arial Narrow" w:cs="Calibri"/>
          <w:iCs/>
        </w:rPr>
        <w:t>DXd</w:t>
      </w:r>
      <w:proofErr w:type="spellEnd"/>
      <w:r w:rsidR="007E0314" w:rsidRPr="00212D75">
        <w:rPr>
          <w:rFonts w:eastAsia="Arial Narrow" w:cs="Calibri"/>
          <w:iCs/>
        </w:rPr>
        <w:t xml:space="preserve"> arm, but the incidence of certain AEs (palmar-planter syndrome and diarrhoea) </w:t>
      </w:r>
      <w:r w:rsidR="00F80B96" w:rsidRPr="00212D75">
        <w:rPr>
          <w:rFonts w:eastAsia="Arial Narrow" w:cs="Calibri"/>
          <w:iCs/>
        </w:rPr>
        <w:t xml:space="preserve">impacting QoL </w:t>
      </w:r>
      <w:r w:rsidR="007E0314" w:rsidRPr="00212D75">
        <w:rPr>
          <w:rFonts w:eastAsia="Arial Narrow" w:cs="Calibri"/>
          <w:iCs/>
        </w:rPr>
        <w:t xml:space="preserve">were higher in the ICC arm. The PSCR </w:t>
      </w:r>
      <w:r w:rsidR="004570EF" w:rsidRPr="00212D75">
        <w:rPr>
          <w:iCs/>
        </w:rPr>
        <w:t>defended the treatment-specific utilities based on statistically significant difference in trial data</w:t>
      </w:r>
      <w:r w:rsidR="00F22CBC" w:rsidRPr="00212D75">
        <w:rPr>
          <w:iCs/>
        </w:rPr>
        <w:t xml:space="preserve"> (based on regression analysis)</w:t>
      </w:r>
      <w:r w:rsidR="004570EF" w:rsidRPr="00212D75">
        <w:rPr>
          <w:iCs/>
        </w:rPr>
        <w:t>, longer duration of treatment exposure in</w:t>
      </w:r>
      <w:r w:rsidR="003E1824" w:rsidRPr="00212D75">
        <w:rPr>
          <w:iCs/>
        </w:rPr>
        <w:t xml:space="preserve"> the T-</w:t>
      </w:r>
      <w:proofErr w:type="spellStart"/>
      <w:r w:rsidR="003E1824" w:rsidRPr="00212D75">
        <w:rPr>
          <w:iCs/>
        </w:rPr>
        <w:t>DXd</w:t>
      </w:r>
      <w:proofErr w:type="spellEnd"/>
      <w:r w:rsidR="004570EF" w:rsidRPr="00212D75">
        <w:rPr>
          <w:iCs/>
        </w:rPr>
        <w:t xml:space="preserve"> arm, </w:t>
      </w:r>
      <w:r w:rsidR="00216EDE" w:rsidRPr="00212D75">
        <w:rPr>
          <w:iCs/>
        </w:rPr>
        <w:t xml:space="preserve">and </w:t>
      </w:r>
      <w:r w:rsidR="004570EF" w:rsidRPr="00212D75">
        <w:rPr>
          <w:iCs/>
        </w:rPr>
        <w:t>precedent in previous submissions where treatment specific utilit</w:t>
      </w:r>
      <w:r w:rsidR="00E3597A" w:rsidRPr="00212D75">
        <w:rPr>
          <w:iCs/>
        </w:rPr>
        <w:t>i</w:t>
      </w:r>
      <w:r w:rsidR="004570EF" w:rsidRPr="00212D75">
        <w:rPr>
          <w:iCs/>
        </w:rPr>
        <w:t>e</w:t>
      </w:r>
      <w:r w:rsidR="00CB74BE" w:rsidRPr="00212D75">
        <w:rPr>
          <w:iCs/>
        </w:rPr>
        <w:t>s</w:t>
      </w:r>
      <w:r w:rsidR="004570EF" w:rsidRPr="00212D75">
        <w:rPr>
          <w:iCs/>
        </w:rPr>
        <w:t xml:space="preserve"> were used in treatments with inferior safety profiles</w:t>
      </w:r>
      <w:r w:rsidR="00491EDA" w:rsidRPr="00212D75">
        <w:rPr>
          <w:iCs/>
        </w:rPr>
        <w:t xml:space="preserve">. </w:t>
      </w:r>
      <w:r w:rsidR="00261D93" w:rsidRPr="00212D75">
        <w:rPr>
          <w:iCs/>
        </w:rPr>
        <w:t xml:space="preserve">The </w:t>
      </w:r>
      <w:r w:rsidR="00D85B8B" w:rsidRPr="00212D75">
        <w:rPr>
          <w:iCs/>
        </w:rPr>
        <w:t>Sub-Committees</w:t>
      </w:r>
      <w:r w:rsidR="006E34F6" w:rsidRPr="00212D75">
        <w:rPr>
          <w:iCs/>
        </w:rPr>
        <w:t xml:space="preserve"> </w:t>
      </w:r>
      <w:r w:rsidR="00261D93" w:rsidRPr="00212D75">
        <w:rPr>
          <w:iCs/>
        </w:rPr>
        <w:t>noted that no clear improvement in QoL with T</w:t>
      </w:r>
      <w:r w:rsidR="00E14AD6">
        <w:rPr>
          <w:iCs/>
        </w:rPr>
        <w:noBreakHyphen/>
      </w:r>
      <w:proofErr w:type="spellStart"/>
      <w:r w:rsidR="00261D93" w:rsidRPr="00212D75">
        <w:rPr>
          <w:iCs/>
        </w:rPr>
        <w:t>DXd</w:t>
      </w:r>
      <w:proofErr w:type="spellEnd"/>
      <w:r w:rsidR="00261D93" w:rsidRPr="00212D75">
        <w:rPr>
          <w:iCs/>
        </w:rPr>
        <w:t xml:space="preserve"> over ICC was demonstrated in the</w:t>
      </w:r>
      <w:r w:rsidR="007A7FFE" w:rsidRPr="00212D75">
        <w:rPr>
          <w:iCs/>
        </w:rPr>
        <w:t xml:space="preserve"> </w:t>
      </w:r>
      <w:r w:rsidR="003B0D5D" w:rsidRPr="00212D75">
        <w:rPr>
          <w:iCs/>
        </w:rPr>
        <w:t xml:space="preserve">DB-06 </w:t>
      </w:r>
      <w:r w:rsidR="00A53636" w:rsidRPr="00212D75">
        <w:rPr>
          <w:iCs/>
        </w:rPr>
        <w:t>QoL</w:t>
      </w:r>
      <w:r w:rsidR="003B0D5D" w:rsidRPr="00212D75">
        <w:rPr>
          <w:iCs/>
        </w:rPr>
        <w:t xml:space="preserve"> data</w:t>
      </w:r>
      <w:r w:rsidR="00D941F6" w:rsidRPr="00212D75">
        <w:rPr>
          <w:iCs/>
        </w:rPr>
        <w:t xml:space="preserve"> and</w:t>
      </w:r>
      <w:r w:rsidR="00081F70" w:rsidRPr="00212D75">
        <w:rPr>
          <w:iCs/>
        </w:rPr>
        <w:t xml:space="preserve"> there were higher scores for nausea and constipation in the T-</w:t>
      </w:r>
      <w:proofErr w:type="spellStart"/>
      <w:r w:rsidR="00081F70" w:rsidRPr="00212D75">
        <w:rPr>
          <w:iCs/>
        </w:rPr>
        <w:t>DXd</w:t>
      </w:r>
      <w:proofErr w:type="spellEnd"/>
      <w:r w:rsidR="00081F70" w:rsidRPr="00212D75">
        <w:rPr>
          <w:iCs/>
        </w:rPr>
        <w:t xml:space="preserve"> arm compared to the ICC arm, </w:t>
      </w:r>
      <w:r w:rsidR="007846C6" w:rsidRPr="00212D75">
        <w:rPr>
          <w:iCs/>
        </w:rPr>
        <w:t>with</w:t>
      </w:r>
      <w:r w:rsidR="00F27FBD" w:rsidRPr="00212D75">
        <w:rPr>
          <w:iCs/>
        </w:rPr>
        <w:t xml:space="preserve"> </w:t>
      </w:r>
      <w:r w:rsidR="00081F70" w:rsidRPr="00212D75">
        <w:rPr>
          <w:iCs/>
        </w:rPr>
        <w:t xml:space="preserve">nausea and vomiting </w:t>
      </w:r>
      <w:r w:rsidR="00E93A61" w:rsidRPr="00212D75">
        <w:rPr>
          <w:iCs/>
        </w:rPr>
        <w:t xml:space="preserve">having </w:t>
      </w:r>
      <w:r w:rsidR="00081F70" w:rsidRPr="00212D75">
        <w:rPr>
          <w:iCs/>
        </w:rPr>
        <w:t>meaningful</w:t>
      </w:r>
      <w:r w:rsidR="00D941F6" w:rsidRPr="00212D75">
        <w:rPr>
          <w:iCs/>
        </w:rPr>
        <w:t xml:space="preserve"> </w:t>
      </w:r>
      <w:r w:rsidR="00E42BB0" w:rsidRPr="00212D75">
        <w:rPr>
          <w:iCs/>
        </w:rPr>
        <w:t>impacts on QoL</w:t>
      </w:r>
      <w:r w:rsidR="003B0D5D" w:rsidRPr="00212D75">
        <w:rPr>
          <w:iCs/>
        </w:rPr>
        <w:t xml:space="preserve">. </w:t>
      </w:r>
      <w:r w:rsidR="00002184" w:rsidRPr="00212D75">
        <w:rPr>
          <w:iCs/>
        </w:rPr>
        <w:t xml:space="preserve">The </w:t>
      </w:r>
      <w:r w:rsidR="00D85B8B" w:rsidRPr="00212D75">
        <w:rPr>
          <w:iCs/>
        </w:rPr>
        <w:t>Sub-Committees</w:t>
      </w:r>
      <w:r w:rsidR="006E34F6" w:rsidRPr="00212D75">
        <w:rPr>
          <w:iCs/>
        </w:rPr>
        <w:t xml:space="preserve"> </w:t>
      </w:r>
      <w:r w:rsidR="00002184" w:rsidRPr="00212D75">
        <w:rPr>
          <w:iCs/>
        </w:rPr>
        <w:t xml:space="preserve">also recalled that the </w:t>
      </w:r>
      <w:r w:rsidR="009401B3" w:rsidRPr="00212D75">
        <w:rPr>
          <w:iCs/>
        </w:rPr>
        <w:t xml:space="preserve">ESC </w:t>
      </w:r>
      <w:r w:rsidR="005D2696" w:rsidRPr="00212D75">
        <w:rPr>
          <w:iCs/>
        </w:rPr>
        <w:t xml:space="preserve">had </w:t>
      </w:r>
      <w:r w:rsidR="00951E0B" w:rsidRPr="00212D75">
        <w:rPr>
          <w:iCs/>
        </w:rPr>
        <w:t xml:space="preserve">previously </w:t>
      </w:r>
      <w:r w:rsidR="005D2696" w:rsidRPr="00212D75">
        <w:rPr>
          <w:iCs/>
        </w:rPr>
        <w:t xml:space="preserve">recommended use of pooled PF utility values </w:t>
      </w:r>
      <w:r w:rsidR="00734FE9" w:rsidRPr="00212D75">
        <w:rPr>
          <w:iCs/>
        </w:rPr>
        <w:t xml:space="preserve">in the model </w:t>
      </w:r>
      <w:r w:rsidR="005D2696" w:rsidRPr="00212D75">
        <w:rPr>
          <w:iCs/>
        </w:rPr>
        <w:t>for</w:t>
      </w:r>
      <w:r w:rsidR="00002184" w:rsidRPr="00212D75">
        <w:rPr>
          <w:iCs/>
        </w:rPr>
        <w:t xml:space="preserve"> </w:t>
      </w:r>
      <w:r w:rsidR="0034178F" w:rsidRPr="00212D75">
        <w:rPr>
          <w:iCs/>
        </w:rPr>
        <w:t>T-</w:t>
      </w:r>
      <w:proofErr w:type="spellStart"/>
      <w:r w:rsidR="0034178F" w:rsidRPr="00212D75">
        <w:rPr>
          <w:iCs/>
        </w:rPr>
        <w:t>DXd</w:t>
      </w:r>
      <w:proofErr w:type="spellEnd"/>
      <w:r w:rsidR="00FE72CF" w:rsidRPr="00212D75">
        <w:rPr>
          <w:iCs/>
        </w:rPr>
        <w:t xml:space="preserve"> for HER2-low metastatic breast cancer</w:t>
      </w:r>
      <w:r w:rsidR="00B84717" w:rsidRPr="00212D75">
        <w:rPr>
          <w:iCs/>
        </w:rPr>
        <w:t xml:space="preserve"> (November 2023) and the model accepted by the PBAC </w:t>
      </w:r>
      <w:r w:rsidR="00912C14" w:rsidRPr="00212D75">
        <w:rPr>
          <w:iCs/>
        </w:rPr>
        <w:t>used pooled PF utility values (</w:t>
      </w:r>
      <w:r w:rsidR="00A207DD" w:rsidRPr="00212D75">
        <w:rPr>
          <w:iCs/>
        </w:rPr>
        <w:t>Table 1, T-</w:t>
      </w:r>
      <w:proofErr w:type="spellStart"/>
      <w:r w:rsidR="00A207DD" w:rsidRPr="00212D75">
        <w:rPr>
          <w:iCs/>
        </w:rPr>
        <w:t>DXd</w:t>
      </w:r>
      <w:proofErr w:type="spellEnd"/>
      <w:r w:rsidR="00A207DD" w:rsidRPr="00212D75">
        <w:rPr>
          <w:iCs/>
        </w:rPr>
        <w:t xml:space="preserve"> PSD, March 2024 PBAC meeting)</w:t>
      </w:r>
      <w:r w:rsidR="00B84717" w:rsidRPr="00212D75">
        <w:rPr>
          <w:iCs/>
        </w:rPr>
        <w:t xml:space="preserve">. </w:t>
      </w:r>
      <w:r w:rsidR="00491EDA" w:rsidRPr="00212D75">
        <w:rPr>
          <w:iCs/>
        </w:rPr>
        <w:t xml:space="preserve">The </w:t>
      </w:r>
      <w:r w:rsidR="00D85B8B" w:rsidRPr="00212D75">
        <w:rPr>
          <w:iCs/>
        </w:rPr>
        <w:t>Sub-Committees</w:t>
      </w:r>
      <w:r w:rsidR="006E34F6" w:rsidRPr="00212D75">
        <w:rPr>
          <w:iCs/>
        </w:rPr>
        <w:t xml:space="preserve"> </w:t>
      </w:r>
      <w:r w:rsidR="00491EDA" w:rsidRPr="00212D75">
        <w:rPr>
          <w:iCs/>
        </w:rPr>
        <w:t>considered</w:t>
      </w:r>
      <w:r w:rsidR="008A1DAB" w:rsidRPr="00212D75">
        <w:rPr>
          <w:iCs/>
        </w:rPr>
        <w:t xml:space="preserve"> that given the potential for bias in the op</w:t>
      </w:r>
      <w:r w:rsidR="00EA2E5F" w:rsidRPr="00212D75">
        <w:rPr>
          <w:iCs/>
        </w:rPr>
        <w:t>en</w:t>
      </w:r>
      <w:r w:rsidR="00317BB8" w:rsidRPr="00212D75">
        <w:rPr>
          <w:iCs/>
        </w:rPr>
        <w:t xml:space="preserve">-label trial and the significantly worse </w:t>
      </w:r>
      <w:r w:rsidR="00BD2988" w:rsidRPr="00212D75">
        <w:rPr>
          <w:iCs/>
        </w:rPr>
        <w:t>safety profile of T-</w:t>
      </w:r>
      <w:proofErr w:type="spellStart"/>
      <w:r w:rsidR="00BD2988" w:rsidRPr="00212D75">
        <w:rPr>
          <w:iCs/>
        </w:rPr>
        <w:t>DXd</w:t>
      </w:r>
      <w:proofErr w:type="spellEnd"/>
      <w:r w:rsidR="00D3542C" w:rsidRPr="00212D75">
        <w:rPr>
          <w:iCs/>
        </w:rPr>
        <w:t>,</w:t>
      </w:r>
      <w:r w:rsidR="00491EDA" w:rsidRPr="00212D75">
        <w:rPr>
          <w:iCs/>
        </w:rPr>
        <w:t xml:space="preserve"> </w:t>
      </w:r>
      <w:r w:rsidR="00D202DB" w:rsidRPr="00212D75">
        <w:rPr>
          <w:iCs/>
        </w:rPr>
        <w:t xml:space="preserve">a </w:t>
      </w:r>
      <w:r w:rsidR="00491EDA" w:rsidRPr="00212D75">
        <w:rPr>
          <w:iCs/>
        </w:rPr>
        <w:t xml:space="preserve">pooled utility for the PF health state </w:t>
      </w:r>
      <w:r w:rsidR="00D202DB" w:rsidRPr="00212D75">
        <w:rPr>
          <w:iCs/>
        </w:rPr>
        <w:t>was</w:t>
      </w:r>
      <w:r w:rsidR="00491EDA" w:rsidRPr="00212D75">
        <w:rPr>
          <w:iCs/>
        </w:rPr>
        <w:t xml:space="preserve"> more appropriate</w:t>
      </w:r>
      <w:r w:rsidR="00D33C9D" w:rsidRPr="00212D75">
        <w:rPr>
          <w:iCs/>
        </w:rPr>
        <w:t>.</w:t>
      </w:r>
      <w:r w:rsidR="002E2F8A" w:rsidRPr="00212D75">
        <w:rPr>
          <w:iCs/>
        </w:rPr>
        <w:t xml:space="preserve"> </w:t>
      </w:r>
      <w:bookmarkEnd w:id="62"/>
      <w:r w:rsidR="009D09C8">
        <w:t xml:space="preserve">The pre-PBAC response </w:t>
      </w:r>
      <w:r w:rsidR="00A12F07">
        <w:t>maintained th</w:t>
      </w:r>
      <w:r w:rsidR="00D27B11">
        <w:t>at treatment-specific PF health state</w:t>
      </w:r>
      <w:r w:rsidR="00C70C3B">
        <w:t xml:space="preserve"> utilities </w:t>
      </w:r>
      <w:r w:rsidR="00D27B11">
        <w:t xml:space="preserve">were </w:t>
      </w:r>
      <w:r w:rsidR="00C70C3B">
        <w:t>appropriate gi</w:t>
      </w:r>
      <w:r w:rsidR="00EF0886">
        <w:t>v</w:t>
      </w:r>
      <w:r w:rsidR="00C70C3B">
        <w:t>en DB-06 trial-based EQ-5D data demonstrated statistically significant</w:t>
      </w:r>
      <w:r w:rsidR="008F79D6">
        <w:t xml:space="preserve"> </w:t>
      </w:r>
      <w:r w:rsidR="004D4DA2">
        <w:t xml:space="preserve">higher </w:t>
      </w:r>
      <w:r w:rsidR="00B3156D">
        <w:t>QoL</w:t>
      </w:r>
      <w:r w:rsidR="004D4DA2">
        <w:t xml:space="preserve"> in the </w:t>
      </w:r>
      <w:r w:rsidR="00864725">
        <w:t>T-</w:t>
      </w:r>
      <w:proofErr w:type="spellStart"/>
      <w:r w:rsidR="00864725">
        <w:t>DXd</w:t>
      </w:r>
      <w:proofErr w:type="spellEnd"/>
      <w:r w:rsidR="004D4DA2">
        <w:t xml:space="preserve"> arm.</w:t>
      </w:r>
      <w:r w:rsidR="00CF4EF3">
        <w:t xml:space="preserve"> </w:t>
      </w:r>
      <w:r w:rsidR="009C445E" w:rsidRPr="003F3694">
        <w:t>The use of pooled utility for the PF health state (0.7851) increased the ICER from $</w:t>
      </w:r>
      <w:r w:rsidR="009C2B6F">
        <w:t>55,000 to &lt; $75,000</w:t>
      </w:r>
      <w:r w:rsidR="009C445E" w:rsidRPr="003F3694">
        <w:t>/QALY gained to $</w:t>
      </w:r>
      <w:r w:rsidR="009C2B6F">
        <w:t>55,000 to &lt; $75,000</w:t>
      </w:r>
      <w:r w:rsidR="009C445E" w:rsidRPr="003F3694">
        <w:t>/QALY gained</w:t>
      </w:r>
      <w:r w:rsidR="009C445E">
        <w:t xml:space="preserve">. </w:t>
      </w:r>
      <w:r w:rsidR="002236A0" w:rsidRPr="002236A0">
        <w:t xml:space="preserve">In a sensitivity analysis conducted </w:t>
      </w:r>
      <w:r w:rsidR="00CF4EF3">
        <w:t>for the pre</w:t>
      </w:r>
      <w:r w:rsidR="00B3156D">
        <w:noBreakHyphen/>
      </w:r>
      <w:r w:rsidR="00CF4EF3">
        <w:t xml:space="preserve">PBAC </w:t>
      </w:r>
      <w:r w:rsidR="002236A0" w:rsidRPr="002236A0">
        <w:t xml:space="preserve">response, </w:t>
      </w:r>
      <w:r w:rsidR="00126400">
        <w:t>treatment</w:t>
      </w:r>
      <w:r w:rsidR="002236A0" w:rsidRPr="002236A0">
        <w:t xml:space="preserve">-specific pre-progression utilities </w:t>
      </w:r>
      <w:r w:rsidR="000C129B">
        <w:t>we</w:t>
      </w:r>
      <w:r w:rsidR="002236A0" w:rsidRPr="002236A0">
        <w:t>re used until Cycle 38 (equating to 26.5 months</w:t>
      </w:r>
      <w:r w:rsidR="001C36DE">
        <w:t xml:space="preserve"> follow-up</w:t>
      </w:r>
      <w:r w:rsidR="002236A0" w:rsidRPr="002236A0">
        <w:t xml:space="preserve">), and the pooled </w:t>
      </w:r>
      <w:proofErr w:type="gramStart"/>
      <w:r w:rsidR="002236A0" w:rsidRPr="002236A0">
        <w:t>utility</w:t>
      </w:r>
      <w:proofErr w:type="gramEnd"/>
      <w:r w:rsidR="002236A0" w:rsidRPr="002236A0">
        <w:t xml:space="preserve"> thereafter</w:t>
      </w:r>
      <w:r w:rsidR="00AA0BBF">
        <w:t xml:space="preserve">, </w:t>
      </w:r>
      <w:r w:rsidR="002236A0" w:rsidRPr="002236A0">
        <w:t>increas</w:t>
      </w:r>
      <w:r w:rsidR="00AA0BBF">
        <w:t>ing the ICER</w:t>
      </w:r>
      <w:r w:rsidR="002236A0" w:rsidRPr="002236A0">
        <w:t xml:space="preserve"> from $</w:t>
      </w:r>
      <w:r w:rsidR="009C2B6F">
        <w:t>55,000 to &lt; $75,000</w:t>
      </w:r>
      <w:r w:rsidR="002236A0" w:rsidRPr="002236A0">
        <w:t xml:space="preserve"> to $</w:t>
      </w:r>
      <w:r w:rsidR="009C2B6F">
        <w:t>55,000 to &lt; $75,000</w:t>
      </w:r>
      <w:r w:rsidR="002236A0" w:rsidRPr="002236A0">
        <w:t>.</w:t>
      </w:r>
    </w:p>
    <w:p w14:paraId="41449E73" w14:textId="490A6E50" w:rsidR="00412FD8" w:rsidRPr="00904162" w:rsidRDefault="00412FD8" w:rsidP="008241B5">
      <w:pPr>
        <w:pStyle w:val="3-BodyText"/>
      </w:pPr>
      <w:r w:rsidRPr="00904162">
        <w:t>The submission argued that trial-based progressive disease (PD) utility values could not reflect the entire period from first disease progression to death, as, in the trial, EQ-5D data were collected post-progression only when patients were receiving active second-line treatments. The utility score for the PD health state as used in the base case analysis was derived by applying the utility decrement associated with disease progression of mBC reported in Lloyd et al 2006</w:t>
      </w:r>
      <w:r w:rsidRPr="00904162">
        <w:rPr>
          <w:rStyle w:val="FootnoteReference"/>
        </w:rPr>
        <w:footnoteReference w:id="29"/>
      </w:r>
      <w:r w:rsidRPr="00904162">
        <w:t xml:space="preserve"> (-0.272) to the PF utility score in the T-</w:t>
      </w:r>
      <w:proofErr w:type="spellStart"/>
      <w:r w:rsidRPr="00904162">
        <w:t>DXd</w:t>
      </w:r>
      <w:proofErr w:type="spellEnd"/>
      <w:r w:rsidRPr="00904162">
        <w:t xml:space="preserve"> arm (0.8018), resulting in a PD utility score of 0.5298. This estimate was </w:t>
      </w:r>
      <w:r w:rsidRPr="00904162">
        <w:lastRenderedPageBreak/>
        <w:t>within the range of PD health state utility values used in other economic model</w:t>
      </w:r>
      <w:r w:rsidR="003235AD" w:rsidRPr="00904162">
        <w:t>s</w:t>
      </w:r>
      <w:r w:rsidRPr="00904162">
        <w:t xml:space="preserve"> for later-line treatment of non-TNBC. </w:t>
      </w:r>
    </w:p>
    <w:p w14:paraId="007F751A" w14:textId="77777777" w:rsidR="00412FD8" w:rsidRPr="00904162" w:rsidRDefault="00412FD8" w:rsidP="008241B5">
      <w:pPr>
        <w:pStyle w:val="3-BodyText"/>
      </w:pPr>
      <w:r w:rsidRPr="00904162">
        <w:t xml:space="preserve">A summary of the key drivers of the model is shown below. </w:t>
      </w:r>
    </w:p>
    <w:p w14:paraId="34BC1953" w14:textId="5D4D8B17" w:rsidR="00412FD8" w:rsidRPr="0098262F" w:rsidRDefault="00412FD8" w:rsidP="008241B5">
      <w:pPr>
        <w:pStyle w:val="TableFigureHeading"/>
        <w:rPr>
          <w:rStyle w:val="CommentReference"/>
          <w:b/>
          <w:szCs w:val="24"/>
        </w:rPr>
      </w:pPr>
      <w:bookmarkStart w:id="63" w:name="_Ref217758407"/>
      <w:r w:rsidRPr="00950738">
        <w:t xml:space="preserve">Table </w:t>
      </w:r>
      <w:fldSimple w:instr=" SEQ Table \* ARABIC ">
        <w:r w:rsidR="005D3E29">
          <w:rPr>
            <w:noProof/>
          </w:rPr>
          <w:t>13</w:t>
        </w:r>
      </w:fldSimple>
      <w:bookmarkEnd w:id="63"/>
      <w:r w:rsidRPr="00950738">
        <w:t xml:space="preserve">: </w:t>
      </w:r>
      <w:r w:rsidRPr="00950738">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Pr>
      <w:tblGrid>
        <w:gridCol w:w="1837"/>
        <w:gridCol w:w="2269"/>
        <w:gridCol w:w="4911"/>
      </w:tblGrid>
      <w:tr w:rsidR="00412FD8" w:rsidRPr="00743291" w14:paraId="5401445C" w14:textId="77777777">
        <w:trPr>
          <w:tblHeader/>
        </w:trPr>
        <w:tc>
          <w:tcPr>
            <w:tcW w:w="1019" w:type="pct"/>
            <w:vAlign w:val="center"/>
          </w:tcPr>
          <w:p w14:paraId="2F244571" w14:textId="77777777" w:rsidR="00412FD8" w:rsidRPr="00743291" w:rsidRDefault="00412FD8" w:rsidP="008241B5">
            <w:pPr>
              <w:pStyle w:val="In-tableHeading"/>
              <w:rPr>
                <w:i w:val="0"/>
                <w:iCs w:val="0"/>
              </w:rPr>
            </w:pPr>
            <w:r w:rsidRPr="00743291">
              <w:rPr>
                <w:i w:val="0"/>
                <w:iCs w:val="0"/>
              </w:rPr>
              <w:t>Description</w:t>
            </w:r>
          </w:p>
        </w:tc>
        <w:tc>
          <w:tcPr>
            <w:tcW w:w="1258" w:type="pct"/>
            <w:vAlign w:val="center"/>
          </w:tcPr>
          <w:p w14:paraId="1D88DF8D" w14:textId="77777777" w:rsidR="00412FD8" w:rsidRPr="00743291" w:rsidRDefault="00412FD8" w:rsidP="008241B5">
            <w:pPr>
              <w:pStyle w:val="In-tableHeading"/>
              <w:rPr>
                <w:i w:val="0"/>
                <w:iCs w:val="0"/>
              </w:rPr>
            </w:pPr>
            <w:r w:rsidRPr="00743291">
              <w:rPr>
                <w:i w:val="0"/>
                <w:iCs w:val="0"/>
              </w:rPr>
              <w:t>Method/Value</w:t>
            </w:r>
          </w:p>
        </w:tc>
        <w:tc>
          <w:tcPr>
            <w:tcW w:w="2723" w:type="pct"/>
            <w:vAlign w:val="center"/>
          </w:tcPr>
          <w:p w14:paraId="26F4D7BD" w14:textId="77777777" w:rsidR="00412FD8" w:rsidRPr="00743291" w:rsidRDefault="00412FD8" w:rsidP="008241B5">
            <w:pPr>
              <w:pStyle w:val="In-tableHeading"/>
              <w:rPr>
                <w:i w:val="0"/>
                <w:iCs w:val="0"/>
              </w:rPr>
            </w:pPr>
            <w:r w:rsidRPr="00743291">
              <w:rPr>
                <w:i w:val="0"/>
                <w:iCs w:val="0"/>
              </w:rPr>
              <w:t>Impact</w:t>
            </w:r>
          </w:p>
          <w:p w14:paraId="1A052FA3" w14:textId="78CD789A" w:rsidR="00412FD8" w:rsidRPr="00743291" w:rsidRDefault="00412FD8" w:rsidP="008241B5">
            <w:pPr>
              <w:pStyle w:val="In-tableHeading"/>
              <w:rPr>
                <w:i w:val="0"/>
                <w:iCs w:val="0"/>
              </w:rPr>
            </w:pPr>
            <w:r w:rsidRPr="00743291">
              <w:rPr>
                <w:i w:val="0"/>
                <w:iCs w:val="0"/>
              </w:rPr>
              <w:t>Base case: $</w:t>
            </w:r>
            <w:r w:rsidR="006340CE" w:rsidRPr="006340CE">
              <w:rPr>
                <w:i w:val="0"/>
                <w:iCs w:val="0"/>
                <w:sz w:val="2"/>
                <w:highlight w:val="black"/>
              </w:rPr>
              <w:t>redacted content</w:t>
            </w:r>
            <w:r w:rsidR="009C2B6F">
              <w:rPr>
                <w:i w:val="0"/>
                <w:iCs w:val="0"/>
                <w:vertAlign w:val="superscript"/>
              </w:rPr>
              <w:t>1</w:t>
            </w:r>
            <w:r>
              <w:rPr>
                <w:i w:val="0"/>
                <w:iCs w:val="0"/>
              </w:rPr>
              <w:t>/</w:t>
            </w:r>
            <w:r w:rsidRPr="00743291">
              <w:rPr>
                <w:i w:val="0"/>
                <w:iCs w:val="0"/>
              </w:rPr>
              <w:t>QALY gained</w:t>
            </w:r>
          </w:p>
        </w:tc>
      </w:tr>
      <w:tr w:rsidR="00412FD8" w:rsidRPr="0098262F" w14:paraId="3DC51253" w14:textId="77777777">
        <w:tc>
          <w:tcPr>
            <w:tcW w:w="1019" w:type="pct"/>
          </w:tcPr>
          <w:p w14:paraId="4FA87232" w14:textId="0EBCD044" w:rsidR="00412FD8" w:rsidRPr="0098262F" w:rsidRDefault="00F5425A" w:rsidP="008241B5">
            <w:pPr>
              <w:pStyle w:val="TableText0"/>
            </w:pPr>
            <w:r>
              <w:t>A</w:t>
            </w:r>
            <w:r w:rsidR="00412FD8">
              <w:t>djustment to OS curve in ICC arm</w:t>
            </w:r>
            <w:r>
              <w:t xml:space="preserve"> to account for </w:t>
            </w:r>
            <w:r w:rsidR="002377D8">
              <w:t>additional use of T-</w:t>
            </w:r>
            <w:proofErr w:type="spellStart"/>
            <w:r w:rsidR="002377D8">
              <w:t>DXd</w:t>
            </w:r>
            <w:proofErr w:type="spellEnd"/>
            <w:r w:rsidR="002377D8">
              <w:t xml:space="preserve"> </w:t>
            </w:r>
            <w:r w:rsidR="003F2FD2">
              <w:t xml:space="preserve">as a subsequent therapy </w:t>
            </w:r>
            <w:r w:rsidR="002377D8">
              <w:t xml:space="preserve">vs </w:t>
            </w:r>
            <w:r w:rsidR="00007AD6">
              <w:t xml:space="preserve">that </w:t>
            </w:r>
            <w:r w:rsidR="002377D8">
              <w:t xml:space="preserve">in </w:t>
            </w:r>
            <w:r w:rsidR="003F2FD2">
              <w:t>DB-06</w:t>
            </w:r>
          </w:p>
        </w:tc>
        <w:tc>
          <w:tcPr>
            <w:tcW w:w="1258" w:type="pct"/>
          </w:tcPr>
          <w:p w14:paraId="0C31D88F" w14:textId="77777777" w:rsidR="00412FD8" w:rsidRPr="0098262F" w:rsidRDefault="00412FD8" w:rsidP="008241B5">
            <w:pPr>
              <w:pStyle w:val="TableText0"/>
            </w:pPr>
            <w:r>
              <w:t>A</w:t>
            </w:r>
            <w:r w:rsidRPr="00743291">
              <w:t>djustment factor increasing from 0.779 at Month 8 to 1 at Month 23</w:t>
            </w:r>
            <w:r>
              <w:t xml:space="preserve">. </w:t>
            </w:r>
          </w:p>
        </w:tc>
        <w:tc>
          <w:tcPr>
            <w:tcW w:w="2723" w:type="pct"/>
          </w:tcPr>
          <w:p w14:paraId="6F4DAB1B" w14:textId="77777777" w:rsidR="00412FD8" w:rsidRPr="00A11DB6" w:rsidRDefault="00412FD8" w:rsidP="008241B5">
            <w:pPr>
              <w:pStyle w:val="TableText0"/>
              <w:rPr>
                <w:iCs/>
              </w:rPr>
            </w:pPr>
            <w:r w:rsidRPr="00A11DB6">
              <w:rPr>
                <w:iCs/>
              </w:rPr>
              <w:t>High, favours T-</w:t>
            </w:r>
            <w:proofErr w:type="spellStart"/>
            <w:r w:rsidRPr="00A11DB6">
              <w:rPr>
                <w:iCs/>
              </w:rPr>
              <w:t>DXd</w:t>
            </w:r>
            <w:proofErr w:type="spellEnd"/>
            <w:r w:rsidRPr="00A11DB6">
              <w:rPr>
                <w:iCs/>
              </w:rPr>
              <w:t xml:space="preserve">. </w:t>
            </w:r>
          </w:p>
          <w:p w14:paraId="11AA1DC0" w14:textId="615F4A2C" w:rsidR="00412FD8" w:rsidRPr="00A11DB6" w:rsidRDefault="00412FD8" w:rsidP="008241B5">
            <w:pPr>
              <w:pStyle w:val="TableText0"/>
              <w:rPr>
                <w:iCs/>
              </w:rPr>
            </w:pPr>
            <w:r w:rsidRPr="00A11DB6">
              <w:rPr>
                <w:iCs/>
              </w:rPr>
              <w:t xml:space="preserve">Using the Evaluation’s alternative method of </w:t>
            </w:r>
            <w:proofErr w:type="spellStart"/>
            <w:r w:rsidRPr="00A11DB6">
              <w:rPr>
                <w:iCs/>
              </w:rPr>
              <w:t>adjustment</w:t>
            </w:r>
            <w:r w:rsidRPr="00A11DB6">
              <w:rPr>
                <w:iCs/>
                <w:vertAlign w:val="superscript"/>
              </w:rPr>
              <w:t>a</w:t>
            </w:r>
            <w:proofErr w:type="spellEnd"/>
            <w:r w:rsidRPr="00A11DB6">
              <w:rPr>
                <w:iCs/>
                <w:vertAlign w:val="superscript"/>
              </w:rPr>
              <w:t xml:space="preserve"> </w:t>
            </w:r>
            <w:r w:rsidRPr="00A11DB6">
              <w:rPr>
                <w:iCs/>
              </w:rPr>
              <w:t>increased the ICER to $</w:t>
            </w:r>
            <w:r w:rsidR="006340CE" w:rsidRPr="006340CE">
              <w:rPr>
                <w:iCs/>
                <w:sz w:val="2"/>
                <w:highlight w:val="black"/>
              </w:rPr>
              <w:t>redacted content</w:t>
            </w:r>
            <w:r w:rsidR="009C2B6F">
              <w:rPr>
                <w:iCs/>
                <w:vertAlign w:val="superscript"/>
              </w:rPr>
              <w:t>2</w:t>
            </w:r>
            <w:r w:rsidRPr="00A11DB6">
              <w:rPr>
                <w:iCs/>
              </w:rPr>
              <w:t>/QALY gained.</w:t>
            </w:r>
          </w:p>
          <w:p w14:paraId="46441ACD" w14:textId="6F153EE7" w:rsidR="00412FD8" w:rsidRPr="00A11DB6" w:rsidRDefault="00412FD8" w:rsidP="008241B5">
            <w:pPr>
              <w:pStyle w:val="TableText0"/>
              <w:rPr>
                <w:iCs/>
              </w:rPr>
            </w:pPr>
            <w:r w:rsidRPr="00A11DB6">
              <w:rPr>
                <w:iCs/>
              </w:rPr>
              <w:t>If the use of subsequent T-</w:t>
            </w:r>
            <w:proofErr w:type="spellStart"/>
            <w:r w:rsidRPr="00A11DB6">
              <w:rPr>
                <w:iCs/>
              </w:rPr>
              <w:t>DXd</w:t>
            </w:r>
            <w:proofErr w:type="spellEnd"/>
            <w:r w:rsidRPr="00A11DB6">
              <w:rPr>
                <w:iCs/>
              </w:rPr>
              <w:t xml:space="preserve"> in clinical practice is the same as that in the trial (23.5%, no adjustment for OS required), the ICER increased to $</w:t>
            </w:r>
            <w:r w:rsidR="006340CE" w:rsidRPr="006340CE">
              <w:rPr>
                <w:iCs/>
                <w:sz w:val="2"/>
                <w:highlight w:val="black"/>
              </w:rPr>
              <w:t>redacted content</w:t>
            </w:r>
            <w:r w:rsidR="002F0358">
              <w:rPr>
                <w:iCs/>
                <w:vertAlign w:val="superscript"/>
              </w:rPr>
              <w:t>3</w:t>
            </w:r>
            <w:r w:rsidRPr="00A11DB6">
              <w:rPr>
                <w:iCs/>
              </w:rPr>
              <w:t>/QALY.</w:t>
            </w:r>
            <w:r w:rsidR="00A81C89">
              <w:rPr>
                <w:iCs/>
              </w:rPr>
              <w:t xml:space="preserve"> </w:t>
            </w:r>
            <w:r w:rsidR="0049449F" w:rsidRPr="00B13CE3">
              <w:t xml:space="preserve">When using the revised value of 33.6% from </w:t>
            </w:r>
            <w:r w:rsidR="005E5B64" w:rsidRPr="00B13CE3">
              <w:t xml:space="preserve">IA2 DCO </w:t>
            </w:r>
            <w:r w:rsidR="0049449F" w:rsidRPr="00B13CE3">
              <w:t>the ICER increased to $</w:t>
            </w:r>
            <w:r w:rsidR="006340CE" w:rsidRPr="006340CE">
              <w:rPr>
                <w:sz w:val="2"/>
                <w:highlight w:val="black"/>
              </w:rPr>
              <w:t>redacted content</w:t>
            </w:r>
            <w:r w:rsidR="00007CD2">
              <w:rPr>
                <w:vertAlign w:val="superscript"/>
              </w:rPr>
              <w:t>4</w:t>
            </w:r>
            <w:r w:rsidR="005E5B64" w:rsidRPr="00B13CE3">
              <w:t>/QALY.</w:t>
            </w:r>
          </w:p>
        </w:tc>
      </w:tr>
      <w:tr w:rsidR="00412FD8" w:rsidRPr="0098262F" w14:paraId="2D49D0F1" w14:textId="77777777">
        <w:tc>
          <w:tcPr>
            <w:tcW w:w="1019" w:type="pct"/>
          </w:tcPr>
          <w:p w14:paraId="4C5CCA8D" w14:textId="77777777" w:rsidR="00412FD8" w:rsidRPr="0098262F" w:rsidRDefault="00412FD8" w:rsidP="008241B5">
            <w:pPr>
              <w:pStyle w:val="TableText0"/>
            </w:pPr>
            <w:r>
              <w:t>Parametric function to extrapolate PFS and OS in the T-</w:t>
            </w:r>
            <w:proofErr w:type="spellStart"/>
            <w:r>
              <w:t>DXd</w:t>
            </w:r>
            <w:proofErr w:type="spellEnd"/>
            <w:r>
              <w:t xml:space="preserve"> arm</w:t>
            </w:r>
          </w:p>
        </w:tc>
        <w:tc>
          <w:tcPr>
            <w:tcW w:w="1258" w:type="pct"/>
          </w:tcPr>
          <w:p w14:paraId="1ED3593E" w14:textId="77777777" w:rsidR="00412FD8" w:rsidRPr="0098262F" w:rsidRDefault="00412FD8" w:rsidP="008241B5">
            <w:pPr>
              <w:pStyle w:val="TableText0"/>
            </w:pPr>
            <w:r>
              <w:t xml:space="preserve">Log-logistic function in the base case. </w:t>
            </w:r>
          </w:p>
        </w:tc>
        <w:tc>
          <w:tcPr>
            <w:tcW w:w="2723" w:type="pct"/>
          </w:tcPr>
          <w:p w14:paraId="2D136715" w14:textId="351D101A" w:rsidR="00412FD8" w:rsidRPr="00A11DB6" w:rsidRDefault="00412FD8" w:rsidP="008241B5">
            <w:pPr>
              <w:pStyle w:val="TableText0"/>
              <w:rPr>
                <w:iCs/>
              </w:rPr>
            </w:pPr>
            <w:r w:rsidRPr="00A11DB6">
              <w:rPr>
                <w:iCs/>
              </w:rPr>
              <w:t>High, favours T-</w:t>
            </w:r>
            <w:proofErr w:type="spellStart"/>
            <w:r w:rsidRPr="00A11DB6">
              <w:rPr>
                <w:iCs/>
              </w:rPr>
              <w:t>DXd</w:t>
            </w:r>
            <w:proofErr w:type="spellEnd"/>
            <w:r w:rsidR="002624C9" w:rsidRPr="00A11DB6">
              <w:rPr>
                <w:iCs/>
              </w:rPr>
              <w:t>.</w:t>
            </w:r>
          </w:p>
          <w:p w14:paraId="5C665603" w14:textId="35008E1D" w:rsidR="00412FD8" w:rsidRPr="00A11DB6" w:rsidRDefault="00412FD8" w:rsidP="008241B5">
            <w:pPr>
              <w:pStyle w:val="TableText0"/>
              <w:rPr>
                <w:iCs/>
              </w:rPr>
            </w:pPr>
            <w:r w:rsidRPr="00A11DB6">
              <w:rPr>
                <w:iCs/>
              </w:rPr>
              <w:t>Use of gamma distribution to model PFS for T-</w:t>
            </w:r>
            <w:proofErr w:type="spellStart"/>
            <w:r w:rsidRPr="00A11DB6">
              <w:rPr>
                <w:iCs/>
              </w:rPr>
              <w:t>DXd</w:t>
            </w:r>
            <w:proofErr w:type="spellEnd"/>
            <w:r w:rsidRPr="00A11DB6">
              <w:rPr>
                <w:iCs/>
              </w:rPr>
              <w:t xml:space="preserve"> increased the ICER to $</w:t>
            </w:r>
            <w:r w:rsidR="006340CE" w:rsidRPr="006340CE">
              <w:rPr>
                <w:iCs/>
                <w:sz w:val="2"/>
                <w:highlight w:val="black"/>
              </w:rPr>
              <w:t>redacted content</w:t>
            </w:r>
            <w:r w:rsidR="002F0358">
              <w:rPr>
                <w:iCs/>
                <w:vertAlign w:val="superscript"/>
              </w:rPr>
              <w:t>4</w:t>
            </w:r>
            <w:r w:rsidRPr="00A11DB6">
              <w:rPr>
                <w:iCs/>
              </w:rPr>
              <w:t xml:space="preserve">/QALY gained. </w:t>
            </w:r>
          </w:p>
          <w:p w14:paraId="5CFE9292" w14:textId="74990D3A" w:rsidR="00412FD8" w:rsidRPr="00A11DB6" w:rsidRDefault="00412FD8" w:rsidP="008241B5">
            <w:pPr>
              <w:pStyle w:val="TableText0"/>
              <w:rPr>
                <w:iCs/>
              </w:rPr>
            </w:pPr>
            <w:r w:rsidRPr="00A11DB6">
              <w:rPr>
                <w:iCs/>
              </w:rPr>
              <w:t>Use of Weibull function to model OS for T-</w:t>
            </w:r>
            <w:proofErr w:type="spellStart"/>
            <w:r w:rsidRPr="00A11DB6">
              <w:rPr>
                <w:iCs/>
              </w:rPr>
              <w:t>DXd</w:t>
            </w:r>
            <w:proofErr w:type="spellEnd"/>
            <w:r w:rsidRPr="00A11DB6">
              <w:rPr>
                <w:iCs/>
              </w:rPr>
              <w:t xml:space="preserve"> increased ICER to $</w:t>
            </w:r>
            <w:r w:rsidR="006340CE" w:rsidRPr="006340CE">
              <w:rPr>
                <w:iCs/>
                <w:sz w:val="2"/>
                <w:highlight w:val="black"/>
              </w:rPr>
              <w:t>redacted content</w:t>
            </w:r>
            <w:r w:rsidR="002F0358">
              <w:rPr>
                <w:iCs/>
                <w:vertAlign w:val="superscript"/>
              </w:rPr>
              <w:t>1</w:t>
            </w:r>
            <w:r w:rsidRPr="00A11DB6">
              <w:rPr>
                <w:iCs/>
              </w:rPr>
              <w:t xml:space="preserve">/QALY gained. </w:t>
            </w:r>
          </w:p>
        </w:tc>
      </w:tr>
      <w:tr w:rsidR="00412FD8" w:rsidRPr="0098262F" w14:paraId="717D691C" w14:textId="77777777">
        <w:tc>
          <w:tcPr>
            <w:tcW w:w="1019" w:type="pct"/>
          </w:tcPr>
          <w:p w14:paraId="03E18898" w14:textId="77777777" w:rsidR="00412FD8" w:rsidRPr="0098262F" w:rsidRDefault="00412FD8" w:rsidP="008241B5">
            <w:pPr>
              <w:pStyle w:val="TableText0"/>
            </w:pPr>
            <w:r>
              <w:t>Time horizon</w:t>
            </w:r>
          </w:p>
        </w:tc>
        <w:tc>
          <w:tcPr>
            <w:tcW w:w="1258" w:type="pct"/>
          </w:tcPr>
          <w:p w14:paraId="7E41D6ED" w14:textId="77777777" w:rsidR="00412FD8" w:rsidRPr="0071566E" w:rsidRDefault="00412FD8" w:rsidP="008241B5">
            <w:pPr>
              <w:pStyle w:val="TableText0"/>
              <w:rPr>
                <w:i/>
                <w:iCs/>
              </w:rPr>
            </w:pPr>
            <w:r>
              <w:t xml:space="preserve">15 years. </w:t>
            </w:r>
          </w:p>
        </w:tc>
        <w:tc>
          <w:tcPr>
            <w:tcW w:w="2723" w:type="pct"/>
          </w:tcPr>
          <w:p w14:paraId="3EDF4CA4" w14:textId="36FF9534" w:rsidR="00412FD8" w:rsidRPr="00A11DB6" w:rsidRDefault="00412FD8" w:rsidP="008241B5">
            <w:pPr>
              <w:pStyle w:val="TableText0"/>
              <w:rPr>
                <w:iCs/>
              </w:rPr>
            </w:pPr>
            <w:r w:rsidRPr="00A11DB6">
              <w:rPr>
                <w:iCs/>
              </w:rPr>
              <w:t>Moderate, favours T-</w:t>
            </w:r>
            <w:proofErr w:type="spellStart"/>
            <w:r w:rsidRPr="00A11DB6">
              <w:rPr>
                <w:iCs/>
              </w:rPr>
              <w:t>DXd</w:t>
            </w:r>
            <w:proofErr w:type="spellEnd"/>
            <w:r w:rsidR="002624C9" w:rsidRPr="00A11DB6">
              <w:rPr>
                <w:iCs/>
              </w:rPr>
              <w:t>.</w:t>
            </w:r>
          </w:p>
          <w:p w14:paraId="178C03E0" w14:textId="67229B43" w:rsidR="00412FD8" w:rsidRPr="00A11DB6" w:rsidRDefault="00412FD8" w:rsidP="008241B5">
            <w:pPr>
              <w:pStyle w:val="TableText0"/>
              <w:rPr>
                <w:iCs/>
              </w:rPr>
            </w:pPr>
            <w:r w:rsidRPr="00A11DB6">
              <w:rPr>
                <w:iCs/>
              </w:rPr>
              <w:t>Using a 7-year time horizon increased the ICER to $</w:t>
            </w:r>
            <w:r w:rsidR="006340CE" w:rsidRPr="006340CE">
              <w:rPr>
                <w:iCs/>
                <w:sz w:val="2"/>
                <w:highlight w:val="black"/>
              </w:rPr>
              <w:t>redacted content</w:t>
            </w:r>
            <w:r w:rsidR="002F0358">
              <w:rPr>
                <w:iCs/>
                <w:vertAlign w:val="superscript"/>
              </w:rPr>
              <w:t>1</w:t>
            </w:r>
            <w:r w:rsidRPr="00A11DB6">
              <w:rPr>
                <w:iCs/>
              </w:rPr>
              <w:t>/QALY gained.</w:t>
            </w:r>
          </w:p>
        </w:tc>
      </w:tr>
      <w:tr w:rsidR="00412FD8" w:rsidRPr="0098262F" w14:paraId="4651125C" w14:textId="77777777">
        <w:tc>
          <w:tcPr>
            <w:tcW w:w="1019" w:type="pct"/>
          </w:tcPr>
          <w:p w14:paraId="733654F9" w14:textId="77777777" w:rsidR="00412FD8" w:rsidRPr="0098262F" w:rsidRDefault="00412FD8" w:rsidP="008241B5">
            <w:pPr>
              <w:pStyle w:val="TableText0"/>
            </w:pPr>
            <w:r>
              <w:t>Health state utility for PF</w:t>
            </w:r>
          </w:p>
        </w:tc>
        <w:tc>
          <w:tcPr>
            <w:tcW w:w="1258" w:type="pct"/>
          </w:tcPr>
          <w:p w14:paraId="0666D3C4" w14:textId="77777777" w:rsidR="00412FD8" w:rsidRPr="0098262F" w:rsidRDefault="00412FD8" w:rsidP="008241B5">
            <w:pPr>
              <w:pStyle w:val="TableText0"/>
            </w:pPr>
            <w:r w:rsidRPr="00FC080E">
              <w:t>PF: 0.8018 for T-</w:t>
            </w:r>
            <w:proofErr w:type="spellStart"/>
            <w:r w:rsidRPr="00FC080E">
              <w:t>DXd</w:t>
            </w:r>
            <w:proofErr w:type="spellEnd"/>
            <w:r w:rsidRPr="00FC080E">
              <w:t xml:space="preserve"> and 0.7666 for ICC</w:t>
            </w:r>
            <w:r>
              <w:t xml:space="preserve">. </w:t>
            </w:r>
          </w:p>
        </w:tc>
        <w:tc>
          <w:tcPr>
            <w:tcW w:w="2723" w:type="pct"/>
          </w:tcPr>
          <w:p w14:paraId="31D6AAB2" w14:textId="77777777" w:rsidR="00412FD8" w:rsidRPr="00A11DB6" w:rsidRDefault="00412FD8" w:rsidP="008241B5">
            <w:pPr>
              <w:pStyle w:val="TableText0"/>
              <w:rPr>
                <w:iCs/>
              </w:rPr>
            </w:pPr>
            <w:r w:rsidRPr="00A11DB6">
              <w:rPr>
                <w:iCs/>
              </w:rPr>
              <w:t>Moderate, favours T-</w:t>
            </w:r>
            <w:proofErr w:type="spellStart"/>
            <w:r w:rsidRPr="00A11DB6">
              <w:rPr>
                <w:iCs/>
              </w:rPr>
              <w:t>DXd</w:t>
            </w:r>
            <w:proofErr w:type="spellEnd"/>
          </w:p>
          <w:p w14:paraId="135F33C0" w14:textId="06FEF90C" w:rsidR="00412FD8" w:rsidRPr="00A11DB6" w:rsidRDefault="00412FD8" w:rsidP="008241B5">
            <w:pPr>
              <w:pStyle w:val="TableText0"/>
              <w:rPr>
                <w:iCs/>
              </w:rPr>
            </w:pPr>
            <w:r w:rsidRPr="00A11DB6">
              <w:rPr>
                <w:iCs/>
              </w:rPr>
              <w:t xml:space="preserve">Applying </w:t>
            </w:r>
            <w:r w:rsidR="002624C9" w:rsidRPr="00A11DB6">
              <w:rPr>
                <w:iCs/>
              </w:rPr>
              <w:t xml:space="preserve">a </w:t>
            </w:r>
            <w:r w:rsidRPr="00A11DB6">
              <w:rPr>
                <w:iCs/>
              </w:rPr>
              <w:t>pooled PF health state utility (0.7851) increased the ICER to $</w:t>
            </w:r>
            <w:r w:rsidR="006340CE" w:rsidRPr="006340CE">
              <w:rPr>
                <w:iCs/>
                <w:sz w:val="2"/>
                <w:highlight w:val="black"/>
              </w:rPr>
              <w:t>redacted content</w:t>
            </w:r>
            <w:r w:rsidR="002F0358">
              <w:rPr>
                <w:iCs/>
                <w:vertAlign w:val="superscript"/>
              </w:rPr>
              <w:t>1</w:t>
            </w:r>
            <w:r w:rsidRPr="00A11DB6">
              <w:rPr>
                <w:iCs/>
              </w:rPr>
              <w:t xml:space="preserve">/QALY gained. </w:t>
            </w:r>
          </w:p>
        </w:tc>
      </w:tr>
    </w:tbl>
    <w:p w14:paraId="2F3A2372" w14:textId="77777777" w:rsidR="00412FD8" w:rsidRPr="00B13CE3" w:rsidRDefault="00412FD8" w:rsidP="008241B5">
      <w:pPr>
        <w:pStyle w:val="FooterTableFigure"/>
        <w:rPr>
          <w:iCs/>
        </w:rPr>
      </w:pPr>
      <w:r w:rsidRPr="0098262F">
        <w:t xml:space="preserve">Source: </w:t>
      </w:r>
      <w:r w:rsidRPr="00B13CE3">
        <w:rPr>
          <w:iCs/>
        </w:rPr>
        <w:t>Table compiled during the evaluation.</w:t>
      </w:r>
    </w:p>
    <w:p w14:paraId="646EA5F4" w14:textId="77777777" w:rsidR="00412FD8" w:rsidRPr="00FC080E" w:rsidRDefault="00412FD8" w:rsidP="008241B5">
      <w:pPr>
        <w:pStyle w:val="FooterTableFigure"/>
      </w:pPr>
      <w:r>
        <w:t xml:space="preserve">ICC = investigator’s choice of chemotherapy; </w:t>
      </w:r>
      <w:r w:rsidRPr="00FC080E">
        <w:t>ICER = incremental cost-effectiveness ratio</w:t>
      </w:r>
      <w:r>
        <w:t>; mBC = metastatic breast cancer; PF = progression-free; PFS = progression-free survival; OS = overall survival; QALY = quality-adjusted life year; T-</w:t>
      </w:r>
      <w:proofErr w:type="spellStart"/>
      <w:r>
        <w:t>DXd</w:t>
      </w:r>
      <w:proofErr w:type="spellEnd"/>
      <w:r>
        <w:t xml:space="preserve"> = trastuzumab deruxtecan</w:t>
      </w:r>
    </w:p>
    <w:p w14:paraId="03E15DCE" w14:textId="182F347B" w:rsidR="00412FD8" w:rsidRDefault="00412FD8" w:rsidP="008241B5">
      <w:pPr>
        <w:pStyle w:val="FooterTableFigure"/>
      </w:pPr>
      <w:proofErr w:type="gramStart"/>
      <w:r>
        <w:rPr>
          <w:vertAlign w:val="superscript"/>
        </w:rPr>
        <w:t>a</w:t>
      </w:r>
      <w:proofErr w:type="gramEnd"/>
      <w:r>
        <w:rPr>
          <w:vertAlign w:val="superscript"/>
        </w:rPr>
        <w:t xml:space="preserve"> </w:t>
      </w:r>
      <w:r w:rsidRPr="006003DE">
        <w:t xml:space="preserve">Applying fixed incremental </w:t>
      </w:r>
      <w:r w:rsidRPr="009C23AE">
        <w:t>costs ($</w:t>
      </w:r>
      <w:r w:rsidR="006340CE" w:rsidRPr="006340CE">
        <w:rPr>
          <w:sz w:val="2"/>
          <w:highlight w:val="black"/>
        </w:rPr>
        <w:t>redacted content</w:t>
      </w:r>
      <w:r w:rsidRPr="006003DE">
        <w:t xml:space="preserve">) and QALYs (0.532) to </w:t>
      </w:r>
      <w:r w:rsidR="0013106A">
        <w:t xml:space="preserve">the </w:t>
      </w:r>
      <w:r w:rsidRPr="006003DE">
        <w:t>extra 58.7% of patients receiving subsequent T-</w:t>
      </w:r>
      <w:proofErr w:type="spellStart"/>
      <w:r w:rsidRPr="006003DE">
        <w:t>DXd</w:t>
      </w:r>
      <w:proofErr w:type="spellEnd"/>
      <w:r w:rsidRPr="006003DE">
        <w:t xml:space="preserve"> in clinical practice</w:t>
      </w:r>
    </w:p>
    <w:p w14:paraId="3D490660" w14:textId="2B2DF104" w:rsidR="002F0358" w:rsidRDefault="002F0358" w:rsidP="008241B5">
      <w:pPr>
        <w:pStyle w:val="FooterTableFigure"/>
        <w:rPr>
          <w:i/>
          <w:iCs/>
        </w:rPr>
      </w:pPr>
      <w:r>
        <w:rPr>
          <w:i/>
          <w:iCs/>
        </w:rPr>
        <w:t>The redacted values correspond to the following ranges:</w:t>
      </w:r>
    </w:p>
    <w:p w14:paraId="2674C9CC" w14:textId="696FB3F9" w:rsidR="002F0358" w:rsidRDefault="002F0358" w:rsidP="008241B5">
      <w:pPr>
        <w:pStyle w:val="FooterTableFigure"/>
        <w:rPr>
          <w:i/>
          <w:iCs/>
        </w:rPr>
      </w:pPr>
      <w:r>
        <w:rPr>
          <w:i/>
          <w:iCs/>
          <w:vertAlign w:val="superscript"/>
        </w:rPr>
        <w:t>1</w:t>
      </w:r>
      <w:r>
        <w:rPr>
          <w:i/>
          <w:iCs/>
        </w:rPr>
        <w:t xml:space="preserve"> $55,000 to &lt; $75,000</w:t>
      </w:r>
    </w:p>
    <w:p w14:paraId="32335BC0" w14:textId="352531E7" w:rsidR="002F0358" w:rsidRDefault="002F0358" w:rsidP="008241B5">
      <w:pPr>
        <w:pStyle w:val="FooterTableFigure"/>
        <w:rPr>
          <w:i/>
          <w:iCs/>
        </w:rPr>
      </w:pPr>
      <w:r>
        <w:rPr>
          <w:i/>
          <w:iCs/>
          <w:vertAlign w:val="superscript"/>
        </w:rPr>
        <w:t>2</w:t>
      </w:r>
      <w:r>
        <w:rPr>
          <w:i/>
          <w:iCs/>
        </w:rPr>
        <w:t xml:space="preserve"> $155,000 to &lt; $</w:t>
      </w:r>
      <w:r w:rsidR="00007CD2">
        <w:rPr>
          <w:i/>
          <w:iCs/>
        </w:rPr>
        <w:t>255,000</w:t>
      </w:r>
    </w:p>
    <w:p w14:paraId="4EDCDEB4" w14:textId="06192545" w:rsidR="00007CD2" w:rsidRDefault="00007CD2" w:rsidP="008241B5">
      <w:pPr>
        <w:pStyle w:val="FooterTableFigure"/>
        <w:rPr>
          <w:i/>
          <w:iCs/>
        </w:rPr>
      </w:pPr>
      <w:r>
        <w:rPr>
          <w:i/>
          <w:iCs/>
          <w:vertAlign w:val="superscript"/>
        </w:rPr>
        <w:t>3</w:t>
      </w:r>
      <w:r>
        <w:rPr>
          <w:i/>
          <w:iCs/>
        </w:rPr>
        <w:t xml:space="preserve"> $95,000 to &lt; $115,000</w:t>
      </w:r>
    </w:p>
    <w:p w14:paraId="008EB886" w14:textId="18A514D4" w:rsidR="00007CD2" w:rsidRPr="00007CD2" w:rsidRDefault="00007CD2" w:rsidP="008241B5">
      <w:pPr>
        <w:pStyle w:val="FooterTableFigure"/>
        <w:rPr>
          <w:i/>
          <w:iCs/>
        </w:rPr>
      </w:pPr>
      <w:r>
        <w:rPr>
          <w:i/>
          <w:iCs/>
          <w:vertAlign w:val="superscript"/>
        </w:rPr>
        <w:t>4</w:t>
      </w:r>
      <w:r>
        <w:rPr>
          <w:i/>
          <w:iCs/>
        </w:rPr>
        <w:t xml:space="preserve"> </w:t>
      </w:r>
      <w:r w:rsidR="00682759">
        <w:rPr>
          <w:i/>
          <w:iCs/>
        </w:rPr>
        <w:t>$75.000 to &lt; $95,000</w:t>
      </w:r>
    </w:p>
    <w:p w14:paraId="77D86B58" w14:textId="0C5AA5CA" w:rsidR="00412FD8" w:rsidRPr="00904162" w:rsidRDefault="00412FD8" w:rsidP="008241B5">
      <w:pPr>
        <w:pStyle w:val="3-BodyText"/>
      </w:pPr>
      <w:r w:rsidRPr="00904162">
        <w:t xml:space="preserve">The results of the economic analysis are presented in </w:t>
      </w:r>
      <w:r w:rsidRPr="00904162">
        <w:fldChar w:fldCharType="begin"/>
      </w:r>
      <w:r w:rsidRPr="00904162">
        <w:instrText xml:space="preserve"> REF _Ref104805160 \h  \* MERGEFORMAT </w:instrText>
      </w:r>
      <w:r w:rsidRPr="00904162">
        <w:fldChar w:fldCharType="separate"/>
      </w:r>
      <w:r w:rsidR="005D3E29" w:rsidRPr="0098262F">
        <w:t xml:space="preserve">Table </w:t>
      </w:r>
      <w:r w:rsidR="005D3E29">
        <w:t>14</w:t>
      </w:r>
      <w:r w:rsidRPr="00904162">
        <w:fldChar w:fldCharType="end"/>
      </w:r>
      <w:r w:rsidRPr="00904162">
        <w:t xml:space="preserve"> below. Step 2 as presented in the submission included </w:t>
      </w:r>
      <w:proofErr w:type="gramStart"/>
      <w:r w:rsidRPr="00904162">
        <w:t>a number of</w:t>
      </w:r>
      <w:proofErr w:type="gramEnd"/>
      <w:r w:rsidRPr="00904162">
        <w:t xml:space="preserve"> translational procedures and this step </w:t>
      </w:r>
      <w:r w:rsidR="00666632">
        <w:t>was</w:t>
      </w:r>
      <w:r w:rsidRPr="00904162">
        <w:t xml:space="preserve"> disaggregated during the evaluation to identify the effect of certain model parameters on the result. </w:t>
      </w:r>
    </w:p>
    <w:p w14:paraId="449B020F" w14:textId="6D6EC8CF" w:rsidR="00412FD8" w:rsidRDefault="00412FD8" w:rsidP="008241B5">
      <w:pPr>
        <w:pStyle w:val="Caption"/>
        <w:rPr>
          <w:rStyle w:val="CommentReference"/>
          <w:b/>
          <w:szCs w:val="24"/>
        </w:rPr>
      </w:pPr>
      <w:bookmarkStart w:id="64" w:name="_Ref104805160"/>
      <w:r w:rsidRPr="0098262F">
        <w:lastRenderedPageBreak/>
        <w:t xml:space="preserve">Table </w:t>
      </w:r>
      <w:fldSimple w:instr=" SEQ Table \* ARABIC ">
        <w:r w:rsidR="005D3E29">
          <w:rPr>
            <w:noProof/>
          </w:rPr>
          <w:t>14</w:t>
        </w:r>
      </w:fldSimple>
      <w:bookmarkEnd w:id="64"/>
      <w:r w:rsidRPr="0098262F">
        <w:t>:</w:t>
      </w:r>
      <w:r w:rsidRPr="0098262F">
        <w:rPr>
          <w:rStyle w:val="CommentReference"/>
          <w:b/>
          <w:szCs w:val="24"/>
        </w:rPr>
        <w:t xml:space="preserve">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economic evaluation"/>
      </w:tblPr>
      <w:tblGrid>
        <w:gridCol w:w="2757"/>
        <w:gridCol w:w="2451"/>
        <w:gridCol w:w="2298"/>
        <w:gridCol w:w="1511"/>
      </w:tblGrid>
      <w:tr w:rsidR="00412FD8" w:rsidRPr="00666632" w14:paraId="3E1073FC" w14:textId="77777777">
        <w:trPr>
          <w:tblHeader/>
        </w:trPr>
        <w:tc>
          <w:tcPr>
            <w:tcW w:w="1529" w:type="pct"/>
            <w:vAlign w:val="center"/>
          </w:tcPr>
          <w:p w14:paraId="09AAD34B" w14:textId="77777777" w:rsidR="00412FD8" w:rsidRPr="00666632" w:rsidRDefault="00412FD8" w:rsidP="008241B5">
            <w:pPr>
              <w:pStyle w:val="In-tableHeading"/>
              <w:keepNext/>
              <w:rPr>
                <w:i w:val="0"/>
                <w:iCs w:val="0"/>
              </w:rPr>
            </w:pPr>
            <w:r w:rsidRPr="00666632">
              <w:rPr>
                <w:i w:val="0"/>
                <w:iCs w:val="0"/>
              </w:rPr>
              <w:t>Step and component</w:t>
            </w:r>
          </w:p>
        </w:tc>
        <w:tc>
          <w:tcPr>
            <w:tcW w:w="1359" w:type="pct"/>
            <w:vAlign w:val="center"/>
          </w:tcPr>
          <w:p w14:paraId="79788F8D" w14:textId="77777777" w:rsidR="00412FD8" w:rsidRPr="00666632" w:rsidRDefault="00412FD8" w:rsidP="008241B5">
            <w:pPr>
              <w:pStyle w:val="In-tableHeading"/>
              <w:keepNext/>
              <w:jc w:val="center"/>
              <w:rPr>
                <w:i w:val="0"/>
                <w:iCs w:val="0"/>
              </w:rPr>
            </w:pPr>
            <w:r w:rsidRPr="00666632">
              <w:rPr>
                <w:i w:val="0"/>
                <w:iCs w:val="0"/>
              </w:rPr>
              <w:t>T-</w:t>
            </w:r>
            <w:proofErr w:type="spellStart"/>
            <w:r w:rsidRPr="00666632">
              <w:rPr>
                <w:i w:val="0"/>
                <w:iCs w:val="0"/>
              </w:rPr>
              <w:t>DXd</w:t>
            </w:r>
            <w:proofErr w:type="spellEnd"/>
          </w:p>
        </w:tc>
        <w:tc>
          <w:tcPr>
            <w:tcW w:w="1274" w:type="pct"/>
            <w:vAlign w:val="center"/>
          </w:tcPr>
          <w:p w14:paraId="212813FA" w14:textId="77777777" w:rsidR="00412FD8" w:rsidRPr="00666632" w:rsidRDefault="00412FD8" w:rsidP="008241B5">
            <w:pPr>
              <w:pStyle w:val="In-tableHeading"/>
              <w:keepNext/>
              <w:jc w:val="center"/>
              <w:rPr>
                <w:i w:val="0"/>
                <w:iCs w:val="0"/>
              </w:rPr>
            </w:pPr>
            <w:r w:rsidRPr="00666632">
              <w:rPr>
                <w:i w:val="0"/>
                <w:iCs w:val="0"/>
              </w:rPr>
              <w:t>ICC</w:t>
            </w:r>
          </w:p>
        </w:tc>
        <w:tc>
          <w:tcPr>
            <w:tcW w:w="838" w:type="pct"/>
            <w:vAlign w:val="center"/>
          </w:tcPr>
          <w:p w14:paraId="19932C20" w14:textId="77777777" w:rsidR="00412FD8" w:rsidRPr="00666632" w:rsidRDefault="00412FD8" w:rsidP="008241B5">
            <w:pPr>
              <w:pStyle w:val="In-tableHeading"/>
              <w:keepNext/>
              <w:jc w:val="center"/>
              <w:rPr>
                <w:i w:val="0"/>
                <w:iCs w:val="0"/>
              </w:rPr>
            </w:pPr>
            <w:r w:rsidRPr="00666632">
              <w:rPr>
                <w:i w:val="0"/>
                <w:iCs w:val="0"/>
              </w:rPr>
              <w:t>Increment</w:t>
            </w:r>
          </w:p>
        </w:tc>
      </w:tr>
      <w:tr w:rsidR="00412FD8" w:rsidRPr="00666632" w14:paraId="29EC1AAD" w14:textId="77777777">
        <w:tc>
          <w:tcPr>
            <w:tcW w:w="5000" w:type="pct"/>
            <w:gridSpan w:val="4"/>
            <w:vAlign w:val="center"/>
          </w:tcPr>
          <w:p w14:paraId="183E5268" w14:textId="77777777" w:rsidR="00412FD8" w:rsidRPr="00666632" w:rsidRDefault="00412FD8" w:rsidP="008241B5">
            <w:pPr>
              <w:pStyle w:val="TableText0"/>
            </w:pPr>
            <w:r w:rsidRPr="00666632">
              <w:rPr>
                <w:b/>
                <w:bCs w:val="0"/>
              </w:rPr>
              <w:t>Step 1: Trial-based economic evaluation</w:t>
            </w:r>
            <w:r w:rsidRPr="00666632">
              <w:t>. A duration of 46 months</w:t>
            </w:r>
            <w:r w:rsidRPr="00666632">
              <w:rPr>
                <w:vertAlign w:val="superscript"/>
              </w:rPr>
              <w:t>a</w:t>
            </w:r>
            <w:r w:rsidRPr="00666632">
              <w:t>. Costs included were T-</w:t>
            </w:r>
            <w:proofErr w:type="spellStart"/>
            <w:r w:rsidRPr="00666632">
              <w:t>DXd</w:t>
            </w:r>
            <w:proofErr w:type="spellEnd"/>
            <w:r w:rsidRPr="00666632">
              <w:t xml:space="preserve"> and ICC drug costs, administration costs, and costs for management of AEs. The outcome measured was progression-free years gained. </w:t>
            </w:r>
          </w:p>
        </w:tc>
      </w:tr>
      <w:tr w:rsidR="00412FD8" w:rsidRPr="00666632" w14:paraId="637620D8" w14:textId="77777777">
        <w:tc>
          <w:tcPr>
            <w:tcW w:w="1529" w:type="pct"/>
            <w:vAlign w:val="center"/>
          </w:tcPr>
          <w:p w14:paraId="61C82FD8" w14:textId="77777777" w:rsidR="00412FD8" w:rsidRPr="00666632" w:rsidRDefault="00412FD8" w:rsidP="008241B5">
            <w:pPr>
              <w:pStyle w:val="TableText0"/>
              <w:rPr>
                <w:rFonts w:ascii="Times" w:hAnsi="Times"/>
              </w:rPr>
            </w:pPr>
            <w:r w:rsidRPr="00666632">
              <w:t>Costs</w:t>
            </w:r>
          </w:p>
        </w:tc>
        <w:tc>
          <w:tcPr>
            <w:tcW w:w="1359" w:type="pct"/>
          </w:tcPr>
          <w:p w14:paraId="57E058DE" w14:textId="35F66F2C"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c>
          <w:tcPr>
            <w:tcW w:w="1274" w:type="pct"/>
          </w:tcPr>
          <w:p w14:paraId="54BE2FF6" w14:textId="7247B1C5"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c>
          <w:tcPr>
            <w:tcW w:w="838" w:type="pct"/>
          </w:tcPr>
          <w:p w14:paraId="1F42DF1D" w14:textId="013D56B6"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r>
      <w:tr w:rsidR="00412FD8" w:rsidRPr="00666632" w14:paraId="6ACA4283" w14:textId="77777777">
        <w:tc>
          <w:tcPr>
            <w:tcW w:w="1529" w:type="pct"/>
            <w:vAlign w:val="center"/>
          </w:tcPr>
          <w:p w14:paraId="45D6D8FB" w14:textId="77777777" w:rsidR="00412FD8" w:rsidRPr="00666632" w:rsidRDefault="00412FD8" w:rsidP="008241B5">
            <w:pPr>
              <w:pStyle w:val="TableText0"/>
              <w:rPr>
                <w:rFonts w:ascii="Times" w:hAnsi="Times"/>
              </w:rPr>
            </w:pPr>
            <w:r w:rsidRPr="00666632">
              <w:t>Progression-free years gained</w:t>
            </w:r>
          </w:p>
        </w:tc>
        <w:tc>
          <w:tcPr>
            <w:tcW w:w="1359" w:type="pct"/>
          </w:tcPr>
          <w:p w14:paraId="5E4EFF35" w14:textId="77777777" w:rsidR="00412FD8" w:rsidRPr="00666632" w:rsidRDefault="00412FD8" w:rsidP="008241B5">
            <w:pPr>
              <w:pStyle w:val="TableText0"/>
              <w:jc w:val="center"/>
              <w:rPr>
                <w:rFonts w:ascii="Times" w:hAnsi="Times"/>
              </w:rPr>
            </w:pPr>
            <w:r w:rsidRPr="00666632">
              <w:t>1.310</w:t>
            </w:r>
          </w:p>
        </w:tc>
        <w:tc>
          <w:tcPr>
            <w:tcW w:w="1274" w:type="pct"/>
          </w:tcPr>
          <w:p w14:paraId="17A16EEC" w14:textId="77777777" w:rsidR="00412FD8" w:rsidRPr="00666632" w:rsidRDefault="00412FD8" w:rsidP="008241B5">
            <w:pPr>
              <w:pStyle w:val="TableText0"/>
              <w:jc w:val="center"/>
              <w:rPr>
                <w:rFonts w:ascii="Times" w:hAnsi="Times"/>
              </w:rPr>
            </w:pPr>
            <w:r w:rsidRPr="00666632">
              <w:t>0.795</w:t>
            </w:r>
          </w:p>
        </w:tc>
        <w:tc>
          <w:tcPr>
            <w:tcW w:w="838" w:type="pct"/>
          </w:tcPr>
          <w:p w14:paraId="2728FEF8" w14:textId="77777777" w:rsidR="00412FD8" w:rsidRPr="00666632" w:rsidRDefault="00412FD8" w:rsidP="008241B5">
            <w:pPr>
              <w:pStyle w:val="TableText0"/>
              <w:jc w:val="center"/>
            </w:pPr>
            <w:r w:rsidRPr="00666632">
              <w:t>0.514</w:t>
            </w:r>
          </w:p>
        </w:tc>
      </w:tr>
      <w:tr w:rsidR="00412FD8" w:rsidRPr="00666632" w14:paraId="53604124" w14:textId="77777777">
        <w:tc>
          <w:tcPr>
            <w:tcW w:w="4162" w:type="pct"/>
            <w:gridSpan w:val="3"/>
            <w:vAlign w:val="center"/>
          </w:tcPr>
          <w:p w14:paraId="6C66944C" w14:textId="77777777" w:rsidR="00412FD8" w:rsidRPr="00666632" w:rsidRDefault="00412FD8" w:rsidP="008241B5">
            <w:pPr>
              <w:pStyle w:val="TableText0"/>
              <w:rPr>
                <w:rFonts w:ascii="Times" w:hAnsi="Times"/>
              </w:rPr>
            </w:pPr>
            <w:r w:rsidRPr="00666632">
              <w:t>Incremental cost/extra progression-free year gained</w:t>
            </w:r>
          </w:p>
        </w:tc>
        <w:tc>
          <w:tcPr>
            <w:tcW w:w="838" w:type="pct"/>
            <w:vAlign w:val="center"/>
          </w:tcPr>
          <w:p w14:paraId="3654196D" w14:textId="55595BF7" w:rsidR="00412FD8" w:rsidRPr="0068260C" w:rsidRDefault="00412FD8" w:rsidP="008241B5">
            <w:pPr>
              <w:pStyle w:val="TableText0"/>
              <w:jc w:val="center"/>
              <w:rPr>
                <w:rFonts w:ascii="Times" w:hAnsi="Times"/>
                <w:vertAlign w:val="superscript"/>
              </w:rPr>
            </w:pPr>
            <w:r w:rsidRPr="00666632">
              <w:t>$</w:t>
            </w:r>
            <w:r w:rsidR="006340CE" w:rsidRPr="006340CE">
              <w:rPr>
                <w:sz w:val="2"/>
                <w:highlight w:val="black"/>
              </w:rPr>
              <w:t>redacted content</w:t>
            </w:r>
            <w:r w:rsidR="0068260C">
              <w:rPr>
                <w:vertAlign w:val="superscript"/>
              </w:rPr>
              <w:t>1</w:t>
            </w:r>
          </w:p>
        </w:tc>
      </w:tr>
      <w:tr w:rsidR="00412FD8" w:rsidRPr="00666632" w14:paraId="2A66C5A0" w14:textId="77777777">
        <w:tc>
          <w:tcPr>
            <w:tcW w:w="5000" w:type="pct"/>
            <w:gridSpan w:val="4"/>
            <w:vAlign w:val="center"/>
          </w:tcPr>
          <w:p w14:paraId="2EAFD40D" w14:textId="651B5496" w:rsidR="00412FD8" w:rsidRPr="00666632" w:rsidRDefault="00412FD8" w:rsidP="008241B5">
            <w:pPr>
              <w:pStyle w:val="In-tableHeading"/>
              <w:keepNext/>
              <w:rPr>
                <w:i w:val="0"/>
                <w:vertAlign w:val="superscript"/>
              </w:rPr>
            </w:pPr>
            <w:r w:rsidRPr="00666632">
              <w:rPr>
                <w:i w:val="0"/>
              </w:rPr>
              <w:t xml:space="preserve">Step 2a: Incorporating additional costs of health care resource use. </w:t>
            </w:r>
            <w:r w:rsidRPr="00666632">
              <w:rPr>
                <w:b w:val="0"/>
                <w:i w:val="0"/>
              </w:rPr>
              <w:t>Costs for disease monitoring, post-progression treatment (assuming 23.5% use of subsequent T-</w:t>
            </w:r>
            <w:proofErr w:type="spellStart"/>
            <w:r w:rsidRPr="00666632">
              <w:rPr>
                <w:b w:val="0"/>
                <w:i w:val="0"/>
              </w:rPr>
              <w:t>DXd</w:t>
            </w:r>
            <w:proofErr w:type="spellEnd"/>
            <w:r w:rsidRPr="00666632">
              <w:rPr>
                <w:b w:val="0"/>
                <w:i w:val="0"/>
              </w:rPr>
              <w:t xml:space="preserve"> in the ICC arm as in the clinical trial) and terminal care costs were included. The health outcome measured was LY </w:t>
            </w:r>
            <w:proofErr w:type="spellStart"/>
            <w:proofErr w:type="gramStart"/>
            <w:r w:rsidRPr="00666632">
              <w:rPr>
                <w:b w:val="0"/>
                <w:i w:val="0"/>
              </w:rPr>
              <w:t>gained.</w:t>
            </w:r>
            <w:r w:rsidRPr="00666632">
              <w:rPr>
                <w:b w:val="0"/>
                <w:i w:val="0"/>
                <w:vertAlign w:val="superscript"/>
              </w:rPr>
              <w:t>b</w:t>
            </w:r>
            <w:proofErr w:type="gramEnd"/>
            <w:r w:rsidR="002624C9" w:rsidRPr="00666632">
              <w:rPr>
                <w:b w:val="0"/>
                <w:i w:val="0"/>
                <w:vertAlign w:val="superscript"/>
              </w:rPr>
              <w:t>,</w:t>
            </w:r>
            <w:r w:rsidRPr="00666632">
              <w:rPr>
                <w:b w:val="0"/>
                <w:i w:val="0"/>
                <w:vertAlign w:val="superscript"/>
              </w:rPr>
              <w:t>c</w:t>
            </w:r>
            <w:proofErr w:type="spellEnd"/>
          </w:p>
        </w:tc>
      </w:tr>
      <w:tr w:rsidR="00412FD8" w:rsidRPr="00666632" w14:paraId="2742A1FB" w14:textId="77777777">
        <w:tc>
          <w:tcPr>
            <w:tcW w:w="1529" w:type="pct"/>
            <w:vAlign w:val="center"/>
          </w:tcPr>
          <w:p w14:paraId="43B848DE" w14:textId="77777777" w:rsidR="00412FD8" w:rsidRPr="00666632" w:rsidRDefault="00412FD8" w:rsidP="008241B5">
            <w:pPr>
              <w:pStyle w:val="TableText0"/>
              <w:rPr>
                <w:rFonts w:ascii="Times" w:hAnsi="Times"/>
              </w:rPr>
            </w:pPr>
            <w:r w:rsidRPr="00666632">
              <w:t>Costs</w:t>
            </w:r>
          </w:p>
        </w:tc>
        <w:tc>
          <w:tcPr>
            <w:tcW w:w="1359" w:type="pct"/>
          </w:tcPr>
          <w:p w14:paraId="0FD039E7" w14:textId="45C84331" w:rsidR="00412FD8" w:rsidRPr="00666632" w:rsidRDefault="00412FD8" w:rsidP="008241B5">
            <w:pPr>
              <w:pStyle w:val="TableText0"/>
              <w:jc w:val="center"/>
            </w:pPr>
            <w:r w:rsidRPr="00666632">
              <w:t>$</w:t>
            </w:r>
            <w:r w:rsidR="006340CE" w:rsidRPr="006340CE">
              <w:rPr>
                <w:sz w:val="2"/>
                <w:highlight w:val="black"/>
              </w:rPr>
              <w:t>redacted content</w:t>
            </w:r>
            <w:r w:rsidRPr="00666632">
              <w:tab/>
            </w:r>
          </w:p>
        </w:tc>
        <w:tc>
          <w:tcPr>
            <w:tcW w:w="1274" w:type="pct"/>
          </w:tcPr>
          <w:p w14:paraId="424A10CF" w14:textId="11DC4899" w:rsidR="00412FD8" w:rsidRPr="00666632" w:rsidRDefault="00412FD8" w:rsidP="008241B5">
            <w:pPr>
              <w:pStyle w:val="TableText0"/>
              <w:jc w:val="center"/>
            </w:pPr>
            <w:r w:rsidRPr="00666632">
              <w:t>$</w:t>
            </w:r>
            <w:r w:rsidR="006340CE" w:rsidRPr="006340CE">
              <w:rPr>
                <w:sz w:val="2"/>
                <w:highlight w:val="black"/>
              </w:rPr>
              <w:t>redacted content</w:t>
            </w:r>
          </w:p>
        </w:tc>
        <w:tc>
          <w:tcPr>
            <w:tcW w:w="838" w:type="pct"/>
          </w:tcPr>
          <w:p w14:paraId="2E73B063" w14:textId="20B54E1B" w:rsidR="00412FD8" w:rsidRPr="00666632" w:rsidRDefault="00412FD8" w:rsidP="008241B5">
            <w:pPr>
              <w:pStyle w:val="TableText0"/>
              <w:jc w:val="center"/>
            </w:pPr>
            <w:r w:rsidRPr="00666632">
              <w:t>$</w:t>
            </w:r>
            <w:r w:rsidR="006340CE" w:rsidRPr="006340CE">
              <w:rPr>
                <w:sz w:val="2"/>
                <w:highlight w:val="black"/>
              </w:rPr>
              <w:t>redacted content</w:t>
            </w:r>
          </w:p>
        </w:tc>
      </w:tr>
      <w:tr w:rsidR="00412FD8" w:rsidRPr="00666632" w14:paraId="42FEC301" w14:textId="77777777">
        <w:tc>
          <w:tcPr>
            <w:tcW w:w="1529" w:type="pct"/>
            <w:vAlign w:val="center"/>
          </w:tcPr>
          <w:p w14:paraId="424CCFC2" w14:textId="77777777" w:rsidR="00412FD8" w:rsidRPr="00666632" w:rsidRDefault="00412FD8" w:rsidP="008241B5">
            <w:pPr>
              <w:pStyle w:val="TableText0"/>
              <w:rPr>
                <w:rFonts w:ascii="Times" w:hAnsi="Times"/>
              </w:rPr>
            </w:pPr>
            <w:r w:rsidRPr="00666632">
              <w:t>LY gained</w:t>
            </w:r>
          </w:p>
        </w:tc>
        <w:tc>
          <w:tcPr>
            <w:tcW w:w="1359" w:type="pct"/>
          </w:tcPr>
          <w:p w14:paraId="17CB1A73" w14:textId="77777777" w:rsidR="00412FD8" w:rsidRPr="00666632" w:rsidRDefault="00412FD8" w:rsidP="008241B5">
            <w:pPr>
              <w:pStyle w:val="TableText0"/>
              <w:jc w:val="center"/>
            </w:pPr>
            <w:r w:rsidRPr="00666632">
              <w:t>2.537</w:t>
            </w:r>
          </w:p>
        </w:tc>
        <w:tc>
          <w:tcPr>
            <w:tcW w:w="1274" w:type="pct"/>
          </w:tcPr>
          <w:p w14:paraId="65C26080" w14:textId="77777777" w:rsidR="00412FD8" w:rsidRPr="00666632" w:rsidRDefault="00412FD8" w:rsidP="008241B5">
            <w:pPr>
              <w:pStyle w:val="TableText0"/>
              <w:jc w:val="center"/>
            </w:pPr>
            <w:r w:rsidRPr="00666632">
              <w:t>2.306</w:t>
            </w:r>
          </w:p>
        </w:tc>
        <w:tc>
          <w:tcPr>
            <w:tcW w:w="838" w:type="pct"/>
          </w:tcPr>
          <w:p w14:paraId="6CFD0D93" w14:textId="77777777" w:rsidR="00412FD8" w:rsidRPr="00666632" w:rsidRDefault="00412FD8" w:rsidP="008241B5">
            <w:pPr>
              <w:pStyle w:val="TableText0"/>
              <w:jc w:val="center"/>
            </w:pPr>
            <w:r w:rsidRPr="00666632">
              <w:t>0.231</w:t>
            </w:r>
          </w:p>
        </w:tc>
      </w:tr>
      <w:tr w:rsidR="00412FD8" w:rsidRPr="00666632" w14:paraId="07318703" w14:textId="77777777">
        <w:tc>
          <w:tcPr>
            <w:tcW w:w="4162" w:type="pct"/>
            <w:gridSpan w:val="3"/>
            <w:vAlign w:val="center"/>
          </w:tcPr>
          <w:p w14:paraId="428BC7EB" w14:textId="77777777" w:rsidR="00412FD8" w:rsidRPr="00666632" w:rsidRDefault="00412FD8" w:rsidP="008241B5">
            <w:pPr>
              <w:pStyle w:val="TableText0"/>
            </w:pPr>
            <w:r w:rsidRPr="00666632">
              <w:t>Incremental cost/extra LY gained</w:t>
            </w:r>
          </w:p>
        </w:tc>
        <w:tc>
          <w:tcPr>
            <w:tcW w:w="838" w:type="pct"/>
            <w:vAlign w:val="center"/>
          </w:tcPr>
          <w:p w14:paraId="078151F3" w14:textId="295A4D77" w:rsidR="00412FD8" w:rsidRPr="0068260C" w:rsidRDefault="00412FD8" w:rsidP="008241B5">
            <w:pPr>
              <w:pStyle w:val="TableText0"/>
              <w:jc w:val="center"/>
              <w:rPr>
                <w:vertAlign w:val="superscript"/>
              </w:rPr>
            </w:pPr>
            <w:r w:rsidRPr="00666632">
              <w:t>$</w:t>
            </w:r>
            <w:r w:rsidR="006340CE" w:rsidRPr="006340CE">
              <w:rPr>
                <w:sz w:val="2"/>
                <w:highlight w:val="black"/>
              </w:rPr>
              <w:t>redacted content</w:t>
            </w:r>
            <w:r w:rsidR="0068260C">
              <w:rPr>
                <w:vertAlign w:val="superscript"/>
              </w:rPr>
              <w:t>2</w:t>
            </w:r>
          </w:p>
        </w:tc>
      </w:tr>
      <w:tr w:rsidR="00412FD8" w:rsidRPr="00666632" w14:paraId="50694CE0" w14:textId="77777777">
        <w:tc>
          <w:tcPr>
            <w:tcW w:w="5000" w:type="pct"/>
            <w:gridSpan w:val="4"/>
            <w:vAlign w:val="center"/>
          </w:tcPr>
          <w:p w14:paraId="12152641" w14:textId="77777777" w:rsidR="00412FD8" w:rsidRPr="00666632" w:rsidRDefault="00412FD8" w:rsidP="008241B5">
            <w:pPr>
              <w:pStyle w:val="In-tableHeading"/>
              <w:keepNext/>
              <w:rPr>
                <w:i w:val="0"/>
                <w:vertAlign w:val="superscript"/>
              </w:rPr>
            </w:pPr>
            <w:r w:rsidRPr="00666632">
              <w:rPr>
                <w:i w:val="0"/>
              </w:rPr>
              <w:t xml:space="preserve">Step 2b: Extrapolating outcomes and costs to 15 </w:t>
            </w:r>
            <w:proofErr w:type="spellStart"/>
            <w:proofErr w:type="gramStart"/>
            <w:r w:rsidRPr="00666632">
              <w:rPr>
                <w:i w:val="0"/>
              </w:rPr>
              <w:t>years.</w:t>
            </w:r>
            <w:r w:rsidRPr="00666632">
              <w:rPr>
                <w:i w:val="0"/>
                <w:vertAlign w:val="superscript"/>
              </w:rPr>
              <w:t>b</w:t>
            </w:r>
            <w:proofErr w:type="gramEnd"/>
            <w:r w:rsidRPr="00666632">
              <w:rPr>
                <w:i w:val="0"/>
                <w:vertAlign w:val="superscript"/>
              </w:rPr>
              <w:t>,d</w:t>
            </w:r>
            <w:proofErr w:type="spellEnd"/>
          </w:p>
        </w:tc>
      </w:tr>
      <w:tr w:rsidR="00412FD8" w:rsidRPr="00666632" w14:paraId="498BA1D8" w14:textId="77777777">
        <w:tc>
          <w:tcPr>
            <w:tcW w:w="1529" w:type="pct"/>
            <w:vAlign w:val="center"/>
          </w:tcPr>
          <w:p w14:paraId="72B70F3B" w14:textId="77777777" w:rsidR="00412FD8" w:rsidRPr="00666632" w:rsidRDefault="00412FD8" w:rsidP="008241B5">
            <w:pPr>
              <w:pStyle w:val="TableText0"/>
              <w:rPr>
                <w:rFonts w:ascii="Times" w:hAnsi="Times"/>
              </w:rPr>
            </w:pPr>
            <w:r w:rsidRPr="00666632">
              <w:t>Costs</w:t>
            </w:r>
          </w:p>
        </w:tc>
        <w:tc>
          <w:tcPr>
            <w:tcW w:w="1359" w:type="pct"/>
          </w:tcPr>
          <w:p w14:paraId="73D02CD0" w14:textId="18985018" w:rsidR="00412FD8" w:rsidRPr="00666632" w:rsidRDefault="00412FD8" w:rsidP="008241B5">
            <w:pPr>
              <w:pStyle w:val="TableText0"/>
              <w:jc w:val="center"/>
            </w:pPr>
            <w:r w:rsidRPr="00666632">
              <w:t>$</w:t>
            </w:r>
            <w:r w:rsidR="006340CE" w:rsidRPr="006340CE">
              <w:rPr>
                <w:sz w:val="2"/>
                <w:highlight w:val="black"/>
              </w:rPr>
              <w:t>redacted content</w:t>
            </w:r>
          </w:p>
        </w:tc>
        <w:tc>
          <w:tcPr>
            <w:tcW w:w="1274" w:type="pct"/>
          </w:tcPr>
          <w:p w14:paraId="14541470" w14:textId="4F252DDE" w:rsidR="00412FD8" w:rsidRPr="00666632" w:rsidRDefault="00412FD8" w:rsidP="008241B5">
            <w:pPr>
              <w:pStyle w:val="TableText0"/>
              <w:jc w:val="center"/>
            </w:pPr>
            <w:r w:rsidRPr="00666632">
              <w:t>$</w:t>
            </w:r>
            <w:r w:rsidR="006340CE" w:rsidRPr="006340CE">
              <w:rPr>
                <w:sz w:val="2"/>
                <w:highlight w:val="black"/>
              </w:rPr>
              <w:t>redacted content</w:t>
            </w:r>
          </w:p>
        </w:tc>
        <w:tc>
          <w:tcPr>
            <w:tcW w:w="838" w:type="pct"/>
          </w:tcPr>
          <w:p w14:paraId="78A0BD50" w14:textId="7EF6EE79" w:rsidR="00412FD8" w:rsidRPr="00666632" w:rsidRDefault="00412FD8" w:rsidP="008241B5">
            <w:pPr>
              <w:pStyle w:val="TableText0"/>
              <w:jc w:val="center"/>
            </w:pPr>
            <w:r w:rsidRPr="00666632">
              <w:t>$</w:t>
            </w:r>
            <w:r w:rsidR="006340CE" w:rsidRPr="006340CE">
              <w:rPr>
                <w:sz w:val="2"/>
                <w:highlight w:val="black"/>
              </w:rPr>
              <w:t>redacted content</w:t>
            </w:r>
          </w:p>
        </w:tc>
      </w:tr>
      <w:tr w:rsidR="00412FD8" w:rsidRPr="00666632" w14:paraId="1865667B" w14:textId="77777777">
        <w:tc>
          <w:tcPr>
            <w:tcW w:w="1529" w:type="pct"/>
            <w:vAlign w:val="center"/>
          </w:tcPr>
          <w:p w14:paraId="0CCCB802" w14:textId="77777777" w:rsidR="00412FD8" w:rsidRPr="00666632" w:rsidRDefault="00412FD8" w:rsidP="008241B5">
            <w:pPr>
              <w:pStyle w:val="TableText0"/>
              <w:rPr>
                <w:rFonts w:ascii="Times" w:hAnsi="Times"/>
              </w:rPr>
            </w:pPr>
            <w:r w:rsidRPr="00666632">
              <w:t>LY gained</w:t>
            </w:r>
          </w:p>
        </w:tc>
        <w:tc>
          <w:tcPr>
            <w:tcW w:w="1359" w:type="pct"/>
          </w:tcPr>
          <w:p w14:paraId="24BBE4B8" w14:textId="77777777" w:rsidR="00412FD8" w:rsidRPr="00666632" w:rsidRDefault="00412FD8" w:rsidP="008241B5">
            <w:pPr>
              <w:pStyle w:val="TableText0"/>
              <w:jc w:val="center"/>
            </w:pPr>
            <w:r w:rsidRPr="00666632">
              <w:t>3.862</w:t>
            </w:r>
          </w:p>
        </w:tc>
        <w:tc>
          <w:tcPr>
            <w:tcW w:w="1274" w:type="pct"/>
          </w:tcPr>
          <w:p w14:paraId="57421EF7" w14:textId="77777777" w:rsidR="00412FD8" w:rsidRPr="00666632" w:rsidRDefault="00412FD8" w:rsidP="008241B5">
            <w:pPr>
              <w:pStyle w:val="TableText0"/>
              <w:jc w:val="center"/>
            </w:pPr>
            <w:r w:rsidRPr="00666632">
              <w:t>3.279</w:t>
            </w:r>
          </w:p>
        </w:tc>
        <w:tc>
          <w:tcPr>
            <w:tcW w:w="838" w:type="pct"/>
          </w:tcPr>
          <w:p w14:paraId="1EAAC572" w14:textId="77777777" w:rsidR="00412FD8" w:rsidRPr="00666632" w:rsidRDefault="00412FD8" w:rsidP="008241B5">
            <w:pPr>
              <w:pStyle w:val="TableText0"/>
              <w:jc w:val="center"/>
            </w:pPr>
            <w:r w:rsidRPr="00666632">
              <w:t>0.582</w:t>
            </w:r>
          </w:p>
        </w:tc>
      </w:tr>
      <w:tr w:rsidR="00412FD8" w:rsidRPr="00666632" w14:paraId="6F62BF1E" w14:textId="77777777">
        <w:tc>
          <w:tcPr>
            <w:tcW w:w="4162" w:type="pct"/>
            <w:gridSpan w:val="3"/>
            <w:vAlign w:val="center"/>
          </w:tcPr>
          <w:p w14:paraId="05193BC7" w14:textId="77777777" w:rsidR="00412FD8" w:rsidRPr="00666632" w:rsidRDefault="00412FD8" w:rsidP="008241B5">
            <w:pPr>
              <w:pStyle w:val="TableText0"/>
            </w:pPr>
            <w:r w:rsidRPr="00666632">
              <w:t>Incremental cost/extra LY gained</w:t>
            </w:r>
          </w:p>
        </w:tc>
        <w:tc>
          <w:tcPr>
            <w:tcW w:w="838" w:type="pct"/>
            <w:vAlign w:val="center"/>
          </w:tcPr>
          <w:p w14:paraId="3416F286" w14:textId="22674144" w:rsidR="00412FD8" w:rsidRPr="0068260C" w:rsidRDefault="00412FD8" w:rsidP="008241B5">
            <w:pPr>
              <w:pStyle w:val="TableText0"/>
              <w:jc w:val="center"/>
              <w:rPr>
                <w:vertAlign w:val="superscript"/>
              </w:rPr>
            </w:pPr>
            <w:r w:rsidRPr="00666632">
              <w:t>$</w:t>
            </w:r>
            <w:r w:rsidR="006340CE" w:rsidRPr="006340CE">
              <w:rPr>
                <w:sz w:val="2"/>
                <w:highlight w:val="black"/>
              </w:rPr>
              <w:t>redacted content</w:t>
            </w:r>
            <w:r w:rsidR="0068260C">
              <w:rPr>
                <w:vertAlign w:val="superscript"/>
              </w:rPr>
              <w:t>3</w:t>
            </w:r>
          </w:p>
        </w:tc>
      </w:tr>
      <w:tr w:rsidR="00412FD8" w:rsidRPr="00666632" w14:paraId="61478570" w14:textId="77777777">
        <w:tc>
          <w:tcPr>
            <w:tcW w:w="5000" w:type="pct"/>
            <w:gridSpan w:val="4"/>
            <w:vAlign w:val="center"/>
          </w:tcPr>
          <w:p w14:paraId="3A4AC3D5" w14:textId="77777777" w:rsidR="00412FD8" w:rsidRPr="00666632" w:rsidRDefault="00412FD8" w:rsidP="008241B5">
            <w:pPr>
              <w:pStyle w:val="In-tableHeading"/>
              <w:keepNext/>
              <w:rPr>
                <w:i w:val="0"/>
                <w:vertAlign w:val="superscript"/>
              </w:rPr>
            </w:pPr>
            <w:r w:rsidRPr="00666632">
              <w:rPr>
                <w:i w:val="0"/>
              </w:rPr>
              <w:t xml:space="preserve">Step 2c: Including discount rate of 5% per annum for both costs and health </w:t>
            </w:r>
            <w:proofErr w:type="spellStart"/>
            <w:proofErr w:type="gramStart"/>
            <w:r w:rsidRPr="00666632">
              <w:rPr>
                <w:i w:val="0"/>
              </w:rPr>
              <w:t>outcomes.</w:t>
            </w:r>
            <w:r w:rsidRPr="00666632">
              <w:rPr>
                <w:i w:val="0"/>
                <w:vertAlign w:val="superscript"/>
              </w:rPr>
              <w:t>b</w:t>
            </w:r>
            <w:proofErr w:type="spellEnd"/>
            <w:proofErr w:type="gramEnd"/>
          </w:p>
        </w:tc>
      </w:tr>
      <w:tr w:rsidR="00412FD8" w:rsidRPr="00666632" w14:paraId="7001414A" w14:textId="77777777">
        <w:tc>
          <w:tcPr>
            <w:tcW w:w="1529" w:type="pct"/>
            <w:vAlign w:val="center"/>
          </w:tcPr>
          <w:p w14:paraId="0FD70955" w14:textId="77777777" w:rsidR="00412FD8" w:rsidRPr="00666632" w:rsidRDefault="00412FD8" w:rsidP="008241B5">
            <w:pPr>
              <w:pStyle w:val="TableText0"/>
              <w:rPr>
                <w:rFonts w:ascii="Times" w:hAnsi="Times"/>
              </w:rPr>
            </w:pPr>
            <w:r w:rsidRPr="00666632">
              <w:t>Costs</w:t>
            </w:r>
          </w:p>
        </w:tc>
        <w:tc>
          <w:tcPr>
            <w:tcW w:w="1359" w:type="pct"/>
          </w:tcPr>
          <w:p w14:paraId="478DCE15" w14:textId="18F78919" w:rsidR="00412FD8" w:rsidRPr="00666632" w:rsidRDefault="00412FD8" w:rsidP="008241B5">
            <w:pPr>
              <w:pStyle w:val="TableText0"/>
              <w:jc w:val="center"/>
            </w:pPr>
            <w:r w:rsidRPr="00666632">
              <w:t>$</w:t>
            </w:r>
            <w:r w:rsidR="006340CE" w:rsidRPr="006340CE">
              <w:rPr>
                <w:sz w:val="2"/>
                <w:highlight w:val="black"/>
              </w:rPr>
              <w:t>redacted content</w:t>
            </w:r>
          </w:p>
        </w:tc>
        <w:tc>
          <w:tcPr>
            <w:tcW w:w="1274" w:type="pct"/>
          </w:tcPr>
          <w:p w14:paraId="2627CB0E" w14:textId="71BE03AC" w:rsidR="00412FD8" w:rsidRPr="00666632" w:rsidRDefault="00412FD8" w:rsidP="008241B5">
            <w:pPr>
              <w:pStyle w:val="TableText0"/>
              <w:jc w:val="center"/>
            </w:pPr>
            <w:r w:rsidRPr="00666632">
              <w:t>$</w:t>
            </w:r>
            <w:r w:rsidR="006340CE" w:rsidRPr="006340CE">
              <w:rPr>
                <w:sz w:val="2"/>
                <w:highlight w:val="black"/>
              </w:rPr>
              <w:t>redacted content</w:t>
            </w:r>
            <w:r w:rsidRPr="00666632">
              <w:t>5</w:t>
            </w:r>
          </w:p>
        </w:tc>
        <w:tc>
          <w:tcPr>
            <w:tcW w:w="838" w:type="pct"/>
          </w:tcPr>
          <w:p w14:paraId="5FA5A03E" w14:textId="0A341B47" w:rsidR="00412FD8" w:rsidRPr="00666632" w:rsidRDefault="00412FD8" w:rsidP="008241B5">
            <w:pPr>
              <w:pStyle w:val="TableText0"/>
              <w:jc w:val="center"/>
            </w:pPr>
            <w:r w:rsidRPr="00666632">
              <w:t>$</w:t>
            </w:r>
            <w:r w:rsidR="006340CE" w:rsidRPr="006340CE">
              <w:rPr>
                <w:sz w:val="2"/>
                <w:highlight w:val="black"/>
              </w:rPr>
              <w:t>redacted content</w:t>
            </w:r>
          </w:p>
        </w:tc>
      </w:tr>
      <w:tr w:rsidR="00412FD8" w:rsidRPr="00666632" w14:paraId="6A248E08" w14:textId="77777777">
        <w:tc>
          <w:tcPr>
            <w:tcW w:w="1529" w:type="pct"/>
            <w:vAlign w:val="center"/>
          </w:tcPr>
          <w:p w14:paraId="7B329AC2" w14:textId="77777777" w:rsidR="00412FD8" w:rsidRPr="00666632" w:rsidRDefault="00412FD8" w:rsidP="008241B5">
            <w:pPr>
              <w:pStyle w:val="TableText0"/>
              <w:rPr>
                <w:rFonts w:ascii="Times" w:hAnsi="Times"/>
              </w:rPr>
            </w:pPr>
            <w:r w:rsidRPr="00666632">
              <w:t>LY gained</w:t>
            </w:r>
          </w:p>
        </w:tc>
        <w:tc>
          <w:tcPr>
            <w:tcW w:w="1359" w:type="pct"/>
          </w:tcPr>
          <w:p w14:paraId="5F67ED73" w14:textId="77777777" w:rsidR="00412FD8" w:rsidRPr="00666632" w:rsidRDefault="00412FD8" w:rsidP="008241B5">
            <w:pPr>
              <w:pStyle w:val="TableText0"/>
              <w:jc w:val="center"/>
            </w:pPr>
            <w:r w:rsidRPr="00666632">
              <w:t>3.365</w:t>
            </w:r>
          </w:p>
        </w:tc>
        <w:tc>
          <w:tcPr>
            <w:tcW w:w="1274" w:type="pct"/>
          </w:tcPr>
          <w:p w14:paraId="310D410D" w14:textId="77777777" w:rsidR="00412FD8" w:rsidRPr="00666632" w:rsidRDefault="00412FD8" w:rsidP="008241B5">
            <w:pPr>
              <w:pStyle w:val="TableText0"/>
              <w:jc w:val="center"/>
            </w:pPr>
            <w:r w:rsidRPr="00666632">
              <w:t>2.907</w:t>
            </w:r>
          </w:p>
        </w:tc>
        <w:tc>
          <w:tcPr>
            <w:tcW w:w="838" w:type="pct"/>
          </w:tcPr>
          <w:p w14:paraId="64855541" w14:textId="77777777" w:rsidR="00412FD8" w:rsidRPr="00666632" w:rsidRDefault="00412FD8" w:rsidP="008241B5">
            <w:pPr>
              <w:pStyle w:val="TableText0"/>
              <w:jc w:val="center"/>
            </w:pPr>
            <w:r w:rsidRPr="00666632">
              <w:t>0.458</w:t>
            </w:r>
          </w:p>
        </w:tc>
      </w:tr>
      <w:tr w:rsidR="00412FD8" w:rsidRPr="00666632" w14:paraId="54747043" w14:textId="77777777">
        <w:tc>
          <w:tcPr>
            <w:tcW w:w="4162" w:type="pct"/>
            <w:gridSpan w:val="3"/>
            <w:vAlign w:val="center"/>
          </w:tcPr>
          <w:p w14:paraId="1769A692" w14:textId="77777777" w:rsidR="00412FD8" w:rsidRPr="00666632" w:rsidRDefault="00412FD8" w:rsidP="008241B5">
            <w:pPr>
              <w:pStyle w:val="TableText0"/>
            </w:pPr>
            <w:r w:rsidRPr="00666632">
              <w:t>Incremental cost/extra LY gained</w:t>
            </w:r>
          </w:p>
        </w:tc>
        <w:tc>
          <w:tcPr>
            <w:tcW w:w="838" w:type="pct"/>
            <w:vAlign w:val="center"/>
          </w:tcPr>
          <w:p w14:paraId="4B27E476" w14:textId="0AB586D6" w:rsidR="00412FD8" w:rsidRPr="0068260C" w:rsidRDefault="00412FD8" w:rsidP="008241B5">
            <w:pPr>
              <w:pStyle w:val="TableText0"/>
              <w:jc w:val="center"/>
              <w:rPr>
                <w:vertAlign w:val="superscript"/>
              </w:rPr>
            </w:pPr>
            <w:r w:rsidRPr="00666632">
              <w:t>$</w:t>
            </w:r>
            <w:r w:rsidR="006340CE" w:rsidRPr="006340CE">
              <w:rPr>
                <w:sz w:val="2"/>
                <w:highlight w:val="black"/>
              </w:rPr>
              <w:t>redacted content</w:t>
            </w:r>
            <w:r w:rsidR="00A27BF2">
              <w:rPr>
                <w:vertAlign w:val="superscript"/>
              </w:rPr>
              <w:t>4</w:t>
            </w:r>
          </w:p>
        </w:tc>
      </w:tr>
      <w:tr w:rsidR="00412FD8" w:rsidRPr="00666632" w14:paraId="2F77ED74" w14:textId="77777777">
        <w:tc>
          <w:tcPr>
            <w:tcW w:w="5000" w:type="pct"/>
            <w:gridSpan w:val="4"/>
            <w:vAlign w:val="center"/>
          </w:tcPr>
          <w:p w14:paraId="12039BAD" w14:textId="77777777" w:rsidR="00412FD8" w:rsidRPr="00666632" w:rsidRDefault="00412FD8" w:rsidP="008241B5">
            <w:pPr>
              <w:pStyle w:val="In-tableHeading"/>
              <w:keepNext/>
              <w:rPr>
                <w:i w:val="0"/>
                <w:vertAlign w:val="superscript"/>
              </w:rPr>
            </w:pPr>
            <w:r w:rsidRPr="00666632">
              <w:rPr>
                <w:i w:val="0"/>
              </w:rPr>
              <w:t>Step 2d: Increasing use of subsequent T-</w:t>
            </w:r>
            <w:proofErr w:type="spellStart"/>
            <w:r w:rsidRPr="00666632">
              <w:rPr>
                <w:i w:val="0"/>
              </w:rPr>
              <w:t>DXd</w:t>
            </w:r>
            <w:proofErr w:type="spellEnd"/>
            <w:r w:rsidRPr="00666632">
              <w:rPr>
                <w:i w:val="0"/>
              </w:rPr>
              <w:t xml:space="preserve"> therapy from 23.5% to 82.2% and incorporating OS upward </w:t>
            </w:r>
            <w:proofErr w:type="spellStart"/>
            <w:proofErr w:type="gramStart"/>
            <w:r w:rsidRPr="00666632">
              <w:rPr>
                <w:i w:val="0"/>
              </w:rPr>
              <w:t>adjustment.</w:t>
            </w:r>
            <w:r w:rsidRPr="00666632">
              <w:rPr>
                <w:i w:val="0"/>
                <w:vertAlign w:val="superscript"/>
              </w:rPr>
              <w:t>b</w:t>
            </w:r>
            <w:proofErr w:type="spellEnd"/>
            <w:proofErr w:type="gramEnd"/>
          </w:p>
        </w:tc>
      </w:tr>
      <w:tr w:rsidR="00412FD8" w:rsidRPr="00666632" w14:paraId="0E92F030" w14:textId="77777777">
        <w:tc>
          <w:tcPr>
            <w:tcW w:w="1529" w:type="pct"/>
            <w:vAlign w:val="center"/>
          </w:tcPr>
          <w:p w14:paraId="26DD380F" w14:textId="77777777" w:rsidR="00412FD8" w:rsidRPr="00666632" w:rsidRDefault="00412FD8" w:rsidP="008241B5">
            <w:pPr>
              <w:pStyle w:val="TableText0"/>
              <w:rPr>
                <w:rFonts w:ascii="Times" w:hAnsi="Times"/>
              </w:rPr>
            </w:pPr>
            <w:r w:rsidRPr="00666632">
              <w:t>Costs</w:t>
            </w:r>
          </w:p>
        </w:tc>
        <w:tc>
          <w:tcPr>
            <w:tcW w:w="1359" w:type="pct"/>
          </w:tcPr>
          <w:p w14:paraId="0FBC64C7" w14:textId="04C06BE4"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c>
          <w:tcPr>
            <w:tcW w:w="1274" w:type="pct"/>
          </w:tcPr>
          <w:p w14:paraId="4972EB27" w14:textId="11201440"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c>
          <w:tcPr>
            <w:tcW w:w="838" w:type="pct"/>
          </w:tcPr>
          <w:p w14:paraId="58B40E3C" w14:textId="4EAA01CF"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r>
      <w:tr w:rsidR="00412FD8" w:rsidRPr="00666632" w14:paraId="47448BBA" w14:textId="77777777">
        <w:tc>
          <w:tcPr>
            <w:tcW w:w="1529" w:type="pct"/>
            <w:vAlign w:val="center"/>
          </w:tcPr>
          <w:p w14:paraId="3615137E" w14:textId="77777777" w:rsidR="00412FD8" w:rsidRPr="00666632" w:rsidRDefault="00412FD8" w:rsidP="008241B5">
            <w:pPr>
              <w:pStyle w:val="TableText0"/>
              <w:rPr>
                <w:rFonts w:ascii="Times" w:hAnsi="Times"/>
              </w:rPr>
            </w:pPr>
            <w:r w:rsidRPr="00666632">
              <w:t>LY gained</w:t>
            </w:r>
          </w:p>
        </w:tc>
        <w:tc>
          <w:tcPr>
            <w:tcW w:w="1359" w:type="pct"/>
          </w:tcPr>
          <w:p w14:paraId="61998923" w14:textId="77777777" w:rsidR="00412FD8" w:rsidRPr="00666632" w:rsidRDefault="00412FD8" w:rsidP="008241B5">
            <w:pPr>
              <w:pStyle w:val="TableText0"/>
              <w:jc w:val="center"/>
              <w:rPr>
                <w:rFonts w:ascii="Times" w:hAnsi="Times"/>
              </w:rPr>
            </w:pPr>
            <w:r w:rsidRPr="00666632">
              <w:t>3.365</w:t>
            </w:r>
          </w:p>
        </w:tc>
        <w:tc>
          <w:tcPr>
            <w:tcW w:w="1274" w:type="pct"/>
          </w:tcPr>
          <w:p w14:paraId="5A2EDEAD" w14:textId="77777777" w:rsidR="00412FD8" w:rsidRPr="00666632" w:rsidRDefault="00412FD8" w:rsidP="008241B5">
            <w:pPr>
              <w:pStyle w:val="TableText0"/>
              <w:jc w:val="center"/>
              <w:rPr>
                <w:rFonts w:ascii="Times" w:hAnsi="Times"/>
              </w:rPr>
            </w:pPr>
            <w:r w:rsidRPr="00666632">
              <w:t>3.006</w:t>
            </w:r>
          </w:p>
        </w:tc>
        <w:tc>
          <w:tcPr>
            <w:tcW w:w="838" w:type="pct"/>
          </w:tcPr>
          <w:p w14:paraId="53218051" w14:textId="77777777" w:rsidR="00412FD8" w:rsidRPr="00666632" w:rsidRDefault="00412FD8" w:rsidP="008241B5">
            <w:pPr>
              <w:pStyle w:val="TableText0"/>
              <w:jc w:val="center"/>
            </w:pPr>
            <w:r w:rsidRPr="00666632">
              <w:t>0.359</w:t>
            </w:r>
          </w:p>
        </w:tc>
      </w:tr>
      <w:tr w:rsidR="00412FD8" w:rsidRPr="00666632" w14:paraId="27F54510" w14:textId="77777777">
        <w:tc>
          <w:tcPr>
            <w:tcW w:w="4162" w:type="pct"/>
            <w:gridSpan w:val="3"/>
            <w:vAlign w:val="center"/>
          </w:tcPr>
          <w:p w14:paraId="2BB1326B" w14:textId="77777777" w:rsidR="00412FD8" w:rsidRPr="00666632" w:rsidRDefault="00412FD8" w:rsidP="008241B5">
            <w:pPr>
              <w:pStyle w:val="TableText0"/>
              <w:rPr>
                <w:rFonts w:ascii="Times" w:hAnsi="Times"/>
              </w:rPr>
            </w:pPr>
            <w:r w:rsidRPr="00666632">
              <w:t>Incremental cost/extra LY gained</w:t>
            </w:r>
          </w:p>
        </w:tc>
        <w:tc>
          <w:tcPr>
            <w:tcW w:w="838" w:type="pct"/>
            <w:vAlign w:val="center"/>
          </w:tcPr>
          <w:p w14:paraId="47E7F02A" w14:textId="050D7DC1" w:rsidR="00412FD8" w:rsidRPr="00A27BF2" w:rsidRDefault="00412FD8" w:rsidP="008241B5">
            <w:pPr>
              <w:pStyle w:val="TableText0"/>
              <w:jc w:val="center"/>
              <w:rPr>
                <w:rFonts w:ascii="Times" w:hAnsi="Times"/>
                <w:vertAlign w:val="superscript"/>
              </w:rPr>
            </w:pPr>
            <w:r w:rsidRPr="00666632">
              <w:t>$</w:t>
            </w:r>
            <w:r w:rsidR="006340CE" w:rsidRPr="006340CE">
              <w:rPr>
                <w:sz w:val="2"/>
                <w:highlight w:val="black"/>
              </w:rPr>
              <w:t>redacted content</w:t>
            </w:r>
            <w:r w:rsidR="00A27BF2">
              <w:rPr>
                <w:vertAlign w:val="superscript"/>
              </w:rPr>
              <w:t>5</w:t>
            </w:r>
          </w:p>
        </w:tc>
      </w:tr>
      <w:tr w:rsidR="00412FD8" w:rsidRPr="00666632" w14:paraId="21124DE7" w14:textId="77777777">
        <w:trPr>
          <w:trHeight w:val="101"/>
        </w:trPr>
        <w:tc>
          <w:tcPr>
            <w:tcW w:w="5000" w:type="pct"/>
            <w:gridSpan w:val="4"/>
            <w:vAlign w:val="center"/>
          </w:tcPr>
          <w:p w14:paraId="07674D6F" w14:textId="77777777" w:rsidR="00412FD8" w:rsidRPr="00666632" w:rsidRDefault="00412FD8" w:rsidP="008241B5">
            <w:pPr>
              <w:pStyle w:val="In-tableHeading"/>
              <w:keepNext/>
              <w:rPr>
                <w:i w:val="0"/>
              </w:rPr>
            </w:pPr>
            <w:r w:rsidRPr="00666632">
              <w:rPr>
                <w:i w:val="0"/>
                <w:iCs w:val="0"/>
              </w:rPr>
              <w:t>Step 3: Applying utility weights</w:t>
            </w:r>
            <w:r w:rsidRPr="00666632">
              <w:rPr>
                <w:i w:val="0"/>
              </w:rPr>
              <w:t xml:space="preserve">. </w:t>
            </w:r>
          </w:p>
        </w:tc>
      </w:tr>
      <w:tr w:rsidR="00412FD8" w:rsidRPr="00666632" w14:paraId="24B851EA" w14:textId="77777777">
        <w:tc>
          <w:tcPr>
            <w:tcW w:w="1529" w:type="pct"/>
            <w:vAlign w:val="center"/>
          </w:tcPr>
          <w:p w14:paraId="564361B2" w14:textId="77777777" w:rsidR="00412FD8" w:rsidRPr="00666632" w:rsidRDefault="00412FD8" w:rsidP="008241B5">
            <w:pPr>
              <w:pStyle w:val="TableText0"/>
              <w:rPr>
                <w:rFonts w:ascii="Times" w:hAnsi="Times"/>
              </w:rPr>
            </w:pPr>
            <w:r w:rsidRPr="00666632">
              <w:t>Costs</w:t>
            </w:r>
          </w:p>
        </w:tc>
        <w:tc>
          <w:tcPr>
            <w:tcW w:w="1359" w:type="pct"/>
          </w:tcPr>
          <w:p w14:paraId="7207CE24" w14:textId="557A6903"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c>
          <w:tcPr>
            <w:tcW w:w="1274" w:type="pct"/>
          </w:tcPr>
          <w:p w14:paraId="307C2B2C" w14:textId="3C110795"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c>
          <w:tcPr>
            <w:tcW w:w="838" w:type="pct"/>
          </w:tcPr>
          <w:p w14:paraId="269106A3" w14:textId="227627AF" w:rsidR="00412FD8" w:rsidRPr="00666632" w:rsidRDefault="00412FD8" w:rsidP="008241B5">
            <w:pPr>
              <w:pStyle w:val="TableText0"/>
              <w:jc w:val="center"/>
              <w:rPr>
                <w:rFonts w:ascii="Times" w:hAnsi="Times"/>
              </w:rPr>
            </w:pPr>
            <w:r w:rsidRPr="00666632">
              <w:t>$</w:t>
            </w:r>
            <w:r w:rsidR="006340CE" w:rsidRPr="006340CE">
              <w:rPr>
                <w:sz w:val="2"/>
                <w:highlight w:val="black"/>
              </w:rPr>
              <w:t>redacted content</w:t>
            </w:r>
          </w:p>
        </w:tc>
      </w:tr>
      <w:tr w:rsidR="00412FD8" w:rsidRPr="00666632" w14:paraId="4C44E7B7" w14:textId="77777777">
        <w:tc>
          <w:tcPr>
            <w:tcW w:w="1529" w:type="pct"/>
            <w:vAlign w:val="center"/>
          </w:tcPr>
          <w:p w14:paraId="4E2B4869" w14:textId="77777777" w:rsidR="00412FD8" w:rsidRPr="00666632" w:rsidRDefault="00412FD8" w:rsidP="008241B5">
            <w:pPr>
              <w:pStyle w:val="TableText0"/>
              <w:rPr>
                <w:rFonts w:ascii="Times" w:hAnsi="Times"/>
              </w:rPr>
            </w:pPr>
            <w:r w:rsidRPr="00666632">
              <w:t>QALYs</w:t>
            </w:r>
          </w:p>
        </w:tc>
        <w:tc>
          <w:tcPr>
            <w:tcW w:w="1359" w:type="pct"/>
            <w:vAlign w:val="bottom"/>
          </w:tcPr>
          <w:p w14:paraId="6D85CC24" w14:textId="77777777" w:rsidR="00412FD8" w:rsidRPr="00666632" w:rsidRDefault="00412FD8" w:rsidP="008241B5">
            <w:pPr>
              <w:pStyle w:val="TableText0"/>
              <w:jc w:val="center"/>
              <w:rPr>
                <w:rFonts w:ascii="Times" w:hAnsi="Times"/>
              </w:rPr>
            </w:pPr>
            <w:r w:rsidRPr="00666632">
              <w:rPr>
                <w:szCs w:val="20"/>
              </w:rPr>
              <w:t>2.189</w:t>
            </w:r>
          </w:p>
        </w:tc>
        <w:tc>
          <w:tcPr>
            <w:tcW w:w="1274" w:type="pct"/>
            <w:vAlign w:val="bottom"/>
          </w:tcPr>
          <w:p w14:paraId="40F585C7" w14:textId="77777777" w:rsidR="00412FD8" w:rsidRPr="00666632" w:rsidRDefault="00412FD8" w:rsidP="008241B5">
            <w:pPr>
              <w:pStyle w:val="TableText0"/>
              <w:jc w:val="center"/>
              <w:rPr>
                <w:rFonts w:ascii="Times" w:hAnsi="Times"/>
              </w:rPr>
            </w:pPr>
            <w:r w:rsidRPr="00666632">
              <w:rPr>
                <w:szCs w:val="20"/>
              </w:rPr>
              <w:t>1.791</w:t>
            </w:r>
          </w:p>
        </w:tc>
        <w:tc>
          <w:tcPr>
            <w:tcW w:w="838" w:type="pct"/>
            <w:vAlign w:val="bottom"/>
          </w:tcPr>
          <w:p w14:paraId="2619F125" w14:textId="77777777" w:rsidR="00412FD8" w:rsidRPr="00666632" w:rsidRDefault="00412FD8" w:rsidP="008241B5">
            <w:pPr>
              <w:pStyle w:val="TableText0"/>
              <w:jc w:val="center"/>
            </w:pPr>
            <w:r w:rsidRPr="00666632">
              <w:rPr>
                <w:szCs w:val="20"/>
              </w:rPr>
              <w:t>0.398</w:t>
            </w:r>
          </w:p>
        </w:tc>
      </w:tr>
      <w:tr w:rsidR="00412FD8" w:rsidRPr="00666632" w14:paraId="711E0A6A" w14:textId="77777777">
        <w:tc>
          <w:tcPr>
            <w:tcW w:w="4162" w:type="pct"/>
            <w:gridSpan w:val="3"/>
            <w:vAlign w:val="center"/>
          </w:tcPr>
          <w:p w14:paraId="0A7A3811" w14:textId="77777777" w:rsidR="00412FD8" w:rsidRPr="00666632" w:rsidRDefault="00412FD8" w:rsidP="008241B5">
            <w:pPr>
              <w:pStyle w:val="TableText0"/>
              <w:rPr>
                <w:rFonts w:ascii="Times" w:hAnsi="Times"/>
                <w:b/>
              </w:rPr>
            </w:pPr>
            <w:r w:rsidRPr="00666632">
              <w:rPr>
                <w:b/>
              </w:rPr>
              <w:t>Incremental cost/extra QALY gained (base case)</w:t>
            </w:r>
          </w:p>
        </w:tc>
        <w:tc>
          <w:tcPr>
            <w:tcW w:w="838" w:type="pct"/>
            <w:vAlign w:val="center"/>
          </w:tcPr>
          <w:p w14:paraId="0DC59CD3" w14:textId="24FE5938" w:rsidR="00412FD8" w:rsidRPr="00A27BF2" w:rsidRDefault="00412FD8" w:rsidP="008241B5">
            <w:pPr>
              <w:pStyle w:val="TableText0"/>
              <w:jc w:val="center"/>
              <w:rPr>
                <w:rFonts w:ascii="Times" w:hAnsi="Times"/>
                <w:b/>
                <w:vertAlign w:val="superscript"/>
              </w:rPr>
            </w:pPr>
            <w:r w:rsidRPr="00666632">
              <w:rPr>
                <w:b/>
              </w:rPr>
              <w:t>$</w:t>
            </w:r>
            <w:r w:rsidR="006340CE" w:rsidRPr="006340CE">
              <w:rPr>
                <w:b/>
                <w:sz w:val="2"/>
                <w:highlight w:val="black"/>
              </w:rPr>
              <w:t>redacted content</w:t>
            </w:r>
            <w:r w:rsidR="00CC6C13">
              <w:rPr>
                <w:b/>
                <w:vertAlign w:val="superscript"/>
              </w:rPr>
              <w:t>5</w:t>
            </w:r>
          </w:p>
        </w:tc>
      </w:tr>
    </w:tbl>
    <w:p w14:paraId="28827474" w14:textId="77777777" w:rsidR="00412FD8" w:rsidRDefault="00412FD8" w:rsidP="008241B5">
      <w:pPr>
        <w:pStyle w:val="FooterTableFigure"/>
      </w:pPr>
      <w:r w:rsidRPr="00CE3D1B">
        <w:t>Source:</w:t>
      </w:r>
      <w:r>
        <w:t xml:space="preserve"> Table 3.33, p165 of the submission. </w:t>
      </w:r>
    </w:p>
    <w:p w14:paraId="2FBA4801" w14:textId="77777777" w:rsidR="00412FD8" w:rsidRDefault="00412FD8" w:rsidP="008241B5">
      <w:pPr>
        <w:pStyle w:val="FooterTableFigure"/>
      </w:pPr>
      <w:r>
        <w:t>AEs = adverse events; DCO2 = data cutoff 2; ICC = investigator’s choice of chemotherapy; ICER = incremental cost-effectiveness ratio; LY = life year; OS = overall survival; PFS = progression-free survival; QALY = quality-adjusted life year; T-</w:t>
      </w:r>
      <w:proofErr w:type="spellStart"/>
      <w:r>
        <w:t>DXd</w:t>
      </w:r>
      <w:proofErr w:type="spellEnd"/>
      <w:r>
        <w:t xml:space="preserve"> = trastuzumab deruxtecan; TTD = time to treatment discontinuation </w:t>
      </w:r>
    </w:p>
    <w:p w14:paraId="18691B3E" w14:textId="77777777" w:rsidR="00412FD8" w:rsidRDefault="00412FD8" w:rsidP="008241B5">
      <w:pPr>
        <w:pStyle w:val="FooterTableFigure"/>
        <w:rPr>
          <w:szCs w:val="18"/>
        </w:rPr>
      </w:pPr>
      <w:r w:rsidRPr="008D34A8">
        <w:rPr>
          <w:szCs w:val="18"/>
          <w:vertAlign w:val="superscript"/>
        </w:rPr>
        <w:t>a</w:t>
      </w:r>
      <w:r w:rsidRPr="008D34A8">
        <w:rPr>
          <w:szCs w:val="18"/>
        </w:rPr>
        <w:t xml:space="preserve"> Time point where PFS data from DCO2 available for both treatment arms</w:t>
      </w:r>
    </w:p>
    <w:p w14:paraId="1346DAF0" w14:textId="77777777" w:rsidR="00412FD8" w:rsidRPr="00666632" w:rsidRDefault="00412FD8" w:rsidP="008241B5">
      <w:pPr>
        <w:pStyle w:val="FooterTableFigure"/>
        <w:rPr>
          <w:szCs w:val="18"/>
        </w:rPr>
      </w:pPr>
      <w:r w:rsidRPr="00666632">
        <w:rPr>
          <w:szCs w:val="18"/>
          <w:vertAlign w:val="superscript"/>
        </w:rPr>
        <w:t xml:space="preserve">b </w:t>
      </w:r>
      <w:r w:rsidRPr="00666632">
        <w:rPr>
          <w:szCs w:val="18"/>
        </w:rPr>
        <w:t xml:space="preserve">Steps disaggregated during the evaluation </w:t>
      </w:r>
      <w:proofErr w:type="gramStart"/>
      <w:r w:rsidRPr="00666632">
        <w:rPr>
          <w:szCs w:val="18"/>
        </w:rPr>
        <w:t>in order to</w:t>
      </w:r>
      <w:proofErr w:type="gramEnd"/>
      <w:r w:rsidRPr="00666632">
        <w:rPr>
          <w:szCs w:val="18"/>
        </w:rPr>
        <w:t xml:space="preserve"> outline the effects of certain model parameters on the ICER.</w:t>
      </w:r>
    </w:p>
    <w:p w14:paraId="2049F29F" w14:textId="77777777" w:rsidR="00412FD8" w:rsidRPr="00666632" w:rsidRDefault="00412FD8" w:rsidP="008241B5">
      <w:pPr>
        <w:pStyle w:val="FooterTableFigure"/>
        <w:rPr>
          <w:szCs w:val="18"/>
        </w:rPr>
      </w:pPr>
      <w:r w:rsidRPr="00666632">
        <w:rPr>
          <w:szCs w:val="18"/>
          <w:vertAlign w:val="superscript"/>
        </w:rPr>
        <w:t xml:space="preserve">c </w:t>
      </w:r>
      <w:proofErr w:type="gramStart"/>
      <w:r w:rsidRPr="00666632">
        <w:rPr>
          <w:szCs w:val="18"/>
        </w:rPr>
        <w:t>To</w:t>
      </w:r>
      <w:proofErr w:type="gramEnd"/>
      <w:r w:rsidRPr="00666632">
        <w:rPr>
          <w:szCs w:val="18"/>
        </w:rPr>
        <w:t xml:space="preserve"> generate the trial-based LYs over the time horizon of 46 months, the trial-based PFS, OS, and TTD curves were used up until Cycle 66, the last observation time point where all trial data were available. </w:t>
      </w:r>
    </w:p>
    <w:p w14:paraId="4FED7189" w14:textId="4E820138" w:rsidR="00412FD8" w:rsidRDefault="00412FD8" w:rsidP="008241B5">
      <w:pPr>
        <w:pStyle w:val="FooterTableFigure"/>
        <w:rPr>
          <w:szCs w:val="18"/>
        </w:rPr>
      </w:pPr>
      <w:r w:rsidRPr="00666632">
        <w:rPr>
          <w:szCs w:val="18"/>
          <w:vertAlign w:val="superscript"/>
        </w:rPr>
        <w:t>d</w:t>
      </w:r>
      <w:r w:rsidRPr="00666632">
        <w:rPr>
          <w:szCs w:val="18"/>
        </w:rPr>
        <w:t xml:space="preserve"> Using the </w:t>
      </w:r>
      <w:r w:rsidR="002624C9" w:rsidRPr="00666632">
        <w:rPr>
          <w:szCs w:val="18"/>
        </w:rPr>
        <w:t>extrapolation</w:t>
      </w:r>
      <w:r w:rsidRPr="00666632">
        <w:rPr>
          <w:szCs w:val="18"/>
        </w:rPr>
        <w:t xml:space="preserve"> time points selected in the submission’s base case.</w:t>
      </w:r>
    </w:p>
    <w:p w14:paraId="5202C165" w14:textId="21CABC6C" w:rsidR="00CC6C13" w:rsidRDefault="00CC6C13" w:rsidP="008241B5">
      <w:pPr>
        <w:pStyle w:val="FooterTableFigure"/>
        <w:rPr>
          <w:i/>
          <w:iCs/>
          <w:szCs w:val="18"/>
        </w:rPr>
      </w:pPr>
      <w:r>
        <w:rPr>
          <w:i/>
          <w:iCs/>
          <w:szCs w:val="18"/>
        </w:rPr>
        <w:t>The redacted values correspond to the following ranges:</w:t>
      </w:r>
    </w:p>
    <w:p w14:paraId="63B5651E" w14:textId="565661B6" w:rsidR="00CC6C13" w:rsidRDefault="00CC6C13" w:rsidP="008241B5">
      <w:pPr>
        <w:pStyle w:val="FooterTableFigure"/>
        <w:rPr>
          <w:i/>
          <w:iCs/>
          <w:szCs w:val="18"/>
        </w:rPr>
      </w:pPr>
      <w:r>
        <w:rPr>
          <w:i/>
          <w:iCs/>
          <w:szCs w:val="18"/>
          <w:vertAlign w:val="superscript"/>
        </w:rPr>
        <w:t>1</w:t>
      </w:r>
      <w:r>
        <w:rPr>
          <w:i/>
          <w:iCs/>
          <w:szCs w:val="18"/>
        </w:rPr>
        <w:t xml:space="preserve"> $115,000 to &lt;$135,000</w:t>
      </w:r>
    </w:p>
    <w:p w14:paraId="4D0E306E" w14:textId="77777777" w:rsidR="00CC6C13" w:rsidRDefault="00CC6C13" w:rsidP="008241B5">
      <w:pPr>
        <w:pStyle w:val="FooterTableFigure"/>
        <w:rPr>
          <w:i/>
          <w:iCs/>
          <w:szCs w:val="18"/>
        </w:rPr>
      </w:pPr>
      <w:r>
        <w:rPr>
          <w:i/>
          <w:iCs/>
          <w:szCs w:val="18"/>
          <w:vertAlign w:val="superscript"/>
        </w:rPr>
        <w:t>2</w:t>
      </w:r>
      <w:r>
        <w:rPr>
          <w:i/>
          <w:iCs/>
          <w:szCs w:val="18"/>
        </w:rPr>
        <w:t xml:space="preserve"> $155,000 to &lt;$255,000</w:t>
      </w:r>
    </w:p>
    <w:p w14:paraId="3A8220DE" w14:textId="10F59327" w:rsidR="00CC6C13" w:rsidRDefault="00CC6C13" w:rsidP="008241B5">
      <w:pPr>
        <w:pStyle w:val="FooterTableFigure"/>
        <w:rPr>
          <w:i/>
          <w:iCs/>
          <w:szCs w:val="18"/>
        </w:rPr>
      </w:pPr>
      <w:r>
        <w:rPr>
          <w:i/>
          <w:iCs/>
          <w:szCs w:val="18"/>
          <w:vertAlign w:val="superscript"/>
        </w:rPr>
        <w:t xml:space="preserve">3 </w:t>
      </w:r>
      <w:r>
        <w:rPr>
          <w:i/>
          <w:iCs/>
          <w:szCs w:val="18"/>
        </w:rPr>
        <w:t>$</w:t>
      </w:r>
      <w:r w:rsidR="0094710F">
        <w:rPr>
          <w:i/>
          <w:iCs/>
          <w:szCs w:val="18"/>
        </w:rPr>
        <w:t>75,000 to &lt; $95,000</w:t>
      </w:r>
    </w:p>
    <w:p w14:paraId="6637B35B" w14:textId="253C0391" w:rsidR="0094710F" w:rsidRDefault="0094710F" w:rsidP="008241B5">
      <w:pPr>
        <w:pStyle w:val="FooterTableFigure"/>
        <w:rPr>
          <w:i/>
          <w:iCs/>
          <w:szCs w:val="18"/>
        </w:rPr>
      </w:pPr>
      <w:r>
        <w:rPr>
          <w:i/>
          <w:iCs/>
          <w:szCs w:val="18"/>
          <w:vertAlign w:val="superscript"/>
        </w:rPr>
        <w:t>4</w:t>
      </w:r>
      <w:r>
        <w:rPr>
          <w:i/>
          <w:iCs/>
          <w:szCs w:val="18"/>
        </w:rPr>
        <w:t xml:space="preserve"> $95,000 to &lt; $115,000</w:t>
      </w:r>
    </w:p>
    <w:p w14:paraId="2CE3F320" w14:textId="260C05E0" w:rsidR="0003748A" w:rsidRDefault="0094710F" w:rsidP="008241B5">
      <w:pPr>
        <w:pStyle w:val="FooterTableFigure"/>
        <w:rPr>
          <w:i/>
          <w:iCs/>
          <w:szCs w:val="18"/>
        </w:rPr>
      </w:pPr>
      <w:r>
        <w:rPr>
          <w:i/>
          <w:iCs/>
          <w:szCs w:val="18"/>
          <w:vertAlign w:val="superscript"/>
        </w:rPr>
        <w:t>5</w:t>
      </w:r>
      <w:r>
        <w:rPr>
          <w:i/>
          <w:iCs/>
          <w:szCs w:val="18"/>
        </w:rPr>
        <w:t xml:space="preserve"> $55,000 to &lt; $75,000</w:t>
      </w:r>
    </w:p>
    <w:p w14:paraId="1AE1BAFB" w14:textId="77777777" w:rsidR="0094710F" w:rsidRPr="0094710F" w:rsidRDefault="0094710F" w:rsidP="008241B5">
      <w:pPr>
        <w:pStyle w:val="FooterTableFigure"/>
        <w:rPr>
          <w:i/>
          <w:iCs/>
          <w:szCs w:val="18"/>
        </w:rPr>
      </w:pPr>
    </w:p>
    <w:p w14:paraId="63298250" w14:textId="2C2F603C" w:rsidR="00412FD8" w:rsidRPr="00904162" w:rsidRDefault="00412FD8" w:rsidP="008241B5">
      <w:pPr>
        <w:pStyle w:val="3-BodyText"/>
      </w:pPr>
      <w:r w:rsidRPr="00904162">
        <w:t>Results indicated that the step which affected the result the most was the extrapolation of the model time horizon (Step 2b). Extending the time horizon from 46 months to 15 years resulted in a decrease of ICER from $</w:t>
      </w:r>
      <w:r w:rsidR="0003748A">
        <w:t>155,000 to &lt; $255,000</w:t>
      </w:r>
      <w:r w:rsidRPr="00904162">
        <w:t>/life year (LY) gained to $</w:t>
      </w:r>
      <w:r w:rsidR="0003748A">
        <w:t>75,000 to &lt; $95,000</w:t>
      </w:r>
      <w:r w:rsidRPr="00904162">
        <w:t>/LY gain. Another step that had a big impact on the ICER was 2d – assuming a higher proportion of patients receiving T-</w:t>
      </w:r>
      <w:proofErr w:type="spellStart"/>
      <w:r w:rsidRPr="00904162">
        <w:t>DXd</w:t>
      </w:r>
      <w:proofErr w:type="spellEnd"/>
      <w:r w:rsidRPr="00904162">
        <w:t xml:space="preserve"> following ICC in clinical practice than the trial setting (82.2% vs. 23.5%) reduced the </w:t>
      </w:r>
      <w:r w:rsidRPr="00904162">
        <w:lastRenderedPageBreak/>
        <w:t>ICER from $</w:t>
      </w:r>
      <w:r w:rsidR="0003748A">
        <w:t>95,000 to &lt; $115,000</w:t>
      </w:r>
      <w:r w:rsidRPr="00904162">
        <w:t>/LY gained to $</w:t>
      </w:r>
      <w:r w:rsidR="0003748A">
        <w:t>55,000 to &lt; $75,000</w:t>
      </w:r>
      <w:r w:rsidRPr="00904162">
        <w:t>/LY gained. This was due to the inclusion of extra use of subsequent T-</w:t>
      </w:r>
      <w:proofErr w:type="spellStart"/>
      <w:r w:rsidRPr="00904162">
        <w:t>DXd</w:t>
      </w:r>
      <w:proofErr w:type="spellEnd"/>
      <w:r w:rsidRPr="00904162">
        <w:t xml:space="preserve"> therapy in the comparator arm which was modelled as a less cost-effective therapy using the submission’s approach to adjustment for health outcomes</w:t>
      </w:r>
      <w:r w:rsidR="006C3B3C">
        <w:t xml:space="preserve"> (see also paragraph </w:t>
      </w:r>
      <w:r w:rsidR="00B05300">
        <w:fldChar w:fldCharType="begin"/>
      </w:r>
      <w:r w:rsidR="00B05300">
        <w:instrText xml:space="preserve"> REF _Ref221787063 \r \h </w:instrText>
      </w:r>
      <w:r w:rsidR="00B05300">
        <w:fldChar w:fldCharType="separate"/>
      </w:r>
      <w:r w:rsidR="00453A02">
        <w:t>6.76</w:t>
      </w:r>
      <w:r w:rsidR="00B05300">
        <w:fldChar w:fldCharType="end"/>
      </w:r>
      <w:r w:rsidR="00B05300">
        <w:t>-</w:t>
      </w:r>
      <w:r w:rsidR="00B05300">
        <w:fldChar w:fldCharType="begin"/>
      </w:r>
      <w:r w:rsidR="00B05300">
        <w:instrText xml:space="preserve"> REF _Ref221787073 \r \h </w:instrText>
      </w:r>
      <w:r w:rsidR="00B05300">
        <w:fldChar w:fldCharType="separate"/>
      </w:r>
      <w:r w:rsidR="00453A02">
        <w:t>6.82</w:t>
      </w:r>
      <w:r w:rsidR="00B05300">
        <w:fldChar w:fldCharType="end"/>
      </w:r>
      <w:r w:rsidR="00B05300">
        <w:t>)</w:t>
      </w:r>
      <w:r w:rsidRPr="00904162">
        <w:t xml:space="preserve">. </w:t>
      </w:r>
    </w:p>
    <w:p w14:paraId="4A792655" w14:textId="4A6C6E1E" w:rsidR="00412FD8" w:rsidRPr="00904162" w:rsidRDefault="00412FD8" w:rsidP="008241B5">
      <w:pPr>
        <w:pStyle w:val="3-BodyText"/>
      </w:pPr>
      <w:r w:rsidRPr="00904162">
        <w:t xml:space="preserve">The disaggregated results of the economic evaluation in terms of costs and health outcomes are summarised in </w:t>
      </w:r>
      <w:r w:rsidRPr="00904162">
        <w:fldChar w:fldCharType="begin"/>
      </w:r>
      <w:r w:rsidRPr="00904162">
        <w:instrText xml:space="preserve"> REF _Ref217757972 \h </w:instrText>
      </w:r>
      <w:r w:rsidR="00904162">
        <w:instrText xml:space="preserve"> \* MERGEFORMAT </w:instrText>
      </w:r>
      <w:r w:rsidRPr="00904162">
        <w:fldChar w:fldCharType="separate"/>
      </w:r>
      <w:r w:rsidR="005D3E29">
        <w:t xml:space="preserve">Table </w:t>
      </w:r>
      <w:r w:rsidR="005D3E29">
        <w:rPr>
          <w:noProof/>
        </w:rPr>
        <w:t>15</w:t>
      </w:r>
      <w:r w:rsidRPr="00904162">
        <w:fldChar w:fldCharType="end"/>
      </w:r>
      <w:r w:rsidRPr="00904162">
        <w:t xml:space="preserve"> and </w:t>
      </w:r>
      <w:r w:rsidRPr="00904162">
        <w:fldChar w:fldCharType="begin"/>
      </w:r>
      <w:r w:rsidRPr="00904162">
        <w:instrText xml:space="preserve"> REF _Ref217757974 \h </w:instrText>
      </w:r>
      <w:r w:rsidR="00904162">
        <w:instrText xml:space="preserve"> \* MERGEFORMAT </w:instrText>
      </w:r>
      <w:r w:rsidRPr="00904162">
        <w:fldChar w:fldCharType="separate"/>
      </w:r>
      <w:r w:rsidR="005D3E29">
        <w:t xml:space="preserve">Table </w:t>
      </w:r>
      <w:r w:rsidR="005D3E29">
        <w:rPr>
          <w:noProof/>
        </w:rPr>
        <w:t>16</w:t>
      </w:r>
      <w:r w:rsidRPr="00904162">
        <w:fldChar w:fldCharType="end"/>
      </w:r>
      <w:r w:rsidRPr="00904162">
        <w:t xml:space="preserve">, respectively. </w:t>
      </w:r>
    </w:p>
    <w:p w14:paraId="24C05A9B" w14:textId="09426E6E" w:rsidR="00412FD8" w:rsidRPr="002774A8" w:rsidRDefault="00412FD8" w:rsidP="008241B5">
      <w:pPr>
        <w:pStyle w:val="Caption"/>
      </w:pPr>
      <w:bookmarkStart w:id="65" w:name="_Ref217757972"/>
      <w:r>
        <w:t xml:space="preserve">Table </w:t>
      </w:r>
      <w:fldSimple w:instr=" SEQ Table \* ARABIC ">
        <w:r w:rsidR="005D3E29">
          <w:rPr>
            <w:noProof/>
          </w:rPr>
          <w:t>15</w:t>
        </w:r>
      </w:fldSimple>
      <w:bookmarkEnd w:id="65"/>
      <w:r>
        <w:t xml:space="preserve">: </w:t>
      </w:r>
      <w:r w:rsidRPr="00BB0BF1">
        <w:t>Disaggregated summary of cost impacts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Disaggregated summary of cost impacts (discounted)"/>
      </w:tblPr>
      <w:tblGrid>
        <w:gridCol w:w="2833"/>
        <w:gridCol w:w="1826"/>
        <w:gridCol w:w="1689"/>
        <w:gridCol w:w="1404"/>
        <w:gridCol w:w="1265"/>
      </w:tblGrid>
      <w:tr w:rsidR="00412FD8" w:rsidRPr="002774A8" w14:paraId="5E8A05CB" w14:textId="77777777">
        <w:tc>
          <w:tcPr>
            <w:tcW w:w="1563" w:type="pct"/>
            <w:noWrap/>
            <w:vAlign w:val="bottom"/>
          </w:tcPr>
          <w:p w14:paraId="0260A9FB" w14:textId="77777777" w:rsidR="00412FD8" w:rsidRPr="002774A8" w:rsidRDefault="00412FD8" w:rsidP="008241B5">
            <w:pPr>
              <w:keepNext/>
              <w:rPr>
                <w:rFonts w:ascii="Arial Narrow" w:eastAsiaTheme="majorEastAsia" w:hAnsi="Arial Narrow"/>
                <w:sz w:val="20"/>
                <w:szCs w:val="20"/>
                <w:lang w:bidi="en-US"/>
              </w:rPr>
            </w:pPr>
          </w:p>
        </w:tc>
        <w:tc>
          <w:tcPr>
            <w:tcW w:w="1015" w:type="pct"/>
            <w:noWrap/>
            <w:vAlign w:val="bottom"/>
          </w:tcPr>
          <w:p w14:paraId="5165A21A" w14:textId="77777777" w:rsidR="00412FD8" w:rsidRPr="002774A8" w:rsidRDefault="00412FD8" w:rsidP="008241B5">
            <w:pPr>
              <w:keepNext/>
              <w:jc w:val="center"/>
              <w:rPr>
                <w:rFonts w:ascii="Arial Narrow" w:eastAsia="Arial Narrow" w:hAnsi="Arial Narrow" w:cs="Arial Narrow"/>
                <w:sz w:val="20"/>
                <w:szCs w:val="20"/>
                <w:lang w:bidi="en-US"/>
              </w:rPr>
            </w:pPr>
            <w:r w:rsidRPr="002774A8">
              <w:rPr>
                <w:rFonts w:ascii="Arial Narrow" w:eastAsiaTheme="majorEastAsia" w:hAnsi="Arial Narrow"/>
                <w:b/>
                <w:sz w:val="20"/>
                <w:szCs w:val="20"/>
                <w:lang w:bidi="en-US"/>
              </w:rPr>
              <w:t>T-</w:t>
            </w:r>
            <w:proofErr w:type="spellStart"/>
            <w:r w:rsidRPr="002774A8">
              <w:rPr>
                <w:rFonts w:ascii="Arial Narrow" w:eastAsiaTheme="majorEastAsia" w:hAnsi="Arial Narrow"/>
                <w:b/>
                <w:sz w:val="20"/>
                <w:szCs w:val="20"/>
                <w:lang w:bidi="en-US"/>
              </w:rPr>
              <w:t>DXd</w:t>
            </w:r>
            <w:proofErr w:type="spellEnd"/>
          </w:p>
        </w:tc>
        <w:tc>
          <w:tcPr>
            <w:tcW w:w="939" w:type="pct"/>
            <w:noWrap/>
            <w:vAlign w:val="bottom"/>
          </w:tcPr>
          <w:p w14:paraId="4308A7D3" w14:textId="77777777" w:rsidR="00412FD8" w:rsidRPr="002774A8" w:rsidRDefault="00412FD8" w:rsidP="008241B5">
            <w:pPr>
              <w:keepNext/>
              <w:jc w:val="center"/>
              <w:rPr>
                <w:rFonts w:ascii="Arial Narrow" w:eastAsiaTheme="majorEastAsia" w:hAnsi="Arial Narrow"/>
                <w:sz w:val="20"/>
                <w:szCs w:val="20"/>
                <w:lang w:bidi="en-US"/>
              </w:rPr>
            </w:pPr>
            <w:r w:rsidRPr="002774A8">
              <w:rPr>
                <w:rFonts w:ascii="Arial Narrow" w:eastAsiaTheme="majorEastAsia" w:hAnsi="Arial Narrow"/>
                <w:b/>
                <w:sz w:val="20"/>
                <w:szCs w:val="20"/>
                <w:lang w:bidi="en-US"/>
              </w:rPr>
              <w:t>ICC</w:t>
            </w:r>
          </w:p>
        </w:tc>
        <w:tc>
          <w:tcPr>
            <w:tcW w:w="780" w:type="pct"/>
            <w:noWrap/>
            <w:vAlign w:val="bottom"/>
          </w:tcPr>
          <w:p w14:paraId="3E1B151B" w14:textId="77777777" w:rsidR="00412FD8" w:rsidRPr="002774A8" w:rsidRDefault="00412FD8" w:rsidP="008241B5">
            <w:pPr>
              <w:keepNext/>
              <w:jc w:val="center"/>
              <w:rPr>
                <w:rFonts w:ascii="Arial Narrow" w:eastAsiaTheme="majorEastAsia" w:hAnsi="Arial Narrow"/>
                <w:sz w:val="20"/>
                <w:szCs w:val="20"/>
                <w:lang w:bidi="en-US"/>
              </w:rPr>
            </w:pPr>
            <w:r w:rsidRPr="002774A8">
              <w:rPr>
                <w:rFonts w:ascii="Arial Narrow" w:eastAsiaTheme="majorEastAsia" w:hAnsi="Arial Narrow"/>
                <w:b/>
                <w:sz w:val="20"/>
                <w:szCs w:val="20"/>
                <w:lang w:bidi="en-US"/>
              </w:rPr>
              <w:t>Incremental</w:t>
            </w:r>
          </w:p>
        </w:tc>
        <w:tc>
          <w:tcPr>
            <w:tcW w:w="703" w:type="pct"/>
          </w:tcPr>
          <w:p w14:paraId="30058347" w14:textId="77777777" w:rsidR="00412FD8" w:rsidRPr="002774A8" w:rsidRDefault="00412FD8" w:rsidP="008241B5">
            <w:pPr>
              <w:keepNext/>
              <w:jc w:val="center"/>
              <w:rPr>
                <w:rFonts w:ascii="Arial Narrow" w:eastAsiaTheme="majorEastAsia" w:hAnsi="Arial Narrow"/>
                <w:b/>
                <w:sz w:val="20"/>
                <w:szCs w:val="20"/>
                <w:lang w:bidi="en-US"/>
              </w:rPr>
            </w:pPr>
            <w:r>
              <w:rPr>
                <w:rFonts w:ascii="Arial Narrow" w:eastAsiaTheme="majorEastAsia" w:hAnsi="Arial Narrow"/>
                <w:b/>
                <w:sz w:val="20"/>
                <w:szCs w:val="20"/>
                <w:lang w:bidi="en-US"/>
              </w:rPr>
              <w:t>% increment</w:t>
            </w:r>
          </w:p>
        </w:tc>
      </w:tr>
      <w:tr w:rsidR="00412FD8" w:rsidRPr="002774A8" w14:paraId="397C5DB0" w14:textId="77777777">
        <w:tc>
          <w:tcPr>
            <w:tcW w:w="1563" w:type="pct"/>
            <w:noWrap/>
            <w:vAlign w:val="bottom"/>
            <w:hideMark/>
          </w:tcPr>
          <w:p w14:paraId="700D3621" w14:textId="0E74E34C" w:rsidR="00412FD8" w:rsidRPr="002774A8" w:rsidRDefault="00412FD8" w:rsidP="008241B5">
            <w:pPr>
              <w:keepNext/>
              <w:rPr>
                <w:rFonts w:ascii="Arial Narrow" w:eastAsiaTheme="majorEastAsia" w:hAnsi="Arial Narrow"/>
                <w:sz w:val="20"/>
                <w:szCs w:val="20"/>
                <w:lang w:bidi="en-US"/>
              </w:rPr>
            </w:pPr>
            <w:r w:rsidRPr="002774A8">
              <w:rPr>
                <w:rFonts w:ascii="Arial Narrow" w:eastAsiaTheme="majorEastAsia" w:hAnsi="Arial Narrow"/>
                <w:sz w:val="20"/>
                <w:szCs w:val="20"/>
                <w:lang w:bidi="en-US"/>
              </w:rPr>
              <w:t>T-</w:t>
            </w:r>
            <w:proofErr w:type="spellStart"/>
            <w:r w:rsidRPr="002774A8">
              <w:rPr>
                <w:rFonts w:ascii="Arial Narrow" w:eastAsiaTheme="majorEastAsia" w:hAnsi="Arial Narrow"/>
                <w:sz w:val="20"/>
                <w:szCs w:val="20"/>
                <w:lang w:bidi="en-US"/>
              </w:rPr>
              <w:t>DXd</w:t>
            </w:r>
            <w:proofErr w:type="spellEnd"/>
            <w:r w:rsidRPr="002774A8">
              <w:rPr>
                <w:rFonts w:ascii="Arial Narrow" w:eastAsiaTheme="majorEastAsia" w:hAnsi="Arial Narrow"/>
                <w:sz w:val="20"/>
                <w:szCs w:val="20"/>
                <w:lang w:bidi="en-US"/>
              </w:rPr>
              <w:t xml:space="preserve"> and ICC drug acquisition</w:t>
            </w:r>
            <w:r w:rsidR="008241B5">
              <w:rPr>
                <w:rFonts w:ascii="Arial Narrow" w:eastAsiaTheme="majorEastAsia" w:hAnsi="Arial Narrow"/>
                <w:sz w:val="20"/>
                <w:szCs w:val="20"/>
                <w:lang w:bidi="en-US"/>
              </w:rPr>
              <w:t xml:space="preserve"> </w:t>
            </w:r>
          </w:p>
        </w:tc>
        <w:tc>
          <w:tcPr>
            <w:tcW w:w="1015" w:type="pct"/>
            <w:noWrap/>
            <w:vAlign w:val="bottom"/>
          </w:tcPr>
          <w:p w14:paraId="45E273B8" w14:textId="52151301"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p>
        </w:tc>
        <w:tc>
          <w:tcPr>
            <w:tcW w:w="939" w:type="pct"/>
            <w:noWrap/>
            <w:vAlign w:val="bottom"/>
          </w:tcPr>
          <w:p w14:paraId="1B7E2AB2"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$5,811</w:t>
            </w:r>
          </w:p>
        </w:tc>
        <w:tc>
          <w:tcPr>
            <w:tcW w:w="780" w:type="pct"/>
            <w:noWrap/>
            <w:vAlign w:val="bottom"/>
          </w:tcPr>
          <w:p w14:paraId="5238A1C4" w14:textId="0F31DB98"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p>
        </w:tc>
        <w:tc>
          <w:tcPr>
            <w:tcW w:w="703" w:type="pct"/>
          </w:tcPr>
          <w:p w14:paraId="61A2B165" w14:textId="5FA6E48E" w:rsidR="00412FD8" w:rsidRPr="002774A8" w:rsidRDefault="006340CE" w:rsidP="008241B5">
            <w:pPr>
              <w:keepNext/>
              <w:jc w:val="center"/>
              <w:rPr>
                <w:rFonts w:ascii="Arial Narrow" w:eastAsia="Arial Narrow" w:hAnsi="Arial Narrow" w:cs="Arial Narrow"/>
                <w:sz w:val="19"/>
                <w:szCs w:val="19"/>
                <w:lang w:bidi="en-US"/>
              </w:rPr>
            </w:pPr>
            <w:r w:rsidRPr="006340CE">
              <w:rPr>
                <w:rFonts w:ascii="Arial Narrow" w:eastAsia="Arial Narrow" w:hAnsi="Arial Narrow" w:cs="Arial Narrow"/>
                <w:sz w:val="2"/>
                <w:szCs w:val="19"/>
                <w:highlight w:val="black"/>
                <w:lang w:bidi="en-US"/>
              </w:rPr>
              <w:t>redacted content</w:t>
            </w:r>
            <w:r w:rsidR="00412FD8" w:rsidRPr="00EF7727">
              <w:rPr>
                <w:rFonts w:ascii="Arial Narrow" w:eastAsia="Arial Narrow" w:hAnsi="Arial Narrow" w:cs="Arial Narrow"/>
                <w:sz w:val="19"/>
                <w:szCs w:val="19"/>
                <w:lang w:bidi="en-US"/>
              </w:rPr>
              <w:t>%</w:t>
            </w:r>
          </w:p>
        </w:tc>
      </w:tr>
      <w:tr w:rsidR="00412FD8" w:rsidRPr="002774A8" w14:paraId="33C34BF2" w14:textId="77777777">
        <w:tc>
          <w:tcPr>
            <w:tcW w:w="1563" w:type="pct"/>
            <w:noWrap/>
            <w:vAlign w:val="bottom"/>
          </w:tcPr>
          <w:p w14:paraId="7322F549" w14:textId="77777777" w:rsidR="00412FD8" w:rsidRPr="002774A8" w:rsidRDefault="00412FD8" w:rsidP="008241B5">
            <w:pPr>
              <w:keepNext/>
              <w:rPr>
                <w:rFonts w:ascii="Arial Narrow" w:eastAsiaTheme="majorEastAsia" w:hAnsi="Arial Narrow"/>
                <w:sz w:val="20"/>
                <w:szCs w:val="20"/>
                <w:lang w:bidi="en-US"/>
              </w:rPr>
            </w:pPr>
            <w:r w:rsidRPr="002774A8">
              <w:rPr>
                <w:rFonts w:ascii="Arial Narrow" w:eastAsiaTheme="majorEastAsia" w:hAnsi="Arial Narrow"/>
                <w:sz w:val="20"/>
                <w:szCs w:val="20"/>
                <w:lang w:bidi="en-US"/>
              </w:rPr>
              <w:t>T-</w:t>
            </w:r>
            <w:proofErr w:type="spellStart"/>
            <w:r w:rsidRPr="002774A8">
              <w:rPr>
                <w:rFonts w:ascii="Arial Narrow" w:eastAsiaTheme="majorEastAsia" w:hAnsi="Arial Narrow"/>
                <w:sz w:val="20"/>
                <w:szCs w:val="20"/>
                <w:lang w:bidi="en-US"/>
              </w:rPr>
              <w:t>DXd</w:t>
            </w:r>
            <w:proofErr w:type="spellEnd"/>
            <w:r w:rsidRPr="002774A8">
              <w:rPr>
                <w:rFonts w:ascii="Arial Narrow" w:eastAsiaTheme="majorEastAsia" w:hAnsi="Arial Narrow"/>
                <w:sz w:val="20"/>
                <w:szCs w:val="20"/>
                <w:lang w:bidi="en-US"/>
              </w:rPr>
              <w:t xml:space="preserve"> and ICC administration costs</w:t>
            </w:r>
          </w:p>
        </w:tc>
        <w:tc>
          <w:tcPr>
            <w:tcW w:w="1015" w:type="pct"/>
            <w:noWrap/>
            <w:vAlign w:val="bottom"/>
          </w:tcPr>
          <w:p w14:paraId="1F28F53F"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$2,522</w:t>
            </w:r>
          </w:p>
        </w:tc>
        <w:tc>
          <w:tcPr>
            <w:tcW w:w="939" w:type="pct"/>
            <w:noWrap/>
            <w:vAlign w:val="bottom"/>
          </w:tcPr>
          <w:p w14:paraId="015531F4"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$1,543</w:t>
            </w:r>
          </w:p>
        </w:tc>
        <w:tc>
          <w:tcPr>
            <w:tcW w:w="780" w:type="pct"/>
            <w:noWrap/>
            <w:vAlign w:val="bottom"/>
          </w:tcPr>
          <w:p w14:paraId="3C6A1CBB"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$979</w:t>
            </w:r>
          </w:p>
        </w:tc>
        <w:tc>
          <w:tcPr>
            <w:tcW w:w="703" w:type="pct"/>
          </w:tcPr>
          <w:p w14:paraId="4DDD0987" w14:textId="76330C55" w:rsidR="00412FD8" w:rsidRPr="002774A8" w:rsidRDefault="006340CE" w:rsidP="008241B5">
            <w:pPr>
              <w:keepNext/>
              <w:jc w:val="center"/>
              <w:rPr>
                <w:rFonts w:ascii="Arial Narrow" w:eastAsia="Arial Narrow" w:hAnsi="Arial Narrow" w:cs="Arial Narrow"/>
                <w:sz w:val="19"/>
                <w:szCs w:val="19"/>
                <w:lang w:bidi="en-US"/>
              </w:rPr>
            </w:pPr>
            <w:r w:rsidRPr="006340CE">
              <w:rPr>
                <w:rFonts w:ascii="Arial Narrow" w:eastAsia="Arial Narrow" w:hAnsi="Arial Narrow" w:cs="Arial Narrow"/>
                <w:sz w:val="2"/>
                <w:szCs w:val="19"/>
                <w:highlight w:val="black"/>
                <w:lang w:bidi="en-US"/>
              </w:rPr>
              <w:t>redacted content</w:t>
            </w:r>
            <w:r w:rsidR="00412FD8">
              <w:rPr>
                <w:rFonts w:ascii="Arial Narrow" w:eastAsia="Arial Narrow" w:hAnsi="Arial Narrow" w:cs="Arial Narrow"/>
                <w:sz w:val="19"/>
                <w:szCs w:val="19"/>
                <w:lang w:bidi="en-US"/>
              </w:rPr>
              <w:t>%</w:t>
            </w:r>
          </w:p>
        </w:tc>
      </w:tr>
      <w:tr w:rsidR="00412FD8" w:rsidRPr="002774A8" w14:paraId="5044D296" w14:textId="77777777">
        <w:tc>
          <w:tcPr>
            <w:tcW w:w="1563" w:type="pct"/>
            <w:vAlign w:val="bottom"/>
            <w:hideMark/>
          </w:tcPr>
          <w:p w14:paraId="66455CD3" w14:textId="77777777" w:rsidR="00412FD8" w:rsidRPr="002774A8" w:rsidRDefault="00412FD8" w:rsidP="008241B5">
            <w:pPr>
              <w:keepNext/>
              <w:rPr>
                <w:rFonts w:ascii="Arial Narrow" w:eastAsiaTheme="majorEastAsia" w:hAnsi="Arial Narrow"/>
                <w:sz w:val="20"/>
                <w:szCs w:val="20"/>
                <w:lang w:bidi="en-US"/>
              </w:rPr>
            </w:pPr>
            <w:r w:rsidRPr="002774A8">
              <w:rPr>
                <w:rFonts w:ascii="Arial Narrow" w:eastAsiaTheme="majorEastAsia" w:hAnsi="Arial Narrow"/>
                <w:sz w:val="20"/>
                <w:szCs w:val="20"/>
                <w:lang w:bidi="en-US"/>
              </w:rPr>
              <w:t>Management of AEs</w:t>
            </w:r>
          </w:p>
        </w:tc>
        <w:tc>
          <w:tcPr>
            <w:tcW w:w="1015" w:type="pct"/>
            <w:noWrap/>
            <w:vAlign w:val="bottom"/>
          </w:tcPr>
          <w:p w14:paraId="0E0709A9"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$913</w:t>
            </w:r>
          </w:p>
        </w:tc>
        <w:tc>
          <w:tcPr>
            <w:tcW w:w="939" w:type="pct"/>
            <w:noWrap/>
            <w:vAlign w:val="bottom"/>
          </w:tcPr>
          <w:p w14:paraId="3F0A474D"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$863</w:t>
            </w:r>
          </w:p>
        </w:tc>
        <w:tc>
          <w:tcPr>
            <w:tcW w:w="780" w:type="pct"/>
            <w:noWrap/>
            <w:vAlign w:val="bottom"/>
          </w:tcPr>
          <w:p w14:paraId="085E2393"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$50</w:t>
            </w:r>
          </w:p>
        </w:tc>
        <w:tc>
          <w:tcPr>
            <w:tcW w:w="703" w:type="pct"/>
          </w:tcPr>
          <w:p w14:paraId="1E8786A3" w14:textId="362BDA9A" w:rsidR="00412FD8" w:rsidRPr="002774A8" w:rsidRDefault="006340CE" w:rsidP="008241B5">
            <w:pPr>
              <w:keepNext/>
              <w:jc w:val="center"/>
              <w:rPr>
                <w:rFonts w:ascii="Arial Narrow" w:eastAsia="Arial Narrow" w:hAnsi="Arial Narrow" w:cs="Arial Narrow"/>
                <w:sz w:val="19"/>
                <w:szCs w:val="19"/>
                <w:lang w:bidi="en-US"/>
              </w:rPr>
            </w:pPr>
            <w:r w:rsidRPr="006340CE">
              <w:rPr>
                <w:rFonts w:ascii="Arial Narrow" w:eastAsia="Arial Narrow" w:hAnsi="Arial Narrow" w:cs="Arial Narrow"/>
                <w:sz w:val="2"/>
                <w:szCs w:val="19"/>
                <w:highlight w:val="black"/>
                <w:lang w:bidi="en-US"/>
              </w:rPr>
              <w:t>redacted content</w:t>
            </w:r>
            <w:r w:rsidR="00412FD8">
              <w:rPr>
                <w:rFonts w:ascii="Arial Narrow" w:eastAsia="Arial Narrow" w:hAnsi="Arial Narrow" w:cs="Arial Narrow"/>
                <w:sz w:val="19"/>
                <w:szCs w:val="19"/>
                <w:lang w:bidi="en-US"/>
              </w:rPr>
              <w:t>%</w:t>
            </w:r>
          </w:p>
        </w:tc>
      </w:tr>
      <w:tr w:rsidR="00412FD8" w:rsidRPr="002774A8" w14:paraId="5BF35FD7" w14:textId="77777777">
        <w:tc>
          <w:tcPr>
            <w:tcW w:w="1563" w:type="pct"/>
            <w:vAlign w:val="bottom"/>
          </w:tcPr>
          <w:p w14:paraId="7B4FA73F" w14:textId="77777777" w:rsidR="00412FD8" w:rsidRPr="002774A8" w:rsidRDefault="00412FD8" w:rsidP="008241B5">
            <w:pPr>
              <w:keepNext/>
              <w:rPr>
                <w:rFonts w:ascii="Arial Narrow" w:eastAsiaTheme="majorEastAsia" w:hAnsi="Arial Narrow"/>
                <w:sz w:val="20"/>
                <w:szCs w:val="20"/>
                <w:lang w:bidi="en-US"/>
              </w:rPr>
            </w:pPr>
            <w:r w:rsidRPr="002774A8">
              <w:rPr>
                <w:rFonts w:ascii="Arial Narrow" w:eastAsiaTheme="majorEastAsia" w:hAnsi="Arial Narrow"/>
                <w:sz w:val="20"/>
                <w:szCs w:val="20"/>
                <w:lang w:bidi="en-US"/>
              </w:rPr>
              <w:t>Subsequent anti-cancer treatment</w:t>
            </w:r>
          </w:p>
        </w:tc>
        <w:tc>
          <w:tcPr>
            <w:tcW w:w="1015" w:type="pct"/>
            <w:noWrap/>
            <w:vAlign w:val="bottom"/>
          </w:tcPr>
          <w:p w14:paraId="39D00529" w14:textId="77777777" w:rsidR="00412FD8" w:rsidRPr="002774A8" w:rsidRDefault="00412FD8" w:rsidP="008241B5">
            <w:pPr>
              <w:keepNext/>
              <w:jc w:val="center"/>
              <w:rPr>
                <w:rFonts w:ascii="Arial Narrow" w:eastAsiaTheme="majorEastAsia" w:hAnsi="Arial Narrow"/>
                <w:color w:val="000000" w:themeColor="text1"/>
                <w:sz w:val="20"/>
                <w:szCs w:val="20"/>
                <w:lang w:bidi="en-US"/>
              </w:rPr>
            </w:pPr>
            <w:r w:rsidRPr="002774A8">
              <w:rPr>
                <w:rFonts w:ascii="Arial Narrow" w:eastAsia="Arial Narrow" w:hAnsi="Arial Narrow" w:cs="Arial Narrow"/>
                <w:sz w:val="19"/>
                <w:szCs w:val="19"/>
                <w:lang w:bidi="en-US"/>
              </w:rPr>
              <w:t>$2,646</w:t>
            </w:r>
          </w:p>
        </w:tc>
        <w:tc>
          <w:tcPr>
            <w:tcW w:w="939" w:type="pct"/>
            <w:noWrap/>
            <w:vAlign w:val="bottom"/>
          </w:tcPr>
          <w:p w14:paraId="7C62D7AC" w14:textId="5AB21498" w:rsidR="00412FD8" w:rsidRPr="002774A8" w:rsidRDefault="00412FD8" w:rsidP="008241B5">
            <w:pPr>
              <w:keepNext/>
              <w:jc w:val="center"/>
              <w:rPr>
                <w:rFonts w:ascii="Arial Narrow" w:eastAsia="Arial Narrow" w:hAnsi="Arial Narrow" w:cs="Arial Narrow"/>
                <w:sz w:val="19"/>
                <w:szCs w:val="19"/>
                <w:lang w:bidi="en-US"/>
              </w:rPr>
            </w:pPr>
            <w:r w:rsidRPr="0019341F">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p>
        </w:tc>
        <w:tc>
          <w:tcPr>
            <w:tcW w:w="780" w:type="pct"/>
            <w:noWrap/>
            <w:vAlign w:val="bottom"/>
          </w:tcPr>
          <w:p w14:paraId="76F8E342" w14:textId="5FBDB11B" w:rsidR="00412FD8" w:rsidRPr="002774A8" w:rsidRDefault="00412FD8" w:rsidP="008241B5">
            <w:pPr>
              <w:keepNext/>
              <w:jc w:val="center"/>
              <w:rPr>
                <w:rFonts w:ascii="Arial Narrow" w:eastAsiaTheme="majorEastAsia" w:hAnsi="Arial Narrow"/>
                <w:color w:val="000000" w:themeColor="text1"/>
                <w:sz w:val="20"/>
                <w:szCs w:val="20"/>
                <w:lang w:bidi="en-US"/>
              </w:rPr>
            </w:pPr>
            <w:r w:rsidRPr="0019341F">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p>
        </w:tc>
        <w:tc>
          <w:tcPr>
            <w:tcW w:w="703" w:type="pct"/>
          </w:tcPr>
          <w:p w14:paraId="45334BE5" w14:textId="3A7C099D" w:rsidR="00412FD8" w:rsidRPr="002774A8" w:rsidRDefault="00412FD8" w:rsidP="008241B5">
            <w:pPr>
              <w:keepNext/>
              <w:jc w:val="center"/>
              <w:rPr>
                <w:rFonts w:ascii="Arial Narrow" w:eastAsia="Arial Narrow" w:hAnsi="Arial Narrow" w:cs="Arial Narrow"/>
                <w:sz w:val="19"/>
                <w:szCs w:val="19"/>
                <w:lang w:bidi="en-US"/>
              </w:rPr>
            </w:pPr>
            <w:r w:rsidRPr="00EF7727">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r w:rsidRPr="00EF7727">
              <w:rPr>
                <w:rFonts w:ascii="Arial Narrow" w:eastAsia="Arial Narrow" w:hAnsi="Arial Narrow" w:cs="Arial Narrow"/>
                <w:sz w:val="19"/>
                <w:szCs w:val="19"/>
                <w:lang w:bidi="en-US"/>
              </w:rPr>
              <w:t>%</w:t>
            </w:r>
          </w:p>
        </w:tc>
      </w:tr>
      <w:tr w:rsidR="00412FD8" w:rsidRPr="002774A8" w14:paraId="7FE0CE04" w14:textId="77777777">
        <w:tc>
          <w:tcPr>
            <w:tcW w:w="1563" w:type="pct"/>
            <w:vAlign w:val="bottom"/>
            <w:hideMark/>
          </w:tcPr>
          <w:p w14:paraId="22B0982B" w14:textId="77777777" w:rsidR="00412FD8" w:rsidRPr="002774A8" w:rsidRDefault="00412FD8" w:rsidP="008241B5">
            <w:pPr>
              <w:keepNext/>
              <w:rPr>
                <w:rFonts w:ascii="Arial Narrow" w:eastAsiaTheme="majorEastAsia" w:hAnsi="Arial Narrow"/>
                <w:sz w:val="20"/>
                <w:szCs w:val="20"/>
                <w:lang w:bidi="en-US"/>
              </w:rPr>
            </w:pPr>
            <w:r w:rsidRPr="002774A8">
              <w:rPr>
                <w:rFonts w:ascii="Arial Narrow" w:eastAsiaTheme="majorEastAsia" w:hAnsi="Arial Narrow"/>
                <w:sz w:val="20"/>
                <w:szCs w:val="20"/>
                <w:lang w:bidi="en-US"/>
              </w:rPr>
              <w:t>Post-progression radiotherapy</w:t>
            </w:r>
          </w:p>
        </w:tc>
        <w:tc>
          <w:tcPr>
            <w:tcW w:w="1015" w:type="pct"/>
            <w:noWrap/>
            <w:vAlign w:val="bottom"/>
          </w:tcPr>
          <w:p w14:paraId="6BCA7406"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$298</w:t>
            </w:r>
          </w:p>
        </w:tc>
        <w:tc>
          <w:tcPr>
            <w:tcW w:w="939" w:type="pct"/>
            <w:noWrap/>
            <w:vAlign w:val="bottom"/>
          </w:tcPr>
          <w:p w14:paraId="50D1F22E"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$308</w:t>
            </w:r>
          </w:p>
        </w:tc>
        <w:tc>
          <w:tcPr>
            <w:tcW w:w="780" w:type="pct"/>
            <w:noWrap/>
            <w:vAlign w:val="bottom"/>
          </w:tcPr>
          <w:p w14:paraId="2144AD0C"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-$10</w:t>
            </w:r>
          </w:p>
        </w:tc>
        <w:tc>
          <w:tcPr>
            <w:tcW w:w="703" w:type="pct"/>
          </w:tcPr>
          <w:p w14:paraId="62AF7322" w14:textId="112665A3" w:rsidR="00412FD8" w:rsidRPr="002774A8" w:rsidRDefault="00412FD8" w:rsidP="008241B5">
            <w:pPr>
              <w:keepNext/>
              <w:jc w:val="center"/>
              <w:rPr>
                <w:rFonts w:ascii="Arial Narrow" w:eastAsia="Arial Narrow" w:hAnsi="Arial Narrow" w:cs="Arial Narrow"/>
                <w:sz w:val="19"/>
                <w:szCs w:val="19"/>
                <w:lang w:bidi="en-US"/>
              </w:rPr>
            </w:pPr>
            <w:r>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r w:rsidRPr="00EF7727">
              <w:rPr>
                <w:rFonts w:ascii="Arial Narrow" w:eastAsia="Arial Narrow" w:hAnsi="Arial Narrow" w:cs="Arial Narrow"/>
                <w:sz w:val="19"/>
                <w:szCs w:val="19"/>
                <w:lang w:bidi="en-US"/>
              </w:rPr>
              <w:t>%</w:t>
            </w:r>
          </w:p>
        </w:tc>
      </w:tr>
      <w:tr w:rsidR="00412FD8" w:rsidRPr="002774A8" w14:paraId="2D86E940" w14:textId="77777777">
        <w:tc>
          <w:tcPr>
            <w:tcW w:w="1563" w:type="pct"/>
            <w:noWrap/>
            <w:vAlign w:val="bottom"/>
          </w:tcPr>
          <w:p w14:paraId="6E4C7A84" w14:textId="77777777" w:rsidR="00412FD8" w:rsidRPr="002774A8" w:rsidRDefault="00412FD8" w:rsidP="008241B5">
            <w:pPr>
              <w:keepNext/>
              <w:rPr>
                <w:rFonts w:ascii="Arial Narrow" w:eastAsiaTheme="majorEastAsia" w:hAnsi="Arial Narrow"/>
                <w:sz w:val="20"/>
                <w:szCs w:val="20"/>
                <w:lang w:bidi="en-US"/>
              </w:rPr>
            </w:pPr>
            <w:r w:rsidRPr="002774A8">
              <w:rPr>
                <w:rFonts w:ascii="Arial Narrow" w:eastAsiaTheme="majorEastAsia" w:hAnsi="Arial Narrow"/>
                <w:sz w:val="20"/>
                <w:szCs w:val="20"/>
                <w:lang w:bidi="en-US"/>
              </w:rPr>
              <w:t>Disease monitoring</w:t>
            </w:r>
          </w:p>
        </w:tc>
        <w:tc>
          <w:tcPr>
            <w:tcW w:w="1015" w:type="pct"/>
            <w:noWrap/>
            <w:vAlign w:val="bottom"/>
          </w:tcPr>
          <w:p w14:paraId="07051EF4"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$61,604</w:t>
            </w:r>
          </w:p>
        </w:tc>
        <w:tc>
          <w:tcPr>
            <w:tcW w:w="939" w:type="pct"/>
            <w:noWrap/>
            <w:vAlign w:val="bottom"/>
          </w:tcPr>
          <w:p w14:paraId="6A813A00"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$67,012</w:t>
            </w:r>
          </w:p>
        </w:tc>
        <w:tc>
          <w:tcPr>
            <w:tcW w:w="780" w:type="pct"/>
            <w:noWrap/>
            <w:vAlign w:val="bottom"/>
          </w:tcPr>
          <w:p w14:paraId="7A9AF726" w14:textId="77777777" w:rsidR="00412FD8" w:rsidRPr="002774A8" w:rsidRDefault="00412FD8" w:rsidP="008241B5">
            <w:pPr>
              <w:keepNext/>
              <w:jc w:val="center"/>
              <w:rPr>
                <w:rFonts w:ascii="Arial Narrow" w:eastAsiaTheme="majorEastAsia" w:hAnsi="Arial Narrow"/>
                <w:color w:val="000000" w:themeColor="text1"/>
                <w:sz w:val="20"/>
                <w:szCs w:val="20"/>
                <w:lang w:bidi="en-US"/>
              </w:rPr>
            </w:pPr>
            <w:r w:rsidRPr="002774A8">
              <w:rPr>
                <w:rFonts w:ascii="Arial Narrow" w:eastAsia="Arial Narrow" w:hAnsi="Arial Narrow" w:cs="Arial Narrow"/>
                <w:sz w:val="19"/>
                <w:szCs w:val="19"/>
                <w:lang w:bidi="en-US"/>
              </w:rPr>
              <w:t>-$5,407</w:t>
            </w:r>
          </w:p>
        </w:tc>
        <w:tc>
          <w:tcPr>
            <w:tcW w:w="703" w:type="pct"/>
          </w:tcPr>
          <w:p w14:paraId="26087540" w14:textId="2889DD67" w:rsidR="00412FD8" w:rsidRPr="002774A8" w:rsidRDefault="00412FD8" w:rsidP="008241B5">
            <w:pPr>
              <w:keepNext/>
              <w:jc w:val="center"/>
              <w:rPr>
                <w:rFonts w:ascii="Arial Narrow" w:eastAsia="Arial Narrow" w:hAnsi="Arial Narrow" w:cs="Arial Narrow"/>
                <w:sz w:val="19"/>
                <w:szCs w:val="19"/>
                <w:lang w:bidi="en-US"/>
              </w:rPr>
            </w:pPr>
            <w:r w:rsidRPr="00EF7727">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r w:rsidRPr="00EF7727">
              <w:rPr>
                <w:rFonts w:ascii="Arial Narrow" w:eastAsia="Arial Narrow" w:hAnsi="Arial Narrow" w:cs="Arial Narrow"/>
                <w:sz w:val="19"/>
                <w:szCs w:val="19"/>
                <w:lang w:bidi="en-US"/>
              </w:rPr>
              <w:t>%</w:t>
            </w:r>
          </w:p>
        </w:tc>
      </w:tr>
      <w:tr w:rsidR="00412FD8" w:rsidRPr="002774A8" w14:paraId="7DA29E32" w14:textId="77777777">
        <w:tc>
          <w:tcPr>
            <w:tcW w:w="1563" w:type="pct"/>
            <w:noWrap/>
            <w:vAlign w:val="bottom"/>
            <w:hideMark/>
          </w:tcPr>
          <w:p w14:paraId="2BAEFD4A" w14:textId="77777777" w:rsidR="00412FD8" w:rsidRPr="002774A8" w:rsidRDefault="00412FD8" w:rsidP="008241B5">
            <w:pPr>
              <w:keepNext/>
              <w:rPr>
                <w:rFonts w:ascii="Arial Narrow" w:eastAsiaTheme="majorEastAsia" w:hAnsi="Arial Narrow"/>
                <w:sz w:val="20"/>
                <w:szCs w:val="20"/>
                <w:lang w:bidi="en-US"/>
              </w:rPr>
            </w:pPr>
            <w:r w:rsidRPr="002774A8">
              <w:rPr>
                <w:rFonts w:ascii="Arial Narrow" w:eastAsiaTheme="majorEastAsia" w:hAnsi="Arial Narrow"/>
                <w:sz w:val="20"/>
                <w:szCs w:val="20"/>
                <w:lang w:bidi="en-US"/>
              </w:rPr>
              <w:t>Terminal care</w:t>
            </w:r>
          </w:p>
        </w:tc>
        <w:tc>
          <w:tcPr>
            <w:tcW w:w="1015" w:type="pct"/>
            <w:noWrap/>
            <w:vAlign w:val="bottom"/>
          </w:tcPr>
          <w:p w14:paraId="7337CCD5"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$17,752</w:t>
            </w:r>
          </w:p>
        </w:tc>
        <w:tc>
          <w:tcPr>
            <w:tcW w:w="939" w:type="pct"/>
            <w:noWrap/>
            <w:vAlign w:val="bottom"/>
          </w:tcPr>
          <w:p w14:paraId="3EB9F620"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$18,246</w:t>
            </w:r>
          </w:p>
        </w:tc>
        <w:tc>
          <w:tcPr>
            <w:tcW w:w="780" w:type="pct"/>
            <w:noWrap/>
            <w:vAlign w:val="bottom"/>
          </w:tcPr>
          <w:p w14:paraId="7F23EF14" w14:textId="77777777" w:rsidR="00412FD8" w:rsidRPr="002774A8" w:rsidRDefault="00412FD8" w:rsidP="008241B5">
            <w:pPr>
              <w:keepNext/>
              <w:jc w:val="center"/>
              <w:rPr>
                <w:rFonts w:ascii="Arial Narrow" w:eastAsia="Arial Narrow" w:hAnsi="Arial Narrow" w:cs="Arial Narrow"/>
                <w:sz w:val="19"/>
                <w:szCs w:val="19"/>
                <w:lang w:bidi="en-US"/>
              </w:rPr>
            </w:pPr>
            <w:r w:rsidRPr="002774A8">
              <w:rPr>
                <w:rFonts w:ascii="Arial Narrow" w:eastAsia="Arial Narrow" w:hAnsi="Arial Narrow" w:cs="Arial Narrow"/>
                <w:sz w:val="19"/>
                <w:szCs w:val="19"/>
                <w:lang w:bidi="en-US"/>
              </w:rPr>
              <w:t>-$494</w:t>
            </w:r>
          </w:p>
        </w:tc>
        <w:tc>
          <w:tcPr>
            <w:tcW w:w="703" w:type="pct"/>
          </w:tcPr>
          <w:p w14:paraId="2097E115" w14:textId="21877A1B" w:rsidR="00412FD8" w:rsidRPr="002774A8" w:rsidRDefault="00412FD8" w:rsidP="008241B5">
            <w:pPr>
              <w:keepNext/>
              <w:jc w:val="center"/>
              <w:rPr>
                <w:rFonts w:ascii="Arial Narrow" w:eastAsia="Arial Narrow" w:hAnsi="Arial Narrow" w:cs="Arial Narrow"/>
                <w:sz w:val="19"/>
                <w:szCs w:val="19"/>
                <w:lang w:bidi="en-US"/>
              </w:rPr>
            </w:pPr>
            <w:r w:rsidRPr="00EF7727">
              <w:rPr>
                <w:rFonts w:ascii="Arial Narrow" w:eastAsia="Arial Narrow" w:hAnsi="Arial Narrow" w:cs="Arial Narrow"/>
                <w:sz w:val="19"/>
                <w:szCs w:val="19"/>
                <w:lang w:bidi="en-US"/>
              </w:rPr>
              <w:t>-</w:t>
            </w:r>
            <w:r w:rsidR="006340CE" w:rsidRPr="006340CE">
              <w:rPr>
                <w:rFonts w:ascii="Arial Narrow" w:eastAsia="Arial Narrow" w:hAnsi="Arial Narrow" w:cs="Arial Narrow"/>
                <w:sz w:val="2"/>
                <w:szCs w:val="19"/>
                <w:highlight w:val="black"/>
                <w:lang w:bidi="en-US"/>
              </w:rPr>
              <w:t>redacted content</w:t>
            </w:r>
            <w:r w:rsidRPr="00EF7727">
              <w:rPr>
                <w:rFonts w:ascii="Arial Narrow" w:eastAsia="Arial Narrow" w:hAnsi="Arial Narrow" w:cs="Arial Narrow"/>
                <w:sz w:val="19"/>
                <w:szCs w:val="19"/>
                <w:lang w:bidi="en-US"/>
              </w:rPr>
              <w:t>%</w:t>
            </w:r>
          </w:p>
        </w:tc>
      </w:tr>
      <w:tr w:rsidR="00412FD8" w:rsidRPr="00EF7727" w14:paraId="04B3604E" w14:textId="77777777">
        <w:tc>
          <w:tcPr>
            <w:tcW w:w="1563" w:type="pct"/>
            <w:noWrap/>
            <w:vAlign w:val="bottom"/>
            <w:hideMark/>
          </w:tcPr>
          <w:p w14:paraId="629BCD83" w14:textId="77777777" w:rsidR="00412FD8" w:rsidRPr="00EF7727" w:rsidRDefault="00412FD8" w:rsidP="008241B5">
            <w:pPr>
              <w:keepNext/>
              <w:rPr>
                <w:rFonts w:ascii="Arial Narrow" w:eastAsiaTheme="majorEastAsia" w:hAnsi="Arial Narrow"/>
                <w:b/>
                <w:bCs/>
                <w:sz w:val="20"/>
                <w:szCs w:val="20"/>
                <w:lang w:bidi="en-US"/>
              </w:rPr>
            </w:pPr>
            <w:r w:rsidRPr="00EF7727">
              <w:rPr>
                <w:rFonts w:ascii="Arial Narrow" w:eastAsiaTheme="majorEastAsia" w:hAnsi="Arial Narrow"/>
                <w:b/>
                <w:bCs/>
                <w:sz w:val="20"/>
                <w:szCs w:val="20"/>
                <w:lang w:bidi="en-US"/>
              </w:rPr>
              <w:t>Total</w:t>
            </w:r>
          </w:p>
        </w:tc>
        <w:tc>
          <w:tcPr>
            <w:tcW w:w="1015" w:type="pct"/>
            <w:noWrap/>
            <w:vAlign w:val="bottom"/>
          </w:tcPr>
          <w:p w14:paraId="0E28036B" w14:textId="4E170B3D" w:rsidR="00412FD8" w:rsidRPr="00EF7727" w:rsidRDefault="00412FD8" w:rsidP="008241B5">
            <w:pPr>
              <w:keepNext/>
              <w:jc w:val="center"/>
              <w:rPr>
                <w:rFonts w:ascii="Arial Narrow" w:eastAsiaTheme="majorEastAsia" w:hAnsi="Arial Narrow"/>
                <w:b/>
                <w:bCs/>
                <w:color w:val="000000" w:themeColor="text1"/>
                <w:sz w:val="20"/>
                <w:szCs w:val="20"/>
                <w:lang w:bidi="en-US"/>
              </w:rPr>
            </w:pPr>
            <w:r w:rsidRPr="00EF7727">
              <w:rPr>
                <w:rFonts w:ascii="Arial Narrow" w:eastAsia="Arial Narrow" w:hAnsi="Arial Narrow" w:cs="Arial Narrow"/>
                <w:b/>
                <w:bCs/>
                <w:sz w:val="19"/>
                <w:szCs w:val="19"/>
                <w:lang w:bidi="en-US"/>
              </w:rPr>
              <w:t>$</w:t>
            </w:r>
            <w:r w:rsidR="006340CE" w:rsidRPr="006340CE">
              <w:rPr>
                <w:rFonts w:ascii="Arial Narrow" w:eastAsia="Arial Narrow" w:hAnsi="Arial Narrow" w:cs="Arial Narrow"/>
                <w:b/>
                <w:bCs/>
                <w:sz w:val="2"/>
                <w:szCs w:val="19"/>
                <w:highlight w:val="black"/>
                <w:lang w:bidi="en-US"/>
              </w:rPr>
              <w:t>redacted content</w:t>
            </w:r>
          </w:p>
        </w:tc>
        <w:tc>
          <w:tcPr>
            <w:tcW w:w="939" w:type="pct"/>
            <w:noWrap/>
            <w:vAlign w:val="bottom"/>
          </w:tcPr>
          <w:p w14:paraId="3017D7C5" w14:textId="3EACB265" w:rsidR="00412FD8" w:rsidRPr="00EF7727" w:rsidRDefault="00412FD8" w:rsidP="008241B5">
            <w:pPr>
              <w:keepNext/>
              <w:jc w:val="center"/>
              <w:rPr>
                <w:rFonts w:ascii="Arial Narrow" w:eastAsia="Arial Narrow" w:hAnsi="Arial Narrow" w:cs="Arial Narrow"/>
                <w:b/>
                <w:bCs/>
                <w:sz w:val="19"/>
                <w:szCs w:val="19"/>
                <w:lang w:bidi="en-US"/>
              </w:rPr>
            </w:pPr>
            <w:r w:rsidRPr="0019341F">
              <w:rPr>
                <w:rFonts w:ascii="Arial Narrow" w:eastAsia="Arial Narrow" w:hAnsi="Arial Narrow" w:cs="Arial Narrow"/>
                <w:b/>
                <w:bCs/>
                <w:sz w:val="19"/>
                <w:szCs w:val="19"/>
                <w:lang w:bidi="en-US"/>
              </w:rPr>
              <w:t>$</w:t>
            </w:r>
            <w:r w:rsidR="006340CE" w:rsidRPr="006340CE">
              <w:rPr>
                <w:rFonts w:ascii="Arial Narrow" w:eastAsia="Arial Narrow" w:hAnsi="Arial Narrow" w:cs="Arial Narrow"/>
                <w:b/>
                <w:sz w:val="2"/>
                <w:szCs w:val="19"/>
                <w:highlight w:val="black"/>
                <w:lang w:bidi="en-US"/>
              </w:rPr>
              <w:t>redacted content</w:t>
            </w:r>
          </w:p>
        </w:tc>
        <w:tc>
          <w:tcPr>
            <w:tcW w:w="780" w:type="pct"/>
            <w:noWrap/>
            <w:vAlign w:val="bottom"/>
          </w:tcPr>
          <w:p w14:paraId="1DBD6760" w14:textId="1F5C3994" w:rsidR="00412FD8" w:rsidRPr="00EF7727" w:rsidRDefault="00412FD8" w:rsidP="008241B5">
            <w:pPr>
              <w:keepNext/>
              <w:jc w:val="center"/>
              <w:rPr>
                <w:rFonts w:ascii="Arial Narrow" w:eastAsiaTheme="majorEastAsia" w:hAnsi="Arial Narrow"/>
                <w:b/>
                <w:bCs/>
                <w:color w:val="000000" w:themeColor="text1"/>
                <w:sz w:val="20"/>
                <w:szCs w:val="20"/>
                <w:lang w:bidi="en-US"/>
              </w:rPr>
            </w:pPr>
            <w:r w:rsidRPr="00EF7727">
              <w:rPr>
                <w:rFonts w:ascii="Arial Narrow" w:eastAsia="Arial Narrow" w:hAnsi="Arial Narrow" w:cs="Arial Narrow"/>
                <w:b/>
                <w:bCs/>
                <w:sz w:val="19"/>
                <w:szCs w:val="19"/>
                <w:lang w:bidi="en-US"/>
              </w:rPr>
              <w:t>$</w:t>
            </w:r>
            <w:r w:rsidR="006340CE" w:rsidRPr="006340CE">
              <w:rPr>
                <w:rFonts w:ascii="Arial Narrow" w:eastAsia="Arial Narrow" w:hAnsi="Arial Narrow" w:cs="Arial Narrow"/>
                <w:b/>
                <w:bCs/>
                <w:sz w:val="2"/>
                <w:szCs w:val="19"/>
                <w:highlight w:val="black"/>
                <w:lang w:bidi="en-US"/>
              </w:rPr>
              <w:t>redacted content</w:t>
            </w:r>
          </w:p>
        </w:tc>
        <w:tc>
          <w:tcPr>
            <w:tcW w:w="703" w:type="pct"/>
          </w:tcPr>
          <w:p w14:paraId="06339A4E" w14:textId="77777777" w:rsidR="00412FD8" w:rsidRPr="00EF7727" w:rsidRDefault="00412FD8" w:rsidP="008241B5">
            <w:pPr>
              <w:keepNext/>
              <w:jc w:val="center"/>
              <w:rPr>
                <w:rFonts w:ascii="Arial Narrow" w:eastAsia="Arial Narrow" w:hAnsi="Arial Narrow" w:cs="Arial Narrow"/>
                <w:b/>
                <w:bCs/>
                <w:sz w:val="19"/>
                <w:szCs w:val="19"/>
                <w:lang w:bidi="en-US"/>
              </w:rPr>
            </w:pPr>
            <w:r w:rsidRPr="00EF7727">
              <w:rPr>
                <w:rFonts w:ascii="Arial Narrow" w:eastAsia="Arial Narrow" w:hAnsi="Arial Narrow" w:cs="Arial Narrow"/>
                <w:b/>
                <w:bCs/>
                <w:sz w:val="19"/>
                <w:szCs w:val="19"/>
                <w:lang w:bidi="en-US"/>
              </w:rPr>
              <w:t>100%</w:t>
            </w:r>
          </w:p>
        </w:tc>
      </w:tr>
    </w:tbl>
    <w:p w14:paraId="70824C20" w14:textId="77777777" w:rsidR="00412FD8" w:rsidRPr="002774A8" w:rsidRDefault="00412FD8" w:rsidP="009C2B6F">
      <w:pPr>
        <w:pStyle w:val="TableFigureFooter"/>
      </w:pPr>
      <w:r w:rsidRPr="002774A8">
        <w:t xml:space="preserve">Source: </w:t>
      </w:r>
      <w:r>
        <w:t xml:space="preserve">Table 3.31, p164 of the submission. </w:t>
      </w:r>
    </w:p>
    <w:p w14:paraId="51AF65E1" w14:textId="77777777" w:rsidR="00412FD8" w:rsidRPr="00B241EB" w:rsidRDefault="00412FD8" w:rsidP="009C2B6F">
      <w:pPr>
        <w:pStyle w:val="TableFigureFooter"/>
      </w:pPr>
      <w:r w:rsidRPr="00B241EB">
        <w:t>AEs = adverse events, ICC = investigator’s choice of chemotherapy, T-</w:t>
      </w:r>
      <w:proofErr w:type="spellStart"/>
      <w:r w:rsidRPr="00B241EB">
        <w:t>DXd</w:t>
      </w:r>
      <w:proofErr w:type="spellEnd"/>
      <w:r w:rsidRPr="00B241EB">
        <w:t xml:space="preserve"> = trastuzumab deruxtecan </w:t>
      </w:r>
    </w:p>
    <w:p w14:paraId="50E44520" w14:textId="77777777" w:rsidR="00412FD8" w:rsidRPr="00F34759" w:rsidRDefault="00412FD8" w:rsidP="008241B5">
      <w:pPr>
        <w:pStyle w:val="3-BodyText"/>
      </w:pPr>
      <w:r w:rsidRPr="00F34759">
        <w:t>As expected, the incremental costs were mainly driven by the drug acquisition cost for T-</w:t>
      </w:r>
      <w:proofErr w:type="spellStart"/>
      <w:r w:rsidRPr="00F34759">
        <w:t>DXd</w:t>
      </w:r>
      <w:proofErr w:type="spellEnd"/>
      <w:r w:rsidRPr="00F34759">
        <w:t>; whereas the cost offsets were mainly due to the use of subsequent T-</w:t>
      </w:r>
      <w:proofErr w:type="spellStart"/>
      <w:r w:rsidRPr="00F34759">
        <w:t>DXd</w:t>
      </w:r>
      <w:proofErr w:type="spellEnd"/>
      <w:r w:rsidRPr="00F34759">
        <w:t xml:space="preserve"> therapy following ICC in the comparator arm and more hospital admissions during the extended PD health state in the ICC arm, compared with the T-</w:t>
      </w:r>
      <w:proofErr w:type="spellStart"/>
      <w:r w:rsidRPr="00F34759">
        <w:t>DXd</w:t>
      </w:r>
      <w:proofErr w:type="spellEnd"/>
      <w:r w:rsidRPr="00F34759">
        <w:t xml:space="preserve"> arm.</w:t>
      </w:r>
    </w:p>
    <w:p w14:paraId="13FA275D" w14:textId="111745AA" w:rsidR="00412FD8" w:rsidRPr="002774A8" w:rsidRDefault="00412FD8" w:rsidP="008241B5">
      <w:pPr>
        <w:pStyle w:val="Caption"/>
      </w:pPr>
      <w:bookmarkStart w:id="66" w:name="_Ref217757974"/>
      <w:r>
        <w:t xml:space="preserve">Table </w:t>
      </w:r>
      <w:fldSimple w:instr=" SEQ Table \* ARABIC ">
        <w:r w:rsidR="005D3E29">
          <w:rPr>
            <w:noProof/>
          </w:rPr>
          <w:t>16</w:t>
        </w:r>
      </w:fldSimple>
      <w:bookmarkEnd w:id="66"/>
      <w:r>
        <w:t xml:space="preserve">: </w:t>
      </w:r>
      <w:r w:rsidRPr="00075F72">
        <w:t>Disaggregated summary of health outcomes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6: Disaggregated summary of health outcomes (discounted)"/>
      </w:tblPr>
      <w:tblGrid>
        <w:gridCol w:w="1970"/>
        <w:gridCol w:w="1833"/>
        <w:gridCol w:w="1832"/>
        <w:gridCol w:w="1692"/>
        <w:gridCol w:w="1690"/>
      </w:tblGrid>
      <w:tr w:rsidR="00412FD8" w:rsidRPr="00EB68C9" w14:paraId="36DC58D5" w14:textId="77777777">
        <w:tc>
          <w:tcPr>
            <w:tcW w:w="1092" w:type="pct"/>
            <w:tcBorders>
              <w:top w:val="single" w:sz="4" w:space="0" w:color="auto"/>
              <w:left w:val="single" w:sz="4" w:space="0" w:color="auto"/>
              <w:bottom w:val="single" w:sz="4" w:space="0" w:color="auto"/>
              <w:right w:val="single" w:sz="4" w:space="0" w:color="auto"/>
            </w:tcBorders>
            <w:noWrap/>
            <w:vAlign w:val="center"/>
            <w:hideMark/>
          </w:tcPr>
          <w:p w14:paraId="7EC4CF62" w14:textId="77777777" w:rsidR="00412FD8" w:rsidRPr="005232D3" w:rsidRDefault="00412FD8" w:rsidP="008241B5">
            <w:pPr>
              <w:pStyle w:val="TableText0"/>
              <w:rPr>
                <w:b/>
              </w:rPr>
            </w:pPr>
          </w:p>
        </w:tc>
        <w:tc>
          <w:tcPr>
            <w:tcW w:w="1016" w:type="pct"/>
            <w:tcBorders>
              <w:top w:val="single" w:sz="4" w:space="0" w:color="auto"/>
              <w:left w:val="single" w:sz="4" w:space="0" w:color="auto"/>
              <w:bottom w:val="single" w:sz="4" w:space="0" w:color="auto"/>
              <w:right w:val="single" w:sz="4" w:space="0" w:color="auto"/>
            </w:tcBorders>
            <w:noWrap/>
            <w:vAlign w:val="center"/>
            <w:hideMark/>
          </w:tcPr>
          <w:p w14:paraId="5F54D012" w14:textId="77777777" w:rsidR="00412FD8" w:rsidRPr="005232D3" w:rsidRDefault="00412FD8" w:rsidP="008241B5">
            <w:pPr>
              <w:pStyle w:val="TableText0"/>
              <w:jc w:val="center"/>
              <w:rPr>
                <w:b/>
              </w:rPr>
            </w:pPr>
            <w:r>
              <w:rPr>
                <w:b/>
              </w:rPr>
              <w:t>T-</w:t>
            </w:r>
            <w:proofErr w:type="spellStart"/>
            <w:r>
              <w:rPr>
                <w:b/>
              </w:rPr>
              <w:t>DXd</w:t>
            </w:r>
            <w:proofErr w:type="spellEnd"/>
          </w:p>
        </w:tc>
        <w:tc>
          <w:tcPr>
            <w:tcW w:w="1016" w:type="pct"/>
            <w:tcBorders>
              <w:top w:val="single" w:sz="4" w:space="0" w:color="auto"/>
              <w:left w:val="single" w:sz="4" w:space="0" w:color="auto"/>
              <w:bottom w:val="single" w:sz="4" w:space="0" w:color="auto"/>
              <w:right w:val="single" w:sz="4" w:space="0" w:color="auto"/>
            </w:tcBorders>
            <w:noWrap/>
            <w:vAlign w:val="center"/>
            <w:hideMark/>
          </w:tcPr>
          <w:p w14:paraId="53BF2AEA" w14:textId="77777777" w:rsidR="00412FD8" w:rsidRPr="005232D3" w:rsidRDefault="00412FD8" w:rsidP="008241B5">
            <w:pPr>
              <w:pStyle w:val="TableText0"/>
              <w:jc w:val="center"/>
              <w:rPr>
                <w:b/>
              </w:rPr>
            </w:pPr>
            <w:r>
              <w:rPr>
                <w:b/>
              </w:rPr>
              <w:t>ICC</w:t>
            </w:r>
          </w:p>
        </w:tc>
        <w:tc>
          <w:tcPr>
            <w:tcW w:w="938" w:type="pct"/>
            <w:tcBorders>
              <w:top w:val="single" w:sz="4" w:space="0" w:color="auto"/>
              <w:left w:val="single" w:sz="4" w:space="0" w:color="auto"/>
              <w:bottom w:val="single" w:sz="4" w:space="0" w:color="auto"/>
              <w:right w:val="single" w:sz="4" w:space="0" w:color="auto"/>
            </w:tcBorders>
            <w:noWrap/>
            <w:vAlign w:val="center"/>
            <w:hideMark/>
          </w:tcPr>
          <w:p w14:paraId="67DE2DD2" w14:textId="77777777" w:rsidR="00412FD8" w:rsidRPr="005232D3" w:rsidRDefault="00412FD8" w:rsidP="008241B5">
            <w:pPr>
              <w:pStyle w:val="TableText0"/>
              <w:jc w:val="center"/>
              <w:rPr>
                <w:b/>
              </w:rPr>
            </w:pPr>
            <w:r w:rsidRPr="005232D3">
              <w:rPr>
                <w:b/>
              </w:rPr>
              <w:t>Incremental</w:t>
            </w:r>
          </w:p>
        </w:tc>
        <w:tc>
          <w:tcPr>
            <w:tcW w:w="937" w:type="pct"/>
            <w:tcBorders>
              <w:top w:val="single" w:sz="4" w:space="0" w:color="auto"/>
              <w:left w:val="single" w:sz="4" w:space="0" w:color="auto"/>
              <w:bottom w:val="single" w:sz="4" w:space="0" w:color="auto"/>
              <w:right w:val="single" w:sz="4" w:space="0" w:color="auto"/>
            </w:tcBorders>
            <w:noWrap/>
            <w:vAlign w:val="center"/>
            <w:hideMark/>
          </w:tcPr>
          <w:p w14:paraId="5190B0D2" w14:textId="77777777" w:rsidR="00412FD8" w:rsidRPr="005232D3" w:rsidRDefault="00412FD8" w:rsidP="008241B5">
            <w:pPr>
              <w:pStyle w:val="TableText0"/>
              <w:jc w:val="center"/>
              <w:rPr>
                <w:b/>
              </w:rPr>
            </w:pPr>
            <w:r w:rsidRPr="005232D3">
              <w:rPr>
                <w:b/>
              </w:rPr>
              <w:t xml:space="preserve">% </w:t>
            </w:r>
            <w:r>
              <w:rPr>
                <w:b/>
              </w:rPr>
              <w:t>i</w:t>
            </w:r>
            <w:r w:rsidRPr="005232D3">
              <w:rPr>
                <w:b/>
              </w:rPr>
              <w:t>ncrement</w:t>
            </w:r>
          </w:p>
        </w:tc>
      </w:tr>
      <w:tr w:rsidR="00412FD8" w:rsidRPr="005232D3" w14:paraId="51CA7C02" w14:textId="77777777">
        <w:tc>
          <w:tcPr>
            <w:tcW w:w="1092" w:type="pct"/>
            <w:tcBorders>
              <w:top w:val="single" w:sz="4" w:space="0" w:color="auto"/>
              <w:left w:val="single" w:sz="4" w:space="0" w:color="auto"/>
              <w:bottom w:val="single" w:sz="4" w:space="0" w:color="auto"/>
              <w:right w:val="nil"/>
            </w:tcBorders>
            <w:noWrap/>
            <w:vAlign w:val="center"/>
          </w:tcPr>
          <w:p w14:paraId="3E48B67A" w14:textId="77777777" w:rsidR="00412FD8" w:rsidRPr="005232D3" w:rsidRDefault="00412FD8" w:rsidP="008241B5">
            <w:pPr>
              <w:pStyle w:val="TableText0"/>
              <w:rPr>
                <w:b/>
              </w:rPr>
            </w:pPr>
            <w:r w:rsidRPr="005232D3">
              <w:rPr>
                <w:b/>
              </w:rPr>
              <w:t>LYs</w:t>
            </w:r>
          </w:p>
        </w:tc>
        <w:tc>
          <w:tcPr>
            <w:tcW w:w="1016" w:type="pct"/>
            <w:tcBorders>
              <w:top w:val="single" w:sz="4" w:space="0" w:color="auto"/>
              <w:left w:val="nil"/>
              <w:bottom w:val="single" w:sz="4" w:space="0" w:color="auto"/>
              <w:right w:val="nil"/>
            </w:tcBorders>
            <w:noWrap/>
            <w:vAlign w:val="center"/>
          </w:tcPr>
          <w:p w14:paraId="068D2AA9" w14:textId="77777777" w:rsidR="00412FD8" w:rsidRPr="005232D3" w:rsidRDefault="00412FD8" w:rsidP="008241B5">
            <w:pPr>
              <w:pStyle w:val="TableText0"/>
              <w:rPr>
                <w:b/>
              </w:rPr>
            </w:pPr>
          </w:p>
        </w:tc>
        <w:tc>
          <w:tcPr>
            <w:tcW w:w="1016" w:type="pct"/>
            <w:tcBorders>
              <w:top w:val="single" w:sz="4" w:space="0" w:color="auto"/>
              <w:left w:val="nil"/>
              <w:bottom w:val="single" w:sz="4" w:space="0" w:color="auto"/>
              <w:right w:val="nil"/>
            </w:tcBorders>
            <w:noWrap/>
            <w:vAlign w:val="center"/>
          </w:tcPr>
          <w:p w14:paraId="70AA3BAE" w14:textId="77777777" w:rsidR="00412FD8" w:rsidRPr="005232D3" w:rsidRDefault="00412FD8" w:rsidP="008241B5">
            <w:pPr>
              <w:pStyle w:val="TableText0"/>
              <w:rPr>
                <w:b/>
              </w:rPr>
            </w:pPr>
          </w:p>
        </w:tc>
        <w:tc>
          <w:tcPr>
            <w:tcW w:w="938" w:type="pct"/>
            <w:tcBorders>
              <w:top w:val="single" w:sz="4" w:space="0" w:color="auto"/>
              <w:left w:val="nil"/>
              <w:bottom w:val="single" w:sz="4" w:space="0" w:color="auto"/>
              <w:right w:val="nil"/>
            </w:tcBorders>
            <w:noWrap/>
            <w:vAlign w:val="center"/>
          </w:tcPr>
          <w:p w14:paraId="4DC07B72" w14:textId="77777777" w:rsidR="00412FD8" w:rsidRPr="005232D3" w:rsidRDefault="00412FD8" w:rsidP="008241B5">
            <w:pPr>
              <w:pStyle w:val="TableText0"/>
              <w:rPr>
                <w:b/>
              </w:rPr>
            </w:pPr>
          </w:p>
        </w:tc>
        <w:tc>
          <w:tcPr>
            <w:tcW w:w="937" w:type="pct"/>
            <w:tcBorders>
              <w:top w:val="single" w:sz="4" w:space="0" w:color="auto"/>
              <w:left w:val="nil"/>
              <w:bottom w:val="single" w:sz="4" w:space="0" w:color="auto"/>
              <w:right w:val="single" w:sz="4" w:space="0" w:color="auto"/>
            </w:tcBorders>
            <w:noWrap/>
            <w:vAlign w:val="center"/>
          </w:tcPr>
          <w:p w14:paraId="6C4C9A5B" w14:textId="77777777" w:rsidR="00412FD8" w:rsidRPr="005232D3" w:rsidRDefault="00412FD8" w:rsidP="008241B5">
            <w:pPr>
              <w:pStyle w:val="TableText0"/>
              <w:rPr>
                <w:b/>
              </w:rPr>
            </w:pPr>
          </w:p>
        </w:tc>
      </w:tr>
      <w:tr w:rsidR="00412FD8" w:rsidRPr="00EF7727" w14:paraId="3C2C9D8D" w14:textId="77777777">
        <w:tc>
          <w:tcPr>
            <w:tcW w:w="1092" w:type="pct"/>
            <w:tcBorders>
              <w:top w:val="single" w:sz="4" w:space="0" w:color="auto"/>
              <w:left w:val="single" w:sz="4" w:space="0" w:color="auto"/>
              <w:bottom w:val="single" w:sz="4" w:space="0" w:color="auto"/>
              <w:right w:val="single" w:sz="4" w:space="0" w:color="auto"/>
            </w:tcBorders>
            <w:noWrap/>
            <w:vAlign w:val="center"/>
            <w:hideMark/>
          </w:tcPr>
          <w:p w14:paraId="600448BE" w14:textId="77777777" w:rsidR="00412FD8" w:rsidRPr="00EF7727" w:rsidRDefault="00412FD8" w:rsidP="008241B5">
            <w:pPr>
              <w:pStyle w:val="TableText0"/>
              <w:rPr>
                <w:bCs w:val="0"/>
              </w:rPr>
            </w:pPr>
            <w:r w:rsidRPr="00EF7727">
              <w:rPr>
                <w:bCs w:val="0"/>
              </w:rPr>
              <w:t>PF</w:t>
            </w:r>
          </w:p>
        </w:tc>
        <w:tc>
          <w:tcPr>
            <w:tcW w:w="1016" w:type="pct"/>
            <w:tcBorders>
              <w:top w:val="single" w:sz="4" w:space="0" w:color="auto"/>
              <w:left w:val="single" w:sz="4" w:space="0" w:color="auto"/>
              <w:bottom w:val="single" w:sz="4" w:space="0" w:color="auto"/>
              <w:right w:val="single" w:sz="4" w:space="0" w:color="auto"/>
            </w:tcBorders>
            <w:noWrap/>
          </w:tcPr>
          <w:p w14:paraId="1F679012" w14:textId="77777777" w:rsidR="00412FD8" w:rsidRPr="00EF7727" w:rsidRDefault="00412FD8" w:rsidP="008241B5">
            <w:pPr>
              <w:pStyle w:val="TableText0"/>
              <w:jc w:val="center"/>
              <w:rPr>
                <w:bCs w:val="0"/>
              </w:rPr>
            </w:pPr>
            <w:r w:rsidRPr="002A104B">
              <w:t>1.494</w:t>
            </w:r>
          </w:p>
        </w:tc>
        <w:tc>
          <w:tcPr>
            <w:tcW w:w="1016" w:type="pct"/>
            <w:tcBorders>
              <w:top w:val="single" w:sz="4" w:space="0" w:color="auto"/>
              <w:left w:val="nil"/>
              <w:bottom w:val="single" w:sz="4" w:space="0" w:color="auto"/>
              <w:right w:val="single" w:sz="4" w:space="0" w:color="auto"/>
            </w:tcBorders>
            <w:noWrap/>
          </w:tcPr>
          <w:p w14:paraId="630EBD5B" w14:textId="77777777" w:rsidR="00412FD8" w:rsidRPr="00EF7727" w:rsidRDefault="00412FD8" w:rsidP="008241B5">
            <w:pPr>
              <w:pStyle w:val="TableText0"/>
              <w:jc w:val="center"/>
              <w:rPr>
                <w:bCs w:val="0"/>
              </w:rPr>
            </w:pPr>
            <w:r w:rsidRPr="002A104B">
              <w:t>0.837</w:t>
            </w:r>
          </w:p>
        </w:tc>
        <w:tc>
          <w:tcPr>
            <w:tcW w:w="938" w:type="pct"/>
            <w:tcBorders>
              <w:top w:val="single" w:sz="4" w:space="0" w:color="auto"/>
              <w:left w:val="single" w:sz="4" w:space="0" w:color="auto"/>
              <w:bottom w:val="single" w:sz="4" w:space="0" w:color="auto"/>
              <w:right w:val="single" w:sz="4" w:space="0" w:color="auto"/>
            </w:tcBorders>
            <w:noWrap/>
          </w:tcPr>
          <w:p w14:paraId="47833C73" w14:textId="77777777" w:rsidR="00412FD8" w:rsidRPr="00EF7727" w:rsidRDefault="00412FD8" w:rsidP="008241B5">
            <w:pPr>
              <w:pStyle w:val="TableText0"/>
              <w:jc w:val="center"/>
              <w:rPr>
                <w:bCs w:val="0"/>
              </w:rPr>
            </w:pPr>
            <w:r w:rsidRPr="002A104B">
              <w:t>0.657</w:t>
            </w:r>
          </w:p>
        </w:tc>
        <w:tc>
          <w:tcPr>
            <w:tcW w:w="937" w:type="pct"/>
            <w:tcBorders>
              <w:top w:val="single" w:sz="4" w:space="0" w:color="auto"/>
              <w:left w:val="single" w:sz="4" w:space="0" w:color="auto"/>
              <w:bottom w:val="single" w:sz="4" w:space="0" w:color="auto"/>
              <w:right w:val="single" w:sz="4" w:space="0" w:color="auto"/>
            </w:tcBorders>
            <w:noWrap/>
          </w:tcPr>
          <w:p w14:paraId="10B2F34D" w14:textId="77777777" w:rsidR="00412FD8" w:rsidRPr="00EF7727" w:rsidRDefault="00412FD8" w:rsidP="008241B5">
            <w:pPr>
              <w:pStyle w:val="TableText0"/>
              <w:jc w:val="center"/>
              <w:rPr>
                <w:bCs w:val="0"/>
              </w:rPr>
            </w:pPr>
            <w:r w:rsidRPr="002A104B">
              <w:t>182.8%</w:t>
            </w:r>
          </w:p>
        </w:tc>
      </w:tr>
      <w:tr w:rsidR="00412FD8" w:rsidRPr="00EF7727" w14:paraId="3BAFDB38" w14:textId="77777777">
        <w:tc>
          <w:tcPr>
            <w:tcW w:w="1092" w:type="pct"/>
            <w:tcBorders>
              <w:top w:val="single" w:sz="4" w:space="0" w:color="auto"/>
              <w:left w:val="single" w:sz="4" w:space="0" w:color="auto"/>
              <w:bottom w:val="single" w:sz="4" w:space="0" w:color="auto"/>
              <w:right w:val="single" w:sz="4" w:space="0" w:color="auto"/>
            </w:tcBorders>
            <w:noWrap/>
            <w:vAlign w:val="center"/>
            <w:hideMark/>
          </w:tcPr>
          <w:p w14:paraId="16A4F621" w14:textId="77777777" w:rsidR="00412FD8" w:rsidRPr="00EF7727" w:rsidRDefault="00412FD8" w:rsidP="008241B5">
            <w:pPr>
              <w:pStyle w:val="TableText0"/>
              <w:rPr>
                <w:bCs w:val="0"/>
              </w:rPr>
            </w:pPr>
            <w:r w:rsidRPr="00EF7727">
              <w:rPr>
                <w:bCs w:val="0"/>
              </w:rPr>
              <w:t>PD</w:t>
            </w:r>
          </w:p>
        </w:tc>
        <w:tc>
          <w:tcPr>
            <w:tcW w:w="1016" w:type="pct"/>
            <w:tcBorders>
              <w:top w:val="nil"/>
              <w:left w:val="single" w:sz="4" w:space="0" w:color="auto"/>
              <w:bottom w:val="single" w:sz="4" w:space="0" w:color="auto"/>
              <w:right w:val="single" w:sz="4" w:space="0" w:color="auto"/>
            </w:tcBorders>
            <w:noWrap/>
          </w:tcPr>
          <w:p w14:paraId="5183038A" w14:textId="77777777" w:rsidR="00412FD8" w:rsidRPr="00EF7727" w:rsidRDefault="00412FD8" w:rsidP="008241B5">
            <w:pPr>
              <w:pStyle w:val="TableText0"/>
              <w:jc w:val="center"/>
              <w:rPr>
                <w:bCs w:val="0"/>
              </w:rPr>
            </w:pPr>
            <w:r w:rsidRPr="002A104B">
              <w:t>1.871</w:t>
            </w:r>
          </w:p>
        </w:tc>
        <w:tc>
          <w:tcPr>
            <w:tcW w:w="1016" w:type="pct"/>
            <w:tcBorders>
              <w:top w:val="nil"/>
              <w:left w:val="nil"/>
              <w:bottom w:val="single" w:sz="4" w:space="0" w:color="auto"/>
              <w:right w:val="single" w:sz="4" w:space="0" w:color="auto"/>
            </w:tcBorders>
            <w:noWrap/>
          </w:tcPr>
          <w:p w14:paraId="2A2B9DC6" w14:textId="77777777" w:rsidR="00412FD8" w:rsidRPr="00EF7727" w:rsidRDefault="00412FD8" w:rsidP="008241B5">
            <w:pPr>
              <w:pStyle w:val="TableText0"/>
              <w:jc w:val="center"/>
              <w:rPr>
                <w:bCs w:val="0"/>
              </w:rPr>
            </w:pPr>
            <w:r w:rsidRPr="002A104B">
              <w:t>2.169</w:t>
            </w:r>
          </w:p>
        </w:tc>
        <w:tc>
          <w:tcPr>
            <w:tcW w:w="938" w:type="pct"/>
            <w:tcBorders>
              <w:top w:val="single" w:sz="4" w:space="0" w:color="auto"/>
              <w:left w:val="single" w:sz="4" w:space="0" w:color="auto"/>
              <w:bottom w:val="single" w:sz="4" w:space="0" w:color="auto"/>
              <w:right w:val="single" w:sz="4" w:space="0" w:color="auto"/>
            </w:tcBorders>
            <w:noWrap/>
          </w:tcPr>
          <w:p w14:paraId="66508A32" w14:textId="77777777" w:rsidR="00412FD8" w:rsidRPr="00EF7727" w:rsidRDefault="00412FD8" w:rsidP="008241B5">
            <w:pPr>
              <w:pStyle w:val="TableText0"/>
              <w:jc w:val="center"/>
              <w:rPr>
                <w:bCs w:val="0"/>
              </w:rPr>
            </w:pPr>
            <w:r w:rsidRPr="002A104B">
              <w:t>-0.298</w:t>
            </w:r>
          </w:p>
        </w:tc>
        <w:tc>
          <w:tcPr>
            <w:tcW w:w="937" w:type="pct"/>
            <w:tcBorders>
              <w:top w:val="single" w:sz="4" w:space="0" w:color="auto"/>
              <w:left w:val="single" w:sz="4" w:space="0" w:color="auto"/>
              <w:bottom w:val="single" w:sz="4" w:space="0" w:color="auto"/>
              <w:right w:val="single" w:sz="4" w:space="0" w:color="auto"/>
            </w:tcBorders>
            <w:noWrap/>
          </w:tcPr>
          <w:p w14:paraId="3AD29521" w14:textId="77777777" w:rsidR="00412FD8" w:rsidRPr="00EF7727" w:rsidRDefault="00412FD8" w:rsidP="008241B5">
            <w:pPr>
              <w:pStyle w:val="TableText0"/>
              <w:jc w:val="center"/>
              <w:rPr>
                <w:bCs w:val="0"/>
              </w:rPr>
            </w:pPr>
            <w:r w:rsidRPr="002A104B">
              <w:t>-82.8%</w:t>
            </w:r>
          </w:p>
        </w:tc>
      </w:tr>
      <w:tr w:rsidR="00412FD8" w:rsidRPr="00EF7727" w14:paraId="6E8504B9" w14:textId="77777777">
        <w:tc>
          <w:tcPr>
            <w:tcW w:w="1092" w:type="pct"/>
            <w:tcBorders>
              <w:top w:val="single" w:sz="4" w:space="0" w:color="auto"/>
              <w:left w:val="single" w:sz="4" w:space="0" w:color="auto"/>
              <w:bottom w:val="double" w:sz="4" w:space="0" w:color="auto"/>
              <w:right w:val="single" w:sz="4" w:space="0" w:color="auto"/>
            </w:tcBorders>
            <w:noWrap/>
            <w:vAlign w:val="center"/>
            <w:hideMark/>
          </w:tcPr>
          <w:p w14:paraId="6479D114" w14:textId="77777777" w:rsidR="00412FD8" w:rsidRPr="00EF7727" w:rsidRDefault="00412FD8" w:rsidP="008241B5">
            <w:pPr>
              <w:pStyle w:val="TableText0"/>
              <w:rPr>
                <w:b/>
              </w:rPr>
            </w:pPr>
            <w:r w:rsidRPr="00EF7727">
              <w:rPr>
                <w:b/>
              </w:rPr>
              <w:t>Total LYs</w:t>
            </w:r>
          </w:p>
        </w:tc>
        <w:tc>
          <w:tcPr>
            <w:tcW w:w="1016" w:type="pct"/>
            <w:tcBorders>
              <w:top w:val="single" w:sz="4" w:space="0" w:color="auto"/>
              <w:left w:val="single" w:sz="4" w:space="0" w:color="auto"/>
              <w:bottom w:val="double" w:sz="4" w:space="0" w:color="auto"/>
              <w:right w:val="single" w:sz="4" w:space="0" w:color="auto"/>
            </w:tcBorders>
            <w:noWrap/>
            <w:vAlign w:val="center"/>
          </w:tcPr>
          <w:p w14:paraId="3056CF06" w14:textId="77777777" w:rsidR="00412FD8" w:rsidRPr="00EF7727" w:rsidRDefault="00412FD8" w:rsidP="008241B5">
            <w:pPr>
              <w:pStyle w:val="TableText0"/>
              <w:jc w:val="center"/>
              <w:rPr>
                <w:b/>
              </w:rPr>
            </w:pPr>
            <w:r w:rsidRPr="00EF7727">
              <w:rPr>
                <w:b/>
              </w:rPr>
              <w:t>3.365</w:t>
            </w:r>
          </w:p>
        </w:tc>
        <w:tc>
          <w:tcPr>
            <w:tcW w:w="1016" w:type="pct"/>
            <w:tcBorders>
              <w:top w:val="single" w:sz="4" w:space="0" w:color="auto"/>
              <w:left w:val="single" w:sz="4" w:space="0" w:color="auto"/>
              <w:bottom w:val="double" w:sz="4" w:space="0" w:color="auto"/>
              <w:right w:val="single" w:sz="4" w:space="0" w:color="auto"/>
            </w:tcBorders>
            <w:noWrap/>
            <w:vAlign w:val="center"/>
          </w:tcPr>
          <w:p w14:paraId="0D50DC18" w14:textId="77777777" w:rsidR="00412FD8" w:rsidRPr="00EF7727" w:rsidRDefault="00412FD8" w:rsidP="008241B5">
            <w:pPr>
              <w:pStyle w:val="TableText0"/>
              <w:jc w:val="center"/>
              <w:rPr>
                <w:b/>
              </w:rPr>
            </w:pPr>
            <w:r w:rsidRPr="00EF7727">
              <w:rPr>
                <w:b/>
              </w:rPr>
              <w:t>3.006</w:t>
            </w:r>
          </w:p>
        </w:tc>
        <w:tc>
          <w:tcPr>
            <w:tcW w:w="938" w:type="pct"/>
            <w:tcBorders>
              <w:top w:val="single" w:sz="4" w:space="0" w:color="auto"/>
              <w:left w:val="single" w:sz="4" w:space="0" w:color="auto"/>
              <w:bottom w:val="double" w:sz="4" w:space="0" w:color="auto"/>
              <w:right w:val="single" w:sz="4" w:space="0" w:color="auto"/>
            </w:tcBorders>
            <w:noWrap/>
          </w:tcPr>
          <w:p w14:paraId="7218400F" w14:textId="77777777" w:rsidR="00412FD8" w:rsidRPr="00EF7727" w:rsidRDefault="00412FD8" w:rsidP="008241B5">
            <w:pPr>
              <w:pStyle w:val="TableText0"/>
              <w:jc w:val="center"/>
              <w:rPr>
                <w:b/>
              </w:rPr>
            </w:pPr>
            <w:r w:rsidRPr="00EF7727">
              <w:rPr>
                <w:b/>
              </w:rPr>
              <w:t>0.359</w:t>
            </w:r>
          </w:p>
        </w:tc>
        <w:tc>
          <w:tcPr>
            <w:tcW w:w="937" w:type="pct"/>
            <w:tcBorders>
              <w:top w:val="single" w:sz="4" w:space="0" w:color="auto"/>
              <w:left w:val="single" w:sz="4" w:space="0" w:color="auto"/>
              <w:bottom w:val="double" w:sz="4" w:space="0" w:color="auto"/>
              <w:right w:val="single" w:sz="4" w:space="0" w:color="auto"/>
            </w:tcBorders>
            <w:noWrap/>
          </w:tcPr>
          <w:p w14:paraId="275E7A42" w14:textId="77777777" w:rsidR="00412FD8" w:rsidRPr="00EF7727" w:rsidRDefault="00412FD8" w:rsidP="008241B5">
            <w:pPr>
              <w:pStyle w:val="TableText0"/>
              <w:jc w:val="center"/>
              <w:rPr>
                <w:b/>
              </w:rPr>
            </w:pPr>
            <w:r w:rsidRPr="00EF7727">
              <w:rPr>
                <w:b/>
              </w:rPr>
              <w:t>100.0%</w:t>
            </w:r>
          </w:p>
        </w:tc>
      </w:tr>
      <w:tr w:rsidR="00412FD8" w:rsidRPr="005232D3" w14:paraId="7F1F176A" w14:textId="77777777">
        <w:tc>
          <w:tcPr>
            <w:tcW w:w="1092" w:type="pct"/>
            <w:tcBorders>
              <w:top w:val="double" w:sz="4" w:space="0" w:color="auto"/>
              <w:left w:val="single" w:sz="4" w:space="0" w:color="auto"/>
              <w:bottom w:val="single" w:sz="4" w:space="0" w:color="auto"/>
              <w:right w:val="nil"/>
            </w:tcBorders>
            <w:noWrap/>
            <w:vAlign w:val="center"/>
          </w:tcPr>
          <w:p w14:paraId="001329BE" w14:textId="77777777" w:rsidR="00412FD8" w:rsidRPr="005232D3" w:rsidRDefault="00412FD8" w:rsidP="008241B5">
            <w:pPr>
              <w:pStyle w:val="TableText0"/>
              <w:rPr>
                <w:b/>
              </w:rPr>
            </w:pPr>
            <w:r w:rsidRPr="005232D3">
              <w:rPr>
                <w:b/>
              </w:rPr>
              <w:t>QALYs</w:t>
            </w:r>
          </w:p>
        </w:tc>
        <w:tc>
          <w:tcPr>
            <w:tcW w:w="1016" w:type="pct"/>
            <w:tcBorders>
              <w:top w:val="double" w:sz="4" w:space="0" w:color="auto"/>
              <w:left w:val="nil"/>
              <w:bottom w:val="single" w:sz="4" w:space="0" w:color="auto"/>
              <w:right w:val="nil"/>
            </w:tcBorders>
            <w:noWrap/>
            <w:vAlign w:val="center"/>
          </w:tcPr>
          <w:p w14:paraId="7A350D4D" w14:textId="77777777" w:rsidR="00412FD8" w:rsidRPr="005232D3" w:rsidRDefault="00412FD8" w:rsidP="008241B5">
            <w:pPr>
              <w:pStyle w:val="TableText0"/>
              <w:rPr>
                <w:b/>
              </w:rPr>
            </w:pPr>
          </w:p>
        </w:tc>
        <w:tc>
          <w:tcPr>
            <w:tcW w:w="1016" w:type="pct"/>
            <w:tcBorders>
              <w:top w:val="double" w:sz="4" w:space="0" w:color="auto"/>
              <w:left w:val="nil"/>
              <w:bottom w:val="single" w:sz="4" w:space="0" w:color="auto"/>
              <w:right w:val="nil"/>
            </w:tcBorders>
            <w:noWrap/>
            <w:vAlign w:val="center"/>
          </w:tcPr>
          <w:p w14:paraId="604C346A" w14:textId="77777777" w:rsidR="00412FD8" w:rsidRPr="005232D3" w:rsidRDefault="00412FD8" w:rsidP="008241B5">
            <w:pPr>
              <w:pStyle w:val="TableText0"/>
              <w:rPr>
                <w:b/>
              </w:rPr>
            </w:pPr>
          </w:p>
        </w:tc>
        <w:tc>
          <w:tcPr>
            <w:tcW w:w="938" w:type="pct"/>
            <w:tcBorders>
              <w:top w:val="double" w:sz="4" w:space="0" w:color="auto"/>
              <w:left w:val="nil"/>
              <w:bottom w:val="single" w:sz="4" w:space="0" w:color="auto"/>
              <w:right w:val="nil"/>
            </w:tcBorders>
            <w:noWrap/>
            <w:vAlign w:val="center"/>
          </w:tcPr>
          <w:p w14:paraId="6683AE48" w14:textId="77777777" w:rsidR="00412FD8" w:rsidRPr="005232D3" w:rsidRDefault="00412FD8" w:rsidP="008241B5">
            <w:pPr>
              <w:pStyle w:val="TableText0"/>
              <w:rPr>
                <w:b/>
              </w:rPr>
            </w:pPr>
          </w:p>
        </w:tc>
        <w:tc>
          <w:tcPr>
            <w:tcW w:w="937" w:type="pct"/>
            <w:tcBorders>
              <w:top w:val="double" w:sz="4" w:space="0" w:color="auto"/>
              <w:left w:val="nil"/>
              <w:bottom w:val="single" w:sz="4" w:space="0" w:color="auto"/>
              <w:right w:val="single" w:sz="4" w:space="0" w:color="auto"/>
            </w:tcBorders>
            <w:noWrap/>
            <w:vAlign w:val="center"/>
          </w:tcPr>
          <w:p w14:paraId="64C1EFF3" w14:textId="77777777" w:rsidR="00412FD8" w:rsidRPr="005232D3" w:rsidRDefault="00412FD8" w:rsidP="008241B5">
            <w:pPr>
              <w:pStyle w:val="TableText0"/>
              <w:rPr>
                <w:b/>
              </w:rPr>
            </w:pPr>
          </w:p>
        </w:tc>
      </w:tr>
      <w:tr w:rsidR="00412FD8" w:rsidRPr="005232D3" w14:paraId="3CCF5988" w14:textId="77777777">
        <w:tc>
          <w:tcPr>
            <w:tcW w:w="1092" w:type="pct"/>
            <w:tcBorders>
              <w:top w:val="single" w:sz="4" w:space="0" w:color="auto"/>
              <w:left w:val="single" w:sz="4" w:space="0" w:color="auto"/>
              <w:bottom w:val="single" w:sz="4" w:space="0" w:color="auto"/>
              <w:right w:val="single" w:sz="4" w:space="0" w:color="auto"/>
            </w:tcBorders>
            <w:noWrap/>
            <w:vAlign w:val="center"/>
          </w:tcPr>
          <w:p w14:paraId="66D22B0D" w14:textId="77777777" w:rsidR="00412FD8" w:rsidRPr="005232D3" w:rsidRDefault="00412FD8" w:rsidP="008241B5">
            <w:pPr>
              <w:pStyle w:val="TableText0"/>
              <w:rPr>
                <w:bCs w:val="0"/>
              </w:rPr>
            </w:pPr>
            <w:r>
              <w:rPr>
                <w:bCs w:val="0"/>
              </w:rPr>
              <w:t>PF</w:t>
            </w:r>
          </w:p>
        </w:tc>
        <w:tc>
          <w:tcPr>
            <w:tcW w:w="1016" w:type="pct"/>
            <w:tcBorders>
              <w:top w:val="single" w:sz="4" w:space="0" w:color="auto"/>
              <w:left w:val="single" w:sz="4" w:space="0" w:color="auto"/>
              <w:bottom w:val="single" w:sz="4" w:space="0" w:color="auto"/>
              <w:right w:val="single" w:sz="4" w:space="0" w:color="auto"/>
            </w:tcBorders>
            <w:noWrap/>
          </w:tcPr>
          <w:p w14:paraId="27CA8125" w14:textId="77777777" w:rsidR="00412FD8" w:rsidRPr="005232D3" w:rsidRDefault="00412FD8" w:rsidP="008241B5">
            <w:pPr>
              <w:pStyle w:val="TableText0"/>
              <w:jc w:val="center"/>
              <w:rPr>
                <w:bCs w:val="0"/>
              </w:rPr>
            </w:pPr>
            <w:r w:rsidRPr="0029031B">
              <w:t>1.198</w:t>
            </w:r>
          </w:p>
        </w:tc>
        <w:tc>
          <w:tcPr>
            <w:tcW w:w="1016" w:type="pct"/>
            <w:tcBorders>
              <w:top w:val="single" w:sz="4" w:space="0" w:color="auto"/>
              <w:left w:val="single" w:sz="4" w:space="0" w:color="auto"/>
              <w:bottom w:val="single" w:sz="4" w:space="0" w:color="auto"/>
              <w:right w:val="single" w:sz="4" w:space="0" w:color="auto"/>
            </w:tcBorders>
            <w:noWrap/>
          </w:tcPr>
          <w:p w14:paraId="1EC91FBE" w14:textId="77777777" w:rsidR="00412FD8" w:rsidRPr="005232D3" w:rsidRDefault="00412FD8" w:rsidP="008241B5">
            <w:pPr>
              <w:pStyle w:val="TableText0"/>
              <w:jc w:val="center"/>
              <w:rPr>
                <w:bCs w:val="0"/>
              </w:rPr>
            </w:pPr>
            <w:r w:rsidRPr="0029031B">
              <w:t>0.642</w:t>
            </w:r>
          </w:p>
        </w:tc>
        <w:tc>
          <w:tcPr>
            <w:tcW w:w="938" w:type="pct"/>
            <w:tcBorders>
              <w:top w:val="single" w:sz="4" w:space="0" w:color="auto"/>
              <w:left w:val="single" w:sz="4" w:space="0" w:color="auto"/>
              <w:bottom w:val="single" w:sz="4" w:space="0" w:color="auto"/>
              <w:right w:val="single" w:sz="4" w:space="0" w:color="auto"/>
            </w:tcBorders>
            <w:noWrap/>
          </w:tcPr>
          <w:p w14:paraId="24D37173" w14:textId="77777777" w:rsidR="00412FD8" w:rsidRPr="005232D3" w:rsidRDefault="00412FD8" w:rsidP="008241B5">
            <w:pPr>
              <w:pStyle w:val="TableText0"/>
              <w:jc w:val="center"/>
              <w:rPr>
                <w:bCs w:val="0"/>
              </w:rPr>
            </w:pPr>
            <w:r w:rsidRPr="0029031B">
              <w:t>0.556</w:t>
            </w:r>
          </w:p>
        </w:tc>
        <w:tc>
          <w:tcPr>
            <w:tcW w:w="937" w:type="pct"/>
            <w:tcBorders>
              <w:top w:val="single" w:sz="4" w:space="0" w:color="auto"/>
              <w:left w:val="single" w:sz="4" w:space="0" w:color="auto"/>
              <w:bottom w:val="single" w:sz="4" w:space="0" w:color="auto"/>
              <w:right w:val="single" w:sz="4" w:space="0" w:color="auto"/>
            </w:tcBorders>
            <w:noWrap/>
          </w:tcPr>
          <w:p w14:paraId="5EB40FCF" w14:textId="77777777" w:rsidR="00412FD8" w:rsidRPr="007416A8" w:rsidRDefault="00412FD8" w:rsidP="008241B5">
            <w:pPr>
              <w:pStyle w:val="TableText0"/>
              <w:jc w:val="center"/>
              <w:rPr>
                <w:bCs w:val="0"/>
                <w:i/>
                <w:iCs/>
              </w:rPr>
            </w:pPr>
            <w:r w:rsidRPr="0029031B">
              <w:t>139.6%</w:t>
            </w:r>
          </w:p>
        </w:tc>
      </w:tr>
      <w:tr w:rsidR="00412FD8" w:rsidRPr="005232D3" w14:paraId="3D538AF2" w14:textId="77777777">
        <w:tc>
          <w:tcPr>
            <w:tcW w:w="1092" w:type="pct"/>
            <w:tcBorders>
              <w:top w:val="single" w:sz="4" w:space="0" w:color="auto"/>
              <w:left w:val="single" w:sz="4" w:space="0" w:color="auto"/>
              <w:bottom w:val="single" w:sz="4" w:space="0" w:color="auto"/>
              <w:right w:val="single" w:sz="4" w:space="0" w:color="auto"/>
            </w:tcBorders>
            <w:noWrap/>
            <w:vAlign w:val="center"/>
          </w:tcPr>
          <w:p w14:paraId="79AA8E5E" w14:textId="77777777" w:rsidR="00412FD8" w:rsidRPr="005232D3" w:rsidRDefault="00412FD8" w:rsidP="008241B5">
            <w:pPr>
              <w:pStyle w:val="TableText0"/>
              <w:rPr>
                <w:bCs w:val="0"/>
              </w:rPr>
            </w:pPr>
            <w:r>
              <w:rPr>
                <w:bCs w:val="0"/>
              </w:rPr>
              <w:t>PD</w:t>
            </w:r>
          </w:p>
        </w:tc>
        <w:tc>
          <w:tcPr>
            <w:tcW w:w="1016" w:type="pct"/>
            <w:tcBorders>
              <w:top w:val="single" w:sz="4" w:space="0" w:color="auto"/>
              <w:left w:val="single" w:sz="4" w:space="0" w:color="auto"/>
              <w:bottom w:val="single" w:sz="4" w:space="0" w:color="auto"/>
              <w:right w:val="single" w:sz="4" w:space="0" w:color="auto"/>
            </w:tcBorders>
            <w:noWrap/>
          </w:tcPr>
          <w:p w14:paraId="1F24B5CB" w14:textId="77777777" w:rsidR="00412FD8" w:rsidRPr="005232D3" w:rsidRDefault="00412FD8" w:rsidP="008241B5">
            <w:pPr>
              <w:pStyle w:val="TableText0"/>
              <w:jc w:val="center"/>
              <w:rPr>
                <w:bCs w:val="0"/>
              </w:rPr>
            </w:pPr>
            <w:r w:rsidRPr="0029031B">
              <w:t>0.991</w:t>
            </w:r>
          </w:p>
        </w:tc>
        <w:tc>
          <w:tcPr>
            <w:tcW w:w="1016" w:type="pct"/>
            <w:tcBorders>
              <w:top w:val="single" w:sz="4" w:space="0" w:color="auto"/>
              <w:left w:val="single" w:sz="4" w:space="0" w:color="auto"/>
              <w:bottom w:val="single" w:sz="4" w:space="0" w:color="auto"/>
              <w:right w:val="single" w:sz="4" w:space="0" w:color="auto"/>
            </w:tcBorders>
            <w:noWrap/>
          </w:tcPr>
          <w:p w14:paraId="5E5EFA25" w14:textId="77777777" w:rsidR="00412FD8" w:rsidRPr="005232D3" w:rsidRDefault="00412FD8" w:rsidP="008241B5">
            <w:pPr>
              <w:pStyle w:val="TableText0"/>
              <w:jc w:val="center"/>
              <w:rPr>
                <w:bCs w:val="0"/>
              </w:rPr>
            </w:pPr>
            <w:r w:rsidRPr="0029031B">
              <w:t>1.149</w:t>
            </w:r>
          </w:p>
        </w:tc>
        <w:tc>
          <w:tcPr>
            <w:tcW w:w="938" w:type="pct"/>
            <w:tcBorders>
              <w:top w:val="single" w:sz="4" w:space="0" w:color="auto"/>
              <w:left w:val="single" w:sz="4" w:space="0" w:color="auto"/>
              <w:bottom w:val="single" w:sz="4" w:space="0" w:color="auto"/>
              <w:right w:val="single" w:sz="4" w:space="0" w:color="auto"/>
            </w:tcBorders>
            <w:noWrap/>
          </w:tcPr>
          <w:p w14:paraId="7CAF4FA1" w14:textId="77777777" w:rsidR="00412FD8" w:rsidRPr="005232D3" w:rsidRDefault="00412FD8" w:rsidP="008241B5">
            <w:pPr>
              <w:pStyle w:val="TableText0"/>
              <w:jc w:val="center"/>
              <w:rPr>
                <w:bCs w:val="0"/>
              </w:rPr>
            </w:pPr>
            <w:r w:rsidRPr="0029031B">
              <w:t>-0.158</w:t>
            </w:r>
          </w:p>
        </w:tc>
        <w:tc>
          <w:tcPr>
            <w:tcW w:w="937" w:type="pct"/>
            <w:tcBorders>
              <w:top w:val="single" w:sz="4" w:space="0" w:color="auto"/>
              <w:left w:val="single" w:sz="4" w:space="0" w:color="auto"/>
              <w:bottom w:val="single" w:sz="4" w:space="0" w:color="auto"/>
              <w:right w:val="single" w:sz="4" w:space="0" w:color="auto"/>
            </w:tcBorders>
            <w:noWrap/>
          </w:tcPr>
          <w:p w14:paraId="6C8ECCCB" w14:textId="77777777" w:rsidR="00412FD8" w:rsidRPr="007416A8" w:rsidRDefault="00412FD8" w:rsidP="008241B5">
            <w:pPr>
              <w:pStyle w:val="TableText0"/>
              <w:jc w:val="center"/>
              <w:rPr>
                <w:bCs w:val="0"/>
                <w:i/>
                <w:iCs/>
              </w:rPr>
            </w:pPr>
            <w:r w:rsidRPr="0029031B">
              <w:t>-39.6%</w:t>
            </w:r>
          </w:p>
        </w:tc>
      </w:tr>
      <w:tr w:rsidR="00412FD8" w:rsidRPr="005232D3" w14:paraId="5054080F" w14:textId="77777777">
        <w:tc>
          <w:tcPr>
            <w:tcW w:w="1092" w:type="pct"/>
            <w:tcBorders>
              <w:top w:val="single" w:sz="4" w:space="0" w:color="auto"/>
              <w:left w:val="single" w:sz="4" w:space="0" w:color="auto"/>
              <w:bottom w:val="single" w:sz="4" w:space="0" w:color="auto"/>
              <w:right w:val="single" w:sz="4" w:space="0" w:color="auto"/>
            </w:tcBorders>
            <w:noWrap/>
            <w:vAlign w:val="center"/>
          </w:tcPr>
          <w:p w14:paraId="490641DA" w14:textId="77777777" w:rsidR="00412FD8" w:rsidRPr="005232D3" w:rsidRDefault="00412FD8" w:rsidP="008241B5">
            <w:pPr>
              <w:pStyle w:val="TableText0"/>
              <w:rPr>
                <w:bCs w:val="0"/>
              </w:rPr>
            </w:pPr>
            <w:r>
              <w:rPr>
                <w:bCs w:val="0"/>
              </w:rPr>
              <w:t>AE-related disutilities</w:t>
            </w:r>
          </w:p>
        </w:tc>
        <w:tc>
          <w:tcPr>
            <w:tcW w:w="1016" w:type="pct"/>
            <w:tcBorders>
              <w:top w:val="single" w:sz="4" w:space="0" w:color="auto"/>
              <w:left w:val="single" w:sz="4" w:space="0" w:color="auto"/>
              <w:bottom w:val="single" w:sz="4" w:space="0" w:color="auto"/>
              <w:right w:val="single" w:sz="4" w:space="0" w:color="auto"/>
            </w:tcBorders>
            <w:noWrap/>
          </w:tcPr>
          <w:p w14:paraId="10191D2B" w14:textId="77777777" w:rsidR="00412FD8" w:rsidRPr="005232D3" w:rsidRDefault="00412FD8" w:rsidP="008241B5">
            <w:pPr>
              <w:pStyle w:val="TableText0"/>
              <w:jc w:val="center"/>
              <w:rPr>
                <w:bCs w:val="0"/>
              </w:rPr>
            </w:pPr>
            <w:r>
              <w:rPr>
                <w:bCs w:val="0"/>
              </w:rPr>
              <w:t>0.000</w:t>
            </w:r>
          </w:p>
        </w:tc>
        <w:tc>
          <w:tcPr>
            <w:tcW w:w="1016" w:type="pct"/>
            <w:tcBorders>
              <w:top w:val="single" w:sz="4" w:space="0" w:color="auto"/>
              <w:left w:val="single" w:sz="4" w:space="0" w:color="auto"/>
              <w:bottom w:val="single" w:sz="4" w:space="0" w:color="auto"/>
              <w:right w:val="single" w:sz="4" w:space="0" w:color="auto"/>
            </w:tcBorders>
            <w:noWrap/>
          </w:tcPr>
          <w:p w14:paraId="2E80AD59" w14:textId="77777777" w:rsidR="00412FD8" w:rsidRPr="005232D3" w:rsidRDefault="00412FD8" w:rsidP="008241B5">
            <w:pPr>
              <w:pStyle w:val="TableText0"/>
              <w:jc w:val="center"/>
              <w:rPr>
                <w:bCs w:val="0"/>
              </w:rPr>
            </w:pPr>
            <w:r>
              <w:rPr>
                <w:bCs w:val="0"/>
              </w:rPr>
              <w:t>0.000</w:t>
            </w:r>
          </w:p>
        </w:tc>
        <w:tc>
          <w:tcPr>
            <w:tcW w:w="938" w:type="pct"/>
            <w:tcBorders>
              <w:top w:val="single" w:sz="4" w:space="0" w:color="auto"/>
              <w:left w:val="single" w:sz="4" w:space="0" w:color="auto"/>
              <w:bottom w:val="single" w:sz="4" w:space="0" w:color="auto"/>
              <w:right w:val="single" w:sz="4" w:space="0" w:color="auto"/>
            </w:tcBorders>
            <w:noWrap/>
          </w:tcPr>
          <w:p w14:paraId="1987080D" w14:textId="77777777" w:rsidR="00412FD8" w:rsidRPr="005232D3" w:rsidRDefault="00412FD8" w:rsidP="008241B5">
            <w:pPr>
              <w:pStyle w:val="TableText0"/>
              <w:jc w:val="center"/>
              <w:rPr>
                <w:bCs w:val="0"/>
              </w:rPr>
            </w:pPr>
            <w:r>
              <w:rPr>
                <w:bCs w:val="0"/>
              </w:rPr>
              <w:t>0.000</w:t>
            </w:r>
          </w:p>
        </w:tc>
        <w:tc>
          <w:tcPr>
            <w:tcW w:w="937" w:type="pct"/>
            <w:tcBorders>
              <w:top w:val="single" w:sz="4" w:space="0" w:color="auto"/>
              <w:left w:val="single" w:sz="4" w:space="0" w:color="auto"/>
              <w:bottom w:val="single" w:sz="4" w:space="0" w:color="auto"/>
              <w:right w:val="single" w:sz="4" w:space="0" w:color="auto"/>
            </w:tcBorders>
            <w:noWrap/>
          </w:tcPr>
          <w:p w14:paraId="6C4C9098" w14:textId="77777777" w:rsidR="00412FD8" w:rsidRPr="004E08BB" w:rsidRDefault="00412FD8" w:rsidP="008241B5">
            <w:pPr>
              <w:pStyle w:val="TableText0"/>
              <w:jc w:val="center"/>
              <w:rPr>
                <w:bCs w:val="0"/>
              </w:rPr>
            </w:pPr>
            <w:r w:rsidRPr="004E08BB">
              <w:rPr>
                <w:bCs w:val="0"/>
              </w:rPr>
              <w:t>0%</w:t>
            </w:r>
          </w:p>
        </w:tc>
      </w:tr>
      <w:tr w:rsidR="00412FD8" w:rsidRPr="007416A8" w14:paraId="135BB7F2" w14:textId="77777777">
        <w:tc>
          <w:tcPr>
            <w:tcW w:w="1092" w:type="pct"/>
            <w:tcBorders>
              <w:top w:val="single" w:sz="4" w:space="0" w:color="auto"/>
              <w:left w:val="single" w:sz="4" w:space="0" w:color="auto"/>
              <w:bottom w:val="single" w:sz="4" w:space="0" w:color="auto"/>
              <w:right w:val="single" w:sz="4" w:space="0" w:color="auto"/>
            </w:tcBorders>
            <w:noWrap/>
            <w:vAlign w:val="center"/>
            <w:hideMark/>
          </w:tcPr>
          <w:p w14:paraId="42C61691" w14:textId="77777777" w:rsidR="00412FD8" w:rsidRPr="00EF7727" w:rsidRDefault="00412FD8" w:rsidP="008241B5">
            <w:pPr>
              <w:pStyle w:val="TableText0"/>
              <w:rPr>
                <w:b/>
              </w:rPr>
            </w:pPr>
            <w:r w:rsidRPr="00EF7727">
              <w:rPr>
                <w:b/>
              </w:rPr>
              <w:t>Total QALYs</w:t>
            </w:r>
          </w:p>
        </w:tc>
        <w:tc>
          <w:tcPr>
            <w:tcW w:w="1016" w:type="pct"/>
            <w:tcBorders>
              <w:top w:val="single" w:sz="4" w:space="0" w:color="auto"/>
              <w:left w:val="single" w:sz="4" w:space="0" w:color="auto"/>
              <w:bottom w:val="single" w:sz="4" w:space="0" w:color="auto"/>
              <w:right w:val="single" w:sz="4" w:space="0" w:color="auto"/>
            </w:tcBorders>
            <w:noWrap/>
          </w:tcPr>
          <w:p w14:paraId="445CA0D3" w14:textId="77777777" w:rsidR="00412FD8" w:rsidRPr="00EF7727" w:rsidRDefault="00412FD8" w:rsidP="008241B5">
            <w:pPr>
              <w:pStyle w:val="TableText0"/>
              <w:jc w:val="center"/>
              <w:rPr>
                <w:b/>
              </w:rPr>
            </w:pPr>
            <w:r w:rsidRPr="00EF7727">
              <w:rPr>
                <w:b/>
              </w:rPr>
              <w:t>2.189</w:t>
            </w:r>
          </w:p>
        </w:tc>
        <w:tc>
          <w:tcPr>
            <w:tcW w:w="1016" w:type="pct"/>
            <w:tcBorders>
              <w:top w:val="single" w:sz="4" w:space="0" w:color="auto"/>
              <w:left w:val="single" w:sz="4" w:space="0" w:color="auto"/>
              <w:bottom w:val="single" w:sz="4" w:space="0" w:color="auto"/>
              <w:right w:val="single" w:sz="4" w:space="0" w:color="auto"/>
            </w:tcBorders>
            <w:noWrap/>
          </w:tcPr>
          <w:p w14:paraId="3092AAED" w14:textId="77777777" w:rsidR="00412FD8" w:rsidRPr="00EF7727" w:rsidRDefault="00412FD8" w:rsidP="008241B5">
            <w:pPr>
              <w:pStyle w:val="TableText0"/>
              <w:jc w:val="center"/>
              <w:rPr>
                <w:b/>
              </w:rPr>
            </w:pPr>
            <w:r w:rsidRPr="00EF7727">
              <w:rPr>
                <w:b/>
              </w:rPr>
              <w:t>1.791</w:t>
            </w:r>
          </w:p>
        </w:tc>
        <w:tc>
          <w:tcPr>
            <w:tcW w:w="938" w:type="pct"/>
            <w:tcBorders>
              <w:top w:val="single" w:sz="4" w:space="0" w:color="auto"/>
              <w:left w:val="single" w:sz="4" w:space="0" w:color="auto"/>
              <w:bottom w:val="single" w:sz="4" w:space="0" w:color="auto"/>
              <w:right w:val="single" w:sz="4" w:space="0" w:color="auto"/>
            </w:tcBorders>
            <w:noWrap/>
          </w:tcPr>
          <w:p w14:paraId="05B40BA3" w14:textId="77777777" w:rsidR="00412FD8" w:rsidRPr="00EF7727" w:rsidRDefault="00412FD8" w:rsidP="008241B5">
            <w:pPr>
              <w:pStyle w:val="TableText0"/>
              <w:jc w:val="center"/>
              <w:rPr>
                <w:b/>
              </w:rPr>
            </w:pPr>
            <w:r w:rsidRPr="00EF7727">
              <w:rPr>
                <w:b/>
              </w:rPr>
              <w:t>0.398</w:t>
            </w:r>
          </w:p>
        </w:tc>
        <w:tc>
          <w:tcPr>
            <w:tcW w:w="937" w:type="pct"/>
            <w:tcBorders>
              <w:top w:val="single" w:sz="4" w:space="0" w:color="auto"/>
              <w:left w:val="single" w:sz="4" w:space="0" w:color="auto"/>
              <w:bottom w:val="single" w:sz="4" w:space="0" w:color="auto"/>
              <w:right w:val="single" w:sz="4" w:space="0" w:color="auto"/>
            </w:tcBorders>
            <w:noWrap/>
          </w:tcPr>
          <w:p w14:paraId="672F0EE8" w14:textId="77777777" w:rsidR="00412FD8" w:rsidRPr="00EF7727" w:rsidRDefault="00412FD8" w:rsidP="008241B5">
            <w:pPr>
              <w:pStyle w:val="TableText0"/>
              <w:jc w:val="center"/>
              <w:rPr>
                <w:b/>
              </w:rPr>
            </w:pPr>
            <w:r>
              <w:rPr>
                <w:b/>
              </w:rPr>
              <w:t>100%</w:t>
            </w:r>
          </w:p>
        </w:tc>
      </w:tr>
    </w:tbl>
    <w:p w14:paraId="40AC7457" w14:textId="77777777" w:rsidR="00412FD8" w:rsidRPr="002774A8" w:rsidRDefault="00412FD8" w:rsidP="009C2B6F">
      <w:pPr>
        <w:pStyle w:val="TableFigureFooter"/>
      </w:pPr>
      <w:r w:rsidRPr="002774A8">
        <w:t xml:space="preserve">Source: </w:t>
      </w:r>
      <w:r w:rsidRPr="00B13CE3">
        <w:rPr>
          <w:iCs/>
        </w:rPr>
        <w:t xml:space="preserve">Table compiled during the evaluation, </w:t>
      </w:r>
      <w:r>
        <w:t>based on the ‘Trace-T-</w:t>
      </w:r>
      <w:proofErr w:type="spellStart"/>
      <w:r>
        <w:t>DXd</w:t>
      </w:r>
      <w:proofErr w:type="spellEnd"/>
      <w:r>
        <w:t>’ and ‘Trace-ICC’ spreadsheets</w:t>
      </w:r>
      <w:r w:rsidRPr="00075F72">
        <w:t xml:space="preserve"> in the “Economic Evaluation” Excel workbook</w:t>
      </w:r>
      <w:r>
        <w:t xml:space="preserve">. </w:t>
      </w:r>
    </w:p>
    <w:p w14:paraId="32F7F4A3" w14:textId="77777777" w:rsidR="00412FD8" w:rsidRPr="002774A8" w:rsidRDefault="00412FD8" w:rsidP="009C2B6F">
      <w:pPr>
        <w:pStyle w:val="TableFigureFooter"/>
        <w:rPr>
          <w:lang w:val="en-US"/>
        </w:rPr>
      </w:pPr>
      <w:r w:rsidRPr="002774A8">
        <w:rPr>
          <w:lang w:val="en-US"/>
        </w:rPr>
        <w:t xml:space="preserve">AE = adverse event, ICC = investigator’s choice of chemotherapy, </w:t>
      </w:r>
      <w:r>
        <w:rPr>
          <w:lang w:val="en-US"/>
        </w:rPr>
        <w:t xml:space="preserve">PD = progressive disease; PF = progression-free; </w:t>
      </w:r>
      <w:r w:rsidRPr="002774A8">
        <w:rPr>
          <w:lang w:val="en-US"/>
        </w:rPr>
        <w:t>T-</w:t>
      </w:r>
      <w:proofErr w:type="spellStart"/>
      <w:r w:rsidRPr="002774A8">
        <w:rPr>
          <w:lang w:val="en-US"/>
        </w:rPr>
        <w:t>DXd</w:t>
      </w:r>
      <w:proofErr w:type="spellEnd"/>
      <w:r w:rsidRPr="002774A8">
        <w:rPr>
          <w:lang w:val="en-US"/>
        </w:rPr>
        <w:t xml:space="preserve"> = </w:t>
      </w:r>
      <w:r>
        <w:rPr>
          <w:lang w:val="en-US"/>
        </w:rPr>
        <w:t>t</w:t>
      </w:r>
      <w:r w:rsidRPr="002774A8">
        <w:rPr>
          <w:lang w:val="en-US"/>
        </w:rPr>
        <w:t xml:space="preserve">rastuzumab deruxtecan </w:t>
      </w:r>
    </w:p>
    <w:p w14:paraId="6D70F28B" w14:textId="09F0A426" w:rsidR="00412FD8" w:rsidRPr="00F34759" w:rsidRDefault="00412FD8" w:rsidP="008241B5">
      <w:pPr>
        <w:pStyle w:val="3-BodyText"/>
      </w:pPr>
      <w:r w:rsidRPr="00F34759">
        <w:t>Consistent with the clinical claim, the economic model showed that T-</w:t>
      </w:r>
      <w:proofErr w:type="spellStart"/>
      <w:r w:rsidRPr="00F34759">
        <w:t>DXd</w:t>
      </w:r>
      <w:proofErr w:type="spellEnd"/>
      <w:r w:rsidRPr="00F34759">
        <w:t xml:space="preserve"> improved PFS, but with some of the incremental LYs accumulated in the PF health state offset by a reduction in time in the PD health state for patients in the T-</w:t>
      </w:r>
      <w:proofErr w:type="spellStart"/>
      <w:r w:rsidRPr="00F34759">
        <w:t>DXd</w:t>
      </w:r>
      <w:proofErr w:type="spellEnd"/>
      <w:r w:rsidRPr="00F34759">
        <w:t xml:space="preserve"> as they were no longer eligible for T-</w:t>
      </w:r>
      <w:proofErr w:type="spellStart"/>
      <w:r w:rsidRPr="00F34759">
        <w:t>DXd</w:t>
      </w:r>
      <w:proofErr w:type="spellEnd"/>
      <w:r w:rsidRPr="00F34759">
        <w:t xml:space="preserve"> therapy in the later-line setting whilst patients in the comparator arm would gain survival benefits from use of subsequent T-</w:t>
      </w:r>
      <w:proofErr w:type="spellStart"/>
      <w:r w:rsidRPr="00F34759">
        <w:t>DXd</w:t>
      </w:r>
      <w:proofErr w:type="spellEnd"/>
      <w:r w:rsidRPr="00F34759">
        <w:t xml:space="preserve"> following ICC.</w:t>
      </w:r>
      <w:r w:rsidR="008241B5">
        <w:t xml:space="preserve"> </w:t>
      </w:r>
    </w:p>
    <w:p w14:paraId="2115BCD4" w14:textId="673A4D41" w:rsidR="00412FD8" w:rsidRPr="00323BCE" w:rsidRDefault="00412FD8" w:rsidP="008241B5">
      <w:pPr>
        <w:pStyle w:val="3-BodyText"/>
      </w:pPr>
      <w:r w:rsidRPr="00323BCE">
        <w:t>The accumulation of undiscounted LYs gained over the model time horizon is depicted in</w:t>
      </w:r>
      <w:r>
        <w:t xml:space="preserve"> </w:t>
      </w:r>
      <w:r>
        <w:fldChar w:fldCharType="begin"/>
      </w:r>
      <w:r>
        <w:instrText xml:space="preserve"> REF _Ref217758444 \h </w:instrText>
      </w:r>
      <w:r>
        <w:fldChar w:fldCharType="separate"/>
      </w:r>
      <w:r w:rsidR="005D3E29">
        <w:t xml:space="preserve">Figure </w:t>
      </w:r>
      <w:r w:rsidR="005D3E29">
        <w:rPr>
          <w:noProof/>
        </w:rPr>
        <w:t>8</w:t>
      </w:r>
      <w:r>
        <w:fldChar w:fldCharType="end"/>
      </w:r>
      <w:r w:rsidRPr="00323BCE">
        <w:t xml:space="preserve">. </w:t>
      </w:r>
    </w:p>
    <w:p w14:paraId="59F9CE15" w14:textId="0A8F1C56" w:rsidR="00412FD8" w:rsidRDefault="00412FD8" w:rsidP="008241B5">
      <w:pPr>
        <w:pStyle w:val="Caption"/>
      </w:pPr>
      <w:bookmarkStart w:id="67" w:name="_Ref217758444"/>
      <w:r>
        <w:lastRenderedPageBreak/>
        <w:t xml:space="preserve">Figure </w:t>
      </w:r>
      <w:fldSimple w:instr=" SEQ Figure \* ARABIC ">
        <w:r w:rsidR="005D3E29">
          <w:rPr>
            <w:noProof/>
          </w:rPr>
          <w:t>8</w:t>
        </w:r>
      </w:fldSimple>
      <w:bookmarkEnd w:id="67"/>
      <w:r>
        <w:t xml:space="preserve">: </w:t>
      </w:r>
      <w:r w:rsidRPr="004B0B5C">
        <w:t xml:space="preserve">Cumulative </w:t>
      </w:r>
      <w:r>
        <w:t>LY</w:t>
      </w:r>
      <w:r w:rsidRPr="004B0B5C">
        <w:t>s gained over the time horizon of the model (undiscounted)</w:t>
      </w:r>
    </w:p>
    <w:p w14:paraId="5F63D6E4" w14:textId="77777777" w:rsidR="00412FD8" w:rsidRDefault="00412FD8" w:rsidP="008241B5">
      <w:r>
        <w:rPr>
          <w:noProof/>
        </w:rPr>
        <w:drawing>
          <wp:inline distT="0" distB="0" distL="0" distR="0" wp14:anchorId="7D933907" wp14:editId="3C0D7DCF">
            <wp:extent cx="4516744" cy="2381534"/>
            <wp:effectExtent l="0" t="0" r="0" b="0"/>
            <wp:docPr id="1146212100" name="Picture 2" descr="Figure 8: Cumulative LY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12100" name="Picture 2" descr="Figure 8: Cumulative LYs gained over the time horizon of the model (undiscounted)"/>
                    <pic:cNvPicPr>
                      <a:picLocks noChangeAspect="1" noChangeArrowheads="1"/>
                    </pic:cNvPicPr>
                  </pic:nvPicPr>
                  <pic:blipFill rotWithShape="1">
                    <a:blip r:embed="rId18">
                      <a:extLst>
                        <a:ext uri="{28A0092B-C50C-407E-A947-70E740481C1C}">
                          <a14:useLocalDpi xmlns:a14="http://schemas.microsoft.com/office/drawing/2010/main" val="0"/>
                        </a:ext>
                      </a:extLst>
                    </a:blip>
                    <a:srcRect l="2978" t="10259" r="1905" b="8113"/>
                    <a:stretch>
                      <a:fillRect/>
                    </a:stretch>
                  </pic:blipFill>
                  <pic:spPr bwMode="auto">
                    <a:xfrm>
                      <a:off x="0" y="0"/>
                      <a:ext cx="4527019" cy="2386952"/>
                    </a:xfrm>
                    <a:prstGeom prst="rect">
                      <a:avLst/>
                    </a:prstGeom>
                    <a:noFill/>
                    <a:ln>
                      <a:noFill/>
                    </a:ln>
                    <a:extLst>
                      <a:ext uri="{53640926-AAD7-44D8-BBD7-CCE9431645EC}">
                        <a14:shadowObscured xmlns:a14="http://schemas.microsoft.com/office/drawing/2010/main"/>
                      </a:ext>
                    </a:extLst>
                  </pic:spPr>
                </pic:pic>
              </a:graphicData>
            </a:graphic>
          </wp:inline>
        </w:drawing>
      </w:r>
    </w:p>
    <w:p w14:paraId="1437CBD0" w14:textId="77777777" w:rsidR="00412FD8" w:rsidRPr="00B547DD" w:rsidRDefault="00412FD8" w:rsidP="009C2B6F">
      <w:pPr>
        <w:pStyle w:val="TableFigureFooter"/>
      </w:pPr>
      <w:r w:rsidRPr="002774A8">
        <w:t xml:space="preserve">Source: </w:t>
      </w:r>
      <w:r w:rsidRPr="00B547DD">
        <w:t>Figure constructed during the evaluation, based on the ‘Trace-T-</w:t>
      </w:r>
      <w:proofErr w:type="spellStart"/>
      <w:r w:rsidRPr="00B547DD">
        <w:t>DXd</w:t>
      </w:r>
      <w:proofErr w:type="spellEnd"/>
      <w:r w:rsidRPr="00B547DD">
        <w:t xml:space="preserve">’ and ‘Trace-ICC’ spreadsheets in the “Economic Evaluation” Excel workbook. </w:t>
      </w:r>
    </w:p>
    <w:p w14:paraId="3B929C04" w14:textId="77777777" w:rsidR="00412FD8" w:rsidRPr="002774A8" w:rsidRDefault="00412FD8" w:rsidP="009C2B6F">
      <w:pPr>
        <w:pStyle w:val="TableFigureFooter"/>
        <w:rPr>
          <w:lang w:val="en-US"/>
        </w:rPr>
      </w:pPr>
      <w:r w:rsidRPr="002774A8">
        <w:rPr>
          <w:lang w:val="en-US"/>
        </w:rPr>
        <w:t xml:space="preserve">ICC = investigator’s choice of chemotherapy, </w:t>
      </w:r>
      <w:r>
        <w:rPr>
          <w:lang w:val="en-US"/>
        </w:rPr>
        <w:t xml:space="preserve">KM = Kaplan-Meier; LYs = life years; OS = overall survival; </w:t>
      </w:r>
      <w:r w:rsidRPr="002774A8">
        <w:rPr>
          <w:lang w:val="en-US"/>
        </w:rPr>
        <w:t>T-</w:t>
      </w:r>
      <w:proofErr w:type="spellStart"/>
      <w:r w:rsidRPr="002774A8">
        <w:rPr>
          <w:lang w:val="en-US"/>
        </w:rPr>
        <w:t>DXd</w:t>
      </w:r>
      <w:proofErr w:type="spellEnd"/>
      <w:r w:rsidRPr="002774A8">
        <w:rPr>
          <w:lang w:val="en-US"/>
        </w:rPr>
        <w:t xml:space="preserve"> = </w:t>
      </w:r>
      <w:r>
        <w:rPr>
          <w:lang w:val="en-US"/>
        </w:rPr>
        <w:t>t</w:t>
      </w:r>
      <w:r w:rsidRPr="002774A8">
        <w:rPr>
          <w:lang w:val="en-US"/>
        </w:rPr>
        <w:t xml:space="preserve">rastuzumab deruxtecan </w:t>
      </w:r>
    </w:p>
    <w:p w14:paraId="02781ACD" w14:textId="5F9E502D" w:rsidR="00412FD8" w:rsidRPr="00763659" w:rsidRDefault="00C108F7" w:rsidP="008241B5">
      <w:pPr>
        <w:pStyle w:val="3-BodyText"/>
      </w:pPr>
      <w:r>
        <w:t>T</w:t>
      </w:r>
      <w:r w:rsidR="00412FD8" w:rsidRPr="00763659">
        <w:t>he vast majority (88.7%) of the incremental LYs gained (undiscounted) associated with T-</w:t>
      </w:r>
      <w:proofErr w:type="spellStart"/>
      <w:r w:rsidR="00412FD8" w:rsidRPr="00763659">
        <w:t>DXd</w:t>
      </w:r>
      <w:proofErr w:type="spellEnd"/>
      <w:r w:rsidR="00412FD8" w:rsidRPr="00763659">
        <w:t xml:space="preserve"> relative to ICC were accrued beyond the extrapolation time point for OS (36 cycles or 25 months) up to the end of the time horizon. As discussed previously, the modelled survival benefit associated with T-</w:t>
      </w:r>
      <w:proofErr w:type="spellStart"/>
      <w:r w:rsidR="00412FD8" w:rsidRPr="00763659">
        <w:t>DXd</w:t>
      </w:r>
      <w:proofErr w:type="spellEnd"/>
      <w:r w:rsidR="00412FD8" w:rsidRPr="00763659">
        <w:t xml:space="preserve"> was an area of main economic uncertainty, due to the selection of the parametric functions which extrapolated OS for T-</w:t>
      </w:r>
      <w:proofErr w:type="spellStart"/>
      <w:r w:rsidR="00412FD8" w:rsidRPr="00763659">
        <w:t>DXd</w:t>
      </w:r>
      <w:proofErr w:type="spellEnd"/>
      <w:r w:rsidR="00412FD8" w:rsidRPr="00763659">
        <w:t xml:space="preserve"> optimistically and the likely underestimation of the OS gain from extra T</w:t>
      </w:r>
      <w:r w:rsidR="00446B06">
        <w:noBreakHyphen/>
      </w:r>
      <w:proofErr w:type="spellStart"/>
      <w:r w:rsidR="00412FD8" w:rsidRPr="00763659">
        <w:t>DXd</w:t>
      </w:r>
      <w:proofErr w:type="spellEnd"/>
      <w:r w:rsidR="00412FD8" w:rsidRPr="00763659">
        <w:t xml:space="preserve"> use following ICC in the comparator arm, both of these approaches favoured T-</w:t>
      </w:r>
      <w:proofErr w:type="spellStart"/>
      <w:r w:rsidR="00412FD8" w:rsidRPr="00763659">
        <w:t>DXd</w:t>
      </w:r>
      <w:proofErr w:type="spellEnd"/>
      <w:r w:rsidR="00412FD8" w:rsidRPr="00763659">
        <w:t>.</w:t>
      </w:r>
    </w:p>
    <w:p w14:paraId="54A8D9AD" w14:textId="2E5251C2" w:rsidR="00412FD8" w:rsidRPr="00763659" w:rsidRDefault="00412FD8" w:rsidP="008241B5">
      <w:pPr>
        <w:pStyle w:val="3-BodyText"/>
      </w:pPr>
      <w:r w:rsidRPr="00763659">
        <w:t>Results from sensitivity analyses based on the submission’s base case showed that the model parameter which had the greatest impact on the result was adjustment for costs and health outcomes due to extra proportion of patients receiving subsequent T-</w:t>
      </w:r>
      <w:proofErr w:type="spellStart"/>
      <w:r w:rsidRPr="00763659">
        <w:t>DXd</w:t>
      </w:r>
      <w:proofErr w:type="spellEnd"/>
      <w:r w:rsidRPr="00763659">
        <w:t xml:space="preserve"> in the ICC arm (</w:t>
      </w:r>
      <w:r w:rsidRPr="00763659">
        <w:fldChar w:fldCharType="begin"/>
      </w:r>
      <w:r w:rsidRPr="00763659">
        <w:instrText xml:space="preserve"> REF _Ref217758407 \h  \* MERGEFORMAT </w:instrText>
      </w:r>
      <w:r w:rsidRPr="00763659">
        <w:fldChar w:fldCharType="separate"/>
      </w:r>
      <w:r w:rsidR="005D3E29" w:rsidRPr="00950738">
        <w:t xml:space="preserve">Table </w:t>
      </w:r>
      <w:r w:rsidR="005D3E29">
        <w:rPr>
          <w:noProof/>
        </w:rPr>
        <w:t>13</w:t>
      </w:r>
      <w:r w:rsidRPr="00763659">
        <w:fldChar w:fldCharType="end"/>
      </w:r>
      <w:r w:rsidRPr="00763659">
        <w:t>). The economic model was also sensitiv</w:t>
      </w:r>
      <w:r w:rsidR="004818AC" w:rsidRPr="00763659">
        <w:t>e</w:t>
      </w:r>
      <w:r w:rsidRPr="00763659">
        <w:t xml:space="preserve"> to change in PFS and OS parametric functions, especially those in the T-</w:t>
      </w:r>
      <w:proofErr w:type="spellStart"/>
      <w:r w:rsidRPr="00763659">
        <w:t>DXd</w:t>
      </w:r>
      <w:proofErr w:type="spellEnd"/>
      <w:r w:rsidR="004818AC" w:rsidRPr="00763659">
        <w:t xml:space="preserve"> arm</w:t>
      </w:r>
      <w:r w:rsidRPr="00763659">
        <w:t>. Health state utilities and time horizon moderately affect the result. The use of an extended time horizon and assuming a higher PF health state utility in patients receiving T-</w:t>
      </w:r>
      <w:proofErr w:type="spellStart"/>
      <w:r w:rsidRPr="00763659">
        <w:t>DXd</w:t>
      </w:r>
      <w:proofErr w:type="spellEnd"/>
      <w:r w:rsidRPr="00763659">
        <w:t xml:space="preserve"> than those treated with ICC were not adequately justified in the submission and both favoured T-</w:t>
      </w:r>
      <w:proofErr w:type="spellStart"/>
      <w:r w:rsidRPr="00763659">
        <w:t>DXd</w:t>
      </w:r>
      <w:proofErr w:type="spellEnd"/>
      <w:r w:rsidRPr="00763659">
        <w:t xml:space="preserve">. </w:t>
      </w:r>
    </w:p>
    <w:p w14:paraId="6CB3AC52" w14:textId="77777777" w:rsidR="00412FD8" w:rsidRPr="00BD33E3" w:rsidRDefault="00412FD8" w:rsidP="008241B5">
      <w:pPr>
        <w:keepNext/>
        <w:keepLines/>
        <w:rPr>
          <w:b/>
          <w:bCs/>
          <w:sz w:val="28"/>
          <w:szCs w:val="28"/>
        </w:rPr>
      </w:pPr>
      <w:r w:rsidRPr="00BD33E3">
        <w:rPr>
          <w:b/>
          <w:bCs/>
          <w:sz w:val="28"/>
          <w:szCs w:val="28"/>
        </w:rPr>
        <w:lastRenderedPageBreak/>
        <w:t xml:space="preserve">Revised economic analysis </w:t>
      </w:r>
    </w:p>
    <w:p w14:paraId="43E6BAE7" w14:textId="26688C85" w:rsidR="00412FD8" w:rsidRPr="00763659" w:rsidRDefault="00412FD8" w:rsidP="008241B5">
      <w:pPr>
        <w:pStyle w:val="3-BodyText"/>
        <w:keepNext/>
        <w:keepLines/>
      </w:pPr>
      <w:bookmarkStart w:id="68" w:name="_Ref221787063"/>
      <w:r w:rsidRPr="00763659">
        <w:t>Assuming the extent of use of later-line T-</w:t>
      </w:r>
      <w:proofErr w:type="spellStart"/>
      <w:r w:rsidRPr="00763659">
        <w:t>DXd</w:t>
      </w:r>
      <w:proofErr w:type="spellEnd"/>
      <w:r w:rsidRPr="00763659">
        <w:t xml:space="preserve"> as in the DB-06 trial, i.e. 23.5%, the ICER was estimated to be $</w:t>
      </w:r>
      <w:r w:rsidR="00CD5BFA">
        <w:t>95,000 to &lt; $115,000</w:t>
      </w:r>
      <w:r w:rsidRPr="00763659">
        <w:t xml:space="preserve">/QALY gained </w:t>
      </w:r>
      <w:r w:rsidR="005C602E" w:rsidRPr="00B13CE3">
        <w:rPr>
          <w:iCs/>
        </w:rPr>
        <w:t>($</w:t>
      </w:r>
      <w:r w:rsidR="002518C6">
        <w:rPr>
          <w:iCs/>
        </w:rPr>
        <w:t>75,000 to &lt; $95,000</w:t>
      </w:r>
      <w:r w:rsidR="005C602E" w:rsidRPr="00B13CE3">
        <w:rPr>
          <w:iCs/>
        </w:rPr>
        <w:t xml:space="preserve">/QALY when applying the proportion of </w:t>
      </w:r>
      <w:r w:rsidR="00E65DA8" w:rsidRPr="00B13CE3">
        <w:rPr>
          <w:iCs/>
        </w:rPr>
        <w:t>later-line T-</w:t>
      </w:r>
      <w:proofErr w:type="spellStart"/>
      <w:r w:rsidR="00E65DA8" w:rsidRPr="00B13CE3">
        <w:rPr>
          <w:iCs/>
        </w:rPr>
        <w:t>DXd</w:t>
      </w:r>
      <w:proofErr w:type="spellEnd"/>
      <w:r w:rsidR="00E65DA8" w:rsidRPr="00B13CE3">
        <w:rPr>
          <w:iCs/>
        </w:rPr>
        <w:t xml:space="preserve"> from IA2 (</w:t>
      </w:r>
      <w:r w:rsidR="00035C74" w:rsidRPr="00B13CE3">
        <w:rPr>
          <w:iCs/>
        </w:rPr>
        <w:t>33.6%)</w:t>
      </w:r>
      <w:r w:rsidR="00E65DA8">
        <w:t xml:space="preserve">, see </w:t>
      </w:r>
      <w:r w:rsidRPr="00763659">
        <w:fldChar w:fldCharType="begin"/>
      </w:r>
      <w:r w:rsidRPr="00763659">
        <w:instrText xml:space="preserve"> REF _Ref217758407 \h  \* MERGEFORMAT </w:instrText>
      </w:r>
      <w:r w:rsidRPr="00763659">
        <w:fldChar w:fldCharType="separate"/>
      </w:r>
      <w:r w:rsidR="005D3E29" w:rsidRPr="00950738">
        <w:t xml:space="preserve">Table </w:t>
      </w:r>
      <w:r w:rsidR="005D3E29">
        <w:rPr>
          <w:noProof/>
        </w:rPr>
        <w:t>13</w:t>
      </w:r>
      <w:r w:rsidRPr="00763659">
        <w:fldChar w:fldCharType="end"/>
      </w:r>
      <w:r w:rsidRPr="00763659">
        <w:t>). In this scenario, no adjustment for ICC OS curve was required, as the impact of use of subsequent T-</w:t>
      </w:r>
      <w:proofErr w:type="spellStart"/>
      <w:r w:rsidRPr="00763659">
        <w:t>DXd</w:t>
      </w:r>
      <w:proofErr w:type="spellEnd"/>
      <w:r w:rsidRPr="00763659">
        <w:t xml:space="preserve"> in the ICC arm on health outcomes had already been captured in the DB-06 OS data. Assuming </w:t>
      </w:r>
      <w:r w:rsidR="009173CF" w:rsidRPr="00763659">
        <w:t xml:space="preserve">an </w:t>
      </w:r>
      <w:r w:rsidRPr="00763659">
        <w:t>extra 58.7% of patients receiving subsequent T-</w:t>
      </w:r>
      <w:proofErr w:type="spellStart"/>
      <w:r w:rsidRPr="00763659">
        <w:t>DXd</w:t>
      </w:r>
      <w:proofErr w:type="spellEnd"/>
      <w:r w:rsidRPr="00763659">
        <w:t xml:space="preserve"> in clinical practice (total 82.2% use) and using the submission’s method of adjustment, the ICER decreased to $</w:t>
      </w:r>
      <w:r w:rsidR="002518C6">
        <w:t>55,000 to &lt; $75,000</w:t>
      </w:r>
      <w:r w:rsidRPr="00763659">
        <w:t xml:space="preserve">/QALY gained (the submission’s base case). </w:t>
      </w:r>
      <w:r w:rsidR="009C239F">
        <w:t xml:space="preserve">The </w:t>
      </w:r>
      <w:r w:rsidR="009D31EB">
        <w:t>E</w:t>
      </w:r>
      <w:r w:rsidR="009C239F">
        <w:t>valuator considered t</w:t>
      </w:r>
      <w:r w:rsidRPr="00763659">
        <w:t xml:space="preserve">his appeared </w:t>
      </w:r>
      <w:proofErr w:type="gramStart"/>
      <w:r w:rsidRPr="00763659">
        <w:t>counter-intuitive</w:t>
      </w:r>
      <w:proofErr w:type="gramEnd"/>
      <w:r w:rsidRPr="00763659">
        <w:t>. Later-line T-</w:t>
      </w:r>
      <w:proofErr w:type="spellStart"/>
      <w:r w:rsidRPr="00763659">
        <w:t>DXd</w:t>
      </w:r>
      <w:proofErr w:type="spellEnd"/>
      <w:r w:rsidRPr="00763659">
        <w:t xml:space="preserve"> has been recommended by the PBAC as a cost-effective treatment following chemotherapy. The incorporation of a cost-effective later-line therapy in the comparator arm may be expected to increase, or have a negligible effect on, the ICER.</w:t>
      </w:r>
      <w:bookmarkEnd w:id="68"/>
      <w:r w:rsidRPr="00763659">
        <w:t xml:space="preserve"> </w:t>
      </w:r>
    </w:p>
    <w:p w14:paraId="059D062A" w14:textId="3F4225EB" w:rsidR="00412FD8" w:rsidRPr="00763659" w:rsidRDefault="00412FD8" w:rsidP="008241B5">
      <w:pPr>
        <w:pStyle w:val="3-BodyText"/>
      </w:pPr>
      <w:r w:rsidRPr="00763659">
        <w:t>To address this issue, fixed payoffs that represent the expected incremental costs and incremental health outcomes associated with subsequent use of T-</w:t>
      </w:r>
      <w:proofErr w:type="spellStart"/>
      <w:r w:rsidRPr="00763659">
        <w:t>DXd</w:t>
      </w:r>
      <w:proofErr w:type="spellEnd"/>
      <w:r w:rsidRPr="00763659">
        <w:t xml:space="preserve">, instead of chemotherapy, </w:t>
      </w:r>
      <w:r w:rsidRPr="00DF3498">
        <w:t xml:space="preserve">were applied </w:t>
      </w:r>
      <w:r w:rsidR="3E14594E" w:rsidRPr="00DF3498">
        <w:t>by</w:t>
      </w:r>
      <w:r w:rsidRPr="00DF3498">
        <w:t xml:space="preserve"> the </w:t>
      </w:r>
      <w:r w:rsidR="3E14594E" w:rsidRPr="00DF3498">
        <w:t xml:space="preserve">Evaluator </w:t>
      </w:r>
      <w:r w:rsidRPr="00DF3498">
        <w:t>to the</w:t>
      </w:r>
      <w:r>
        <w:t xml:space="preserve"> </w:t>
      </w:r>
      <w:r w:rsidRPr="00763659">
        <w:t>extra proportion of patients transitioning into the PD health state. The fixed payoffs were derived from the economic model previously considered by the PBAC for use of T-</w:t>
      </w:r>
      <w:proofErr w:type="spellStart"/>
      <w:r w:rsidRPr="00763659">
        <w:t>DXd</w:t>
      </w:r>
      <w:proofErr w:type="spellEnd"/>
      <w:r w:rsidRPr="00763659">
        <w:t xml:space="preserve"> for the treatment of mBC following chemotherapy. At the March 2024 PBAC meeting, the Committee considered it was reasonable to accept the revised economic model which resulted in an ICER of $</w:t>
      </w:r>
      <w:r w:rsidR="002518C6">
        <w:t xml:space="preserve">55,000 to &lt; $75,000 </w:t>
      </w:r>
      <w:r w:rsidRPr="00763659">
        <w:t>per QALY gained (incremental costs: $</w:t>
      </w:r>
      <w:r w:rsidR="00C61B8E">
        <w:t>25,000 to &lt; $35,000</w:t>
      </w:r>
      <w:r w:rsidRPr="00763659">
        <w:t>; incremental QALYs: 0.532), but noted that some outstanding uncertainties remained</w:t>
      </w:r>
      <w:r w:rsidR="009C75AB" w:rsidRPr="00763659">
        <w:t xml:space="preserve"> </w:t>
      </w:r>
      <w:r w:rsidRPr="00763659">
        <w:t>(Paragraph 5.8 and Table 6, T-</w:t>
      </w:r>
      <w:proofErr w:type="spellStart"/>
      <w:r w:rsidRPr="00763659">
        <w:t>DXd</w:t>
      </w:r>
      <w:proofErr w:type="spellEnd"/>
      <w:r w:rsidRPr="00763659">
        <w:t xml:space="preserve"> </w:t>
      </w:r>
      <w:r w:rsidR="00F31CC5">
        <w:t>PSD</w:t>
      </w:r>
      <w:r w:rsidRPr="00763659">
        <w:t>, March 2024 PBAC meeting). The PBAC considered that, as previously advised, T-</w:t>
      </w:r>
      <w:proofErr w:type="spellStart"/>
      <w:r w:rsidRPr="00763659">
        <w:t>DXd</w:t>
      </w:r>
      <w:proofErr w:type="spellEnd"/>
      <w:r w:rsidRPr="00763659">
        <w:t xml:space="preserve"> would be cost-effective with an ICER of $45,000 to $50,000 </w:t>
      </w:r>
      <w:r w:rsidRPr="00B86B86">
        <w:t>per QALY gained (Paragraph 5.8, T-</w:t>
      </w:r>
      <w:proofErr w:type="spellStart"/>
      <w:r w:rsidRPr="00B86B86">
        <w:t>DXd</w:t>
      </w:r>
      <w:proofErr w:type="spellEnd"/>
      <w:r w:rsidRPr="00B86B86">
        <w:t xml:space="preserve"> </w:t>
      </w:r>
      <w:r w:rsidR="00F31CC5">
        <w:t>PSD</w:t>
      </w:r>
      <w:r w:rsidRPr="00B86B86">
        <w:t>, March 2024 PBAC meeting). The incremental costs associated with later-line T-</w:t>
      </w:r>
      <w:proofErr w:type="spellStart"/>
      <w:r w:rsidRPr="00B86B86">
        <w:t>DXd</w:t>
      </w:r>
      <w:proofErr w:type="spellEnd"/>
      <w:r w:rsidRPr="00B86B86">
        <w:t xml:space="preserve"> was back-calculated using an ICER of $</w:t>
      </w:r>
      <w:r w:rsidR="00153E4F">
        <w:t>45,000 to &lt; $55,000</w:t>
      </w:r>
      <w:r w:rsidRPr="00B86B86">
        <w:t>/QALY and incremental QALYs of 0.532, i.e.</w:t>
      </w:r>
      <w:r w:rsidR="00C61B8E" w:rsidRPr="00B86B86">
        <w:t>,</w:t>
      </w:r>
      <w:r w:rsidRPr="00B86B86">
        <w:t xml:space="preserve"> $</w:t>
      </w:r>
      <w:r w:rsidR="006340CE" w:rsidRPr="006340CE">
        <w:rPr>
          <w:sz w:val="2"/>
          <w:highlight w:val="black"/>
        </w:rPr>
        <w:t>redacted content</w:t>
      </w:r>
      <w:r w:rsidRPr="00B86B86">
        <w:t xml:space="preserve">. During the evaluation, the base case ICER was re-calculated by applying fixed payoffs of </w:t>
      </w:r>
      <w:r w:rsidRPr="00B86B86">
        <w:rPr>
          <w:u w:val="single"/>
        </w:rPr>
        <w:t>$</w:t>
      </w:r>
      <w:r w:rsidR="006340CE" w:rsidRPr="006340CE">
        <w:rPr>
          <w:sz w:val="2"/>
          <w:highlight w:val="black"/>
          <w:u w:val="single"/>
        </w:rPr>
        <w:t>redacted content</w:t>
      </w:r>
      <w:r w:rsidRPr="00B86B86">
        <w:t xml:space="preserve"> and </w:t>
      </w:r>
      <w:r w:rsidRPr="00B86B86">
        <w:rPr>
          <w:u w:val="single"/>
        </w:rPr>
        <w:t>0.532</w:t>
      </w:r>
      <w:r w:rsidRPr="00B86B86">
        <w:t xml:space="preserve"> QALYs to 58.7% of patients transitioning into the PD health state in the ICC arm.</w:t>
      </w:r>
      <w:r w:rsidRPr="00763659">
        <w:t xml:space="preserve"> </w:t>
      </w:r>
    </w:p>
    <w:p w14:paraId="74022F5A" w14:textId="7928F496" w:rsidR="00412FD8" w:rsidRDefault="00412FD8" w:rsidP="008241B5">
      <w:pPr>
        <w:pStyle w:val="3-BodyText"/>
      </w:pPr>
      <w:r w:rsidRPr="00763659">
        <w:t>The Evaluator acknowledged the transitivity issues of the previous T-</w:t>
      </w:r>
      <w:proofErr w:type="spellStart"/>
      <w:r w:rsidRPr="00763659">
        <w:t>DXd</w:t>
      </w:r>
      <w:proofErr w:type="spellEnd"/>
      <w:r w:rsidRPr="00763659">
        <w:t xml:space="preserve"> model for later-line T-</w:t>
      </w:r>
      <w:proofErr w:type="spellStart"/>
      <w:r w:rsidRPr="00763659">
        <w:t>DXd</w:t>
      </w:r>
      <w:proofErr w:type="spellEnd"/>
      <w:r w:rsidRPr="00763659">
        <w:t xml:space="preserve"> use to the current T-</w:t>
      </w:r>
      <w:proofErr w:type="spellStart"/>
      <w:r w:rsidRPr="00763659">
        <w:t>DXd</w:t>
      </w:r>
      <w:proofErr w:type="spellEnd"/>
      <w:r w:rsidRPr="00763659">
        <w:t xml:space="preserve"> model</w:t>
      </w:r>
      <w:r w:rsidR="00E567C1">
        <w:t xml:space="preserve"> (</w:t>
      </w:r>
      <w:r w:rsidR="00E567C1">
        <w:rPr>
          <w:rFonts w:eastAsia="Calibri" w:cs="Calibri"/>
        </w:rPr>
        <w:t>p</w:t>
      </w:r>
      <w:r w:rsidR="00E567C1" w:rsidRPr="2B416C86">
        <w:rPr>
          <w:rFonts w:eastAsia="Calibri" w:cs="Calibri"/>
        </w:rPr>
        <w:t>articipants enrolled in DB-04 were younger at baseline, had less severe disease and were less heavily pre-treated when they started the T-</w:t>
      </w:r>
      <w:proofErr w:type="spellStart"/>
      <w:r w:rsidR="00E567C1" w:rsidRPr="2B416C86">
        <w:rPr>
          <w:rFonts w:eastAsia="Calibri" w:cs="Calibri"/>
        </w:rPr>
        <w:t>DXd</w:t>
      </w:r>
      <w:proofErr w:type="spellEnd"/>
      <w:r w:rsidR="00E567C1" w:rsidRPr="2B416C86">
        <w:rPr>
          <w:rFonts w:eastAsia="Calibri" w:cs="Calibri"/>
        </w:rPr>
        <w:t xml:space="preserve"> therapy</w:t>
      </w:r>
      <w:r w:rsidR="00E567C1">
        <w:rPr>
          <w:rFonts w:eastAsia="Calibri" w:cs="Calibri"/>
        </w:rPr>
        <w:t>)</w:t>
      </w:r>
      <w:r w:rsidRPr="00763659">
        <w:t xml:space="preserve">. </w:t>
      </w:r>
      <w:r w:rsidR="001E62C8" w:rsidRPr="00B13CE3">
        <w:rPr>
          <w:iCs/>
        </w:rPr>
        <w:t xml:space="preserve">The PSCR </w:t>
      </w:r>
      <w:r w:rsidR="0096763F">
        <w:rPr>
          <w:iCs/>
        </w:rPr>
        <w:t xml:space="preserve">and pre-PBAC response </w:t>
      </w:r>
      <w:r w:rsidR="001E62C8" w:rsidRPr="00B13CE3">
        <w:rPr>
          <w:iCs/>
        </w:rPr>
        <w:t xml:space="preserve">argued that these transitivity issues </w:t>
      </w:r>
      <w:r w:rsidR="00537777" w:rsidRPr="00B13CE3">
        <w:rPr>
          <w:iCs/>
        </w:rPr>
        <w:t>result in the revised analysis being biased against T-</w:t>
      </w:r>
      <w:proofErr w:type="spellStart"/>
      <w:r w:rsidR="00537777" w:rsidRPr="00B13CE3">
        <w:rPr>
          <w:iCs/>
        </w:rPr>
        <w:t>DXd</w:t>
      </w:r>
      <w:proofErr w:type="spellEnd"/>
      <w:r w:rsidR="00537777" w:rsidRPr="00B13CE3">
        <w:rPr>
          <w:iCs/>
        </w:rPr>
        <w:t>.</w:t>
      </w:r>
      <w:r w:rsidR="00537777">
        <w:t xml:space="preserve"> </w:t>
      </w:r>
    </w:p>
    <w:p w14:paraId="7983A685" w14:textId="6018684C" w:rsidR="002F4A6D" w:rsidRPr="00B13CE3" w:rsidRDefault="00437ED7" w:rsidP="008241B5">
      <w:pPr>
        <w:pStyle w:val="3-BodyText"/>
        <w:rPr>
          <w:iCs/>
        </w:rPr>
      </w:pPr>
      <w:bookmarkStart w:id="69" w:name="_Ref222152283"/>
      <w:r w:rsidRPr="00B13CE3">
        <w:rPr>
          <w:iCs/>
        </w:rPr>
        <w:t>The PSCR</w:t>
      </w:r>
      <w:r w:rsidR="000F3E1E">
        <w:rPr>
          <w:iCs/>
        </w:rPr>
        <w:t xml:space="preserve"> and pre-PBAC response</w:t>
      </w:r>
      <w:r w:rsidRPr="00B13CE3">
        <w:rPr>
          <w:iCs/>
        </w:rPr>
        <w:t xml:space="preserve"> raised</w:t>
      </w:r>
      <w:r w:rsidR="00A86FAA" w:rsidRPr="00B13CE3">
        <w:rPr>
          <w:iCs/>
        </w:rPr>
        <w:t xml:space="preserve"> additional</w:t>
      </w:r>
      <w:r w:rsidRPr="00B13CE3">
        <w:rPr>
          <w:iCs/>
        </w:rPr>
        <w:t xml:space="preserve"> </w:t>
      </w:r>
      <w:r w:rsidR="002F35DB">
        <w:rPr>
          <w:iCs/>
        </w:rPr>
        <w:t xml:space="preserve">substantial </w:t>
      </w:r>
      <w:r w:rsidRPr="00B13CE3">
        <w:rPr>
          <w:iCs/>
        </w:rPr>
        <w:t xml:space="preserve">concerns regarding the methodology of the revised </w:t>
      </w:r>
      <w:r w:rsidR="00923434" w:rsidRPr="00B13CE3">
        <w:rPr>
          <w:iCs/>
        </w:rPr>
        <w:t>analysis</w:t>
      </w:r>
      <w:r w:rsidR="00430320">
        <w:rPr>
          <w:iCs/>
        </w:rPr>
        <w:t xml:space="preserve">, </w:t>
      </w:r>
      <w:r w:rsidR="00281743">
        <w:rPr>
          <w:iCs/>
        </w:rPr>
        <w:t>arg</w:t>
      </w:r>
      <w:r w:rsidR="00516DE3">
        <w:rPr>
          <w:iCs/>
        </w:rPr>
        <w:t>u</w:t>
      </w:r>
      <w:r w:rsidR="00281743">
        <w:rPr>
          <w:iCs/>
        </w:rPr>
        <w:t xml:space="preserve">ing that these factors </w:t>
      </w:r>
      <w:r w:rsidR="001E7BF5">
        <w:rPr>
          <w:iCs/>
        </w:rPr>
        <w:t>bias</w:t>
      </w:r>
      <w:r w:rsidR="00281743">
        <w:rPr>
          <w:iCs/>
        </w:rPr>
        <w:t>ed</w:t>
      </w:r>
      <w:r w:rsidR="001E7BF5">
        <w:rPr>
          <w:iCs/>
        </w:rPr>
        <w:t xml:space="preserve"> the results in </w:t>
      </w:r>
      <w:r w:rsidR="00B60883">
        <w:rPr>
          <w:iCs/>
        </w:rPr>
        <w:t xml:space="preserve">favour of the ICC arm </w:t>
      </w:r>
      <w:r w:rsidR="00430320">
        <w:rPr>
          <w:iCs/>
        </w:rPr>
        <w:t>including</w:t>
      </w:r>
      <w:r w:rsidR="00923434" w:rsidRPr="00B13CE3">
        <w:rPr>
          <w:iCs/>
        </w:rPr>
        <w:t>:</w:t>
      </w:r>
      <w:bookmarkEnd w:id="69"/>
      <w:r w:rsidR="00430320">
        <w:rPr>
          <w:iCs/>
        </w:rPr>
        <w:t xml:space="preserve"> </w:t>
      </w:r>
    </w:p>
    <w:p w14:paraId="76EB7E87" w14:textId="20110437" w:rsidR="304344DE" w:rsidRPr="00DF3498" w:rsidRDefault="00F5532A" w:rsidP="00DF3498">
      <w:pPr>
        <w:pStyle w:val="ListParagraph"/>
        <w:jc w:val="both"/>
      </w:pPr>
      <w:r>
        <w:t>Substantial o</w:t>
      </w:r>
      <w:r w:rsidR="00D411FB">
        <w:t xml:space="preserve">verestimation of the QALYs being accrued in the ICC arm due to </w:t>
      </w:r>
      <w:r w:rsidR="00516DE3">
        <w:t xml:space="preserve">(1) </w:t>
      </w:r>
      <w:r w:rsidR="00D411FB">
        <w:t xml:space="preserve">the difference in </w:t>
      </w:r>
      <w:r w:rsidR="00AD1048">
        <w:t xml:space="preserve">PF and PD </w:t>
      </w:r>
      <w:r w:rsidR="00D411FB">
        <w:t>utility scores applied in the two models</w:t>
      </w:r>
      <w:r w:rsidR="005055A5">
        <w:t xml:space="preserve"> and </w:t>
      </w:r>
      <w:r w:rsidR="00516DE3">
        <w:t>(2)</w:t>
      </w:r>
      <w:r w:rsidR="00947515">
        <w:t xml:space="preserve"> </w:t>
      </w:r>
      <w:r w:rsidR="005055A5">
        <w:t xml:space="preserve">double counting </w:t>
      </w:r>
      <w:r w:rsidR="00676114">
        <w:t>of QALYs in the PD state</w:t>
      </w:r>
      <w:r w:rsidR="00FB6293">
        <w:t xml:space="preserve"> due to an error in the </w:t>
      </w:r>
      <w:r w:rsidR="00FF7CA0">
        <w:t>calculations</w:t>
      </w:r>
      <w:r w:rsidR="00676114">
        <w:t>.</w:t>
      </w:r>
      <w:r w:rsidR="000C1BDB">
        <w:t xml:space="preserve"> </w:t>
      </w:r>
      <w:r w:rsidR="000C1BDB">
        <w:lastRenderedPageBreak/>
        <w:t xml:space="preserve">The sponsor considered the modelled OS </w:t>
      </w:r>
      <w:r w:rsidR="00E54D70">
        <w:t xml:space="preserve">in the ICC arm was </w:t>
      </w:r>
      <w:r w:rsidR="000C1BDB">
        <w:t>implausible, as back calculating the modelled OS from half cycle corrected incremental undiscounted life years from the DB-04 model, resulted in the probability of survival in the ICC arm to be over 100%</w:t>
      </w:r>
      <w:r w:rsidR="006D004B">
        <w:t xml:space="preserve"> in the early </w:t>
      </w:r>
      <w:r w:rsidR="006D004B" w:rsidRPr="00DF3498">
        <w:t>part of the</w:t>
      </w:r>
      <w:r w:rsidR="10537BDC" w:rsidRPr="00DF3498">
        <w:t xml:space="preserve"> Evaluator’s</w:t>
      </w:r>
      <w:r w:rsidR="006D004B">
        <w:t xml:space="preserve"> model</w:t>
      </w:r>
      <w:r w:rsidR="000C1BDB">
        <w:t>.</w:t>
      </w:r>
    </w:p>
    <w:p w14:paraId="78ABA5D2" w14:textId="34847E57" w:rsidR="00F15C7F" w:rsidRPr="00B13CE3" w:rsidRDefault="009759DC" w:rsidP="008241B5">
      <w:pPr>
        <w:pStyle w:val="ListParagraph"/>
        <w:jc w:val="both"/>
        <w:rPr>
          <w:iCs/>
        </w:rPr>
      </w:pPr>
      <w:r w:rsidRPr="00B13CE3">
        <w:rPr>
          <w:iCs/>
        </w:rPr>
        <w:t>The drug acquisition costs</w:t>
      </w:r>
      <w:r w:rsidR="00647F2C" w:rsidRPr="00B13CE3">
        <w:rPr>
          <w:iCs/>
        </w:rPr>
        <w:t>,</w:t>
      </w:r>
      <w:r w:rsidR="00FC75B3" w:rsidRPr="00B13CE3">
        <w:rPr>
          <w:iCs/>
        </w:rPr>
        <w:t xml:space="preserve"> and</w:t>
      </w:r>
      <w:r w:rsidR="00647F2C" w:rsidRPr="00B13CE3">
        <w:rPr>
          <w:iCs/>
        </w:rPr>
        <w:t xml:space="preserve"> </w:t>
      </w:r>
      <w:r w:rsidR="00FC75B3" w:rsidRPr="00B13CE3">
        <w:rPr>
          <w:iCs/>
        </w:rPr>
        <w:t xml:space="preserve">costs for MRU and AEs </w:t>
      </w:r>
      <w:r w:rsidR="00196E99" w:rsidRPr="00B13CE3">
        <w:rPr>
          <w:iCs/>
        </w:rPr>
        <w:t>h</w:t>
      </w:r>
      <w:r w:rsidRPr="00B13CE3">
        <w:rPr>
          <w:iCs/>
        </w:rPr>
        <w:t xml:space="preserve">ave decreased since </w:t>
      </w:r>
      <w:r w:rsidR="00196E99" w:rsidRPr="00B13CE3">
        <w:rPr>
          <w:iCs/>
        </w:rPr>
        <w:t>the</w:t>
      </w:r>
      <w:r w:rsidRPr="00B13CE3">
        <w:rPr>
          <w:iCs/>
        </w:rPr>
        <w:t xml:space="preserve"> construction</w:t>
      </w:r>
      <w:r w:rsidR="00196E99" w:rsidRPr="00B13CE3">
        <w:rPr>
          <w:iCs/>
        </w:rPr>
        <w:t xml:space="preserve"> of the DB-04 model</w:t>
      </w:r>
      <w:r w:rsidR="004C68C7" w:rsidRPr="00B13CE3">
        <w:rPr>
          <w:iCs/>
        </w:rPr>
        <w:t xml:space="preserve"> and the incremental cost taken from the DB-04 model being applied into the ICC arm of the DB-06 model is therefore underestimated.</w:t>
      </w:r>
      <w:r w:rsidR="00682274" w:rsidRPr="00B13CE3">
        <w:rPr>
          <w:iCs/>
        </w:rPr>
        <w:t xml:space="preserve"> </w:t>
      </w:r>
    </w:p>
    <w:p w14:paraId="2D68A766" w14:textId="22849007" w:rsidR="00F50E8E" w:rsidRPr="00F50E8E" w:rsidRDefault="00283DDB" w:rsidP="008241B5">
      <w:pPr>
        <w:pStyle w:val="3-BodyText"/>
        <w:rPr>
          <w:iCs/>
        </w:rPr>
      </w:pPr>
      <w:bookmarkStart w:id="70" w:name="_Ref226474261"/>
      <w:r w:rsidRPr="005D243A">
        <w:rPr>
          <w:iCs/>
        </w:rPr>
        <w:t xml:space="preserve">Overall, the </w:t>
      </w:r>
      <w:r w:rsidR="00D85B8B" w:rsidRPr="005D243A">
        <w:rPr>
          <w:iCs/>
        </w:rPr>
        <w:t>Sub-Committees</w:t>
      </w:r>
      <w:r w:rsidR="006E34F6" w:rsidRPr="005D243A">
        <w:rPr>
          <w:iCs/>
        </w:rPr>
        <w:t xml:space="preserve"> </w:t>
      </w:r>
      <w:r w:rsidRPr="005D243A">
        <w:rPr>
          <w:iCs/>
        </w:rPr>
        <w:t xml:space="preserve">considered that </w:t>
      </w:r>
      <w:r w:rsidR="00845C1E" w:rsidRPr="005D243A">
        <w:rPr>
          <w:iCs/>
        </w:rPr>
        <w:t>the submission</w:t>
      </w:r>
      <w:r w:rsidR="00D94B68" w:rsidRPr="005D243A">
        <w:rPr>
          <w:iCs/>
        </w:rPr>
        <w:t xml:space="preserve">’s methodology for adjustment </w:t>
      </w:r>
      <w:r w:rsidR="00962136" w:rsidRPr="005D243A">
        <w:rPr>
          <w:iCs/>
        </w:rPr>
        <w:t xml:space="preserve">for subsequent treatments </w:t>
      </w:r>
      <w:r w:rsidR="00845C1E" w:rsidRPr="005D243A">
        <w:rPr>
          <w:iCs/>
        </w:rPr>
        <w:t xml:space="preserve">was flawed and </w:t>
      </w:r>
      <w:r w:rsidR="00FE6540" w:rsidRPr="005D243A">
        <w:rPr>
          <w:iCs/>
        </w:rPr>
        <w:t>lacked face validity</w:t>
      </w:r>
      <w:r w:rsidR="009339F5" w:rsidRPr="005D243A">
        <w:rPr>
          <w:iCs/>
        </w:rPr>
        <w:t xml:space="preserve"> given the high </w:t>
      </w:r>
      <w:r w:rsidR="0087752E" w:rsidRPr="005D243A">
        <w:rPr>
          <w:iCs/>
        </w:rPr>
        <w:t xml:space="preserve">implied </w:t>
      </w:r>
      <w:r w:rsidR="009339F5" w:rsidRPr="005D243A">
        <w:rPr>
          <w:iCs/>
        </w:rPr>
        <w:t>ICER for later line T-</w:t>
      </w:r>
      <w:proofErr w:type="spellStart"/>
      <w:r w:rsidR="009339F5" w:rsidRPr="005D243A">
        <w:rPr>
          <w:iCs/>
        </w:rPr>
        <w:t>DXd</w:t>
      </w:r>
      <w:proofErr w:type="spellEnd"/>
      <w:r w:rsidR="00FE6540" w:rsidRPr="005D243A">
        <w:rPr>
          <w:iCs/>
        </w:rPr>
        <w:t>.</w:t>
      </w:r>
      <w:r w:rsidR="009339F5" w:rsidRPr="005D243A">
        <w:rPr>
          <w:iCs/>
        </w:rPr>
        <w:t xml:space="preserve"> The </w:t>
      </w:r>
      <w:r w:rsidR="00D85B8B" w:rsidRPr="005D243A">
        <w:rPr>
          <w:iCs/>
        </w:rPr>
        <w:t>Sub-Committees</w:t>
      </w:r>
      <w:r w:rsidR="006E34F6" w:rsidRPr="005D243A">
        <w:rPr>
          <w:iCs/>
        </w:rPr>
        <w:t xml:space="preserve"> </w:t>
      </w:r>
      <w:r w:rsidR="009339F5" w:rsidRPr="005D243A">
        <w:rPr>
          <w:iCs/>
        </w:rPr>
        <w:t xml:space="preserve">noted the limitations of the </w:t>
      </w:r>
      <w:r w:rsidR="00962136" w:rsidRPr="005D243A">
        <w:rPr>
          <w:iCs/>
        </w:rPr>
        <w:t xml:space="preserve">evaluation’s </w:t>
      </w:r>
      <w:r w:rsidR="009339F5" w:rsidRPr="005D243A">
        <w:rPr>
          <w:iCs/>
        </w:rPr>
        <w:t>revised</w:t>
      </w:r>
      <w:r w:rsidR="00962136" w:rsidRPr="005D243A">
        <w:rPr>
          <w:iCs/>
        </w:rPr>
        <w:t xml:space="preserve"> analysis but considered </w:t>
      </w:r>
      <w:r w:rsidR="00461088" w:rsidRPr="005D243A">
        <w:rPr>
          <w:iCs/>
        </w:rPr>
        <w:t>that it was conceptually sound and provided a more reasonable adjustment for subsequent treatment, giving a more</w:t>
      </w:r>
      <w:r w:rsidR="008241B5">
        <w:rPr>
          <w:iCs/>
        </w:rPr>
        <w:t xml:space="preserve"> </w:t>
      </w:r>
      <w:r w:rsidR="00461088" w:rsidRPr="005D243A">
        <w:rPr>
          <w:iCs/>
        </w:rPr>
        <w:t>reliable basis for decision-making than that applied in the submission.</w:t>
      </w:r>
      <w:r w:rsidR="002D1C7C">
        <w:t xml:space="preserve"> </w:t>
      </w:r>
      <w:r w:rsidR="00F50E8E">
        <w:rPr>
          <w:iCs/>
        </w:rPr>
        <w:t>The pre-PBAC response argued</w:t>
      </w:r>
      <w:r w:rsidR="00F50E8E" w:rsidRPr="003B2FC3">
        <w:t xml:space="preserve"> that the revised evaluation model was not sufficiently reliable to inform decision</w:t>
      </w:r>
      <w:r w:rsidR="00F50E8E" w:rsidRPr="003B2FC3">
        <w:noBreakHyphen/>
        <w:t>making</w:t>
      </w:r>
      <w:r w:rsidR="00F50E8E">
        <w:t xml:space="preserve">, noting </w:t>
      </w:r>
      <w:r w:rsidR="00F50E8E" w:rsidRPr="005D243A">
        <w:rPr>
          <w:rFonts w:eastAsia="Calibri" w:cs="Calibri"/>
        </w:rPr>
        <w:t xml:space="preserve">that the issues were more significant than the </w:t>
      </w:r>
      <w:r w:rsidR="00F50E8E">
        <w:rPr>
          <w:rFonts w:eastAsia="Calibri" w:cs="Calibri"/>
        </w:rPr>
        <w:t>S</w:t>
      </w:r>
      <w:r w:rsidR="00F50E8E" w:rsidRPr="005D243A">
        <w:rPr>
          <w:rFonts w:eastAsia="Calibri" w:cs="Calibri"/>
        </w:rPr>
        <w:t>ub-</w:t>
      </w:r>
      <w:r w:rsidR="00F50E8E">
        <w:rPr>
          <w:rFonts w:eastAsia="Calibri" w:cs="Calibri"/>
        </w:rPr>
        <w:t>C</w:t>
      </w:r>
      <w:r w:rsidR="00F50E8E" w:rsidRPr="005D243A">
        <w:rPr>
          <w:rFonts w:eastAsia="Calibri" w:cs="Calibri"/>
        </w:rPr>
        <w:t xml:space="preserve">ommittees estimated, </w:t>
      </w:r>
      <w:r w:rsidR="00F50E8E">
        <w:rPr>
          <w:rFonts w:eastAsia="Calibri" w:cs="Calibri"/>
        </w:rPr>
        <w:t xml:space="preserve">and </w:t>
      </w:r>
      <w:r w:rsidR="00F50E8E" w:rsidRPr="005D243A">
        <w:rPr>
          <w:rFonts w:eastAsia="Calibri" w:cs="Calibri"/>
        </w:rPr>
        <w:t xml:space="preserve">noting that concerns </w:t>
      </w:r>
      <w:r w:rsidR="00FC3BD3">
        <w:rPr>
          <w:rFonts w:eastAsia="Calibri" w:cs="Calibri"/>
        </w:rPr>
        <w:t xml:space="preserve">regarding </w:t>
      </w:r>
      <w:r w:rsidR="00FC717D">
        <w:rPr>
          <w:rFonts w:eastAsia="Calibri" w:cs="Calibri"/>
        </w:rPr>
        <w:t xml:space="preserve">errors in </w:t>
      </w:r>
      <w:r w:rsidR="00FC3BD3">
        <w:rPr>
          <w:rFonts w:eastAsia="Calibri" w:cs="Calibri"/>
        </w:rPr>
        <w:t>the evaluat</w:t>
      </w:r>
      <w:r w:rsidR="00D873DA">
        <w:rPr>
          <w:rFonts w:eastAsia="Calibri" w:cs="Calibri"/>
        </w:rPr>
        <w:t>ion’s revised model</w:t>
      </w:r>
      <w:r w:rsidR="00F50E8E">
        <w:rPr>
          <w:rFonts w:eastAsia="Calibri" w:cs="Calibri"/>
        </w:rPr>
        <w:t xml:space="preserve"> had not been sufficiently addressed</w:t>
      </w:r>
      <w:r w:rsidR="00F50E8E" w:rsidRPr="005D243A">
        <w:rPr>
          <w:rFonts w:eastAsia="Calibri" w:cs="Calibri"/>
        </w:rPr>
        <w:t>.</w:t>
      </w:r>
      <w:bookmarkEnd w:id="70"/>
      <w:r w:rsidR="00F50E8E">
        <w:t xml:space="preserve"> </w:t>
      </w:r>
    </w:p>
    <w:p w14:paraId="4F90FBD8" w14:textId="7C2C9C30" w:rsidR="002D1C7C" w:rsidRPr="00F50E8E" w:rsidRDefault="00F50E8E" w:rsidP="008241B5">
      <w:pPr>
        <w:pStyle w:val="3-BodyText"/>
        <w:rPr>
          <w:rFonts w:eastAsia="Calibri" w:cs="Calibri"/>
        </w:rPr>
      </w:pPr>
      <w:r>
        <w:t xml:space="preserve">The </w:t>
      </w:r>
      <w:r w:rsidR="00D873DA">
        <w:t xml:space="preserve">pre-PBAC response referred to a revised analysis </w:t>
      </w:r>
      <w:r w:rsidR="009A2D17">
        <w:t xml:space="preserve">proposed in the </w:t>
      </w:r>
      <w:r w:rsidR="00FC717D">
        <w:t>PSCR</w:t>
      </w:r>
      <w:r w:rsidR="00BC787C">
        <w:t xml:space="preserve"> </w:t>
      </w:r>
      <w:r w:rsidR="004816CA">
        <w:t xml:space="preserve">in which </w:t>
      </w:r>
      <w:r w:rsidR="004816CA" w:rsidRPr="2B416C86">
        <w:rPr>
          <w:rFonts w:eastAsia="Calibri" w:cs="Calibri"/>
        </w:rPr>
        <w:t>a constant rather than waning HR from DB</w:t>
      </w:r>
      <w:r w:rsidR="004816CA">
        <w:rPr>
          <w:rFonts w:eastAsia="Calibri" w:cs="Calibri"/>
        </w:rPr>
        <w:t>-</w:t>
      </w:r>
      <w:r w:rsidR="004816CA" w:rsidRPr="2B416C86">
        <w:rPr>
          <w:rFonts w:eastAsia="Calibri" w:cs="Calibri"/>
        </w:rPr>
        <w:t xml:space="preserve">04 </w:t>
      </w:r>
      <w:r w:rsidR="004816CA">
        <w:rPr>
          <w:rFonts w:eastAsia="Calibri" w:cs="Calibri"/>
        </w:rPr>
        <w:t xml:space="preserve">was applied </w:t>
      </w:r>
      <w:r w:rsidR="004816CA" w:rsidRPr="2B416C86">
        <w:rPr>
          <w:rFonts w:eastAsia="Calibri" w:cs="Calibri"/>
        </w:rPr>
        <w:t>from median PFS until the end of the 15-year time horizon and used IA2 data to inform the percentage use of subsequent T-</w:t>
      </w:r>
      <w:proofErr w:type="spellStart"/>
      <w:r w:rsidR="004816CA" w:rsidRPr="2B416C86">
        <w:rPr>
          <w:rFonts w:eastAsia="Calibri" w:cs="Calibri"/>
        </w:rPr>
        <w:t>DXd</w:t>
      </w:r>
      <w:proofErr w:type="spellEnd"/>
      <w:r w:rsidR="004816CA" w:rsidRPr="2B416C86">
        <w:rPr>
          <w:rFonts w:eastAsia="Calibri" w:cs="Calibri"/>
        </w:rPr>
        <w:t xml:space="preserve"> in the ICC arm (33.6%). At the submission price, the ICER remained below $</w:t>
      </w:r>
      <w:r w:rsidR="00C57916">
        <w:rPr>
          <w:rFonts w:eastAsia="Calibri" w:cs="Calibri"/>
        </w:rPr>
        <w:t>55,000 to &lt; $75,000</w:t>
      </w:r>
      <w:r w:rsidR="004816CA" w:rsidRPr="2B416C86">
        <w:rPr>
          <w:rFonts w:eastAsia="Calibri" w:cs="Calibri"/>
        </w:rPr>
        <w:t>/QALY</w:t>
      </w:r>
      <w:r w:rsidR="0009695E">
        <w:rPr>
          <w:rFonts w:eastAsia="Calibri" w:cs="Calibri"/>
        </w:rPr>
        <w:t>.</w:t>
      </w:r>
      <w:r w:rsidR="00206730">
        <w:rPr>
          <w:rFonts w:eastAsia="Calibri" w:cs="Calibri"/>
        </w:rPr>
        <w:t xml:space="preserve"> Th</w:t>
      </w:r>
      <w:r w:rsidR="008612D3">
        <w:rPr>
          <w:rFonts w:eastAsia="Calibri" w:cs="Calibri"/>
        </w:rPr>
        <w:t>e PBAC considered that th</w:t>
      </w:r>
      <w:r w:rsidR="00916953">
        <w:rPr>
          <w:rFonts w:eastAsia="Calibri" w:cs="Calibri"/>
        </w:rPr>
        <w:t>is</w:t>
      </w:r>
      <w:r w:rsidR="00206730">
        <w:rPr>
          <w:rFonts w:eastAsia="Calibri" w:cs="Calibri"/>
        </w:rPr>
        <w:t xml:space="preserve"> </w:t>
      </w:r>
      <w:r w:rsidR="008612D3">
        <w:rPr>
          <w:rFonts w:eastAsia="Calibri" w:cs="Calibri"/>
        </w:rPr>
        <w:t>analysis</w:t>
      </w:r>
      <w:r w:rsidR="00206730">
        <w:rPr>
          <w:rFonts w:eastAsia="Calibri" w:cs="Calibri"/>
        </w:rPr>
        <w:t xml:space="preserve"> did not </w:t>
      </w:r>
      <w:r w:rsidR="008612D3">
        <w:rPr>
          <w:rFonts w:eastAsia="Calibri" w:cs="Calibri"/>
        </w:rPr>
        <w:t xml:space="preserve">adequately </w:t>
      </w:r>
      <w:r w:rsidR="00794C8E">
        <w:rPr>
          <w:rFonts w:eastAsia="Calibri" w:cs="Calibri"/>
        </w:rPr>
        <w:t xml:space="preserve">address the concerns </w:t>
      </w:r>
      <w:r w:rsidR="0090572B">
        <w:rPr>
          <w:rFonts w:eastAsia="Calibri" w:cs="Calibri"/>
        </w:rPr>
        <w:t xml:space="preserve">identified in the evaluation </w:t>
      </w:r>
      <w:r w:rsidR="00794C8E">
        <w:rPr>
          <w:rFonts w:eastAsia="Calibri" w:cs="Calibri"/>
        </w:rPr>
        <w:t xml:space="preserve">regarding </w:t>
      </w:r>
      <w:r w:rsidR="00916953">
        <w:rPr>
          <w:rFonts w:eastAsia="Calibri" w:cs="Calibri"/>
        </w:rPr>
        <w:t>incorporation of cost-effective later line</w:t>
      </w:r>
      <w:r w:rsidR="00ED2DB6">
        <w:rPr>
          <w:rFonts w:eastAsia="Calibri" w:cs="Calibri"/>
        </w:rPr>
        <w:t xml:space="preserve"> T-</w:t>
      </w:r>
      <w:proofErr w:type="spellStart"/>
      <w:r w:rsidR="00ED2DB6">
        <w:rPr>
          <w:rFonts w:eastAsia="Calibri" w:cs="Calibri"/>
        </w:rPr>
        <w:t>DXd</w:t>
      </w:r>
      <w:proofErr w:type="spellEnd"/>
      <w:r w:rsidR="00916953">
        <w:rPr>
          <w:rFonts w:eastAsia="Calibri" w:cs="Calibri"/>
        </w:rPr>
        <w:t xml:space="preserve"> use</w:t>
      </w:r>
      <w:r w:rsidR="0090572B">
        <w:rPr>
          <w:rFonts w:eastAsia="Calibri" w:cs="Calibri"/>
        </w:rPr>
        <w:t>.</w:t>
      </w:r>
      <w:bookmarkStart w:id="71" w:name="_Ref226474303"/>
    </w:p>
    <w:p w14:paraId="704640A8" w14:textId="39682241" w:rsidR="00412FD8" w:rsidRPr="00763659" w:rsidRDefault="00412FD8" w:rsidP="008241B5">
      <w:pPr>
        <w:pStyle w:val="3-BodyText"/>
      </w:pPr>
      <w:bookmarkStart w:id="72" w:name="_Ref221787073"/>
      <w:bookmarkEnd w:id="71"/>
      <w:r w:rsidRPr="00763659">
        <w:t>Results of the revised analysis of T-</w:t>
      </w:r>
      <w:proofErr w:type="spellStart"/>
      <w:r w:rsidRPr="00763659">
        <w:t>DXd</w:t>
      </w:r>
      <w:proofErr w:type="spellEnd"/>
      <w:r w:rsidRPr="00763659">
        <w:t xml:space="preserve"> versus ICC are presented in </w:t>
      </w:r>
      <w:r w:rsidRPr="00763659">
        <w:fldChar w:fldCharType="begin"/>
      </w:r>
      <w:r w:rsidRPr="00763659">
        <w:instrText xml:space="preserve"> REF _Ref217760102 \h </w:instrText>
      </w:r>
      <w:r w:rsidR="00763659">
        <w:instrText xml:space="preserve"> \* MERGEFORMAT </w:instrText>
      </w:r>
      <w:r w:rsidRPr="00763659">
        <w:fldChar w:fldCharType="separate"/>
      </w:r>
      <w:r w:rsidR="005D3E29" w:rsidRPr="00E65D41">
        <w:t xml:space="preserve">Table </w:t>
      </w:r>
      <w:r w:rsidR="005D3E29">
        <w:rPr>
          <w:noProof/>
        </w:rPr>
        <w:t>17</w:t>
      </w:r>
      <w:r w:rsidRPr="00763659">
        <w:fldChar w:fldCharType="end"/>
      </w:r>
      <w:r w:rsidRPr="00763659">
        <w:t>. The ICER from the revised economic evaluation was estimated to be $</w:t>
      </w:r>
      <w:r w:rsidR="00C57916">
        <w:t xml:space="preserve">155,000 to </w:t>
      </w:r>
      <w:r w:rsidR="00C57916">
        <w:br/>
        <w:t>&lt; $255,000</w:t>
      </w:r>
      <w:r w:rsidRPr="00763659">
        <w:t xml:space="preserve">/QALY gained (around </w:t>
      </w:r>
      <w:r w:rsidR="006340CE" w:rsidRPr="006340CE">
        <w:rPr>
          <w:sz w:val="2"/>
          <w:highlight w:val="black"/>
        </w:rPr>
        <w:t>redacted content</w:t>
      </w:r>
      <w:r w:rsidRPr="00763659">
        <w:t>% higher than the submission’s base case estimate). This was primarily due to the incorporation of the cost-effective later-line T-</w:t>
      </w:r>
      <w:proofErr w:type="spellStart"/>
      <w:r w:rsidRPr="00763659">
        <w:t>DXd</w:t>
      </w:r>
      <w:proofErr w:type="spellEnd"/>
      <w:r w:rsidRPr="00763659">
        <w:t xml:space="preserve"> therapy in the comparator in the revised analysis.</w:t>
      </w:r>
      <w:bookmarkEnd w:id="72"/>
      <w:r w:rsidR="00916953" w:rsidRPr="00916953">
        <w:t xml:space="preserve"> </w:t>
      </w:r>
    </w:p>
    <w:p w14:paraId="522B6D28" w14:textId="21F9219E" w:rsidR="00412FD8" w:rsidRPr="00E65D41" w:rsidRDefault="00412FD8" w:rsidP="008241B5">
      <w:pPr>
        <w:pStyle w:val="Caption"/>
        <w:rPr>
          <w:rStyle w:val="CommentReference"/>
          <w:b/>
          <w:szCs w:val="24"/>
        </w:rPr>
      </w:pPr>
      <w:bookmarkStart w:id="73" w:name="_Ref217760102"/>
      <w:r w:rsidRPr="00E65D41">
        <w:t xml:space="preserve">Table </w:t>
      </w:r>
      <w:fldSimple w:instr=" SEQ Table \* ARABIC ">
        <w:r w:rsidR="005D3E29">
          <w:rPr>
            <w:noProof/>
          </w:rPr>
          <w:t>17</w:t>
        </w:r>
      </w:fldSimple>
      <w:bookmarkEnd w:id="73"/>
      <w:r w:rsidRPr="00E65D41">
        <w:t xml:space="preserve">: </w:t>
      </w:r>
      <w:r w:rsidRPr="00E65D41">
        <w:rPr>
          <w:rStyle w:val="CommentReference"/>
          <w:b/>
          <w:szCs w:val="24"/>
        </w:rPr>
        <w:t xml:space="preserve">Results of the revised economic </w:t>
      </w:r>
      <w:proofErr w:type="spellStart"/>
      <w:r w:rsidRPr="00E65D41">
        <w:rPr>
          <w:rStyle w:val="CommentReference"/>
          <w:b/>
          <w:szCs w:val="24"/>
        </w:rPr>
        <w:t>evaluation</w:t>
      </w:r>
      <w:r w:rsidRPr="00E65D41">
        <w:rPr>
          <w:rStyle w:val="CommentReference"/>
          <w:b/>
          <w:szCs w:val="24"/>
          <w:vertAlign w:val="superscript"/>
        </w:rPr>
        <w:t>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revised economic evaluation"/>
      </w:tblPr>
      <w:tblGrid>
        <w:gridCol w:w="2757"/>
        <w:gridCol w:w="2451"/>
        <w:gridCol w:w="2298"/>
        <w:gridCol w:w="1511"/>
      </w:tblGrid>
      <w:tr w:rsidR="00412FD8" w:rsidRPr="00E65D41" w14:paraId="136B9163" w14:textId="77777777">
        <w:trPr>
          <w:tblHeader/>
        </w:trPr>
        <w:tc>
          <w:tcPr>
            <w:tcW w:w="1529" w:type="pct"/>
            <w:vAlign w:val="center"/>
          </w:tcPr>
          <w:p w14:paraId="670788BF" w14:textId="77777777" w:rsidR="00412FD8" w:rsidRPr="00E65D41" w:rsidRDefault="00412FD8" w:rsidP="008241B5">
            <w:pPr>
              <w:pStyle w:val="In-tableHeading"/>
              <w:rPr>
                <w:i w:val="0"/>
              </w:rPr>
            </w:pPr>
          </w:p>
        </w:tc>
        <w:tc>
          <w:tcPr>
            <w:tcW w:w="1359" w:type="pct"/>
            <w:vAlign w:val="center"/>
          </w:tcPr>
          <w:p w14:paraId="2715F2D6" w14:textId="77777777" w:rsidR="00412FD8" w:rsidRPr="00E65D41" w:rsidRDefault="00412FD8" w:rsidP="008241B5">
            <w:pPr>
              <w:pStyle w:val="In-tableHeading"/>
              <w:jc w:val="center"/>
              <w:rPr>
                <w:i w:val="0"/>
              </w:rPr>
            </w:pPr>
            <w:r w:rsidRPr="00E65D41">
              <w:rPr>
                <w:i w:val="0"/>
              </w:rPr>
              <w:t>T-</w:t>
            </w:r>
            <w:proofErr w:type="spellStart"/>
            <w:r w:rsidRPr="00E65D41">
              <w:rPr>
                <w:i w:val="0"/>
              </w:rPr>
              <w:t>DXd</w:t>
            </w:r>
            <w:proofErr w:type="spellEnd"/>
          </w:p>
        </w:tc>
        <w:tc>
          <w:tcPr>
            <w:tcW w:w="1274" w:type="pct"/>
            <w:vAlign w:val="center"/>
          </w:tcPr>
          <w:p w14:paraId="1011C15B" w14:textId="77777777" w:rsidR="00412FD8" w:rsidRPr="00E65D41" w:rsidRDefault="00412FD8" w:rsidP="008241B5">
            <w:pPr>
              <w:pStyle w:val="In-tableHeading"/>
              <w:jc w:val="center"/>
              <w:rPr>
                <w:i w:val="0"/>
              </w:rPr>
            </w:pPr>
            <w:r w:rsidRPr="00E65D41">
              <w:rPr>
                <w:i w:val="0"/>
              </w:rPr>
              <w:t>ICC</w:t>
            </w:r>
          </w:p>
        </w:tc>
        <w:tc>
          <w:tcPr>
            <w:tcW w:w="838" w:type="pct"/>
            <w:vAlign w:val="center"/>
          </w:tcPr>
          <w:p w14:paraId="143369B9" w14:textId="77777777" w:rsidR="00412FD8" w:rsidRPr="00E65D41" w:rsidRDefault="00412FD8" w:rsidP="008241B5">
            <w:pPr>
              <w:pStyle w:val="In-tableHeading"/>
              <w:jc w:val="center"/>
              <w:rPr>
                <w:i w:val="0"/>
              </w:rPr>
            </w:pPr>
            <w:r w:rsidRPr="00E65D41">
              <w:rPr>
                <w:i w:val="0"/>
              </w:rPr>
              <w:t>Increment</w:t>
            </w:r>
          </w:p>
        </w:tc>
      </w:tr>
      <w:tr w:rsidR="00412FD8" w:rsidRPr="00E65D41" w14:paraId="29474C78" w14:textId="77777777">
        <w:tc>
          <w:tcPr>
            <w:tcW w:w="1529" w:type="pct"/>
            <w:vAlign w:val="center"/>
          </w:tcPr>
          <w:p w14:paraId="20B538C4" w14:textId="77777777" w:rsidR="00412FD8" w:rsidRPr="00E65D41" w:rsidRDefault="00412FD8" w:rsidP="008241B5">
            <w:pPr>
              <w:pStyle w:val="TableText0"/>
              <w:rPr>
                <w:rFonts w:ascii="Times" w:hAnsi="Times"/>
              </w:rPr>
            </w:pPr>
            <w:r w:rsidRPr="00E65D41">
              <w:t>Costs</w:t>
            </w:r>
          </w:p>
        </w:tc>
        <w:tc>
          <w:tcPr>
            <w:tcW w:w="1359" w:type="pct"/>
          </w:tcPr>
          <w:p w14:paraId="634F7AB6" w14:textId="1F577847" w:rsidR="00412FD8" w:rsidRPr="00E65D41" w:rsidRDefault="00412FD8" w:rsidP="008241B5">
            <w:pPr>
              <w:pStyle w:val="TableText0"/>
              <w:jc w:val="center"/>
              <w:rPr>
                <w:rFonts w:ascii="Times" w:hAnsi="Times"/>
              </w:rPr>
            </w:pPr>
            <w:r w:rsidRPr="00E65D41">
              <w:t>$</w:t>
            </w:r>
            <w:r w:rsidR="006340CE" w:rsidRPr="006340CE">
              <w:rPr>
                <w:sz w:val="2"/>
                <w:highlight w:val="black"/>
              </w:rPr>
              <w:t>redacted content</w:t>
            </w:r>
          </w:p>
        </w:tc>
        <w:tc>
          <w:tcPr>
            <w:tcW w:w="1274" w:type="pct"/>
          </w:tcPr>
          <w:p w14:paraId="7B238B34" w14:textId="25EB4040" w:rsidR="00412FD8" w:rsidRPr="00E65D41" w:rsidRDefault="00412FD8" w:rsidP="008241B5">
            <w:pPr>
              <w:pStyle w:val="TableText0"/>
              <w:jc w:val="center"/>
              <w:rPr>
                <w:rFonts w:ascii="Times" w:hAnsi="Times"/>
              </w:rPr>
            </w:pPr>
            <w:r w:rsidRPr="00E65D41">
              <w:t>$</w:t>
            </w:r>
            <w:r w:rsidR="006340CE" w:rsidRPr="006340CE">
              <w:rPr>
                <w:sz w:val="2"/>
                <w:highlight w:val="black"/>
              </w:rPr>
              <w:t>redacted content</w:t>
            </w:r>
          </w:p>
        </w:tc>
        <w:tc>
          <w:tcPr>
            <w:tcW w:w="838" w:type="pct"/>
          </w:tcPr>
          <w:p w14:paraId="1DA04A18" w14:textId="7885ACF5" w:rsidR="00412FD8" w:rsidRPr="00E65D41" w:rsidRDefault="00412FD8" w:rsidP="008241B5">
            <w:pPr>
              <w:pStyle w:val="TableText0"/>
              <w:jc w:val="center"/>
              <w:rPr>
                <w:rFonts w:ascii="Times" w:hAnsi="Times"/>
              </w:rPr>
            </w:pPr>
            <w:r w:rsidRPr="00E65D41">
              <w:t>$</w:t>
            </w:r>
            <w:r w:rsidR="006340CE" w:rsidRPr="006340CE">
              <w:rPr>
                <w:sz w:val="2"/>
                <w:highlight w:val="black"/>
              </w:rPr>
              <w:t>redacted content</w:t>
            </w:r>
          </w:p>
        </w:tc>
      </w:tr>
      <w:tr w:rsidR="00412FD8" w:rsidRPr="00E65D41" w14:paraId="338C077F" w14:textId="77777777">
        <w:tc>
          <w:tcPr>
            <w:tcW w:w="1529" w:type="pct"/>
            <w:vAlign w:val="center"/>
          </w:tcPr>
          <w:p w14:paraId="2F4D5197" w14:textId="77777777" w:rsidR="00412FD8" w:rsidRPr="00E65D41" w:rsidRDefault="00412FD8" w:rsidP="008241B5">
            <w:pPr>
              <w:pStyle w:val="TableText0"/>
              <w:rPr>
                <w:rFonts w:ascii="Times" w:hAnsi="Times"/>
              </w:rPr>
            </w:pPr>
            <w:r w:rsidRPr="00E65D41">
              <w:t>QALYs</w:t>
            </w:r>
          </w:p>
        </w:tc>
        <w:tc>
          <w:tcPr>
            <w:tcW w:w="1359" w:type="pct"/>
            <w:vAlign w:val="bottom"/>
          </w:tcPr>
          <w:p w14:paraId="443FD7F6" w14:textId="77777777" w:rsidR="00412FD8" w:rsidRPr="00E65D41" w:rsidRDefault="00412FD8" w:rsidP="008241B5">
            <w:pPr>
              <w:pStyle w:val="TableText0"/>
              <w:jc w:val="center"/>
              <w:rPr>
                <w:rFonts w:ascii="Times" w:hAnsi="Times"/>
              </w:rPr>
            </w:pPr>
            <w:r w:rsidRPr="00E65D41">
              <w:rPr>
                <w:szCs w:val="20"/>
              </w:rPr>
              <w:t>2.189</w:t>
            </w:r>
          </w:p>
        </w:tc>
        <w:tc>
          <w:tcPr>
            <w:tcW w:w="1274" w:type="pct"/>
            <w:vAlign w:val="bottom"/>
          </w:tcPr>
          <w:p w14:paraId="604CC47E" w14:textId="77777777" w:rsidR="00412FD8" w:rsidRPr="00E65D41" w:rsidRDefault="00412FD8" w:rsidP="008241B5">
            <w:pPr>
              <w:pStyle w:val="TableText0"/>
              <w:jc w:val="center"/>
              <w:rPr>
                <w:rFonts w:ascii="Times" w:hAnsi="Times"/>
              </w:rPr>
            </w:pPr>
            <w:r w:rsidRPr="00E65D41">
              <w:rPr>
                <w:szCs w:val="20"/>
              </w:rPr>
              <w:t>2.044</w:t>
            </w:r>
          </w:p>
        </w:tc>
        <w:tc>
          <w:tcPr>
            <w:tcW w:w="838" w:type="pct"/>
            <w:vAlign w:val="bottom"/>
          </w:tcPr>
          <w:p w14:paraId="7C1B0497" w14:textId="77777777" w:rsidR="00412FD8" w:rsidRPr="00E65D41" w:rsidRDefault="00412FD8" w:rsidP="008241B5">
            <w:pPr>
              <w:pStyle w:val="TableText0"/>
              <w:jc w:val="center"/>
            </w:pPr>
            <w:r w:rsidRPr="00E65D41">
              <w:rPr>
                <w:szCs w:val="20"/>
              </w:rPr>
              <w:t>0.145</w:t>
            </w:r>
          </w:p>
        </w:tc>
      </w:tr>
      <w:tr w:rsidR="00412FD8" w:rsidRPr="00E65D41" w14:paraId="5F527BF9" w14:textId="77777777">
        <w:tc>
          <w:tcPr>
            <w:tcW w:w="4162" w:type="pct"/>
            <w:gridSpan w:val="3"/>
            <w:vAlign w:val="center"/>
          </w:tcPr>
          <w:p w14:paraId="1E0869AE" w14:textId="77777777" w:rsidR="00412FD8" w:rsidRPr="00E65D41" w:rsidRDefault="00412FD8" w:rsidP="008241B5">
            <w:pPr>
              <w:pStyle w:val="TableText0"/>
              <w:rPr>
                <w:rFonts w:ascii="Times" w:hAnsi="Times"/>
                <w:b/>
              </w:rPr>
            </w:pPr>
            <w:r w:rsidRPr="00E65D41">
              <w:rPr>
                <w:b/>
              </w:rPr>
              <w:t>Incremental cost/extra QALY gained (revised base case)</w:t>
            </w:r>
          </w:p>
        </w:tc>
        <w:tc>
          <w:tcPr>
            <w:tcW w:w="838" w:type="pct"/>
            <w:vAlign w:val="center"/>
          </w:tcPr>
          <w:p w14:paraId="43CB0A2F" w14:textId="0357FD55" w:rsidR="00412FD8" w:rsidRPr="00C57916" w:rsidRDefault="00412FD8" w:rsidP="008241B5">
            <w:pPr>
              <w:pStyle w:val="TableText0"/>
              <w:jc w:val="center"/>
              <w:rPr>
                <w:rFonts w:ascii="Times" w:hAnsi="Times"/>
                <w:b/>
                <w:vertAlign w:val="superscript"/>
              </w:rPr>
            </w:pPr>
            <w:r w:rsidRPr="00E65D41">
              <w:rPr>
                <w:b/>
              </w:rPr>
              <w:t>$</w:t>
            </w:r>
            <w:r w:rsidR="006340CE" w:rsidRPr="006340CE">
              <w:rPr>
                <w:b/>
                <w:sz w:val="2"/>
                <w:highlight w:val="black"/>
              </w:rPr>
              <w:t>redacted content</w:t>
            </w:r>
            <w:r w:rsidR="00C57916">
              <w:rPr>
                <w:b/>
                <w:vertAlign w:val="superscript"/>
              </w:rPr>
              <w:t>1</w:t>
            </w:r>
          </w:p>
        </w:tc>
      </w:tr>
    </w:tbl>
    <w:p w14:paraId="7A6AE38F" w14:textId="77777777" w:rsidR="00412FD8" w:rsidRPr="00E65D41" w:rsidRDefault="00412FD8" w:rsidP="008241B5">
      <w:pPr>
        <w:pStyle w:val="FooterTableFigure"/>
      </w:pPr>
      <w:r w:rsidRPr="00E65D41">
        <w:t xml:space="preserve">Source: Table 3.33, p165 of the submission. </w:t>
      </w:r>
    </w:p>
    <w:p w14:paraId="71A8D890" w14:textId="77777777" w:rsidR="00412FD8" w:rsidRPr="00E65D41" w:rsidRDefault="00412FD8" w:rsidP="008241B5">
      <w:pPr>
        <w:pStyle w:val="FooterTableFigure"/>
      </w:pPr>
      <w:r w:rsidRPr="00E65D41">
        <w:t>ICC = investigator’s choice of chemotherapy; ICER = incremental cost-effectiveness ratio; QALY = quality-adjusted life year; T-</w:t>
      </w:r>
      <w:proofErr w:type="spellStart"/>
      <w:r w:rsidRPr="00E65D41">
        <w:t>DXd</w:t>
      </w:r>
      <w:proofErr w:type="spellEnd"/>
      <w:r w:rsidRPr="00E65D41">
        <w:t xml:space="preserve"> = trastuzumab deruxtecan </w:t>
      </w:r>
    </w:p>
    <w:p w14:paraId="7588F0A3" w14:textId="10C8C166" w:rsidR="00412FD8" w:rsidRDefault="00412FD8" w:rsidP="008241B5">
      <w:pPr>
        <w:pStyle w:val="FooterTableFigure"/>
      </w:pPr>
      <w:r w:rsidRPr="00D01026">
        <w:rPr>
          <w:vertAlign w:val="superscript"/>
        </w:rPr>
        <w:t>a</w:t>
      </w:r>
      <w:r w:rsidRPr="00D01026">
        <w:t xml:space="preserve"> </w:t>
      </w:r>
      <w:proofErr w:type="gramStart"/>
      <w:r w:rsidRPr="00D01026">
        <w:t>By</w:t>
      </w:r>
      <w:proofErr w:type="gramEnd"/>
      <w:r w:rsidRPr="00D01026">
        <w:t xml:space="preserve"> applying fixed incremental costs ($</w:t>
      </w:r>
      <w:r w:rsidR="006340CE" w:rsidRPr="006340CE">
        <w:rPr>
          <w:sz w:val="2"/>
          <w:highlight w:val="black"/>
        </w:rPr>
        <w:t>redacted content</w:t>
      </w:r>
      <w:r w:rsidRPr="00D01026">
        <w:t>) and QALYs (0.532) to extra proportion (58.7%) of patients receiving subsequent T-</w:t>
      </w:r>
      <w:proofErr w:type="spellStart"/>
      <w:r w:rsidRPr="00D01026">
        <w:t>DXd</w:t>
      </w:r>
      <w:proofErr w:type="spellEnd"/>
      <w:r w:rsidRPr="00D01026">
        <w:t xml:space="preserve"> in clinical practice</w:t>
      </w:r>
    </w:p>
    <w:p w14:paraId="26B72C4C" w14:textId="77777777" w:rsidR="00745A72" w:rsidRPr="00745A72" w:rsidRDefault="00745A72" w:rsidP="00745A72">
      <w:pPr>
        <w:pStyle w:val="FooterTableFigure"/>
        <w:rPr>
          <w:i/>
        </w:rPr>
      </w:pPr>
      <w:r w:rsidRPr="00745A72">
        <w:rPr>
          <w:i/>
        </w:rPr>
        <w:t xml:space="preserve">The redacted values correspond to the following ranges: </w:t>
      </w:r>
    </w:p>
    <w:p w14:paraId="5C2B2A89" w14:textId="273B26DD" w:rsidR="00745A72" w:rsidRPr="00745A72" w:rsidRDefault="00745A72" w:rsidP="00745A72">
      <w:pPr>
        <w:pStyle w:val="FooterTableFigure"/>
        <w:rPr>
          <w:i/>
        </w:rPr>
      </w:pPr>
      <w:r w:rsidRPr="00745A72">
        <w:rPr>
          <w:i/>
          <w:vertAlign w:val="superscript"/>
        </w:rPr>
        <w:t>1</w:t>
      </w:r>
      <w:r w:rsidRPr="00745A72">
        <w:rPr>
          <w:i/>
        </w:rPr>
        <w:t xml:space="preserve"> </w:t>
      </w:r>
      <w:r w:rsidR="00C77D46" w:rsidRPr="00C77D46">
        <w:rPr>
          <w:i/>
        </w:rPr>
        <w:t>$155,000 to &lt; $255,000</w:t>
      </w:r>
    </w:p>
    <w:p w14:paraId="4A373DD7" w14:textId="77777777" w:rsidR="001A6C4C" w:rsidRPr="00D01026" w:rsidRDefault="001A6C4C" w:rsidP="008241B5">
      <w:pPr>
        <w:pStyle w:val="FooterTableFigure"/>
      </w:pPr>
    </w:p>
    <w:p w14:paraId="61BD57DA" w14:textId="4FE9723D" w:rsidR="008A07A5" w:rsidRDefault="00261FCC" w:rsidP="008241B5">
      <w:pPr>
        <w:pStyle w:val="3-BodyText"/>
      </w:pPr>
      <w:r w:rsidRPr="006E1061">
        <w:lastRenderedPageBreak/>
        <w:t xml:space="preserve">The </w:t>
      </w:r>
      <w:r w:rsidR="00D85B8B" w:rsidRPr="006E1061">
        <w:t>Sub-Committees</w:t>
      </w:r>
      <w:r w:rsidR="006E34F6" w:rsidRPr="006E1061">
        <w:t xml:space="preserve"> </w:t>
      </w:r>
      <w:r w:rsidR="00120268" w:rsidRPr="006E1061">
        <w:t>advised a respecified base case could be considered, with</w:t>
      </w:r>
      <w:r w:rsidR="00F5719E" w:rsidRPr="006E1061">
        <w:t xml:space="preserve"> corrected proportion of subsequent treatment from IA2</w:t>
      </w:r>
      <w:r w:rsidR="0074140F" w:rsidRPr="006E1061">
        <w:t xml:space="preserve"> (#1)</w:t>
      </w:r>
      <w:r w:rsidR="00F5719E" w:rsidRPr="006E1061">
        <w:t xml:space="preserve">, </w:t>
      </w:r>
      <w:r w:rsidR="00120268" w:rsidRPr="006E1061">
        <w:t>a 10-year time horizon</w:t>
      </w:r>
      <w:r w:rsidR="0074140F" w:rsidRPr="006E1061">
        <w:t xml:space="preserve"> (#2)</w:t>
      </w:r>
      <w:r w:rsidR="0079092A" w:rsidRPr="006E1061">
        <w:t xml:space="preserve">, pooled PFS utility values </w:t>
      </w:r>
      <w:r w:rsidR="0074140F" w:rsidRPr="006E1061">
        <w:t>(#3</w:t>
      </w:r>
      <w:r w:rsidR="005650FD" w:rsidRPr="006E1061">
        <w:t>), and Gebski criterion for KM truncation point (#4)</w:t>
      </w:r>
      <w:r w:rsidR="00A06D54" w:rsidRPr="006E1061">
        <w:t>.</w:t>
      </w:r>
      <w:r w:rsidR="00DA3845" w:rsidRPr="006E1061">
        <w:t xml:space="preserve"> This resulted in an ICER o</w:t>
      </w:r>
      <w:r w:rsidR="00FE52FB" w:rsidRPr="006E1061">
        <w:t>f</w:t>
      </w:r>
      <w:r w:rsidR="00DA3845" w:rsidRPr="006E1061">
        <w:t xml:space="preserve"> $</w:t>
      </w:r>
      <w:r w:rsidR="00153E4F">
        <w:t>155,000 to &lt; $255,000</w:t>
      </w:r>
      <w:r w:rsidR="00DA3845" w:rsidRPr="006E1061">
        <w:t>/QALY.</w:t>
      </w:r>
    </w:p>
    <w:p w14:paraId="472842D7" w14:textId="3C5D926C" w:rsidR="00C25D9C" w:rsidRPr="0098262F" w:rsidRDefault="00C25D9C" w:rsidP="008241B5">
      <w:pPr>
        <w:pStyle w:val="4-SubsectionHeading"/>
      </w:pPr>
      <w:bookmarkStart w:id="74" w:name="_Toc219893557"/>
      <w:r w:rsidRPr="0098262F">
        <w:t>Drug cost/patient/course</w:t>
      </w:r>
      <w:bookmarkEnd w:id="44"/>
      <w:bookmarkEnd w:id="74"/>
    </w:p>
    <w:p w14:paraId="51691BD3" w14:textId="363D8882" w:rsidR="00494207" w:rsidRPr="0098262F" w:rsidRDefault="00E16AD8" w:rsidP="008241B5">
      <w:pPr>
        <w:pStyle w:val="Caption"/>
        <w:rPr>
          <w:rStyle w:val="CommentReference"/>
          <w:b/>
          <w:szCs w:val="24"/>
        </w:rPr>
      </w:pPr>
      <w:bookmarkStart w:id="75" w:name="_Ref104805102"/>
      <w:r w:rsidRPr="0098262F">
        <w:t xml:space="preserve">Table </w:t>
      </w:r>
      <w:fldSimple w:instr=" SEQ Table \* ARABIC ">
        <w:r w:rsidR="005D3E29">
          <w:rPr>
            <w:noProof/>
          </w:rPr>
          <w:t>18</w:t>
        </w:r>
      </w:fldSimple>
      <w:bookmarkEnd w:id="75"/>
      <w:r w:rsidRPr="0098262F">
        <w:t>:</w:t>
      </w:r>
      <w:r w:rsidR="00494207" w:rsidRPr="0098262F">
        <w:rPr>
          <w:rStyle w:val="CommentReference"/>
          <w:b/>
          <w:szCs w:val="24"/>
        </w:rPr>
        <w:t xml:space="preserve"> Drug cost per patient for proposed and comparator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Drug cost per patient for proposed and comparator drugs"/>
      </w:tblPr>
      <w:tblGrid>
        <w:gridCol w:w="1556"/>
        <w:gridCol w:w="849"/>
        <w:gridCol w:w="1179"/>
        <w:gridCol w:w="1536"/>
        <w:gridCol w:w="11"/>
        <w:gridCol w:w="1190"/>
        <w:gridCol w:w="1190"/>
        <w:gridCol w:w="1506"/>
      </w:tblGrid>
      <w:tr w:rsidR="00412FD8" w:rsidRPr="00160588" w14:paraId="472F9E73" w14:textId="77777777" w:rsidTr="00B13003">
        <w:trPr>
          <w:cantSplit/>
          <w:tblHeader/>
        </w:trPr>
        <w:tc>
          <w:tcPr>
            <w:tcW w:w="862" w:type="pct"/>
            <w:vMerge w:val="restart"/>
            <w:vAlign w:val="center"/>
          </w:tcPr>
          <w:p w14:paraId="5F827769" w14:textId="77777777" w:rsidR="00412FD8" w:rsidRPr="00160588" w:rsidRDefault="00412FD8" w:rsidP="008241B5">
            <w:pPr>
              <w:pStyle w:val="In-tableHeading"/>
              <w:rPr>
                <w:szCs w:val="20"/>
              </w:rPr>
            </w:pPr>
          </w:p>
        </w:tc>
        <w:tc>
          <w:tcPr>
            <w:tcW w:w="1983" w:type="pct"/>
            <w:gridSpan w:val="4"/>
            <w:vAlign w:val="center"/>
          </w:tcPr>
          <w:p w14:paraId="2B2BCE70" w14:textId="77777777" w:rsidR="00412FD8" w:rsidRPr="00160588" w:rsidRDefault="00412FD8" w:rsidP="008241B5">
            <w:pPr>
              <w:pStyle w:val="In-tableHeading"/>
              <w:jc w:val="center"/>
              <w:rPr>
                <w:i w:val="0"/>
                <w:szCs w:val="20"/>
              </w:rPr>
            </w:pPr>
            <w:r w:rsidRPr="00160588">
              <w:rPr>
                <w:i w:val="0"/>
                <w:szCs w:val="20"/>
              </w:rPr>
              <w:t>T-</w:t>
            </w:r>
            <w:proofErr w:type="spellStart"/>
            <w:r w:rsidRPr="00160588">
              <w:rPr>
                <w:i w:val="0"/>
                <w:szCs w:val="20"/>
              </w:rPr>
              <w:t>DXd</w:t>
            </w:r>
            <w:proofErr w:type="spellEnd"/>
          </w:p>
        </w:tc>
        <w:tc>
          <w:tcPr>
            <w:tcW w:w="2155" w:type="pct"/>
            <w:gridSpan w:val="3"/>
            <w:vAlign w:val="center"/>
          </w:tcPr>
          <w:p w14:paraId="4A9B699E" w14:textId="77777777" w:rsidR="00412FD8" w:rsidRPr="00160588" w:rsidRDefault="00412FD8" w:rsidP="008241B5">
            <w:pPr>
              <w:pStyle w:val="In-tableHeading"/>
              <w:jc w:val="center"/>
              <w:rPr>
                <w:i w:val="0"/>
                <w:szCs w:val="20"/>
              </w:rPr>
            </w:pPr>
            <w:r w:rsidRPr="00160588">
              <w:rPr>
                <w:i w:val="0"/>
                <w:szCs w:val="20"/>
              </w:rPr>
              <w:t>ICC</w:t>
            </w:r>
          </w:p>
        </w:tc>
      </w:tr>
      <w:tr w:rsidR="00412FD8" w:rsidRPr="00160588" w14:paraId="3115B444" w14:textId="77777777" w:rsidTr="00B13003">
        <w:trPr>
          <w:cantSplit/>
          <w:tblHeader/>
        </w:trPr>
        <w:tc>
          <w:tcPr>
            <w:tcW w:w="862" w:type="pct"/>
            <w:vMerge/>
            <w:vAlign w:val="center"/>
          </w:tcPr>
          <w:p w14:paraId="08DE89A2" w14:textId="77777777" w:rsidR="00412FD8" w:rsidRPr="00160588" w:rsidRDefault="00412FD8" w:rsidP="008241B5">
            <w:pPr>
              <w:pStyle w:val="In-tableHeading"/>
              <w:rPr>
                <w:szCs w:val="20"/>
              </w:rPr>
            </w:pPr>
          </w:p>
        </w:tc>
        <w:tc>
          <w:tcPr>
            <w:tcW w:w="471" w:type="pct"/>
            <w:vAlign w:val="center"/>
          </w:tcPr>
          <w:p w14:paraId="5C52B5E3" w14:textId="77777777" w:rsidR="00412FD8" w:rsidRPr="00160588" w:rsidRDefault="00412FD8" w:rsidP="008241B5">
            <w:pPr>
              <w:pStyle w:val="In-tableHeading"/>
              <w:jc w:val="center"/>
              <w:rPr>
                <w:i w:val="0"/>
                <w:szCs w:val="20"/>
              </w:rPr>
            </w:pPr>
            <w:r w:rsidRPr="00160588">
              <w:rPr>
                <w:i w:val="0"/>
                <w:szCs w:val="20"/>
              </w:rPr>
              <w:t>DB-06</w:t>
            </w:r>
          </w:p>
        </w:tc>
        <w:tc>
          <w:tcPr>
            <w:tcW w:w="654" w:type="pct"/>
            <w:vAlign w:val="center"/>
          </w:tcPr>
          <w:p w14:paraId="6C189B7B" w14:textId="77777777" w:rsidR="00412FD8" w:rsidRPr="00160588" w:rsidRDefault="00412FD8" w:rsidP="008241B5">
            <w:pPr>
              <w:pStyle w:val="In-tableHeading"/>
              <w:jc w:val="center"/>
              <w:rPr>
                <w:i w:val="0"/>
                <w:szCs w:val="20"/>
              </w:rPr>
            </w:pPr>
            <w:r w:rsidRPr="00160588">
              <w:rPr>
                <w:i w:val="0"/>
                <w:szCs w:val="20"/>
              </w:rPr>
              <w:t>Economic model</w:t>
            </w:r>
          </w:p>
        </w:tc>
        <w:tc>
          <w:tcPr>
            <w:tcW w:w="852" w:type="pct"/>
            <w:vAlign w:val="center"/>
          </w:tcPr>
          <w:p w14:paraId="0711AB9B" w14:textId="77777777" w:rsidR="00412FD8" w:rsidRPr="00160588" w:rsidRDefault="00412FD8" w:rsidP="008241B5">
            <w:pPr>
              <w:pStyle w:val="In-tableHeading"/>
              <w:jc w:val="center"/>
              <w:rPr>
                <w:i w:val="0"/>
                <w:szCs w:val="20"/>
              </w:rPr>
            </w:pPr>
            <w:r w:rsidRPr="00160588">
              <w:rPr>
                <w:i w:val="0"/>
                <w:szCs w:val="20"/>
              </w:rPr>
              <w:t>Financial estimates</w:t>
            </w:r>
          </w:p>
        </w:tc>
        <w:tc>
          <w:tcPr>
            <w:tcW w:w="666" w:type="pct"/>
            <w:gridSpan w:val="2"/>
            <w:vAlign w:val="center"/>
          </w:tcPr>
          <w:p w14:paraId="4BF11EC4" w14:textId="77777777" w:rsidR="00412FD8" w:rsidRPr="00160588" w:rsidRDefault="00412FD8" w:rsidP="008241B5">
            <w:pPr>
              <w:pStyle w:val="In-tableHeading"/>
              <w:jc w:val="center"/>
              <w:rPr>
                <w:i w:val="0"/>
                <w:szCs w:val="20"/>
              </w:rPr>
            </w:pPr>
            <w:r w:rsidRPr="00160588">
              <w:rPr>
                <w:i w:val="0"/>
                <w:szCs w:val="20"/>
              </w:rPr>
              <w:t>DB-06</w:t>
            </w:r>
          </w:p>
        </w:tc>
        <w:tc>
          <w:tcPr>
            <w:tcW w:w="660" w:type="pct"/>
            <w:vAlign w:val="center"/>
          </w:tcPr>
          <w:p w14:paraId="7C362DA6" w14:textId="77777777" w:rsidR="00412FD8" w:rsidRPr="00160588" w:rsidRDefault="00412FD8" w:rsidP="008241B5">
            <w:pPr>
              <w:pStyle w:val="In-tableHeading"/>
              <w:jc w:val="center"/>
              <w:rPr>
                <w:i w:val="0"/>
                <w:szCs w:val="20"/>
              </w:rPr>
            </w:pPr>
            <w:r w:rsidRPr="00160588">
              <w:rPr>
                <w:i w:val="0"/>
                <w:szCs w:val="20"/>
              </w:rPr>
              <w:t>Economic model</w:t>
            </w:r>
          </w:p>
        </w:tc>
        <w:tc>
          <w:tcPr>
            <w:tcW w:w="835" w:type="pct"/>
          </w:tcPr>
          <w:p w14:paraId="45824173" w14:textId="77777777" w:rsidR="00412FD8" w:rsidRPr="00160588" w:rsidRDefault="00412FD8" w:rsidP="008241B5">
            <w:pPr>
              <w:pStyle w:val="In-tableHeading"/>
              <w:jc w:val="center"/>
              <w:rPr>
                <w:i w:val="0"/>
                <w:szCs w:val="20"/>
              </w:rPr>
            </w:pPr>
            <w:r w:rsidRPr="00160588">
              <w:rPr>
                <w:i w:val="0"/>
                <w:szCs w:val="20"/>
              </w:rPr>
              <w:t>Financial estimates</w:t>
            </w:r>
          </w:p>
        </w:tc>
      </w:tr>
      <w:tr w:rsidR="00412FD8" w:rsidRPr="00160588" w14:paraId="26AC1906" w14:textId="77777777" w:rsidTr="00B13003">
        <w:trPr>
          <w:cantSplit/>
        </w:trPr>
        <w:tc>
          <w:tcPr>
            <w:tcW w:w="862" w:type="pct"/>
            <w:vAlign w:val="center"/>
          </w:tcPr>
          <w:p w14:paraId="28B1663A" w14:textId="77777777" w:rsidR="00412FD8" w:rsidRPr="00160588" w:rsidRDefault="00412FD8" w:rsidP="008241B5">
            <w:pPr>
              <w:pStyle w:val="TableText0"/>
              <w:rPr>
                <w:szCs w:val="20"/>
                <w:vertAlign w:val="superscript"/>
              </w:rPr>
            </w:pPr>
            <w:r w:rsidRPr="00160588">
              <w:rPr>
                <w:szCs w:val="20"/>
              </w:rPr>
              <w:t>Mean dose per administration</w:t>
            </w:r>
            <w:r w:rsidRPr="00160588">
              <w:rPr>
                <w:szCs w:val="20"/>
                <w:vertAlign w:val="superscript"/>
              </w:rPr>
              <w:t>a</w:t>
            </w:r>
          </w:p>
        </w:tc>
        <w:tc>
          <w:tcPr>
            <w:tcW w:w="471" w:type="pct"/>
            <w:vAlign w:val="center"/>
          </w:tcPr>
          <w:p w14:paraId="38AB8A86" w14:textId="77777777" w:rsidR="00412FD8" w:rsidRPr="00160588" w:rsidRDefault="00412FD8" w:rsidP="008241B5">
            <w:pPr>
              <w:pStyle w:val="TableText0"/>
              <w:jc w:val="center"/>
              <w:rPr>
                <w:b/>
                <w:szCs w:val="20"/>
              </w:rPr>
            </w:pPr>
            <w:r w:rsidRPr="00160588">
              <w:rPr>
                <w:szCs w:val="20"/>
              </w:rPr>
              <w:t xml:space="preserve">327 </w:t>
            </w:r>
            <w:proofErr w:type="spellStart"/>
            <w:r w:rsidRPr="00160588">
              <w:rPr>
                <w:szCs w:val="20"/>
              </w:rPr>
              <w:t>mg</w:t>
            </w:r>
            <w:r w:rsidRPr="00160588">
              <w:rPr>
                <w:szCs w:val="20"/>
                <w:vertAlign w:val="superscript"/>
              </w:rPr>
              <w:t>b</w:t>
            </w:r>
            <w:proofErr w:type="spellEnd"/>
          </w:p>
        </w:tc>
        <w:tc>
          <w:tcPr>
            <w:tcW w:w="654" w:type="pct"/>
            <w:vAlign w:val="center"/>
          </w:tcPr>
          <w:p w14:paraId="27EE0D26" w14:textId="23827174" w:rsidR="00412FD8" w:rsidRPr="00160588" w:rsidRDefault="00412FD8" w:rsidP="008241B5">
            <w:pPr>
              <w:pStyle w:val="TableText0"/>
              <w:jc w:val="center"/>
              <w:rPr>
                <w:szCs w:val="20"/>
              </w:rPr>
            </w:pPr>
            <w:r w:rsidRPr="00160588">
              <w:rPr>
                <w:szCs w:val="20"/>
              </w:rPr>
              <w:t xml:space="preserve">327 </w:t>
            </w:r>
            <w:proofErr w:type="spellStart"/>
            <w:r w:rsidRPr="00160588">
              <w:rPr>
                <w:szCs w:val="20"/>
              </w:rPr>
              <w:t>mg</w:t>
            </w:r>
            <w:r w:rsidRPr="00160588">
              <w:rPr>
                <w:szCs w:val="20"/>
                <w:vertAlign w:val="superscript"/>
              </w:rPr>
              <w:t>b</w:t>
            </w:r>
            <w:proofErr w:type="spellEnd"/>
          </w:p>
        </w:tc>
        <w:tc>
          <w:tcPr>
            <w:tcW w:w="852" w:type="pct"/>
            <w:vAlign w:val="center"/>
          </w:tcPr>
          <w:p w14:paraId="727B35CE" w14:textId="77777777" w:rsidR="00412FD8" w:rsidRPr="00160588" w:rsidRDefault="00412FD8" w:rsidP="008241B5">
            <w:pPr>
              <w:pStyle w:val="TableText0"/>
              <w:jc w:val="center"/>
              <w:rPr>
                <w:szCs w:val="20"/>
                <w:vertAlign w:val="superscript"/>
              </w:rPr>
            </w:pPr>
            <w:r w:rsidRPr="00160588">
              <w:rPr>
                <w:szCs w:val="20"/>
              </w:rPr>
              <w:t>352 </w:t>
            </w:r>
            <w:proofErr w:type="spellStart"/>
            <w:r w:rsidRPr="00160588">
              <w:rPr>
                <w:szCs w:val="20"/>
              </w:rPr>
              <w:t>mg</w:t>
            </w:r>
            <w:r w:rsidRPr="00160588">
              <w:rPr>
                <w:szCs w:val="20"/>
                <w:vertAlign w:val="superscript"/>
              </w:rPr>
              <w:t>c</w:t>
            </w:r>
            <w:proofErr w:type="spellEnd"/>
          </w:p>
        </w:tc>
        <w:tc>
          <w:tcPr>
            <w:tcW w:w="666" w:type="pct"/>
            <w:gridSpan w:val="2"/>
            <w:vAlign w:val="center"/>
          </w:tcPr>
          <w:p w14:paraId="7BCC1937" w14:textId="5E4737D2" w:rsidR="00412FD8" w:rsidRPr="00160588" w:rsidRDefault="00412FD8" w:rsidP="008241B5">
            <w:pPr>
              <w:pStyle w:val="TableText0"/>
              <w:jc w:val="center"/>
              <w:rPr>
                <w:szCs w:val="20"/>
              </w:rPr>
            </w:pPr>
            <w:r w:rsidRPr="00160588">
              <w:rPr>
                <w:szCs w:val="20"/>
              </w:rPr>
              <w:t>C: 1845.4 mg</w:t>
            </w:r>
            <w:r w:rsidRPr="00160588">
              <w:rPr>
                <w:szCs w:val="20"/>
                <w:vertAlign w:val="superscript"/>
              </w:rPr>
              <w:t>d</w:t>
            </w:r>
          </w:p>
          <w:p w14:paraId="5FF05D12" w14:textId="77777777" w:rsidR="00412FD8" w:rsidRPr="00160588" w:rsidRDefault="00412FD8" w:rsidP="008241B5">
            <w:pPr>
              <w:pStyle w:val="TableText0"/>
              <w:jc w:val="center"/>
              <w:rPr>
                <w:szCs w:val="20"/>
                <w:vertAlign w:val="superscript"/>
              </w:rPr>
            </w:pPr>
            <w:r w:rsidRPr="00160588">
              <w:rPr>
                <w:szCs w:val="20"/>
              </w:rPr>
              <w:t>P: 111.6 mg</w:t>
            </w:r>
            <w:r w:rsidRPr="00160588">
              <w:rPr>
                <w:szCs w:val="20"/>
                <w:vertAlign w:val="superscript"/>
              </w:rPr>
              <w:t>d</w:t>
            </w:r>
          </w:p>
          <w:p w14:paraId="232F72C1" w14:textId="77777777" w:rsidR="00412FD8" w:rsidRPr="00160588" w:rsidRDefault="00412FD8" w:rsidP="008241B5">
            <w:pPr>
              <w:pStyle w:val="TableText0"/>
              <w:jc w:val="center"/>
              <w:rPr>
                <w:szCs w:val="20"/>
              </w:rPr>
            </w:pPr>
            <w:r w:rsidRPr="00160588">
              <w:rPr>
                <w:szCs w:val="20"/>
              </w:rPr>
              <w:t>N: 156.3 mg</w:t>
            </w:r>
            <w:r w:rsidRPr="00160588">
              <w:rPr>
                <w:szCs w:val="20"/>
                <w:vertAlign w:val="superscript"/>
              </w:rPr>
              <w:t>d</w:t>
            </w:r>
          </w:p>
        </w:tc>
        <w:tc>
          <w:tcPr>
            <w:tcW w:w="660" w:type="pct"/>
            <w:vAlign w:val="center"/>
          </w:tcPr>
          <w:p w14:paraId="6E520936" w14:textId="6D355478" w:rsidR="00412FD8" w:rsidRPr="00160588" w:rsidRDefault="00412FD8" w:rsidP="008241B5">
            <w:pPr>
              <w:pStyle w:val="TableText0"/>
              <w:jc w:val="center"/>
              <w:rPr>
                <w:szCs w:val="20"/>
              </w:rPr>
            </w:pPr>
            <w:r w:rsidRPr="00160588">
              <w:rPr>
                <w:szCs w:val="20"/>
              </w:rPr>
              <w:t xml:space="preserve">C: 2118.8 </w:t>
            </w:r>
            <w:proofErr w:type="spellStart"/>
            <w:r w:rsidRPr="00160588">
              <w:rPr>
                <w:szCs w:val="20"/>
              </w:rPr>
              <w:t>mg</w:t>
            </w:r>
            <w:r w:rsidRPr="00160588">
              <w:rPr>
                <w:szCs w:val="20"/>
                <w:vertAlign w:val="superscript"/>
              </w:rPr>
              <w:t>c</w:t>
            </w:r>
            <w:proofErr w:type="spellEnd"/>
          </w:p>
          <w:p w14:paraId="5C38582C" w14:textId="77777777" w:rsidR="00412FD8" w:rsidRPr="00160588" w:rsidRDefault="00412FD8" w:rsidP="008241B5">
            <w:pPr>
              <w:pStyle w:val="TableText0"/>
              <w:jc w:val="center"/>
              <w:rPr>
                <w:szCs w:val="20"/>
                <w:vertAlign w:val="superscript"/>
              </w:rPr>
            </w:pPr>
            <w:r w:rsidRPr="00160588">
              <w:rPr>
                <w:szCs w:val="20"/>
              </w:rPr>
              <w:t xml:space="preserve">P: 135.6 </w:t>
            </w:r>
            <w:proofErr w:type="spellStart"/>
            <w:r w:rsidRPr="00160588">
              <w:rPr>
                <w:szCs w:val="20"/>
              </w:rPr>
              <w:t>mg</w:t>
            </w:r>
            <w:r w:rsidRPr="00160588">
              <w:rPr>
                <w:szCs w:val="20"/>
                <w:vertAlign w:val="superscript"/>
              </w:rPr>
              <w:t>c</w:t>
            </w:r>
            <w:proofErr w:type="spellEnd"/>
          </w:p>
          <w:p w14:paraId="789B7E0D" w14:textId="77777777" w:rsidR="00412FD8" w:rsidRPr="00160588" w:rsidRDefault="00412FD8" w:rsidP="008241B5">
            <w:pPr>
              <w:pStyle w:val="TableText0"/>
              <w:jc w:val="center"/>
              <w:rPr>
                <w:szCs w:val="20"/>
                <w:vertAlign w:val="superscript"/>
              </w:rPr>
            </w:pPr>
            <w:r w:rsidRPr="00160588">
              <w:rPr>
                <w:szCs w:val="20"/>
              </w:rPr>
              <w:t xml:space="preserve">N: 169.5 </w:t>
            </w:r>
            <w:proofErr w:type="spellStart"/>
            <w:r w:rsidRPr="00160588">
              <w:rPr>
                <w:szCs w:val="20"/>
              </w:rPr>
              <w:t>mg</w:t>
            </w:r>
            <w:r w:rsidRPr="00160588">
              <w:rPr>
                <w:szCs w:val="20"/>
                <w:vertAlign w:val="superscript"/>
              </w:rPr>
              <w:t>c</w:t>
            </w:r>
            <w:proofErr w:type="spellEnd"/>
          </w:p>
        </w:tc>
        <w:tc>
          <w:tcPr>
            <w:tcW w:w="835" w:type="pct"/>
            <w:vAlign w:val="center"/>
          </w:tcPr>
          <w:p w14:paraId="11FA497D" w14:textId="485FD105" w:rsidR="00412FD8" w:rsidRPr="00160588" w:rsidRDefault="00412FD8" w:rsidP="008241B5">
            <w:pPr>
              <w:pStyle w:val="TableText0"/>
              <w:jc w:val="center"/>
              <w:rPr>
                <w:szCs w:val="20"/>
                <w:vertAlign w:val="superscript"/>
              </w:rPr>
            </w:pPr>
            <w:r w:rsidRPr="00160588">
              <w:rPr>
                <w:szCs w:val="20"/>
              </w:rPr>
              <w:t xml:space="preserve">P: 135.6 </w:t>
            </w:r>
            <w:proofErr w:type="spellStart"/>
            <w:r w:rsidRPr="00160588">
              <w:rPr>
                <w:szCs w:val="20"/>
              </w:rPr>
              <w:t>mg</w:t>
            </w:r>
            <w:r w:rsidR="00FF46BE" w:rsidRPr="00160588">
              <w:rPr>
                <w:szCs w:val="20"/>
                <w:vertAlign w:val="superscript"/>
              </w:rPr>
              <w:t>c</w:t>
            </w:r>
            <w:proofErr w:type="spellEnd"/>
          </w:p>
          <w:p w14:paraId="003FB269" w14:textId="1EE2962B" w:rsidR="00412FD8" w:rsidRPr="00160588" w:rsidRDefault="00412FD8" w:rsidP="008241B5">
            <w:pPr>
              <w:pStyle w:val="TableText0"/>
              <w:jc w:val="center"/>
              <w:rPr>
                <w:szCs w:val="20"/>
                <w:vertAlign w:val="superscript"/>
              </w:rPr>
            </w:pPr>
            <w:r w:rsidRPr="00160588">
              <w:rPr>
                <w:szCs w:val="20"/>
              </w:rPr>
              <w:t xml:space="preserve">N: 169.5 </w:t>
            </w:r>
            <w:proofErr w:type="spellStart"/>
            <w:r w:rsidRPr="00160588">
              <w:rPr>
                <w:szCs w:val="20"/>
              </w:rPr>
              <w:t>mg</w:t>
            </w:r>
            <w:r w:rsidR="00FF46BE" w:rsidRPr="00160588">
              <w:rPr>
                <w:szCs w:val="20"/>
                <w:vertAlign w:val="superscript"/>
              </w:rPr>
              <w:t>c</w:t>
            </w:r>
            <w:proofErr w:type="spellEnd"/>
          </w:p>
        </w:tc>
      </w:tr>
      <w:tr w:rsidR="00412FD8" w:rsidRPr="00160588" w14:paraId="24558CBF" w14:textId="77777777" w:rsidTr="00B13003">
        <w:trPr>
          <w:cantSplit/>
        </w:trPr>
        <w:tc>
          <w:tcPr>
            <w:tcW w:w="862" w:type="pct"/>
            <w:vAlign w:val="center"/>
          </w:tcPr>
          <w:p w14:paraId="3348BB79" w14:textId="77777777" w:rsidR="00412FD8" w:rsidRPr="00160588" w:rsidRDefault="00412FD8" w:rsidP="008241B5">
            <w:pPr>
              <w:pStyle w:val="TableText0"/>
              <w:rPr>
                <w:szCs w:val="20"/>
              </w:rPr>
            </w:pPr>
            <w:r w:rsidRPr="00160588">
              <w:rPr>
                <w:szCs w:val="20"/>
              </w:rPr>
              <w:t>Mean duration, months</w:t>
            </w:r>
          </w:p>
        </w:tc>
        <w:tc>
          <w:tcPr>
            <w:tcW w:w="471" w:type="pct"/>
            <w:vAlign w:val="center"/>
          </w:tcPr>
          <w:p w14:paraId="084CCCFA" w14:textId="77777777" w:rsidR="00412FD8" w:rsidRPr="00160588" w:rsidRDefault="00412FD8" w:rsidP="008241B5">
            <w:pPr>
              <w:pStyle w:val="TableText0"/>
              <w:jc w:val="center"/>
              <w:rPr>
                <w:szCs w:val="20"/>
              </w:rPr>
            </w:pPr>
            <w:r w:rsidRPr="00160588">
              <w:rPr>
                <w:szCs w:val="20"/>
              </w:rPr>
              <w:t>13.03</w:t>
            </w:r>
          </w:p>
        </w:tc>
        <w:tc>
          <w:tcPr>
            <w:tcW w:w="654" w:type="pct"/>
            <w:vAlign w:val="center"/>
          </w:tcPr>
          <w:p w14:paraId="05605942" w14:textId="77777777" w:rsidR="00412FD8" w:rsidRPr="00160588" w:rsidRDefault="00412FD8" w:rsidP="008241B5">
            <w:pPr>
              <w:pStyle w:val="TableText0"/>
              <w:jc w:val="center"/>
              <w:rPr>
                <w:szCs w:val="20"/>
              </w:rPr>
            </w:pPr>
            <w:r w:rsidRPr="00160588">
              <w:rPr>
                <w:szCs w:val="20"/>
              </w:rPr>
              <w:t>13.62</w:t>
            </w:r>
          </w:p>
        </w:tc>
        <w:tc>
          <w:tcPr>
            <w:tcW w:w="852" w:type="pct"/>
            <w:vAlign w:val="center"/>
          </w:tcPr>
          <w:p w14:paraId="5C4CE28F" w14:textId="31F66FFD" w:rsidR="00412FD8" w:rsidRPr="00160588" w:rsidRDefault="00412FD8" w:rsidP="008241B5">
            <w:pPr>
              <w:pStyle w:val="TableText0"/>
              <w:jc w:val="center"/>
              <w:rPr>
                <w:szCs w:val="20"/>
              </w:rPr>
            </w:pPr>
            <w:r w:rsidRPr="00160588">
              <w:rPr>
                <w:szCs w:val="20"/>
              </w:rPr>
              <w:t>HER2-low: 13.58</w:t>
            </w:r>
          </w:p>
          <w:p w14:paraId="0C9C80E3" w14:textId="77777777" w:rsidR="00412FD8" w:rsidRPr="00160588" w:rsidRDefault="00412FD8" w:rsidP="008241B5">
            <w:pPr>
              <w:pStyle w:val="TableText0"/>
              <w:jc w:val="center"/>
              <w:rPr>
                <w:b/>
                <w:szCs w:val="20"/>
              </w:rPr>
            </w:pPr>
            <w:r w:rsidRPr="00160588">
              <w:rPr>
                <w:szCs w:val="20"/>
              </w:rPr>
              <w:t>HER2-ultralow: 14.27</w:t>
            </w:r>
          </w:p>
        </w:tc>
        <w:tc>
          <w:tcPr>
            <w:tcW w:w="666" w:type="pct"/>
            <w:gridSpan w:val="2"/>
            <w:vAlign w:val="center"/>
          </w:tcPr>
          <w:p w14:paraId="6B093E62" w14:textId="77777777" w:rsidR="00412FD8" w:rsidRPr="00160588" w:rsidRDefault="00412FD8" w:rsidP="008241B5">
            <w:pPr>
              <w:pStyle w:val="TableText0"/>
              <w:jc w:val="center"/>
              <w:rPr>
                <w:szCs w:val="20"/>
              </w:rPr>
            </w:pPr>
            <w:r w:rsidRPr="00160588">
              <w:rPr>
                <w:szCs w:val="20"/>
              </w:rPr>
              <w:t>8.15</w:t>
            </w:r>
          </w:p>
        </w:tc>
        <w:tc>
          <w:tcPr>
            <w:tcW w:w="660" w:type="pct"/>
            <w:vAlign w:val="center"/>
          </w:tcPr>
          <w:p w14:paraId="5CAB1F19" w14:textId="77777777" w:rsidR="00412FD8" w:rsidRPr="00160588" w:rsidRDefault="00412FD8" w:rsidP="008241B5">
            <w:pPr>
              <w:pStyle w:val="TableText0"/>
              <w:jc w:val="center"/>
              <w:rPr>
                <w:szCs w:val="20"/>
              </w:rPr>
            </w:pPr>
            <w:r w:rsidRPr="00160588">
              <w:rPr>
                <w:szCs w:val="20"/>
              </w:rPr>
              <w:t>8.35</w:t>
            </w:r>
          </w:p>
        </w:tc>
        <w:tc>
          <w:tcPr>
            <w:tcW w:w="835" w:type="pct"/>
            <w:vAlign w:val="center"/>
          </w:tcPr>
          <w:p w14:paraId="00528F3B" w14:textId="77777777" w:rsidR="00412FD8" w:rsidRPr="00160588" w:rsidRDefault="00412FD8" w:rsidP="008241B5">
            <w:pPr>
              <w:pStyle w:val="TableText0"/>
              <w:jc w:val="center"/>
              <w:rPr>
                <w:szCs w:val="20"/>
              </w:rPr>
            </w:pPr>
            <w:r w:rsidRPr="00160588">
              <w:rPr>
                <w:szCs w:val="20"/>
              </w:rPr>
              <w:t>P: 6.3</w:t>
            </w:r>
          </w:p>
          <w:p w14:paraId="2BD4F8B2" w14:textId="7A4D7849" w:rsidR="00412FD8" w:rsidRPr="00160588" w:rsidRDefault="00412FD8" w:rsidP="008241B5">
            <w:pPr>
              <w:pStyle w:val="TableText0"/>
              <w:jc w:val="center"/>
              <w:rPr>
                <w:szCs w:val="20"/>
              </w:rPr>
            </w:pPr>
            <w:r w:rsidRPr="00160588">
              <w:rPr>
                <w:szCs w:val="20"/>
              </w:rPr>
              <w:t>N: 9.1</w:t>
            </w:r>
          </w:p>
        </w:tc>
      </w:tr>
      <w:tr w:rsidR="00412FD8" w:rsidRPr="00160588" w14:paraId="279944ED" w14:textId="77777777" w:rsidTr="00B13003">
        <w:trPr>
          <w:cantSplit/>
        </w:trPr>
        <w:tc>
          <w:tcPr>
            <w:tcW w:w="862" w:type="pct"/>
            <w:vAlign w:val="center"/>
          </w:tcPr>
          <w:p w14:paraId="01054B31" w14:textId="77777777" w:rsidR="00412FD8" w:rsidRPr="00160588" w:rsidRDefault="00412FD8" w:rsidP="008241B5">
            <w:pPr>
              <w:pStyle w:val="TableText0"/>
              <w:rPr>
                <w:szCs w:val="20"/>
              </w:rPr>
            </w:pPr>
            <w:r w:rsidRPr="00160588">
              <w:rPr>
                <w:szCs w:val="20"/>
              </w:rPr>
              <w:t>Cost/patient/month</w:t>
            </w:r>
          </w:p>
        </w:tc>
        <w:tc>
          <w:tcPr>
            <w:tcW w:w="471" w:type="pct"/>
            <w:vAlign w:val="center"/>
          </w:tcPr>
          <w:p w14:paraId="43223512" w14:textId="5A051350" w:rsidR="00412FD8" w:rsidRPr="00160588" w:rsidRDefault="00412FD8" w:rsidP="008241B5">
            <w:pPr>
              <w:pStyle w:val="TableText0"/>
              <w:jc w:val="center"/>
              <w:rPr>
                <w:szCs w:val="20"/>
              </w:rPr>
            </w:pPr>
            <w:r w:rsidRPr="002C01ED">
              <w:rPr>
                <w:szCs w:val="20"/>
              </w:rPr>
              <w:t>$</w:t>
            </w:r>
            <w:r w:rsidR="006340CE" w:rsidRPr="006340CE">
              <w:rPr>
                <w:sz w:val="2"/>
                <w:szCs w:val="20"/>
                <w:highlight w:val="black"/>
              </w:rPr>
              <w:t xml:space="preserve">redacted </w:t>
            </w:r>
            <w:proofErr w:type="spellStart"/>
            <w:r w:rsidR="006340CE" w:rsidRPr="006340CE">
              <w:rPr>
                <w:sz w:val="2"/>
                <w:szCs w:val="20"/>
                <w:highlight w:val="black"/>
              </w:rPr>
              <w:t>content</w:t>
            </w:r>
            <w:r w:rsidRPr="002C01ED">
              <w:rPr>
                <w:szCs w:val="20"/>
                <w:vertAlign w:val="superscript"/>
              </w:rPr>
              <w:t>e</w:t>
            </w:r>
            <w:proofErr w:type="spellEnd"/>
          </w:p>
        </w:tc>
        <w:tc>
          <w:tcPr>
            <w:tcW w:w="654" w:type="pct"/>
            <w:vAlign w:val="center"/>
          </w:tcPr>
          <w:p w14:paraId="125ADC11" w14:textId="3EBF6449" w:rsidR="00412FD8" w:rsidRPr="00160588" w:rsidRDefault="00412FD8" w:rsidP="008241B5">
            <w:pPr>
              <w:pStyle w:val="TableText0"/>
              <w:jc w:val="center"/>
              <w:rPr>
                <w:szCs w:val="20"/>
              </w:rPr>
            </w:pPr>
            <w:r w:rsidRPr="00160588">
              <w:rPr>
                <w:szCs w:val="20"/>
              </w:rPr>
              <w:t>$</w:t>
            </w:r>
            <w:r w:rsidR="006340CE" w:rsidRPr="006340CE">
              <w:rPr>
                <w:sz w:val="2"/>
                <w:szCs w:val="20"/>
                <w:highlight w:val="black"/>
              </w:rPr>
              <w:t xml:space="preserve">redacted </w:t>
            </w:r>
            <w:proofErr w:type="spellStart"/>
            <w:r w:rsidR="006340CE" w:rsidRPr="006340CE">
              <w:rPr>
                <w:sz w:val="2"/>
                <w:szCs w:val="20"/>
                <w:highlight w:val="black"/>
              </w:rPr>
              <w:t>content</w:t>
            </w:r>
            <w:r w:rsidRPr="00160588">
              <w:rPr>
                <w:szCs w:val="20"/>
                <w:vertAlign w:val="superscript"/>
              </w:rPr>
              <w:t>e</w:t>
            </w:r>
            <w:proofErr w:type="spellEnd"/>
          </w:p>
        </w:tc>
        <w:tc>
          <w:tcPr>
            <w:tcW w:w="852" w:type="pct"/>
            <w:vAlign w:val="center"/>
          </w:tcPr>
          <w:p w14:paraId="42B94607" w14:textId="288998F3" w:rsidR="00412FD8" w:rsidRPr="00160588" w:rsidRDefault="00412FD8" w:rsidP="008241B5">
            <w:pPr>
              <w:pStyle w:val="TableText0"/>
              <w:jc w:val="center"/>
              <w:rPr>
                <w:szCs w:val="20"/>
                <w:vertAlign w:val="superscript"/>
              </w:rPr>
            </w:pPr>
            <w:r w:rsidRPr="00160588">
              <w:rPr>
                <w:szCs w:val="20"/>
              </w:rPr>
              <w:t>$</w:t>
            </w:r>
            <w:r w:rsidR="006340CE" w:rsidRPr="006340CE">
              <w:rPr>
                <w:sz w:val="2"/>
                <w:szCs w:val="20"/>
                <w:highlight w:val="black"/>
              </w:rPr>
              <w:t xml:space="preserve">redacted </w:t>
            </w:r>
            <w:proofErr w:type="spellStart"/>
            <w:r w:rsidR="006340CE" w:rsidRPr="006340CE">
              <w:rPr>
                <w:sz w:val="2"/>
                <w:szCs w:val="20"/>
                <w:highlight w:val="black"/>
              </w:rPr>
              <w:t>content</w:t>
            </w:r>
            <w:r w:rsidRPr="00160588">
              <w:rPr>
                <w:szCs w:val="20"/>
                <w:vertAlign w:val="superscript"/>
              </w:rPr>
              <w:t>e</w:t>
            </w:r>
            <w:proofErr w:type="spellEnd"/>
          </w:p>
        </w:tc>
        <w:tc>
          <w:tcPr>
            <w:tcW w:w="666" w:type="pct"/>
            <w:gridSpan w:val="2"/>
            <w:vAlign w:val="center"/>
          </w:tcPr>
          <w:p w14:paraId="58C049D1" w14:textId="7DCB7B39" w:rsidR="00412FD8" w:rsidRPr="00160588" w:rsidRDefault="00A275D9" w:rsidP="008241B5">
            <w:pPr>
              <w:pStyle w:val="TableText0"/>
              <w:jc w:val="center"/>
              <w:rPr>
                <w:szCs w:val="20"/>
                <w:vertAlign w:val="superscript"/>
              </w:rPr>
            </w:pPr>
            <w:r w:rsidRPr="00160588">
              <w:rPr>
                <w:szCs w:val="20"/>
              </w:rPr>
              <w:t xml:space="preserve">Weighted: </w:t>
            </w:r>
            <w:r w:rsidR="00412FD8" w:rsidRPr="00160588">
              <w:rPr>
                <w:szCs w:val="20"/>
              </w:rPr>
              <w:t>$700.72</w:t>
            </w:r>
            <w:proofErr w:type="gramStart"/>
            <w:r w:rsidR="00412FD8" w:rsidRPr="00160588">
              <w:rPr>
                <w:szCs w:val="20"/>
                <w:vertAlign w:val="superscript"/>
              </w:rPr>
              <w:t>e,f</w:t>
            </w:r>
            <w:proofErr w:type="gramEnd"/>
          </w:p>
        </w:tc>
        <w:tc>
          <w:tcPr>
            <w:tcW w:w="660" w:type="pct"/>
            <w:vAlign w:val="center"/>
          </w:tcPr>
          <w:p w14:paraId="63DCB782" w14:textId="18D4702D" w:rsidR="00412FD8" w:rsidRPr="00160588" w:rsidRDefault="00A275D9" w:rsidP="008241B5">
            <w:pPr>
              <w:pStyle w:val="TableText0"/>
              <w:jc w:val="center"/>
              <w:rPr>
                <w:szCs w:val="20"/>
                <w:vertAlign w:val="superscript"/>
              </w:rPr>
            </w:pPr>
            <w:r w:rsidRPr="00160588">
              <w:rPr>
                <w:szCs w:val="20"/>
              </w:rPr>
              <w:t xml:space="preserve">Weighted: </w:t>
            </w:r>
            <w:r w:rsidR="00412FD8" w:rsidRPr="00160588">
              <w:rPr>
                <w:szCs w:val="20"/>
              </w:rPr>
              <w:t>$</w:t>
            </w:r>
            <w:r w:rsidR="006340CE" w:rsidRPr="006340CE">
              <w:rPr>
                <w:sz w:val="2"/>
                <w:szCs w:val="20"/>
                <w:highlight w:val="black"/>
              </w:rPr>
              <w:t xml:space="preserve">redacted </w:t>
            </w:r>
            <w:proofErr w:type="gramStart"/>
            <w:r w:rsidR="006340CE" w:rsidRPr="006340CE">
              <w:rPr>
                <w:sz w:val="2"/>
                <w:szCs w:val="20"/>
                <w:highlight w:val="black"/>
              </w:rPr>
              <w:t>content</w:t>
            </w:r>
            <w:r w:rsidR="00412FD8" w:rsidRPr="00160588">
              <w:rPr>
                <w:szCs w:val="20"/>
                <w:vertAlign w:val="superscript"/>
              </w:rPr>
              <w:t>e,f</w:t>
            </w:r>
            <w:proofErr w:type="gramEnd"/>
          </w:p>
        </w:tc>
        <w:tc>
          <w:tcPr>
            <w:tcW w:w="835" w:type="pct"/>
            <w:vAlign w:val="center"/>
          </w:tcPr>
          <w:p w14:paraId="090C8F05" w14:textId="77777777" w:rsidR="00412FD8" w:rsidRPr="004F77BB" w:rsidRDefault="00412FD8" w:rsidP="008241B5">
            <w:pPr>
              <w:pStyle w:val="TableText0"/>
              <w:jc w:val="center"/>
              <w:rPr>
                <w:szCs w:val="20"/>
              </w:rPr>
            </w:pPr>
            <w:r w:rsidRPr="004F77BB">
              <w:rPr>
                <w:szCs w:val="20"/>
              </w:rPr>
              <w:t>P: $686.24</w:t>
            </w:r>
          </w:p>
          <w:p w14:paraId="2578D53D" w14:textId="41D7767A" w:rsidR="00412FD8" w:rsidRPr="004F77BB" w:rsidRDefault="00412FD8" w:rsidP="008241B5">
            <w:pPr>
              <w:pStyle w:val="TableText0"/>
              <w:jc w:val="center"/>
              <w:rPr>
                <w:szCs w:val="20"/>
              </w:rPr>
            </w:pPr>
            <w:r w:rsidRPr="004F77BB">
              <w:rPr>
                <w:szCs w:val="20"/>
              </w:rPr>
              <w:t>N: $2,282.16</w:t>
            </w:r>
          </w:p>
        </w:tc>
      </w:tr>
      <w:tr w:rsidR="00412FD8" w:rsidRPr="00160588" w14:paraId="2A9FC23C" w14:textId="77777777" w:rsidTr="00B13003">
        <w:trPr>
          <w:cantSplit/>
        </w:trPr>
        <w:tc>
          <w:tcPr>
            <w:tcW w:w="862" w:type="pct"/>
            <w:vAlign w:val="center"/>
          </w:tcPr>
          <w:p w14:paraId="3DF601AD" w14:textId="77777777" w:rsidR="00412FD8" w:rsidRPr="00160588" w:rsidRDefault="00412FD8" w:rsidP="008241B5">
            <w:pPr>
              <w:pStyle w:val="TableText0"/>
              <w:rPr>
                <w:szCs w:val="20"/>
              </w:rPr>
            </w:pPr>
            <w:r w:rsidRPr="00160588">
              <w:rPr>
                <w:szCs w:val="20"/>
              </w:rPr>
              <w:t>Cost/patient/</w:t>
            </w:r>
            <w:r w:rsidRPr="00160588">
              <w:rPr>
                <w:szCs w:val="20"/>
              </w:rPr>
              <w:br/>
              <w:t>course</w:t>
            </w:r>
          </w:p>
        </w:tc>
        <w:tc>
          <w:tcPr>
            <w:tcW w:w="471" w:type="pct"/>
            <w:vAlign w:val="center"/>
          </w:tcPr>
          <w:p w14:paraId="21AB31ED" w14:textId="38A11748" w:rsidR="00412FD8" w:rsidRPr="00160588" w:rsidRDefault="00412FD8" w:rsidP="008241B5">
            <w:pPr>
              <w:pStyle w:val="TableText0"/>
              <w:jc w:val="center"/>
              <w:rPr>
                <w:szCs w:val="20"/>
              </w:rPr>
            </w:pPr>
            <w:r w:rsidRPr="00160588">
              <w:rPr>
                <w:szCs w:val="20"/>
              </w:rPr>
              <w:t>$</w:t>
            </w:r>
            <w:r w:rsidR="006340CE" w:rsidRPr="006340CE">
              <w:rPr>
                <w:sz w:val="2"/>
                <w:szCs w:val="20"/>
                <w:highlight w:val="black"/>
              </w:rPr>
              <w:t>redacted content</w:t>
            </w:r>
          </w:p>
        </w:tc>
        <w:tc>
          <w:tcPr>
            <w:tcW w:w="654" w:type="pct"/>
            <w:vAlign w:val="center"/>
          </w:tcPr>
          <w:p w14:paraId="3FA7100A" w14:textId="03EF9D1D" w:rsidR="00412FD8" w:rsidRPr="00160588" w:rsidRDefault="00412FD8" w:rsidP="008241B5">
            <w:pPr>
              <w:pStyle w:val="TableText0"/>
              <w:jc w:val="center"/>
              <w:rPr>
                <w:szCs w:val="20"/>
              </w:rPr>
            </w:pPr>
            <w:r w:rsidRPr="00160588">
              <w:rPr>
                <w:szCs w:val="20"/>
              </w:rPr>
              <w:t>$</w:t>
            </w:r>
            <w:r w:rsidR="006340CE" w:rsidRPr="006340CE">
              <w:rPr>
                <w:sz w:val="2"/>
                <w:szCs w:val="20"/>
                <w:highlight w:val="black"/>
              </w:rPr>
              <w:t>redacted content</w:t>
            </w:r>
          </w:p>
        </w:tc>
        <w:tc>
          <w:tcPr>
            <w:tcW w:w="852" w:type="pct"/>
            <w:vAlign w:val="center"/>
          </w:tcPr>
          <w:p w14:paraId="071F194B" w14:textId="175A198D" w:rsidR="00412FD8" w:rsidRPr="00160588" w:rsidRDefault="00412FD8" w:rsidP="008241B5">
            <w:pPr>
              <w:pStyle w:val="TableText0"/>
              <w:jc w:val="center"/>
              <w:rPr>
                <w:szCs w:val="20"/>
              </w:rPr>
            </w:pPr>
            <w:r w:rsidRPr="00160588">
              <w:rPr>
                <w:szCs w:val="20"/>
              </w:rPr>
              <w:t>HER2-low: $</w:t>
            </w:r>
            <w:r w:rsidR="006340CE" w:rsidRPr="006340CE">
              <w:rPr>
                <w:sz w:val="2"/>
                <w:szCs w:val="20"/>
                <w:highlight w:val="black"/>
              </w:rPr>
              <w:t>redacted content</w:t>
            </w:r>
          </w:p>
          <w:p w14:paraId="4F19F490" w14:textId="7F8C0DA2" w:rsidR="00412FD8" w:rsidRPr="00160588" w:rsidRDefault="00412FD8" w:rsidP="008241B5">
            <w:pPr>
              <w:pStyle w:val="TableText0"/>
              <w:jc w:val="center"/>
              <w:rPr>
                <w:szCs w:val="20"/>
              </w:rPr>
            </w:pPr>
            <w:r w:rsidRPr="00160588">
              <w:rPr>
                <w:szCs w:val="20"/>
              </w:rPr>
              <w:t>HER2-ultralow: $</w:t>
            </w:r>
            <w:r w:rsidR="006340CE" w:rsidRPr="006340CE">
              <w:rPr>
                <w:sz w:val="2"/>
                <w:szCs w:val="20"/>
                <w:highlight w:val="black"/>
              </w:rPr>
              <w:t>redacted content</w:t>
            </w:r>
          </w:p>
        </w:tc>
        <w:tc>
          <w:tcPr>
            <w:tcW w:w="666" w:type="pct"/>
            <w:gridSpan w:val="2"/>
            <w:vAlign w:val="center"/>
          </w:tcPr>
          <w:p w14:paraId="31C8197F" w14:textId="77777777" w:rsidR="00412FD8" w:rsidRPr="00160588" w:rsidRDefault="00412FD8" w:rsidP="008241B5">
            <w:pPr>
              <w:pStyle w:val="TableText0"/>
              <w:jc w:val="center"/>
              <w:rPr>
                <w:szCs w:val="20"/>
              </w:rPr>
            </w:pPr>
            <w:r w:rsidRPr="00160588">
              <w:rPr>
                <w:szCs w:val="20"/>
              </w:rPr>
              <w:t>$5,711</w:t>
            </w:r>
          </w:p>
        </w:tc>
        <w:tc>
          <w:tcPr>
            <w:tcW w:w="660" w:type="pct"/>
            <w:vAlign w:val="center"/>
          </w:tcPr>
          <w:p w14:paraId="6486E72A" w14:textId="3BDB800B" w:rsidR="00412FD8" w:rsidRPr="00160588" w:rsidRDefault="00412FD8" w:rsidP="008241B5">
            <w:pPr>
              <w:pStyle w:val="TableText0"/>
              <w:jc w:val="center"/>
              <w:rPr>
                <w:szCs w:val="20"/>
              </w:rPr>
            </w:pPr>
            <w:r w:rsidRPr="00160588">
              <w:rPr>
                <w:szCs w:val="20"/>
              </w:rPr>
              <w:t>$</w:t>
            </w:r>
            <w:r w:rsidR="006340CE" w:rsidRPr="006340CE">
              <w:rPr>
                <w:sz w:val="2"/>
                <w:szCs w:val="20"/>
                <w:highlight w:val="black"/>
              </w:rPr>
              <w:t>redacted content</w:t>
            </w:r>
          </w:p>
        </w:tc>
        <w:tc>
          <w:tcPr>
            <w:tcW w:w="835" w:type="pct"/>
            <w:vAlign w:val="center"/>
          </w:tcPr>
          <w:p w14:paraId="4369919F" w14:textId="75D6B3E8" w:rsidR="00FB6996" w:rsidRPr="004F77BB" w:rsidRDefault="00FB6996" w:rsidP="008241B5">
            <w:pPr>
              <w:pStyle w:val="TableText0"/>
              <w:jc w:val="center"/>
              <w:rPr>
                <w:szCs w:val="20"/>
              </w:rPr>
            </w:pPr>
            <w:r w:rsidRPr="004F77BB">
              <w:rPr>
                <w:szCs w:val="20"/>
              </w:rPr>
              <w:t>P: $1,228.71</w:t>
            </w:r>
          </w:p>
          <w:p w14:paraId="265F21C8" w14:textId="44045308" w:rsidR="00412FD8" w:rsidRPr="004F77BB" w:rsidRDefault="00FB6996" w:rsidP="008241B5">
            <w:pPr>
              <w:pStyle w:val="TableText0"/>
              <w:jc w:val="center"/>
              <w:rPr>
                <w:szCs w:val="20"/>
              </w:rPr>
            </w:pPr>
            <w:r w:rsidRPr="004F77BB">
              <w:rPr>
                <w:szCs w:val="20"/>
              </w:rPr>
              <w:t>N: $16,918.87</w:t>
            </w:r>
          </w:p>
        </w:tc>
      </w:tr>
    </w:tbl>
    <w:p w14:paraId="4DEB43B3" w14:textId="77777777" w:rsidR="00412FD8" w:rsidRDefault="00412FD8" w:rsidP="008241B5">
      <w:pPr>
        <w:pStyle w:val="FooterTableFigure"/>
      </w:pPr>
      <w:r w:rsidRPr="0098262F">
        <w:t xml:space="preserve">Source: </w:t>
      </w:r>
      <w:r>
        <w:t xml:space="preserve">Table 9, p50 of </w:t>
      </w:r>
      <w:r w:rsidRPr="0084426A">
        <w:t>CSR Addendum 1 IA2</w:t>
      </w:r>
      <w:r>
        <w:t>; Table 30, p142 of CSR IA1</w:t>
      </w:r>
    </w:p>
    <w:p w14:paraId="559103F1" w14:textId="77777777" w:rsidR="00412FD8" w:rsidRDefault="00412FD8" w:rsidP="008241B5">
      <w:pPr>
        <w:pStyle w:val="FooterTableFigure"/>
      </w:pPr>
      <w:r>
        <w:t xml:space="preserve">C = capecitabine; BSA = </w:t>
      </w:r>
      <w:r w:rsidRPr="006B2D25">
        <w:t>body surface area</w:t>
      </w:r>
      <w:r>
        <w:t xml:space="preserve">; EFC = Efficient Funding of Chemotherapy; </w:t>
      </w:r>
      <w:r w:rsidRPr="00CF7BC5">
        <w:t>HER2 = human epidermal growth factor receptor 2</w:t>
      </w:r>
      <w:r>
        <w:t>; IA = interim analysis; ICC = investigator’s choice of chemotherapy; N = nab-paclitaxel; P = paclitaxel; RDI = relative dose intensity; T-</w:t>
      </w:r>
      <w:proofErr w:type="spellStart"/>
      <w:r>
        <w:t>DXd</w:t>
      </w:r>
      <w:proofErr w:type="spellEnd"/>
      <w:r>
        <w:t xml:space="preserve"> = trastuzumab deruxtecan</w:t>
      </w:r>
    </w:p>
    <w:p w14:paraId="37510D31" w14:textId="77777777" w:rsidR="00412FD8" w:rsidRDefault="00412FD8" w:rsidP="008241B5">
      <w:pPr>
        <w:pStyle w:val="FooterTableFigure"/>
      </w:pPr>
      <w:r>
        <w:rPr>
          <w:vertAlign w:val="superscript"/>
        </w:rPr>
        <w:t xml:space="preserve">a </w:t>
      </w:r>
      <w:r>
        <w:t>Dosing frequency of:</w:t>
      </w:r>
    </w:p>
    <w:p w14:paraId="3B73E612" w14:textId="77777777" w:rsidR="00412FD8" w:rsidRDefault="00412FD8" w:rsidP="008241B5">
      <w:pPr>
        <w:pStyle w:val="FooterTableFigure"/>
        <w:numPr>
          <w:ilvl w:val="0"/>
          <w:numId w:val="14"/>
        </w:numPr>
      </w:pPr>
      <w:r>
        <w:t>Once every 3 weeks for T-</w:t>
      </w:r>
      <w:proofErr w:type="spellStart"/>
      <w:r>
        <w:t>DXd</w:t>
      </w:r>
      <w:proofErr w:type="spellEnd"/>
      <w:r>
        <w:t>,</w:t>
      </w:r>
    </w:p>
    <w:p w14:paraId="684E0F23" w14:textId="77777777" w:rsidR="00412FD8" w:rsidRDefault="00412FD8" w:rsidP="008241B5">
      <w:pPr>
        <w:pStyle w:val="FooterTableFigure"/>
        <w:numPr>
          <w:ilvl w:val="0"/>
          <w:numId w:val="14"/>
        </w:numPr>
      </w:pPr>
      <w:r>
        <w:t xml:space="preserve">Twice daily for 2 weeks, followed by a 1-week rest period for capecitabine, </w:t>
      </w:r>
    </w:p>
    <w:p w14:paraId="15A7A050" w14:textId="77777777" w:rsidR="00412FD8" w:rsidRDefault="00412FD8" w:rsidP="008241B5">
      <w:pPr>
        <w:pStyle w:val="FooterTableFigure"/>
        <w:numPr>
          <w:ilvl w:val="0"/>
          <w:numId w:val="14"/>
        </w:numPr>
      </w:pPr>
      <w:r>
        <w:t>Once every week for paclitaxel, and</w:t>
      </w:r>
    </w:p>
    <w:p w14:paraId="5ABDD46F" w14:textId="0CD087F4" w:rsidR="00412FD8" w:rsidRPr="00BE1F62" w:rsidRDefault="00412FD8" w:rsidP="008241B5">
      <w:pPr>
        <w:pStyle w:val="FooterTableFigure"/>
        <w:numPr>
          <w:ilvl w:val="0"/>
          <w:numId w:val="14"/>
        </w:numPr>
      </w:pPr>
      <w:r>
        <w:t>Once every week for 3 weeks, followed by a 1-week rest period for nab-paclitaxel.</w:t>
      </w:r>
    </w:p>
    <w:p w14:paraId="3F8B8914" w14:textId="77777777" w:rsidR="00412FD8" w:rsidRDefault="00412FD8" w:rsidP="008241B5">
      <w:pPr>
        <w:pStyle w:val="FooterTableFigure"/>
      </w:pPr>
      <w:r w:rsidRPr="00BE1F62">
        <w:rPr>
          <w:vertAlign w:val="superscript"/>
        </w:rPr>
        <w:t>b</w:t>
      </w:r>
      <w:r>
        <w:t xml:space="preserve"> 5.4 mg/kg x 65.1 kg (mean weight of DB-06 patients) x 92.9% (RDI observed in the trial)</w:t>
      </w:r>
    </w:p>
    <w:p w14:paraId="6716AD8A" w14:textId="77777777" w:rsidR="00412FD8" w:rsidRDefault="00412FD8" w:rsidP="008241B5">
      <w:pPr>
        <w:pStyle w:val="FooterTableFigure"/>
      </w:pPr>
      <w:r>
        <w:rPr>
          <w:vertAlign w:val="superscript"/>
        </w:rPr>
        <w:t>c</w:t>
      </w:r>
      <w:r>
        <w:t xml:space="preserve"> Calculated as trial-based dosing, but assuming 100% RDI </w:t>
      </w:r>
    </w:p>
    <w:p w14:paraId="6C0C68D6" w14:textId="77777777" w:rsidR="00412FD8" w:rsidRPr="006B2D25" w:rsidRDefault="00412FD8" w:rsidP="008241B5">
      <w:pPr>
        <w:pStyle w:val="FooterTableFigure"/>
      </w:pPr>
      <w:r>
        <w:rPr>
          <w:vertAlign w:val="superscript"/>
        </w:rPr>
        <w:t xml:space="preserve">d </w:t>
      </w:r>
      <w:r>
        <w:t>Dosing per administration was estimated based on a BSA of 1.695 m</w:t>
      </w:r>
      <w:r w:rsidRPr="006B2D25">
        <w:rPr>
          <w:vertAlign w:val="superscript"/>
        </w:rPr>
        <w:t>2</w:t>
      </w:r>
      <w:r>
        <w:t xml:space="preserve"> (mean BSA in the trial), applying RDIs as observed in the trial (87.1% for capecitabine, 82.3% for paclitaxel, and 92.2% for nab-paclitaxel)</w:t>
      </w:r>
    </w:p>
    <w:p w14:paraId="331ED48D" w14:textId="77777777" w:rsidR="00412FD8" w:rsidRDefault="00412FD8" w:rsidP="008241B5">
      <w:pPr>
        <w:pStyle w:val="FooterTableFigure"/>
      </w:pPr>
      <w:r>
        <w:rPr>
          <w:vertAlign w:val="superscript"/>
        </w:rPr>
        <w:t xml:space="preserve">e </w:t>
      </w:r>
      <w:r>
        <w:t xml:space="preserve">Assuming no vial sharing for EFC medicine, </w:t>
      </w:r>
      <w:r>
        <w:rPr>
          <w:i/>
          <w:iCs/>
        </w:rPr>
        <w:t xml:space="preserve">i.e. </w:t>
      </w:r>
      <w:r>
        <w:t>T-</w:t>
      </w:r>
      <w:proofErr w:type="spellStart"/>
      <w:r>
        <w:t>DXd</w:t>
      </w:r>
      <w:proofErr w:type="spellEnd"/>
      <w:r>
        <w:t xml:space="preserve">, paclitaxel, and nab-paclitaxel </w:t>
      </w:r>
    </w:p>
    <w:p w14:paraId="40CCF3F9" w14:textId="41169A86" w:rsidR="00412FD8" w:rsidRDefault="00412FD8" w:rsidP="008241B5">
      <w:pPr>
        <w:pStyle w:val="FooterTableFigure"/>
      </w:pPr>
      <w:r>
        <w:rPr>
          <w:vertAlign w:val="superscript"/>
        </w:rPr>
        <w:t xml:space="preserve">f </w:t>
      </w:r>
      <w:r>
        <w:t>In the ICC arm, 59.7% receiving capecitabine, 16.1% receiving paclitaxel, and 24.2% receiving nab-paclitaxel</w:t>
      </w:r>
    </w:p>
    <w:p w14:paraId="69AA6446" w14:textId="238CD9E2" w:rsidR="00671337" w:rsidRPr="00B13CE3" w:rsidRDefault="00671337" w:rsidP="008241B5">
      <w:pPr>
        <w:pStyle w:val="3-BodyText"/>
        <w:rPr>
          <w:iCs/>
        </w:rPr>
      </w:pPr>
      <w:bookmarkStart w:id="76" w:name="_Ref222217266"/>
      <w:r w:rsidRPr="00B13CE3">
        <w:rPr>
          <w:iCs/>
        </w:rPr>
        <w:t xml:space="preserve">The </w:t>
      </w:r>
      <w:r w:rsidR="00E050C1" w:rsidRPr="00B13CE3">
        <w:rPr>
          <w:iCs/>
        </w:rPr>
        <w:t xml:space="preserve">economic model and financial estimates assumed that all patients would receive 4 vials </w:t>
      </w:r>
      <w:r w:rsidR="004A1678" w:rsidRPr="00B13CE3">
        <w:rPr>
          <w:iCs/>
        </w:rPr>
        <w:t xml:space="preserve">(rounded up from the mean dose per administration of 327 mg </w:t>
      </w:r>
      <w:r w:rsidR="00927403" w:rsidRPr="00B13CE3">
        <w:rPr>
          <w:iCs/>
        </w:rPr>
        <w:t xml:space="preserve">from the trial). </w:t>
      </w:r>
      <w:r w:rsidR="006B6A8D" w:rsidRPr="00B13CE3">
        <w:rPr>
          <w:iCs/>
        </w:rPr>
        <w:t xml:space="preserve">The submission noted that this was in keeping with </w:t>
      </w:r>
      <w:r w:rsidR="00D36246" w:rsidRPr="00B13CE3">
        <w:rPr>
          <w:iCs/>
        </w:rPr>
        <w:t xml:space="preserve">the </w:t>
      </w:r>
      <w:r w:rsidR="00C125AC" w:rsidRPr="00B13CE3">
        <w:rPr>
          <w:iCs/>
        </w:rPr>
        <w:t xml:space="preserve">approach </w:t>
      </w:r>
      <w:r w:rsidR="006B6A8D" w:rsidRPr="00B13CE3">
        <w:rPr>
          <w:iCs/>
        </w:rPr>
        <w:t>previous</w:t>
      </w:r>
      <w:r w:rsidR="00C125AC" w:rsidRPr="00B13CE3">
        <w:rPr>
          <w:iCs/>
        </w:rPr>
        <w:t>ly accepted by the PBAC</w:t>
      </w:r>
      <w:r w:rsidR="00D36246" w:rsidRPr="00B13CE3">
        <w:rPr>
          <w:iCs/>
        </w:rPr>
        <w:t xml:space="preserve"> for T-</w:t>
      </w:r>
      <w:proofErr w:type="spellStart"/>
      <w:r w:rsidR="00D36246" w:rsidRPr="00B13CE3">
        <w:rPr>
          <w:iCs/>
        </w:rPr>
        <w:t>DXd</w:t>
      </w:r>
      <w:proofErr w:type="spellEnd"/>
      <w:r w:rsidR="00D36246" w:rsidRPr="00B13CE3">
        <w:rPr>
          <w:iCs/>
        </w:rPr>
        <w:t xml:space="preserve"> submissions</w:t>
      </w:r>
      <w:r w:rsidR="00A66BA1" w:rsidRPr="00B13CE3">
        <w:rPr>
          <w:iCs/>
        </w:rPr>
        <w:t>.</w:t>
      </w:r>
      <w:r w:rsidR="006B6A8D" w:rsidRPr="00B13CE3">
        <w:rPr>
          <w:iCs/>
        </w:rPr>
        <w:t xml:space="preserve"> </w:t>
      </w:r>
      <w:r w:rsidR="00927403" w:rsidRPr="00B13CE3">
        <w:rPr>
          <w:iCs/>
        </w:rPr>
        <w:t xml:space="preserve">In practice it would be expected that a proportion of patients would only require 3 vials and therefore </w:t>
      </w:r>
      <w:r w:rsidR="0080393D" w:rsidRPr="00B13CE3">
        <w:rPr>
          <w:iCs/>
        </w:rPr>
        <w:t xml:space="preserve">the number of vials in the economic model and financial estimates </w:t>
      </w:r>
      <w:r w:rsidR="00274E4B">
        <w:rPr>
          <w:iCs/>
        </w:rPr>
        <w:t>is likely to</w:t>
      </w:r>
      <w:r w:rsidR="00274E4B" w:rsidRPr="00B13CE3">
        <w:rPr>
          <w:iCs/>
        </w:rPr>
        <w:t xml:space="preserve"> </w:t>
      </w:r>
      <w:r w:rsidR="0080393D" w:rsidRPr="00B13CE3">
        <w:rPr>
          <w:iCs/>
        </w:rPr>
        <w:t>be overestimated.</w:t>
      </w:r>
      <w:bookmarkEnd w:id="76"/>
    </w:p>
    <w:p w14:paraId="268768EF" w14:textId="3626F292" w:rsidR="00B60939" w:rsidRPr="0098262F" w:rsidRDefault="00B60939" w:rsidP="008241B5">
      <w:pPr>
        <w:pStyle w:val="4-SubsectionHeading"/>
      </w:pPr>
      <w:bookmarkStart w:id="77" w:name="_Toc22897647"/>
      <w:bookmarkStart w:id="78" w:name="_Toc219893558"/>
      <w:r w:rsidRPr="0098262F">
        <w:t>Estimated PBS usage &amp; financial implications</w:t>
      </w:r>
      <w:bookmarkEnd w:id="77"/>
      <w:bookmarkEnd w:id="78"/>
    </w:p>
    <w:p w14:paraId="556DCD01" w14:textId="43A37EF7" w:rsidR="001229A0" w:rsidRPr="000F1664" w:rsidRDefault="00EE7FE2" w:rsidP="000F1664">
      <w:pPr>
        <w:numPr>
          <w:ilvl w:val="1"/>
          <w:numId w:val="7"/>
        </w:numPr>
        <w:spacing w:before="60" w:after="60"/>
        <w:rPr>
          <w:rFonts w:asciiTheme="minorHAnsi" w:eastAsiaTheme="minorHAnsi" w:hAnsiTheme="minorHAnsi" w:cstheme="minorBidi"/>
          <w:szCs w:val="22"/>
        </w:rPr>
      </w:pPr>
      <w:bookmarkStart w:id="79" w:name="_Toc22897649"/>
      <w:bookmarkStart w:id="80" w:name="_Toc22897650"/>
      <w:r w:rsidRPr="00F936B6">
        <w:rPr>
          <w:rFonts w:asciiTheme="minorHAnsi" w:eastAsiaTheme="minorHAnsi" w:hAnsiTheme="minorHAnsi" w:cstheme="minorBidi"/>
          <w:szCs w:val="22"/>
        </w:rPr>
        <w:t>The submission utilised an epidemiological approach to estimate the extent of use and financial impact of listing T-</w:t>
      </w:r>
      <w:proofErr w:type="spellStart"/>
      <w:r w:rsidRPr="00F936B6">
        <w:rPr>
          <w:rFonts w:asciiTheme="minorHAnsi" w:eastAsiaTheme="minorHAnsi" w:hAnsiTheme="minorHAnsi" w:cstheme="minorBidi"/>
          <w:szCs w:val="22"/>
        </w:rPr>
        <w:t>DXd</w:t>
      </w:r>
      <w:proofErr w:type="spellEnd"/>
      <w:r w:rsidRPr="00F936B6">
        <w:rPr>
          <w:rFonts w:asciiTheme="minorHAnsi" w:eastAsiaTheme="minorHAnsi" w:hAnsiTheme="minorHAnsi" w:cstheme="minorBidi"/>
          <w:szCs w:val="22"/>
        </w:rPr>
        <w:t xml:space="preserve"> for the treatment of HR-positive, HER2-low or HER2-ultralow, </w:t>
      </w:r>
      <w:r w:rsidRPr="004B71DF">
        <w:rPr>
          <w:rFonts w:asciiTheme="minorHAnsi" w:eastAsiaTheme="minorHAnsi" w:hAnsiTheme="minorHAnsi" w:cstheme="minorBidi"/>
          <w:szCs w:val="22"/>
        </w:rPr>
        <w:t xml:space="preserve">unresectable </w:t>
      </w:r>
      <w:r w:rsidRPr="00F936B6">
        <w:rPr>
          <w:rFonts w:asciiTheme="minorHAnsi" w:eastAsiaTheme="minorHAnsi" w:hAnsiTheme="minorHAnsi" w:cstheme="minorBidi"/>
          <w:szCs w:val="22"/>
        </w:rPr>
        <w:t>mBC in patients who have received at least one prior line of ET in the metastatic setting and are no longer considered suitable for ET. A summary of the data sources and parameter values used to estimate the utilisation and financial impact of listing T</w:t>
      </w:r>
      <w:r w:rsidR="001B287E">
        <w:rPr>
          <w:rFonts w:asciiTheme="minorHAnsi" w:eastAsiaTheme="minorHAnsi" w:hAnsiTheme="minorHAnsi" w:cstheme="minorBidi"/>
          <w:szCs w:val="22"/>
        </w:rPr>
        <w:noBreakHyphen/>
      </w:r>
      <w:proofErr w:type="spellStart"/>
      <w:r w:rsidRPr="00F936B6">
        <w:rPr>
          <w:rFonts w:asciiTheme="minorHAnsi" w:eastAsiaTheme="minorHAnsi" w:hAnsiTheme="minorHAnsi" w:cstheme="minorBidi"/>
          <w:szCs w:val="22"/>
        </w:rPr>
        <w:t>DXd</w:t>
      </w:r>
      <w:proofErr w:type="spellEnd"/>
      <w:r w:rsidRPr="00F936B6">
        <w:rPr>
          <w:rFonts w:asciiTheme="minorHAnsi" w:eastAsiaTheme="minorHAnsi" w:hAnsiTheme="minorHAnsi" w:cstheme="minorBidi"/>
          <w:szCs w:val="22"/>
        </w:rPr>
        <w:t xml:space="preserve"> is presented in </w:t>
      </w:r>
      <w:r w:rsidRPr="008359B5">
        <w:rPr>
          <w:rFonts w:eastAsiaTheme="minorHAnsi"/>
        </w:rPr>
        <w:fldChar w:fldCharType="begin"/>
      </w:r>
      <w:r w:rsidRPr="008359B5">
        <w:rPr>
          <w:rFonts w:eastAsiaTheme="minorHAnsi"/>
        </w:rPr>
        <w:instrText xml:space="preserve"> REF _Ref104805262 \h </w:instrText>
      </w:r>
      <w:r>
        <w:rPr>
          <w:rFonts w:eastAsiaTheme="minorHAnsi"/>
        </w:rPr>
        <w:instrText xml:space="preserve"> \* MERGEFORMAT </w:instrText>
      </w:r>
      <w:r w:rsidRPr="008359B5">
        <w:rPr>
          <w:rFonts w:eastAsiaTheme="minorHAnsi"/>
        </w:rPr>
      </w:r>
      <w:r w:rsidRPr="008359B5">
        <w:rPr>
          <w:rFonts w:eastAsiaTheme="minorHAnsi"/>
        </w:rPr>
        <w:fldChar w:fldCharType="separate"/>
      </w:r>
      <w:r w:rsidR="005D3E29" w:rsidRPr="005D3E29">
        <w:t>Table 19</w:t>
      </w:r>
      <w:r w:rsidRPr="008359B5">
        <w:rPr>
          <w:rFonts w:eastAsiaTheme="minorHAnsi"/>
        </w:rPr>
        <w:fldChar w:fldCharType="end"/>
      </w:r>
      <w:r w:rsidRPr="008359B5">
        <w:rPr>
          <w:rFonts w:eastAsiaTheme="minorHAnsi"/>
        </w:rPr>
        <w:t>.</w:t>
      </w:r>
      <w:r w:rsidRPr="00F936B6">
        <w:rPr>
          <w:rFonts w:asciiTheme="minorHAnsi" w:eastAsiaTheme="minorHAnsi" w:hAnsiTheme="minorHAnsi" w:cstheme="minorBidi"/>
          <w:szCs w:val="22"/>
        </w:rPr>
        <w:t xml:space="preserve"> </w:t>
      </w:r>
    </w:p>
    <w:p w14:paraId="5A1DFDDA" w14:textId="2E1C760F" w:rsidR="00EE7FE2" w:rsidRPr="00F936B6" w:rsidRDefault="00EE7FE2" w:rsidP="008241B5">
      <w:pPr>
        <w:keepLines/>
        <w:rPr>
          <w:rFonts w:ascii="Arial Narrow" w:hAnsi="Arial Narrow"/>
          <w:b/>
          <w:bCs/>
          <w:sz w:val="20"/>
        </w:rPr>
      </w:pPr>
      <w:bookmarkStart w:id="81" w:name="_Ref104805262"/>
      <w:r w:rsidRPr="00F936B6">
        <w:rPr>
          <w:rFonts w:ascii="Arial Narrow" w:hAnsi="Arial Narrow"/>
          <w:b/>
          <w:bCs/>
          <w:sz w:val="20"/>
          <w:szCs w:val="18"/>
        </w:rPr>
        <w:lastRenderedPageBreak/>
        <w:t xml:space="preserve">Table </w:t>
      </w:r>
      <w:r w:rsidRPr="00F936B6">
        <w:rPr>
          <w:rFonts w:ascii="Arial Narrow" w:hAnsi="Arial Narrow"/>
          <w:b/>
          <w:bCs/>
          <w:sz w:val="20"/>
          <w:szCs w:val="18"/>
        </w:rPr>
        <w:fldChar w:fldCharType="begin"/>
      </w:r>
      <w:r w:rsidRPr="00F936B6">
        <w:rPr>
          <w:rFonts w:ascii="Arial Narrow" w:hAnsi="Arial Narrow"/>
          <w:b/>
          <w:bCs/>
          <w:sz w:val="20"/>
          <w:szCs w:val="18"/>
        </w:rPr>
        <w:instrText xml:space="preserve"> SEQ Table \* ARABIC </w:instrText>
      </w:r>
      <w:r w:rsidRPr="00F936B6">
        <w:rPr>
          <w:rFonts w:ascii="Arial Narrow" w:hAnsi="Arial Narrow"/>
          <w:b/>
          <w:bCs/>
          <w:sz w:val="20"/>
          <w:szCs w:val="18"/>
        </w:rPr>
        <w:fldChar w:fldCharType="separate"/>
      </w:r>
      <w:r w:rsidR="005D3E29">
        <w:rPr>
          <w:rFonts w:ascii="Arial Narrow" w:hAnsi="Arial Narrow"/>
          <w:b/>
          <w:bCs/>
          <w:noProof/>
          <w:sz w:val="20"/>
          <w:szCs w:val="18"/>
        </w:rPr>
        <w:t>19</w:t>
      </w:r>
      <w:r w:rsidRPr="00F936B6">
        <w:rPr>
          <w:rFonts w:ascii="Arial Narrow" w:hAnsi="Arial Narrow"/>
          <w:b/>
          <w:bCs/>
          <w:noProof/>
          <w:sz w:val="20"/>
          <w:szCs w:val="18"/>
        </w:rPr>
        <w:fldChar w:fldCharType="end"/>
      </w:r>
      <w:bookmarkEnd w:id="81"/>
      <w:r w:rsidRPr="00F936B6">
        <w:rPr>
          <w:rFonts w:ascii="Arial Narrow" w:hAnsi="Arial Narrow"/>
          <w:b/>
          <w:bCs/>
          <w:sz w:val="20"/>
          <w:szCs w:val="18"/>
        </w:rPr>
        <w:t>:</w:t>
      </w:r>
      <w:r w:rsidRPr="00F936B6">
        <w:rPr>
          <w:rFonts w:ascii="Arial Narrow" w:hAnsi="Arial Narrow"/>
          <w:b/>
          <w:bCs/>
          <w:sz w:val="20"/>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Key inputs for financial estimates"/>
      </w:tblPr>
      <w:tblGrid>
        <w:gridCol w:w="1556"/>
        <w:gridCol w:w="1317"/>
        <w:gridCol w:w="2376"/>
        <w:gridCol w:w="3768"/>
      </w:tblGrid>
      <w:tr w:rsidR="001375D8" w:rsidRPr="00624B52" w14:paraId="406EF1A1" w14:textId="77777777" w:rsidTr="00122F4D">
        <w:trPr>
          <w:tblHeader/>
        </w:trPr>
        <w:tc>
          <w:tcPr>
            <w:tcW w:w="1555" w:type="dxa"/>
            <w:vAlign w:val="center"/>
          </w:tcPr>
          <w:p w14:paraId="7C1D9F00" w14:textId="77777777" w:rsidR="001375D8" w:rsidRPr="00624B52" w:rsidRDefault="001375D8" w:rsidP="008241B5">
            <w:pPr>
              <w:keepLines/>
              <w:jc w:val="center"/>
              <w:rPr>
                <w:rFonts w:ascii="Arial Narrow" w:eastAsiaTheme="majorEastAsia" w:hAnsi="Arial Narrow" w:cs="Times New Roman"/>
                <w:b/>
                <w:sz w:val="20"/>
                <w:lang w:val="en-US"/>
              </w:rPr>
            </w:pPr>
            <w:r w:rsidRPr="00624B52">
              <w:rPr>
                <w:rFonts w:ascii="Arial Narrow" w:eastAsiaTheme="majorEastAsia" w:hAnsi="Arial Narrow" w:cs="Times New Roman"/>
                <w:b/>
                <w:sz w:val="20"/>
                <w:lang w:val="en-US"/>
              </w:rPr>
              <w:t>Data</w:t>
            </w:r>
          </w:p>
        </w:tc>
        <w:tc>
          <w:tcPr>
            <w:tcW w:w="1317" w:type="dxa"/>
            <w:vAlign w:val="center"/>
          </w:tcPr>
          <w:p w14:paraId="1769C408" w14:textId="77777777" w:rsidR="001375D8" w:rsidRPr="00624B52" w:rsidRDefault="001375D8" w:rsidP="008241B5">
            <w:pPr>
              <w:keepLines/>
              <w:jc w:val="center"/>
              <w:rPr>
                <w:rFonts w:ascii="Arial Narrow" w:eastAsiaTheme="majorEastAsia" w:hAnsi="Arial Narrow" w:cs="Times New Roman"/>
                <w:b/>
                <w:sz w:val="20"/>
                <w:lang w:val="en-US"/>
              </w:rPr>
            </w:pPr>
            <w:r w:rsidRPr="00624B52">
              <w:rPr>
                <w:rFonts w:ascii="Arial Narrow" w:eastAsiaTheme="majorEastAsia" w:hAnsi="Arial Narrow" w:cs="Times New Roman"/>
                <w:b/>
                <w:sz w:val="20"/>
                <w:lang w:val="en-US"/>
              </w:rPr>
              <w:t>Value</w:t>
            </w:r>
          </w:p>
        </w:tc>
        <w:tc>
          <w:tcPr>
            <w:tcW w:w="2376" w:type="dxa"/>
            <w:vAlign w:val="center"/>
          </w:tcPr>
          <w:p w14:paraId="4F92124A" w14:textId="77777777" w:rsidR="001375D8" w:rsidRPr="00624B52" w:rsidRDefault="001375D8" w:rsidP="008241B5">
            <w:pPr>
              <w:keepLines/>
              <w:jc w:val="center"/>
              <w:rPr>
                <w:rFonts w:ascii="Arial Narrow" w:eastAsiaTheme="majorEastAsia" w:hAnsi="Arial Narrow" w:cs="Times New Roman"/>
                <w:b/>
                <w:sz w:val="20"/>
                <w:lang w:val="en-US"/>
              </w:rPr>
            </w:pPr>
            <w:r w:rsidRPr="00624B52">
              <w:rPr>
                <w:rFonts w:ascii="Arial Narrow" w:eastAsiaTheme="majorEastAsia" w:hAnsi="Arial Narrow" w:cs="Times New Roman"/>
                <w:b/>
                <w:sz w:val="20"/>
                <w:lang w:val="en-US"/>
              </w:rPr>
              <w:t>Source</w:t>
            </w:r>
          </w:p>
        </w:tc>
        <w:tc>
          <w:tcPr>
            <w:tcW w:w="3768" w:type="dxa"/>
            <w:vAlign w:val="center"/>
          </w:tcPr>
          <w:p w14:paraId="31D4813E" w14:textId="77777777" w:rsidR="001375D8" w:rsidRPr="00624B52" w:rsidRDefault="001375D8" w:rsidP="008241B5">
            <w:pPr>
              <w:keepLines/>
              <w:jc w:val="center"/>
              <w:rPr>
                <w:rFonts w:ascii="Arial Narrow" w:eastAsiaTheme="majorEastAsia" w:hAnsi="Arial Narrow" w:cs="Times New Roman"/>
                <w:b/>
                <w:sz w:val="20"/>
                <w:lang w:val="en-US"/>
              </w:rPr>
            </w:pPr>
            <w:r w:rsidRPr="00624B52">
              <w:rPr>
                <w:rFonts w:ascii="Arial Narrow" w:eastAsiaTheme="majorEastAsia" w:hAnsi="Arial Narrow" w:cs="Times New Roman"/>
                <w:b/>
                <w:sz w:val="20"/>
                <w:lang w:val="en-US"/>
              </w:rPr>
              <w:t>Comment</w:t>
            </w:r>
          </w:p>
        </w:tc>
      </w:tr>
      <w:tr w:rsidR="001375D8" w:rsidRPr="00624B52" w14:paraId="409E6ADB" w14:textId="77777777" w:rsidTr="00122F4D">
        <w:tc>
          <w:tcPr>
            <w:tcW w:w="9016" w:type="dxa"/>
            <w:gridSpan w:val="4"/>
            <w:vAlign w:val="center"/>
          </w:tcPr>
          <w:p w14:paraId="7B38799D" w14:textId="77777777" w:rsidR="001375D8" w:rsidRPr="00624B52" w:rsidRDefault="001375D8" w:rsidP="008241B5">
            <w:pPr>
              <w:keepLines/>
              <w:jc w:val="left"/>
              <w:rPr>
                <w:rFonts w:ascii="Arial Narrow" w:eastAsiaTheme="majorEastAsia" w:hAnsi="Arial Narrow" w:cs="Times New Roman"/>
                <w:b/>
                <w:sz w:val="20"/>
                <w:lang w:val="en-US"/>
              </w:rPr>
            </w:pPr>
            <w:r w:rsidRPr="00624B52">
              <w:rPr>
                <w:rFonts w:ascii="Arial Narrow" w:eastAsiaTheme="majorEastAsia" w:hAnsi="Arial Narrow" w:cs="Times New Roman"/>
                <w:b/>
                <w:sz w:val="20"/>
                <w:lang w:val="en-US"/>
              </w:rPr>
              <w:t>Eligible population</w:t>
            </w:r>
          </w:p>
        </w:tc>
      </w:tr>
      <w:tr w:rsidR="001375D8" w:rsidRPr="00624B52" w14:paraId="50B5EA50" w14:textId="77777777" w:rsidTr="00122F4D">
        <w:trPr>
          <w:trHeight w:val="60"/>
        </w:trPr>
        <w:tc>
          <w:tcPr>
            <w:tcW w:w="1555" w:type="dxa"/>
            <w:vAlign w:val="center"/>
          </w:tcPr>
          <w:p w14:paraId="18761FEA"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Incident patients with HR-Positive, HER2-negative cancer </w:t>
            </w:r>
          </w:p>
        </w:tc>
        <w:tc>
          <w:tcPr>
            <w:tcW w:w="1317" w:type="dxa"/>
            <w:vAlign w:val="center"/>
          </w:tcPr>
          <w:p w14:paraId="06B30B02"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1: 2,155</w:t>
            </w:r>
          </w:p>
          <w:p w14:paraId="1DBA0BA5"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2: 2,198</w:t>
            </w:r>
          </w:p>
          <w:p w14:paraId="055D6A19"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3: 2,242</w:t>
            </w:r>
          </w:p>
          <w:p w14:paraId="6BBBFA8D"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4: 2,287</w:t>
            </w:r>
          </w:p>
          <w:p w14:paraId="2587D947"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5: 2,333</w:t>
            </w:r>
          </w:p>
          <w:p w14:paraId="67A73B8D"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6: 2,379</w:t>
            </w:r>
          </w:p>
        </w:tc>
        <w:tc>
          <w:tcPr>
            <w:tcW w:w="2376" w:type="dxa"/>
            <w:vAlign w:val="center"/>
          </w:tcPr>
          <w:p w14:paraId="15A48A5C" w14:textId="052C10A1"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DUSC estimates of patients that progressed on treatment with CDK 4/6 inhibitors</w:t>
            </w:r>
            <w:r w:rsidR="008241B5" w:rsidRPr="00C54280">
              <w:rPr>
                <w:rFonts w:ascii="Arial Narrow" w:eastAsiaTheme="majorEastAsia" w:hAnsi="Arial Narrow" w:cstheme="majorBidi"/>
                <w:bCs/>
                <w:sz w:val="20"/>
              </w:rPr>
              <w:t xml:space="preserve"> </w:t>
            </w:r>
          </w:p>
        </w:tc>
        <w:tc>
          <w:tcPr>
            <w:tcW w:w="3768" w:type="dxa"/>
            <w:vAlign w:val="center"/>
          </w:tcPr>
          <w:p w14:paraId="3D9BF86E" w14:textId="3B69A8F2" w:rsidR="0096222D" w:rsidRPr="00C54280" w:rsidRDefault="001375D8" w:rsidP="008241B5">
            <w:pPr>
              <w:keepLines/>
              <w:jc w:val="left"/>
              <w:rPr>
                <w:rFonts w:ascii="Arial Narrow" w:eastAsiaTheme="majorEastAsia" w:hAnsi="Arial Narrow" w:cstheme="majorBidi"/>
                <w:sz w:val="20"/>
                <w:szCs w:val="20"/>
              </w:rPr>
            </w:pPr>
            <w:r w:rsidRPr="00C54280">
              <w:rPr>
                <w:rFonts w:ascii="Arial Narrow" w:eastAsiaTheme="majorEastAsia" w:hAnsi="Arial Narrow" w:cstheme="majorBidi"/>
                <w:sz w:val="20"/>
                <w:szCs w:val="20"/>
              </w:rPr>
              <w:t xml:space="preserve">The use of this population to estimate the eligible population was in line with </w:t>
            </w:r>
            <w:r w:rsidR="799CBB4B" w:rsidRPr="00C54280">
              <w:rPr>
                <w:rFonts w:ascii="Arial Narrow" w:eastAsiaTheme="majorEastAsia" w:hAnsi="Arial Narrow" w:cstheme="majorBidi"/>
                <w:sz w:val="20"/>
                <w:szCs w:val="20"/>
              </w:rPr>
              <w:t xml:space="preserve">previous </w:t>
            </w:r>
            <w:r w:rsidRPr="00C54280">
              <w:rPr>
                <w:rFonts w:ascii="Arial Narrow" w:eastAsiaTheme="majorEastAsia" w:hAnsi="Arial Narrow" w:cstheme="majorBidi"/>
                <w:sz w:val="20"/>
                <w:szCs w:val="20"/>
              </w:rPr>
              <w:t>DUSC advice (paragraph 4.24, T-</w:t>
            </w:r>
            <w:proofErr w:type="spellStart"/>
            <w:r w:rsidRPr="00C54280">
              <w:rPr>
                <w:rFonts w:ascii="Arial Narrow" w:eastAsiaTheme="majorEastAsia" w:hAnsi="Arial Narrow" w:cstheme="majorBidi"/>
                <w:sz w:val="20"/>
                <w:szCs w:val="20"/>
              </w:rPr>
              <w:t>DXd</w:t>
            </w:r>
            <w:proofErr w:type="spellEnd"/>
            <w:r w:rsidRPr="00C54280">
              <w:rPr>
                <w:rFonts w:ascii="Arial Narrow" w:eastAsiaTheme="majorEastAsia" w:hAnsi="Arial Narrow" w:cstheme="majorBidi"/>
                <w:sz w:val="20"/>
                <w:szCs w:val="20"/>
              </w:rPr>
              <w:t xml:space="preserve"> PSD, March 2024 PBAC Meeting). </w:t>
            </w:r>
          </w:p>
          <w:p w14:paraId="05BF7F33" w14:textId="77777777" w:rsidR="0096222D" w:rsidRPr="00C54280" w:rsidRDefault="0096222D" w:rsidP="008241B5">
            <w:pPr>
              <w:keepLines/>
              <w:jc w:val="left"/>
              <w:rPr>
                <w:rFonts w:ascii="Arial Narrow" w:eastAsiaTheme="majorEastAsia" w:hAnsi="Arial Narrow" w:cstheme="majorBidi"/>
                <w:bCs/>
                <w:iCs/>
                <w:sz w:val="20"/>
              </w:rPr>
            </w:pPr>
          </w:p>
          <w:p w14:paraId="3E65D8B3" w14:textId="77837E6F" w:rsidR="00800D8E" w:rsidRPr="00C54280" w:rsidRDefault="0096222D" w:rsidP="008241B5">
            <w:pPr>
              <w:keepLines/>
              <w:rPr>
                <w:rFonts w:ascii="Arial Narrow" w:eastAsiaTheme="majorEastAsia" w:hAnsi="Arial Narrow" w:cstheme="majorBidi"/>
                <w:sz w:val="20"/>
                <w:szCs w:val="20"/>
                <w:u w:val="single"/>
                <w:lang w:val="en-US"/>
              </w:rPr>
            </w:pPr>
            <w:r w:rsidRPr="00C54280">
              <w:rPr>
                <w:rFonts w:ascii="Arial Narrow" w:eastAsiaTheme="majorEastAsia" w:hAnsi="Arial Narrow" w:cstheme="majorBidi"/>
                <w:sz w:val="20"/>
                <w:szCs w:val="20"/>
              </w:rPr>
              <w:t xml:space="preserve">The </w:t>
            </w:r>
            <w:r w:rsidR="00480B64" w:rsidRPr="00C54280">
              <w:rPr>
                <w:rFonts w:ascii="Arial Narrow" w:eastAsiaTheme="majorEastAsia" w:hAnsi="Arial Narrow" w:cstheme="majorBidi"/>
                <w:sz w:val="20"/>
                <w:szCs w:val="20"/>
              </w:rPr>
              <w:t>PSCR clarified that</w:t>
            </w:r>
            <w:r w:rsidR="00DB225D" w:rsidRPr="00C54280">
              <w:rPr>
                <w:rFonts w:ascii="Arial Narrow" w:eastAsiaTheme="majorEastAsia" w:hAnsi="Arial Narrow" w:cstheme="majorBidi"/>
                <w:sz w:val="20"/>
                <w:szCs w:val="20"/>
              </w:rPr>
              <w:t xml:space="preserve"> </w:t>
            </w:r>
            <w:r w:rsidR="006822A1" w:rsidRPr="00C54280">
              <w:rPr>
                <w:rFonts w:ascii="Arial Narrow" w:eastAsiaTheme="majorEastAsia" w:hAnsi="Arial Narrow" w:cstheme="majorBidi"/>
                <w:sz w:val="20"/>
                <w:szCs w:val="20"/>
              </w:rPr>
              <w:t xml:space="preserve">the values represent </w:t>
            </w:r>
            <w:r w:rsidR="00DB225D" w:rsidRPr="00C54280">
              <w:rPr>
                <w:rFonts w:ascii="Arial Narrow" w:eastAsiaTheme="majorEastAsia" w:hAnsi="Arial Narrow" w:cstheme="majorBidi"/>
                <w:sz w:val="20"/>
                <w:szCs w:val="20"/>
              </w:rPr>
              <w:t>incident patients treated with CDK</w:t>
            </w:r>
            <w:r w:rsidR="006822A1" w:rsidRPr="00C54280">
              <w:rPr>
                <w:rFonts w:ascii="Arial Narrow" w:eastAsiaTheme="majorEastAsia" w:hAnsi="Arial Narrow" w:cstheme="majorBidi"/>
                <w:sz w:val="20"/>
                <w:szCs w:val="20"/>
              </w:rPr>
              <w:t>4/6is for</w:t>
            </w:r>
            <w:r w:rsidR="009A617A" w:rsidRPr="00C54280">
              <w:rPr>
                <w:rFonts w:ascii="Arial Narrow" w:eastAsiaTheme="majorEastAsia" w:hAnsi="Arial Narrow" w:cstheme="majorBidi"/>
                <w:sz w:val="20"/>
                <w:szCs w:val="20"/>
                <w:lang w:val="en-US"/>
              </w:rPr>
              <w:t xml:space="preserve"> mBC.</w:t>
            </w:r>
            <w:r w:rsidR="008241B5" w:rsidRPr="00C54280">
              <w:rPr>
                <w:rFonts w:ascii="Arial Narrow" w:eastAsiaTheme="majorEastAsia" w:hAnsi="Arial Narrow" w:cstheme="majorBidi"/>
                <w:sz w:val="20"/>
                <w:szCs w:val="20"/>
                <w:lang w:val="en-US"/>
              </w:rPr>
              <w:t xml:space="preserve"> </w:t>
            </w:r>
            <w:r w:rsidR="009A617A" w:rsidRPr="00C54280">
              <w:rPr>
                <w:rFonts w:ascii="Arial Narrow" w:eastAsiaTheme="majorEastAsia" w:hAnsi="Arial Narrow" w:cstheme="majorBidi"/>
                <w:sz w:val="20"/>
                <w:szCs w:val="20"/>
                <w:lang w:val="en-US"/>
              </w:rPr>
              <w:t xml:space="preserve">The </w:t>
            </w:r>
            <w:r w:rsidR="00D85B8B" w:rsidRPr="00C54280">
              <w:rPr>
                <w:rFonts w:ascii="Arial Narrow" w:eastAsiaTheme="majorEastAsia" w:hAnsi="Arial Narrow" w:cstheme="majorBidi"/>
                <w:sz w:val="20"/>
                <w:szCs w:val="20"/>
                <w:lang w:val="en-US"/>
              </w:rPr>
              <w:t>Sub-Committees</w:t>
            </w:r>
            <w:r w:rsidR="00BD5919" w:rsidRPr="00C54280">
              <w:rPr>
                <w:rFonts w:ascii="Arial Narrow" w:eastAsiaTheme="majorEastAsia" w:hAnsi="Arial Narrow" w:cstheme="majorBidi"/>
                <w:sz w:val="20"/>
                <w:szCs w:val="20"/>
                <w:lang w:val="en-US"/>
              </w:rPr>
              <w:t xml:space="preserve"> </w:t>
            </w:r>
            <w:r w:rsidR="009A617A" w:rsidRPr="00C54280">
              <w:rPr>
                <w:rFonts w:ascii="Arial Narrow" w:eastAsiaTheme="majorEastAsia" w:hAnsi="Arial Narrow" w:cstheme="majorBidi"/>
                <w:sz w:val="20"/>
                <w:szCs w:val="20"/>
                <w:lang w:val="en-US"/>
              </w:rPr>
              <w:t xml:space="preserve">noted that </w:t>
            </w:r>
            <w:r w:rsidR="004C4623" w:rsidRPr="00C54280">
              <w:rPr>
                <w:rFonts w:ascii="Arial Narrow" w:eastAsiaTheme="majorEastAsia" w:hAnsi="Arial Narrow" w:cstheme="majorBidi"/>
                <w:sz w:val="20"/>
                <w:szCs w:val="20"/>
                <w:lang w:val="en-US"/>
              </w:rPr>
              <w:t xml:space="preserve">DUSC provided updated </w:t>
            </w:r>
            <w:r w:rsidR="00750FBB" w:rsidRPr="00C54280">
              <w:rPr>
                <w:rFonts w:ascii="Arial Narrow" w:eastAsiaTheme="majorEastAsia" w:hAnsi="Arial Narrow" w:cstheme="majorBidi"/>
                <w:sz w:val="20"/>
                <w:szCs w:val="20"/>
                <w:lang w:val="en-US"/>
              </w:rPr>
              <w:t xml:space="preserve">PBS </w:t>
            </w:r>
            <w:r w:rsidR="004C4623" w:rsidRPr="00C54280">
              <w:rPr>
                <w:rFonts w:ascii="Arial Narrow" w:eastAsiaTheme="majorEastAsia" w:hAnsi="Arial Narrow" w:cstheme="majorBidi"/>
                <w:sz w:val="20"/>
                <w:szCs w:val="20"/>
                <w:lang w:val="en-US"/>
              </w:rPr>
              <w:t xml:space="preserve">data </w:t>
            </w:r>
            <w:r w:rsidR="00750FBB" w:rsidRPr="00C54280">
              <w:rPr>
                <w:rFonts w:ascii="Arial Narrow" w:eastAsiaTheme="majorEastAsia" w:hAnsi="Arial Narrow" w:cstheme="majorBidi"/>
                <w:sz w:val="20"/>
                <w:szCs w:val="20"/>
                <w:lang w:val="en-US"/>
              </w:rPr>
              <w:t xml:space="preserve">for CDK4/6i in </w:t>
            </w:r>
            <w:proofErr w:type="spellStart"/>
            <w:r w:rsidR="00750FBB" w:rsidRPr="00C54280">
              <w:rPr>
                <w:rFonts w:ascii="Arial Narrow" w:eastAsiaTheme="majorEastAsia" w:hAnsi="Arial Narrow" w:cstheme="majorBidi"/>
                <w:sz w:val="20"/>
                <w:szCs w:val="20"/>
                <w:lang w:val="en-US"/>
              </w:rPr>
              <w:t>mBC</w:t>
            </w:r>
            <w:proofErr w:type="spellEnd"/>
            <w:r w:rsidR="00750FBB" w:rsidRPr="00C54280">
              <w:rPr>
                <w:rFonts w:ascii="Arial Narrow" w:eastAsiaTheme="majorEastAsia" w:hAnsi="Arial Narrow" w:cstheme="majorBidi"/>
                <w:sz w:val="20"/>
                <w:szCs w:val="20"/>
                <w:lang w:val="en-US"/>
              </w:rPr>
              <w:t xml:space="preserve"> </w:t>
            </w:r>
            <w:r w:rsidR="00032D13" w:rsidRPr="00C54280">
              <w:rPr>
                <w:rFonts w:ascii="Arial Narrow" w:eastAsiaTheme="majorEastAsia" w:hAnsi="Arial Narrow" w:cstheme="majorBidi"/>
                <w:sz w:val="20"/>
                <w:szCs w:val="20"/>
                <w:lang w:val="en-US"/>
              </w:rPr>
              <w:t xml:space="preserve">and </w:t>
            </w:r>
            <w:proofErr w:type="spellStart"/>
            <w:r w:rsidR="00032D13" w:rsidRPr="00C54280">
              <w:rPr>
                <w:rFonts w:ascii="Arial Narrow" w:eastAsiaTheme="majorEastAsia" w:hAnsi="Arial Narrow" w:cstheme="majorBidi"/>
                <w:sz w:val="20"/>
                <w:szCs w:val="20"/>
                <w:lang w:val="en-US"/>
              </w:rPr>
              <w:t>eBC</w:t>
            </w:r>
            <w:proofErr w:type="spellEnd"/>
            <w:r w:rsidR="00032D13" w:rsidRPr="00C54280">
              <w:rPr>
                <w:rFonts w:ascii="Arial Narrow" w:eastAsiaTheme="majorEastAsia" w:hAnsi="Arial Narrow" w:cstheme="majorBidi"/>
                <w:sz w:val="20"/>
                <w:szCs w:val="20"/>
                <w:lang w:val="en-US"/>
              </w:rPr>
              <w:t xml:space="preserve"> </w:t>
            </w:r>
            <w:r w:rsidR="004C4623" w:rsidRPr="00C54280">
              <w:rPr>
                <w:rFonts w:ascii="Arial Narrow" w:eastAsiaTheme="majorEastAsia" w:hAnsi="Arial Narrow" w:cstheme="majorBidi"/>
                <w:sz w:val="20"/>
                <w:szCs w:val="20"/>
                <w:lang w:val="en-US"/>
              </w:rPr>
              <w:t>and considered</w:t>
            </w:r>
            <w:r w:rsidR="009A617A" w:rsidRPr="00C54280">
              <w:rPr>
                <w:rFonts w:ascii="Arial Narrow" w:eastAsiaTheme="majorEastAsia" w:hAnsi="Arial Narrow" w:cstheme="majorBidi"/>
                <w:sz w:val="20"/>
                <w:szCs w:val="20"/>
                <w:lang w:val="en-US"/>
              </w:rPr>
              <w:t xml:space="preserve"> that the </w:t>
            </w:r>
            <w:r w:rsidR="004C4623" w:rsidRPr="00C54280">
              <w:rPr>
                <w:rFonts w:ascii="Arial Narrow" w:eastAsiaTheme="majorEastAsia" w:hAnsi="Arial Narrow" w:cstheme="majorBidi"/>
                <w:sz w:val="20"/>
                <w:szCs w:val="20"/>
                <w:lang w:val="en-US"/>
              </w:rPr>
              <w:t xml:space="preserve">updated </w:t>
            </w:r>
            <w:r w:rsidR="009A617A" w:rsidRPr="00C54280">
              <w:rPr>
                <w:rFonts w:ascii="Arial Narrow" w:eastAsiaTheme="majorEastAsia" w:hAnsi="Arial Narrow" w:cstheme="majorBidi"/>
                <w:sz w:val="20"/>
                <w:szCs w:val="20"/>
                <w:lang w:val="en-US"/>
              </w:rPr>
              <w:t xml:space="preserve">data </w:t>
            </w:r>
            <w:r w:rsidR="00032D13" w:rsidRPr="00C54280">
              <w:rPr>
                <w:rFonts w:ascii="Arial Narrow" w:eastAsiaTheme="majorEastAsia" w:hAnsi="Arial Narrow" w:cstheme="majorBidi"/>
                <w:sz w:val="20"/>
                <w:szCs w:val="20"/>
                <w:lang w:val="en-US"/>
              </w:rPr>
              <w:t xml:space="preserve">for mBC </w:t>
            </w:r>
            <w:r w:rsidR="009A617A" w:rsidRPr="00C54280">
              <w:rPr>
                <w:rFonts w:ascii="Arial Narrow" w:eastAsiaTheme="majorEastAsia" w:hAnsi="Arial Narrow" w:cstheme="majorBidi"/>
                <w:sz w:val="20"/>
                <w:szCs w:val="20"/>
                <w:lang w:val="en-US"/>
              </w:rPr>
              <w:t>should be used.</w:t>
            </w:r>
          </w:p>
          <w:p w14:paraId="49430415" w14:textId="77777777" w:rsidR="00800D8E" w:rsidRPr="00C54280" w:rsidRDefault="00800D8E" w:rsidP="008241B5">
            <w:pPr>
              <w:keepLines/>
              <w:rPr>
                <w:rFonts w:ascii="Arial Narrow" w:eastAsiaTheme="majorEastAsia" w:hAnsi="Arial Narrow" w:cstheme="majorBidi"/>
                <w:bCs/>
                <w:sz w:val="20"/>
                <w:u w:val="single"/>
                <w:lang w:val="en-US"/>
              </w:rPr>
            </w:pPr>
          </w:p>
          <w:p w14:paraId="1F676498" w14:textId="69BB1AE5" w:rsidR="00800D8E" w:rsidRPr="00C54280" w:rsidRDefault="00800D8E" w:rsidP="008241B5">
            <w:pPr>
              <w:keepLines/>
              <w:rPr>
                <w:rFonts w:ascii="Arial Narrow" w:eastAsiaTheme="majorEastAsia" w:hAnsi="Arial Narrow" w:cstheme="majorBidi"/>
                <w:bCs/>
                <w:sz w:val="20"/>
                <w:u w:val="single"/>
                <w:lang w:val="en-US"/>
              </w:rPr>
            </w:pPr>
            <w:r w:rsidRPr="00C54280">
              <w:rPr>
                <w:rFonts w:ascii="Arial Narrow" w:eastAsiaTheme="majorEastAsia" w:hAnsi="Arial Narrow" w:cstheme="majorBidi"/>
                <w:bCs/>
                <w:sz w:val="20"/>
                <w:u w:val="single"/>
                <w:lang w:val="en-US"/>
              </w:rPr>
              <w:t xml:space="preserve">PBS data: </w:t>
            </w:r>
          </w:p>
          <w:tbl>
            <w:tblPr>
              <w:tblStyle w:val="TableGrid"/>
              <w:tblW w:w="0" w:type="auto"/>
              <w:tblLook w:val="04A0" w:firstRow="1" w:lastRow="0" w:firstColumn="1" w:lastColumn="0" w:noHBand="0" w:noVBand="1"/>
            </w:tblPr>
            <w:tblGrid>
              <w:gridCol w:w="545"/>
              <w:gridCol w:w="1078"/>
              <w:gridCol w:w="1151"/>
              <w:gridCol w:w="768"/>
            </w:tblGrid>
            <w:tr w:rsidR="00032D13" w:rsidRPr="00C54280" w14:paraId="20F4E14D" w14:textId="77777777" w:rsidTr="00950EC8">
              <w:tc>
                <w:tcPr>
                  <w:tcW w:w="752" w:type="dxa"/>
                </w:tcPr>
                <w:p w14:paraId="1D8B1F08" w14:textId="5F3485BC"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Year</w:t>
                  </w:r>
                </w:p>
              </w:tc>
              <w:tc>
                <w:tcPr>
                  <w:tcW w:w="934" w:type="dxa"/>
                </w:tcPr>
                <w:p w14:paraId="7D3231D8" w14:textId="7CE63D1A" w:rsidR="00B13488" w:rsidRPr="00C54280" w:rsidRDefault="00B13488" w:rsidP="008241B5">
                  <w:pPr>
                    <w:keepLines/>
                    <w:rPr>
                      <w:rFonts w:ascii="Arial Narrow" w:eastAsiaTheme="majorEastAsia" w:hAnsi="Arial Narrow" w:cstheme="majorBidi"/>
                      <w:sz w:val="18"/>
                      <w:szCs w:val="18"/>
                      <w:u w:val="single"/>
                      <w:lang w:val="en-US"/>
                    </w:rPr>
                  </w:pPr>
                </w:p>
              </w:tc>
              <w:tc>
                <w:tcPr>
                  <w:tcW w:w="1202" w:type="dxa"/>
                </w:tcPr>
                <w:p w14:paraId="09AF37AA" w14:textId="08E9BA9E"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Restriction</w:t>
                  </w:r>
                </w:p>
              </w:tc>
              <w:tc>
                <w:tcPr>
                  <w:tcW w:w="805" w:type="dxa"/>
                </w:tcPr>
                <w:p w14:paraId="21F7228B" w14:textId="5814AE77" w:rsidR="00032D13" w:rsidRPr="00C54280" w:rsidRDefault="00032D13" w:rsidP="008241B5">
                  <w:pPr>
                    <w:keepLines/>
                    <w:ind w:left="-72"/>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Prevalent patients</w:t>
                  </w:r>
                </w:p>
              </w:tc>
            </w:tr>
            <w:tr w:rsidR="00032D13" w:rsidRPr="00C54280" w14:paraId="6AB7BCA5" w14:textId="77777777" w:rsidTr="00950EC8">
              <w:tc>
                <w:tcPr>
                  <w:tcW w:w="752" w:type="dxa"/>
                </w:tcPr>
                <w:p w14:paraId="3838C69C" w14:textId="3D993B3C"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2025</w:t>
                  </w:r>
                </w:p>
              </w:tc>
              <w:tc>
                <w:tcPr>
                  <w:tcW w:w="934" w:type="dxa"/>
                </w:tcPr>
                <w:p w14:paraId="75281C38" w14:textId="2AB061D4" w:rsidR="00800D8E" w:rsidRPr="00C54280" w:rsidRDefault="00800D8E"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ANY_CDK46</w:t>
                  </w:r>
                </w:p>
              </w:tc>
              <w:tc>
                <w:tcPr>
                  <w:tcW w:w="1202" w:type="dxa"/>
                </w:tcPr>
                <w:p w14:paraId="1ECF9079" w14:textId="11DE2FE3"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EARLY</w:t>
                  </w:r>
                </w:p>
              </w:tc>
              <w:tc>
                <w:tcPr>
                  <w:tcW w:w="805" w:type="dxa"/>
                </w:tcPr>
                <w:p w14:paraId="1BE63CD0" w14:textId="26AF28C3"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1336</w:t>
                  </w:r>
                </w:p>
              </w:tc>
            </w:tr>
            <w:tr w:rsidR="00032D13" w:rsidRPr="00C54280" w14:paraId="4BAC1047" w14:textId="77777777" w:rsidTr="00950EC8">
              <w:tc>
                <w:tcPr>
                  <w:tcW w:w="752" w:type="dxa"/>
                </w:tcPr>
                <w:p w14:paraId="25CCF1EA" w14:textId="0AC7DD37"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2025</w:t>
                  </w:r>
                </w:p>
              </w:tc>
              <w:tc>
                <w:tcPr>
                  <w:tcW w:w="934" w:type="dxa"/>
                </w:tcPr>
                <w:p w14:paraId="42696E08" w14:textId="3804BA2D" w:rsidR="00800D8E" w:rsidRPr="00C54280" w:rsidRDefault="00800D8E"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ANY_CDK46</w:t>
                  </w:r>
                </w:p>
              </w:tc>
              <w:tc>
                <w:tcPr>
                  <w:tcW w:w="1202" w:type="dxa"/>
                </w:tcPr>
                <w:p w14:paraId="61AF0272" w14:textId="1586BEFF"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METASTATIC</w:t>
                  </w:r>
                </w:p>
              </w:tc>
              <w:tc>
                <w:tcPr>
                  <w:tcW w:w="805" w:type="dxa"/>
                </w:tcPr>
                <w:p w14:paraId="11FDAB94" w14:textId="39E40E6D" w:rsidR="00032D13" w:rsidRPr="00C54280" w:rsidRDefault="00032D13" w:rsidP="008241B5">
                  <w:pPr>
                    <w:keepLines/>
                    <w:rPr>
                      <w:rFonts w:ascii="Arial Narrow" w:eastAsiaTheme="majorEastAsia" w:hAnsi="Arial Narrow" w:cstheme="majorBidi"/>
                      <w:sz w:val="18"/>
                      <w:szCs w:val="18"/>
                      <w:u w:val="single"/>
                      <w:lang w:val="en-US"/>
                    </w:rPr>
                  </w:pPr>
                  <w:r w:rsidRPr="00C54280">
                    <w:rPr>
                      <w:rFonts w:ascii="Arial Narrow" w:eastAsiaTheme="majorEastAsia" w:hAnsi="Arial Narrow" w:cstheme="majorBidi"/>
                      <w:sz w:val="18"/>
                      <w:szCs w:val="18"/>
                      <w:u w:val="single"/>
                      <w:lang w:val="en-US"/>
                    </w:rPr>
                    <w:t>2315</w:t>
                  </w:r>
                </w:p>
              </w:tc>
            </w:tr>
          </w:tbl>
          <w:p w14:paraId="645CA1BE" w14:textId="559D6E85" w:rsidR="001375D8" w:rsidRPr="00C54280" w:rsidRDefault="001375D8" w:rsidP="008241B5">
            <w:pPr>
              <w:keepLines/>
              <w:rPr>
                <w:rFonts w:ascii="Arial Narrow" w:eastAsiaTheme="majorEastAsia" w:hAnsi="Arial Narrow" w:cstheme="majorBidi"/>
                <w:bCs/>
                <w:iCs/>
                <w:sz w:val="20"/>
              </w:rPr>
            </w:pPr>
          </w:p>
        </w:tc>
      </w:tr>
      <w:tr w:rsidR="001375D8" w:rsidRPr="00624B52" w14:paraId="1E7E7BD5" w14:textId="77777777" w:rsidTr="00122F4D">
        <w:tc>
          <w:tcPr>
            <w:tcW w:w="1555" w:type="dxa"/>
            <w:vAlign w:val="center"/>
          </w:tcPr>
          <w:p w14:paraId="6DEAD54D"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Prevalent patients</w:t>
            </w:r>
          </w:p>
        </w:tc>
        <w:tc>
          <w:tcPr>
            <w:tcW w:w="1317" w:type="dxa"/>
            <w:vAlign w:val="center"/>
          </w:tcPr>
          <w:p w14:paraId="6505EDCC"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1: 1,643</w:t>
            </w:r>
          </w:p>
          <w:p w14:paraId="2F808AA5" w14:textId="77777777" w:rsidR="001375D8" w:rsidRPr="00C54280" w:rsidRDefault="001375D8" w:rsidP="008241B5">
            <w:pPr>
              <w:keepLines/>
              <w:jc w:val="left"/>
              <w:rPr>
                <w:rFonts w:ascii="Arial Narrow" w:eastAsiaTheme="majorEastAsia" w:hAnsi="Arial Narrow" w:cstheme="majorBidi"/>
                <w:bCs/>
                <w:sz w:val="20"/>
              </w:rPr>
            </w:pPr>
            <w:r w:rsidRPr="00C54280">
              <w:rPr>
                <w:rFonts w:ascii="Arial Narrow" w:eastAsiaTheme="majorEastAsia" w:hAnsi="Arial Narrow" w:cstheme="majorBidi"/>
                <w:bCs/>
                <w:sz w:val="20"/>
              </w:rPr>
              <w:t>Yr 2: 1,676</w:t>
            </w:r>
          </w:p>
        </w:tc>
        <w:tc>
          <w:tcPr>
            <w:tcW w:w="2376" w:type="dxa"/>
            <w:vAlign w:val="center"/>
          </w:tcPr>
          <w:p w14:paraId="7153A61E" w14:textId="43AE3D66"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Based on a survival rate of 79.3% for patients with locally advanced or metastatic disease treated with CDK 4/6 inhibitors, applied to incident patients in years 2024 and 2025.</w:t>
            </w:r>
            <w:r w:rsidR="008241B5">
              <w:rPr>
                <w:rFonts w:ascii="Arial Narrow" w:eastAsiaTheme="majorEastAsia" w:hAnsi="Arial Narrow" w:cstheme="majorBidi"/>
                <w:bCs/>
                <w:sz w:val="20"/>
              </w:rPr>
              <w:t xml:space="preserve"> </w:t>
            </w:r>
          </w:p>
        </w:tc>
        <w:tc>
          <w:tcPr>
            <w:tcW w:w="3768" w:type="dxa"/>
            <w:vAlign w:val="center"/>
          </w:tcPr>
          <w:p w14:paraId="3118C65C" w14:textId="13A5C367" w:rsidR="001375D8" w:rsidRPr="00C54280" w:rsidRDefault="001375D8" w:rsidP="008241B5">
            <w:pPr>
              <w:keepLines/>
              <w:jc w:val="left"/>
              <w:rPr>
                <w:rFonts w:ascii="Arial Narrow" w:eastAsiaTheme="majorEastAsia" w:hAnsi="Arial Narrow" w:cstheme="majorBidi"/>
                <w:bCs/>
                <w:iCs/>
                <w:sz w:val="20"/>
              </w:rPr>
            </w:pPr>
            <w:r w:rsidRPr="00C54280">
              <w:rPr>
                <w:rFonts w:ascii="Arial Narrow" w:eastAsiaTheme="majorEastAsia" w:hAnsi="Arial Narrow" w:cstheme="majorBidi"/>
                <w:bCs/>
                <w:sz w:val="20"/>
              </w:rPr>
              <w:t>Th</w:t>
            </w:r>
            <w:r w:rsidR="003A33A8" w:rsidRPr="00C54280">
              <w:rPr>
                <w:rFonts w:ascii="Arial Narrow" w:eastAsiaTheme="majorEastAsia" w:hAnsi="Arial Narrow" w:cstheme="majorBidi"/>
                <w:bCs/>
                <w:sz w:val="20"/>
              </w:rPr>
              <w:t xml:space="preserve">e </w:t>
            </w:r>
            <w:r w:rsidR="00D85B8B" w:rsidRPr="00C54280">
              <w:rPr>
                <w:rFonts w:ascii="Arial Narrow" w:eastAsiaTheme="majorEastAsia" w:hAnsi="Arial Narrow" w:cstheme="majorBidi"/>
                <w:bCs/>
                <w:sz w:val="20"/>
              </w:rPr>
              <w:t>Sub-Committees</w:t>
            </w:r>
            <w:r w:rsidR="006E34F6" w:rsidRPr="00C54280">
              <w:rPr>
                <w:rFonts w:ascii="Arial Narrow" w:eastAsiaTheme="majorEastAsia" w:hAnsi="Arial Narrow" w:cstheme="majorBidi"/>
                <w:bCs/>
                <w:sz w:val="20"/>
              </w:rPr>
              <w:t xml:space="preserve"> </w:t>
            </w:r>
            <w:r w:rsidR="003A33A8" w:rsidRPr="00C54280">
              <w:rPr>
                <w:rFonts w:ascii="Arial Narrow" w:eastAsiaTheme="majorEastAsia" w:hAnsi="Arial Narrow" w:cstheme="majorBidi"/>
                <w:bCs/>
                <w:sz w:val="20"/>
              </w:rPr>
              <w:t xml:space="preserve">agreed with the evaluation that </w:t>
            </w:r>
            <w:r w:rsidR="003A33A8" w:rsidRPr="00C54280">
              <w:rPr>
                <w:rFonts w:ascii="Arial Narrow" w:eastAsiaTheme="majorEastAsia" w:hAnsi="Arial Narrow" w:cstheme="majorBidi"/>
                <w:bCs/>
                <w:iCs/>
                <w:sz w:val="20"/>
              </w:rPr>
              <w:t>this</w:t>
            </w:r>
            <w:r w:rsidRPr="00C54280">
              <w:rPr>
                <w:rFonts w:ascii="Arial Narrow" w:eastAsiaTheme="majorEastAsia" w:hAnsi="Arial Narrow" w:cstheme="majorBidi"/>
                <w:bCs/>
                <w:iCs/>
                <w:sz w:val="20"/>
              </w:rPr>
              <w:t xml:space="preserve"> was reasonable, noting that a proportion of these patients may have been treated with T-</w:t>
            </w:r>
            <w:proofErr w:type="spellStart"/>
            <w:r w:rsidRPr="00C54280">
              <w:rPr>
                <w:rFonts w:ascii="Arial Narrow" w:eastAsiaTheme="majorEastAsia" w:hAnsi="Arial Narrow" w:cstheme="majorBidi"/>
                <w:bCs/>
                <w:iCs/>
                <w:sz w:val="20"/>
              </w:rPr>
              <w:t>DXd</w:t>
            </w:r>
            <w:proofErr w:type="spellEnd"/>
            <w:r w:rsidRPr="00C54280">
              <w:rPr>
                <w:rFonts w:ascii="Arial Narrow" w:eastAsiaTheme="majorEastAsia" w:hAnsi="Arial Narrow" w:cstheme="majorBidi"/>
                <w:bCs/>
                <w:iCs/>
                <w:sz w:val="20"/>
              </w:rPr>
              <w:t xml:space="preserve"> in the 3L setting. </w:t>
            </w:r>
          </w:p>
        </w:tc>
      </w:tr>
      <w:tr w:rsidR="001375D8" w:rsidRPr="00624B52" w14:paraId="35C5C4C0" w14:textId="77777777" w:rsidTr="00122F4D">
        <w:tc>
          <w:tcPr>
            <w:tcW w:w="9016" w:type="dxa"/>
            <w:gridSpan w:val="4"/>
            <w:vAlign w:val="center"/>
          </w:tcPr>
          <w:p w14:paraId="75616DFF" w14:textId="77777777" w:rsidR="001375D8" w:rsidRPr="001375D8" w:rsidRDefault="001375D8" w:rsidP="008241B5">
            <w:pPr>
              <w:keepLines/>
              <w:jc w:val="left"/>
              <w:rPr>
                <w:rFonts w:ascii="Arial Narrow" w:eastAsiaTheme="majorEastAsia" w:hAnsi="Arial Narrow" w:cs="Times New Roman"/>
                <w:b/>
                <w:iCs/>
                <w:sz w:val="20"/>
                <w:lang w:val="en-US"/>
              </w:rPr>
            </w:pPr>
            <w:r w:rsidRPr="001375D8">
              <w:rPr>
                <w:rFonts w:ascii="Arial Narrow" w:eastAsiaTheme="majorEastAsia" w:hAnsi="Arial Narrow" w:cs="Times New Roman"/>
                <w:b/>
                <w:iCs/>
                <w:sz w:val="20"/>
                <w:lang w:val="en-US"/>
              </w:rPr>
              <w:t xml:space="preserve">Population 1a: HR-positive, HER2-low patients </w:t>
            </w:r>
          </w:p>
        </w:tc>
      </w:tr>
      <w:tr w:rsidR="001375D8" w:rsidRPr="00624B52" w14:paraId="4D50400B" w14:textId="77777777" w:rsidTr="00122F4D">
        <w:tc>
          <w:tcPr>
            <w:tcW w:w="1555" w:type="dxa"/>
            <w:vAlign w:val="center"/>
          </w:tcPr>
          <w:p w14:paraId="7F19CFFD"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Proportion of HR positive/HER2 negative BC with HER2 low</w:t>
            </w:r>
          </w:p>
        </w:tc>
        <w:tc>
          <w:tcPr>
            <w:tcW w:w="1317" w:type="dxa"/>
            <w:vAlign w:val="center"/>
          </w:tcPr>
          <w:p w14:paraId="1C4D1FBD"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65.4% of incident and prevalent patients</w:t>
            </w:r>
          </w:p>
        </w:tc>
        <w:tc>
          <w:tcPr>
            <w:tcW w:w="2376" w:type="dxa"/>
            <w:vAlign w:val="center"/>
          </w:tcPr>
          <w:p w14:paraId="55C74ED4"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Based on DUSC advice (paragraph 4.27, T-</w:t>
            </w:r>
            <w:proofErr w:type="spellStart"/>
            <w:r w:rsidRPr="00624B52">
              <w:rPr>
                <w:rFonts w:ascii="Arial Narrow" w:eastAsiaTheme="majorEastAsia" w:hAnsi="Arial Narrow" w:cstheme="majorBidi"/>
                <w:bCs/>
                <w:sz w:val="20"/>
              </w:rPr>
              <w:t>DXd</w:t>
            </w:r>
            <w:proofErr w:type="spellEnd"/>
            <w:r w:rsidRPr="00624B52">
              <w:rPr>
                <w:rFonts w:ascii="Arial Narrow" w:eastAsiaTheme="majorEastAsia" w:hAnsi="Arial Narrow" w:cstheme="majorBidi"/>
                <w:bCs/>
                <w:sz w:val="20"/>
              </w:rPr>
              <w:t xml:space="preserve"> PSD, March 2024 PBAC Meeting).</w:t>
            </w:r>
          </w:p>
        </w:tc>
        <w:tc>
          <w:tcPr>
            <w:tcW w:w="3768" w:type="dxa"/>
            <w:vAlign w:val="center"/>
          </w:tcPr>
          <w:p w14:paraId="5A280B8F" w14:textId="77777777" w:rsidR="001375D8" w:rsidRPr="001375D8" w:rsidRDefault="001375D8" w:rsidP="008241B5">
            <w:pPr>
              <w:keepLines/>
              <w:jc w:val="left"/>
              <w:rPr>
                <w:rFonts w:ascii="Arial Narrow" w:eastAsiaTheme="majorEastAsia" w:hAnsi="Arial Narrow" w:cstheme="majorBidi"/>
                <w:bCs/>
                <w:iCs/>
                <w:sz w:val="20"/>
              </w:rPr>
            </w:pPr>
            <w:r w:rsidRPr="001375D8">
              <w:rPr>
                <w:rFonts w:ascii="Arial Narrow" w:eastAsiaTheme="majorEastAsia" w:hAnsi="Arial Narrow" w:cstheme="majorBidi"/>
                <w:bCs/>
                <w:iCs/>
                <w:sz w:val="20"/>
              </w:rPr>
              <w:t>This was consistent with published literature on the incidence of HER2-low BC.</w:t>
            </w:r>
          </w:p>
        </w:tc>
      </w:tr>
      <w:tr w:rsidR="001375D8" w:rsidRPr="00624B52" w14:paraId="4C140951" w14:textId="77777777" w:rsidTr="00122F4D">
        <w:tc>
          <w:tcPr>
            <w:tcW w:w="9016" w:type="dxa"/>
            <w:gridSpan w:val="4"/>
            <w:vAlign w:val="center"/>
          </w:tcPr>
          <w:p w14:paraId="1AB5D0B2" w14:textId="77777777" w:rsidR="001375D8" w:rsidRPr="001375D8" w:rsidRDefault="001375D8" w:rsidP="008241B5">
            <w:pPr>
              <w:keepLines/>
              <w:jc w:val="left"/>
              <w:rPr>
                <w:rFonts w:ascii="Arial Narrow" w:eastAsiaTheme="majorEastAsia" w:hAnsi="Arial Narrow" w:cstheme="majorBidi"/>
                <w:b/>
                <w:iCs/>
                <w:sz w:val="20"/>
              </w:rPr>
            </w:pPr>
            <w:r w:rsidRPr="001375D8">
              <w:rPr>
                <w:rFonts w:ascii="Arial Narrow" w:eastAsiaTheme="majorEastAsia" w:hAnsi="Arial Narrow" w:cstheme="majorBidi"/>
                <w:b/>
                <w:iCs/>
                <w:sz w:val="20"/>
              </w:rPr>
              <w:t>Population 1b: HR-positive, HER2-ultralow patients</w:t>
            </w:r>
          </w:p>
        </w:tc>
      </w:tr>
      <w:tr w:rsidR="001375D8" w:rsidRPr="00624B52" w14:paraId="52DB86E5" w14:textId="77777777" w:rsidTr="00122F4D">
        <w:tc>
          <w:tcPr>
            <w:tcW w:w="1555" w:type="dxa"/>
            <w:vAlign w:val="center"/>
          </w:tcPr>
          <w:p w14:paraId="37B63B4C"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Proportion of IHC 0 BC patients</w:t>
            </w:r>
          </w:p>
        </w:tc>
        <w:tc>
          <w:tcPr>
            <w:tcW w:w="1317" w:type="dxa"/>
            <w:vAlign w:val="center"/>
          </w:tcPr>
          <w:p w14:paraId="650DA866"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34.6% of incident and prevalent patients</w:t>
            </w:r>
          </w:p>
        </w:tc>
        <w:tc>
          <w:tcPr>
            <w:tcW w:w="2376" w:type="dxa"/>
            <w:vAlign w:val="center"/>
          </w:tcPr>
          <w:p w14:paraId="5802506E"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Calculated as 100%</w:t>
            </w:r>
            <w:r>
              <w:rPr>
                <w:rFonts w:ascii="Arial Narrow" w:eastAsiaTheme="majorEastAsia" w:hAnsi="Arial Narrow" w:cstheme="majorBidi"/>
                <w:bCs/>
                <w:sz w:val="20"/>
              </w:rPr>
              <w:t xml:space="preserve"> minus</w:t>
            </w:r>
            <w:r w:rsidRPr="00624B52">
              <w:rPr>
                <w:rFonts w:ascii="Arial Narrow" w:eastAsiaTheme="majorEastAsia" w:hAnsi="Arial Narrow" w:cstheme="majorBidi"/>
                <w:bCs/>
                <w:sz w:val="20"/>
              </w:rPr>
              <w:t xml:space="preserve"> the proportion of patients with HER2-low cancer (65.4%).</w:t>
            </w:r>
          </w:p>
        </w:tc>
        <w:tc>
          <w:tcPr>
            <w:tcW w:w="3768" w:type="dxa"/>
            <w:vAlign w:val="center"/>
          </w:tcPr>
          <w:p w14:paraId="6BD48412" w14:textId="59460D26" w:rsidR="001375D8" w:rsidRPr="001375D8" w:rsidRDefault="003259A4" w:rsidP="008241B5">
            <w:pPr>
              <w:keepLines/>
              <w:jc w:val="left"/>
              <w:rPr>
                <w:rFonts w:ascii="Arial Narrow" w:eastAsiaTheme="majorEastAsia" w:hAnsi="Arial Narrow" w:cstheme="majorBidi"/>
                <w:bCs/>
                <w:iCs/>
                <w:sz w:val="20"/>
              </w:rPr>
            </w:pPr>
            <w:r w:rsidRPr="00B13CE3">
              <w:rPr>
                <w:rFonts w:ascii="Arial Narrow" w:eastAsiaTheme="majorEastAsia" w:hAnsi="Arial Narrow" w:cstheme="majorBidi"/>
                <w:bCs/>
                <w:sz w:val="20"/>
              </w:rPr>
              <w:t xml:space="preserve">The </w:t>
            </w:r>
            <w:r w:rsidR="00D85B8B" w:rsidRPr="00B13CE3">
              <w:rPr>
                <w:rFonts w:ascii="Arial Narrow" w:eastAsiaTheme="majorEastAsia" w:hAnsi="Arial Narrow" w:cstheme="majorBidi"/>
                <w:bCs/>
                <w:sz w:val="20"/>
              </w:rPr>
              <w:t>Sub-Committees</w:t>
            </w:r>
            <w:r w:rsidR="006E34F6" w:rsidRPr="00B13CE3">
              <w:rPr>
                <w:rFonts w:ascii="Arial Narrow" w:eastAsiaTheme="majorEastAsia" w:hAnsi="Arial Narrow" w:cstheme="majorBidi"/>
                <w:bCs/>
                <w:sz w:val="20"/>
              </w:rPr>
              <w:t xml:space="preserve"> </w:t>
            </w:r>
            <w:r w:rsidRPr="00B13CE3">
              <w:rPr>
                <w:rFonts w:ascii="Arial Narrow" w:eastAsiaTheme="majorEastAsia" w:hAnsi="Arial Narrow" w:cstheme="majorBidi"/>
                <w:bCs/>
                <w:sz w:val="20"/>
              </w:rPr>
              <w:t xml:space="preserve">agreed with the evaluation that </w:t>
            </w:r>
            <w:r w:rsidRPr="003259A4">
              <w:rPr>
                <w:rFonts w:ascii="Arial Narrow" w:eastAsiaTheme="majorEastAsia" w:hAnsi="Arial Narrow" w:cstheme="majorBidi"/>
                <w:bCs/>
                <w:iCs/>
                <w:sz w:val="20"/>
              </w:rPr>
              <w:t>this</w:t>
            </w:r>
            <w:r w:rsidRPr="001375D8">
              <w:rPr>
                <w:rFonts w:ascii="Arial Narrow" w:eastAsiaTheme="majorEastAsia" w:hAnsi="Arial Narrow" w:cstheme="majorBidi"/>
                <w:bCs/>
                <w:iCs/>
                <w:sz w:val="20"/>
              </w:rPr>
              <w:t xml:space="preserve"> was reasonable</w:t>
            </w:r>
            <w:r>
              <w:rPr>
                <w:rFonts w:ascii="Arial Narrow" w:eastAsiaTheme="majorEastAsia" w:hAnsi="Arial Narrow" w:cstheme="majorBidi"/>
                <w:bCs/>
                <w:iCs/>
                <w:sz w:val="20"/>
              </w:rPr>
              <w:t>.</w:t>
            </w:r>
          </w:p>
        </w:tc>
      </w:tr>
      <w:tr w:rsidR="001375D8" w:rsidRPr="00624B52" w14:paraId="4FC97667" w14:textId="77777777" w:rsidTr="00122F4D">
        <w:tc>
          <w:tcPr>
            <w:tcW w:w="1555" w:type="dxa"/>
            <w:vAlign w:val="center"/>
          </w:tcPr>
          <w:p w14:paraId="4AD2EFCF"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Proportion of IHC 0 BC with HER2 ultralow</w:t>
            </w:r>
          </w:p>
        </w:tc>
        <w:tc>
          <w:tcPr>
            <w:tcW w:w="1317" w:type="dxa"/>
            <w:vAlign w:val="center"/>
          </w:tcPr>
          <w:p w14:paraId="1946B244"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60% </w:t>
            </w:r>
          </w:p>
        </w:tc>
        <w:tc>
          <w:tcPr>
            <w:tcW w:w="2376" w:type="dxa"/>
            <w:vAlign w:val="center"/>
          </w:tcPr>
          <w:p w14:paraId="48319AEB"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Based on Mehta et. al </w:t>
            </w:r>
            <w:r>
              <w:rPr>
                <w:rFonts w:ascii="Arial Narrow" w:eastAsiaTheme="majorEastAsia" w:hAnsi="Arial Narrow" w:cstheme="majorBidi"/>
                <w:bCs/>
                <w:sz w:val="20"/>
              </w:rPr>
              <w:fldChar w:fldCharType="begin"/>
            </w:r>
            <w:r>
              <w:rPr>
                <w:rFonts w:ascii="Arial Narrow" w:eastAsiaTheme="majorEastAsia" w:hAnsi="Arial Narrow" w:cstheme="majorBidi"/>
                <w:bCs/>
                <w:sz w:val="20"/>
              </w:rPr>
              <w:instrText xml:space="preserve"> ADDIN EN.CITE &lt;EndNote&gt;&lt;Cite&gt;&lt;Author&gt;Mehta&lt;/Author&gt;&lt;Year&gt;2024&lt;/Year&gt;&lt;RecNum&gt;20&lt;/RecNum&gt;&lt;DisplayText&gt;&lt;style face="superscript"&gt;15&lt;/style&gt;&lt;/DisplayText&gt;&lt;record&gt;&lt;rec-number&gt;20&lt;/rec-number&gt;&lt;foreign-keys&gt;&lt;key app="EN" db-id="205dpff98fzdf0e2zz2x25erzwv2ddrxf9av" timestamp="1766380583"&gt;20&lt;/key&gt;&lt;/foreign-keys&gt;&lt;ref-type name="Journal Article"&gt;17&lt;/ref-type&gt;&lt;contributors&gt;&lt;authors&gt;&lt;author&gt;Sandhya Mehta&lt;/author&gt;&lt;author&gt;Anushree Iyengar&lt;/author&gt;&lt;author&gt;Hannah Barman&lt;/author&gt;&lt;author&gt;Nivedita Rangarajan&lt;/author&gt;&lt;author&gt;Michele Sue-Ann Woo&lt;/author&gt;&lt;author&gt;Simone T. Sredni&lt;/author&gt;&lt;author&gt;Rosemarie Di Donato&lt;/author&gt;&lt;author&gt;Safak Simsek&lt;/author&gt;&lt;author&gt;Erinn P. Downs&lt;/author&gt;&lt;author&gt;Aziza Nassar&lt;/author&gt;&lt;author&gt;Darren M. Wilson&lt;/author&gt;&lt;author&gt;Katherine Krieser&lt;/author&gt;&lt;author&gt;Elise Bieri Patzke&lt;/author&gt;&lt;author&gt;Natalie Kyek&lt;/author&gt;&lt;author&gt;Jason Hipp&lt;/author&gt;&lt;author&gt;Tyler Wagner&lt;/author&gt;&lt;/authors&gt;&lt;/contributors&gt;&lt;titles&gt;&lt;title&gt;Prevalence of “HER2 ultra-low” among patients with advanced breast cancer with historical IHC0 status&lt;/title&gt;&lt;secondary-title&gt;Journal of Clinical Oncology&lt;/secondary-title&gt;&lt;/titles&gt;&lt;periodical&gt;&lt;full-title&gt;Journal of Clinical Oncology&lt;/full-title&gt;&lt;/periodical&gt;&lt;pages&gt;e13156-e13156&lt;/pages&gt;&lt;volume&gt;42&lt;/volume&gt;&lt;number&gt;16_suppl&lt;/number&gt;&lt;dates&gt;&lt;year&gt;2024&lt;/year&gt;&lt;/dates&gt;&lt;urls&gt;&lt;related-urls&gt;&lt;url&gt;https://ascopubs.org/doi/abs/10.1200/JCO.2024.42.16_suppl.e13156&lt;/url&gt;&lt;/related-urls&gt;&lt;/urls&gt;&lt;electronic-resource-num&gt;10.1200/JCO.2024.42.16_suppl.e13156&lt;/electronic-resource-num&gt;&lt;/record&gt;&lt;/Cite&gt;&lt;/EndNote&gt;</w:instrText>
            </w:r>
            <w:r>
              <w:rPr>
                <w:rFonts w:ascii="Arial Narrow" w:eastAsiaTheme="majorEastAsia" w:hAnsi="Arial Narrow" w:cstheme="majorBidi"/>
                <w:bCs/>
                <w:sz w:val="20"/>
              </w:rPr>
              <w:fldChar w:fldCharType="separate"/>
            </w:r>
            <w:r w:rsidRPr="00753D31">
              <w:rPr>
                <w:rFonts w:ascii="Arial Narrow" w:eastAsiaTheme="majorEastAsia" w:hAnsi="Arial Narrow" w:cstheme="majorBidi"/>
                <w:bCs/>
                <w:noProof/>
                <w:sz w:val="20"/>
                <w:vertAlign w:val="superscript"/>
              </w:rPr>
              <w:t>15</w:t>
            </w:r>
            <w:r>
              <w:rPr>
                <w:rFonts w:ascii="Arial Narrow" w:eastAsiaTheme="majorEastAsia" w:hAnsi="Arial Narrow" w:cstheme="majorBidi"/>
                <w:bCs/>
                <w:sz w:val="20"/>
              </w:rPr>
              <w:fldChar w:fldCharType="end"/>
            </w:r>
          </w:p>
        </w:tc>
        <w:tc>
          <w:tcPr>
            <w:tcW w:w="3768" w:type="dxa"/>
            <w:vAlign w:val="center"/>
          </w:tcPr>
          <w:p w14:paraId="3210F666" w14:textId="6F7356A0" w:rsidR="001375D8" w:rsidRPr="001375D8" w:rsidRDefault="003259A4" w:rsidP="008241B5">
            <w:pPr>
              <w:keepLines/>
              <w:jc w:val="left"/>
              <w:rPr>
                <w:rFonts w:ascii="Arial Narrow" w:eastAsiaTheme="majorEastAsia" w:hAnsi="Arial Narrow" w:cstheme="majorBidi"/>
                <w:bCs/>
                <w:iCs/>
                <w:sz w:val="20"/>
              </w:rPr>
            </w:pPr>
            <w:r w:rsidRPr="00B13CE3">
              <w:rPr>
                <w:rFonts w:ascii="Arial Narrow" w:eastAsiaTheme="majorEastAsia" w:hAnsi="Arial Narrow" w:cstheme="majorBidi"/>
                <w:bCs/>
                <w:sz w:val="20"/>
              </w:rPr>
              <w:t xml:space="preserve">The </w:t>
            </w:r>
            <w:r w:rsidR="00D85B8B" w:rsidRPr="00B13CE3">
              <w:rPr>
                <w:rFonts w:ascii="Arial Narrow" w:eastAsiaTheme="majorEastAsia" w:hAnsi="Arial Narrow" w:cstheme="majorBidi"/>
                <w:bCs/>
                <w:sz w:val="20"/>
              </w:rPr>
              <w:t>Sub-Committees</w:t>
            </w:r>
            <w:r w:rsidR="006E34F6" w:rsidRPr="00B13CE3">
              <w:rPr>
                <w:rFonts w:ascii="Arial Narrow" w:eastAsiaTheme="majorEastAsia" w:hAnsi="Arial Narrow" w:cstheme="majorBidi"/>
                <w:bCs/>
                <w:sz w:val="20"/>
              </w:rPr>
              <w:t xml:space="preserve"> </w:t>
            </w:r>
            <w:r w:rsidRPr="00B13CE3">
              <w:rPr>
                <w:rFonts w:ascii="Arial Narrow" w:eastAsiaTheme="majorEastAsia" w:hAnsi="Arial Narrow" w:cstheme="majorBidi"/>
                <w:bCs/>
                <w:sz w:val="20"/>
              </w:rPr>
              <w:t xml:space="preserve">agreed with the evaluation that </w:t>
            </w:r>
            <w:r w:rsidRPr="003259A4">
              <w:rPr>
                <w:rFonts w:ascii="Arial Narrow" w:eastAsiaTheme="majorEastAsia" w:hAnsi="Arial Narrow" w:cstheme="majorBidi"/>
                <w:bCs/>
                <w:iCs/>
                <w:sz w:val="20"/>
              </w:rPr>
              <w:t>this</w:t>
            </w:r>
            <w:r w:rsidRPr="001375D8">
              <w:rPr>
                <w:rFonts w:ascii="Arial Narrow" w:eastAsiaTheme="majorEastAsia" w:hAnsi="Arial Narrow" w:cstheme="majorBidi"/>
                <w:bCs/>
                <w:iCs/>
                <w:sz w:val="20"/>
              </w:rPr>
              <w:t xml:space="preserve"> was reasonable</w:t>
            </w:r>
            <w:r>
              <w:rPr>
                <w:rFonts w:ascii="Arial Narrow" w:eastAsiaTheme="majorEastAsia" w:hAnsi="Arial Narrow" w:cstheme="majorBidi"/>
                <w:bCs/>
                <w:iCs/>
                <w:sz w:val="20"/>
              </w:rPr>
              <w:t>.</w:t>
            </w:r>
          </w:p>
        </w:tc>
      </w:tr>
      <w:tr w:rsidR="001375D8" w:rsidRPr="00624B52" w14:paraId="148CE8FC" w14:textId="77777777" w:rsidTr="00122F4D">
        <w:tc>
          <w:tcPr>
            <w:tcW w:w="9016" w:type="dxa"/>
            <w:gridSpan w:val="4"/>
            <w:vAlign w:val="center"/>
          </w:tcPr>
          <w:p w14:paraId="7ED034F7" w14:textId="0B6DC14D" w:rsidR="001375D8" w:rsidRPr="001375D8" w:rsidRDefault="001375D8" w:rsidP="008241B5">
            <w:pPr>
              <w:keepLines/>
              <w:jc w:val="left"/>
              <w:rPr>
                <w:rFonts w:ascii="Arial Narrow" w:eastAsiaTheme="majorEastAsia" w:hAnsi="Arial Narrow" w:cstheme="majorBidi"/>
                <w:b/>
                <w:iCs/>
                <w:sz w:val="20"/>
              </w:rPr>
            </w:pPr>
            <w:r w:rsidRPr="001375D8">
              <w:rPr>
                <w:rFonts w:ascii="Arial Narrow" w:eastAsiaTheme="majorEastAsia" w:hAnsi="Arial Narrow" w:cstheme="majorBidi"/>
                <w:b/>
                <w:iCs/>
                <w:sz w:val="20"/>
              </w:rPr>
              <w:t>Treated population</w:t>
            </w:r>
          </w:p>
        </w:tc>
      </w:tr>
      <w:tr w:rsidR="001375D8" w:rsidRPr="00624B52" w14:paraId="2DCCB154" w14:textId="77777777" w:rsidTr="00122F4D">
        <w:tc>
          <w:tcPr>
            <w:tcW w:w="1555" w:type="dxa"/>
            <w:vAlign w:val="center"/>
          </w:tcPr>
          <w:p w14:paraId="7CD2CBC2"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Proportion of patients for whom T</w:t>
            </w:r>
            <w:r w:rsidRPr="00624B52">
              <w:rPr>
                <w:rFonts w:ascii="Arial Narrow" w:eastAsiaTheme="majorEastAsia" w:hAnsi="Arial Narrow" w:cstheme="majorBidi"/>
                <w:bCs/>
                <w:sz w:val="20"/>
              </w:rPr>
              <w:noBreakHyphen/>
            </w:r>
            <w:proofErr w:type="spellStart"/>
            <w:r w:rsidRPr="00624B52">
              <w:rPr>
                <w:rFonts w:ascii="Arial Narrow" w:eastAsiaTheme="majorEastAsia" w:hAnsi="Arial Narrow" w:cstheme="majorBidi"/>
                <w:bCs/>
                <w:sz w:val="20"/>
              </w:rPr>
              <w:t>DXd</w:t>
            </w:r>
            <w:proofErr w:type="spellEnd"/>
            <w:r w:rsidRPr="00624B52">
              <w:rPr>
                <w:rFonts w:ascii="Arial Narrow" w:eastAsiaTheme="majorEastAsia" w:hAnsi="Arial Narrow" w:cstheme="majorBidi"/>
                <w:bCs/>
                <w:sz w:val="20"/>
              </w:rPr>
              <w:t xml:space="preserve"> is clinically appropriate</w:t>
            </w:r>
          </w:p>
        </w:tc>
        <w:tc>
          <w:tcPr>
            <w:tcW w:w="1317" w:type="dxa"/>
            <w:vAlign w:val="center"/>
          </w:tcPr>
          <w:p w14:paraId="3DDFC4DE"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90% of HER2-low and HER2-ultralow patients (incident and prevalent</w:t>
            </w:r>
            <w:r>
              <w:rPr>
                <w:rFonts w:ascii="Arial Narrow" w:eastAsiaTheme="majorEastAsia" w:hAnsi="Arial Narrow" w:cstheme="majorBidi"/>
                <w:bCs/>
                <w:sz w:val="20"/>
              </w:rPr>
              <w:t>)</w:t>
            </w:r>
            <w:r w:rsidRPr="00624B52">
              <w:rPr>
                <w:rFonts w:ascii="Arial Narrow" w:eastAsiaTheme="majorEastAsia" w:hAnsi="Arial Narrow" w:cstheme="majorBidi"/>
                <w:bCs/>
                <w:sz w:val="20"/>
              </w:rPr>
              <w:t xml:space="preserve"> </w:t>
            </w:r>
          </w:p>
        </w:tc>
        <w:tc>
          <w:tcPr>
            <w:tcW w:w="2376" w:type="dxa"/>
            <w:vAlign w:val="center"/>
          </w:tcPr>
          <w:p w14:paraId="4C9047FF"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Assumption </w:t>
            </w:r>
          </w:p>
        </w:tc>
        <w:tc>
          <w:tcPr>
            <w:tcW w:w="3768" w:type="dxa"/>
            <w:vAlign w:val="center"/>
          </w:tcPr>
          <w:p w14:paraId="5626E930" w14:textId="44337251" w:rsidR="00072A34" w:rsidRPr="00072A34" w:rsidRDefault="003259A4" w:rsidP="008241B5">
            <w:pPr>
              <w:keepLines/>
              <w:jc w:val="left"/>
              <w:rPr>
                <w:rFonts w:ascii="Arial Narrow" w:eastAsiaTheme="majorEastAsia" w:hAnsi="Arial Narrow" w:cstheme="majorBidi"/>
                <w:i/>
                <w:sz w:val="20"/>
                <w:szCs w:val="20"/>
              </w:rPr>
            </w:pPr>
            <w:r>
              <w:rPr>
                <w:rFonts w:ascii="Arial Narrow" w:eastAsiaTheme="majorEastAsia" w:hAnsi="Arial Narrow" w:cstheme="majorBidi"/>
                <w:bCs/>
                <w:iCs/>
                <w:sz w:val="20"/>
              </w:rPr>
              <w:t xml:space="preserve">The </w:t>
            </w:r>
            <w:r w:rsidR="001375D8" w:rsidRPr="001375D8">
              <w:rPr>
                <w:rFonts w:ascii="Arial Narrow" w:eastAsiaTheme="majorEastAsia" w:hAnsi="Arial Narrow" w:cstheme="majorBidi"/>
                <w:bCs/>
                <w:iCs/>
                <w:sz w:val="20"/>
              </w:rPr>
              <w:t>PBAC has previously noted that 80% of patients would be considered suitable for T-</w:t>
            </w:r>
            <w:proofErr w:type="spellStart"/>
            <w:r w:rsidR="001375D8" w:rsidRPr="001375D8">
              <w:rPr>
                <w:rFonts w:ascii="Arial Narrow" w:eastAsiaTheme="majorEastAsia" w:hAnsi="Arial Narrow" w:cstheme="majorBidi"/>
                <w:bCs/>
                <w:iCs/>
                <w:sz w:val="20"/>
              </w:rPr>
              <w:t>DXd</w:t>
            </w:r>
            <w:proofErr w:type="spellEnd"/>
            <w:r w:rsidR="001375D8" w:rsidRPr="001375D8">
              <w:rPr>
                <w:rFonts w:ascii="Arial Narrow" w:eastAsiaTheme="majorEastAsia" w:hAnsi="Arial Narrow" w:cstheme="majorBidi"/>
                <w:bCs/>
                <w:iCs/>
                <w:sz w:val="20"/>
              </w:rPr>
              <w:t xml:space="preserve"> in the 3L setting. </w:t>
            </w:r>
            <w:r w:rsidR="00072A34" w:rsidRPr="00B13CE3">
              <w:rPr>
                <w:rFonts w:ascii="Arial Narrow" w:eastAsiaTheme="majorEastAsia" w:hAnsi="Arial Narrow" w:cstheme="majorBidi"/>
                <w:sz w:val="20"/>
                <w:szCs w:val="20"/>
              </w:rPr>
              <w:t xml:space="preserve">The </w:t>
            </w:r>
            <w:r w:rsidR="00D85B8B" w:rsidRPr="00B13CE3">
              <w:rPr>
                <w:rFonts w:ascii="Arial Narrow" w:eastAsiaTheme="majorEastAsia" w:hAnsi="Arial Narrow" w:cstheme="majorBidi"/>
                <w:sz w:val="20"/>
                <w:szCs w:val="20"/>
              </w:rPr>
              <w:t>Sub-Committees</w:t>
            </w:r>
            <w:r w:rsidR="006E34F6" w:rsidRPr="00B13CE3">
              <w:rPr>
                <w:rFonts w:ascii="Arial Narrow" w:eastAsiaTheme="majorEastAsia" w:hAnsi="Arial Narrow" w:cstheme="majorBidi"/>
                <w:sz w:val="20"/>
                <w:szCs w:val="20"/>
              </w:rPr>
              <w:t xml:space="preserve"> </w:t>
            </w:r>
            <w:r w:rsidR="00072A34" w:rsidRPr="00B13CE3">
              <w:rPr>
                <w:rFonts w:ascii="Arial Narrow" w:eastAsiaTheme="majorEastAsia" w:hAnsi="Arial Narrow" w:cstheme="majorBidi"/>
                <w:sz w:val="20"/>
                <w:szCs w:val="20"/>
              </w:rPr>
              <w:t>considered that 90% was reasonable</w:t>
            </w:r>
            <w:r w:rsidR="00B61147" w:rsidRPr="00B13CE3">
              <w:rPr>
                <w:rFonts w:ascii="Arial Narrow" w:eastAsiaTheme="majorEastAsia" w:hAnsi="Arial Narrow" w:cstheme="majorBidi"/>
                <w:sz w:val="20"/>
                <w:szCs w:val="20"/>
              </w:rPr>
              <w:t xml:space="preserve">, noting that </w:t>
            </w:r>
            <w:r w:rsidR="00B61147" w:rsidRPr="00B13CE3">
              <w:rPr>
                <w:rFonts w:ascii="Arial Narrow" w:eastAsiaTheme="majorEastAsia" w:hAnsi="Arial Narrow" w:cstheme="majorBidi"/>
                <w:sz w:val="20"/>
                <w:szCs w:val="20"/>
                <w:lang w:val="en-US"/>
              </w:rPr>
              <w:t xml:space="preserve">there will always be a </w:t>
            </w:r>
            <w:r w:rsidR="407492B3" w:rsidRPr="00B13CE3">
              <w:rPr>
                <w:rFonts w:ascii="Arial Narrow" w:eastAsiaTheme="majorEastAsia" w:hAnsi="Arial Narrow" w:cstheme="majorBidi"/>
                <w:iCs/>
                <w:sz w:val="20"/>
                <w:szCs w:val="20"/>
                <w:lang w:val="en-US"/>
              </w:rPr>
              <w:t>nontrivial</w:t>
            </w:r>
            <w:r w:rsidR="00B61147" w:rsidRPr="00B13CE3">
              <w:rPr>
                <w:rFonts w:ascii="Arial Narrow" w:eastAsiaTheme="majorEastAsia" w:hAnsi="Arial Narrow" w:cstheme="majorBidi"/>
                <w:sz w:val="20"/>
                <w:szCs w:val="20"/>
                <w:lang w:val="en-US"/>
              </w:rPr>
              <w:t xml:space="preserve"> proportion of patients unsuitable for T</w:t>
            </w:r>
            <w:r w:rsidR="00B61147" w:rsidRPr="00B13CE3">
              <w:rPr>
                <w:rFonts w:ascii="Arial Narrow" w:eastAsiaTheme="majorEastAsia" w:hAnsi="Arial Narrow" w:cstheme="majorBidi"/>
                <w:bCs/>
                <w:sz w:val="20"/>
                <w:lang w:val="en-US"/>
              </w:rPr>
              <w:noBreakHyphen/>
            </w:r>
            <w:proofErr w:type="spellStart"/>
            <w:r w:rsidR="00B61147" w:rsidRPr="00B13CE3">
              <w:rPr>
                <w:rFonts w:ascii="Arial Narrow" w:eastAsiaTheme="majorEastAsia" w:hAnsi="Arial Narrow" w:cstheme="majorBidi"/>
                <w:sz w:val="20"/>
                <w:szCs w:val="20"/>
                <w:lang w:val="en-US"/>
              </w:rPr>
              <w:t>DXd</w:t>
            </w:r>
            <w:proofErr w:type="spellEnd"/>
            <w:r w:rsidR="00B61147" w:rsidRPr="00B13CE3">
              <w:rPr>
                <w:rFonts w:ascii="Arial Narrow" w:eastAsiaTheme="majorEastAsia" w:hAnsi="Arial Narrow" w:cstheme="majorBidi"/>
                <w:sz w:val="20"/>
                <w:szCs w:val="20"/>
                <w:lang w:val="en-US"/>
              </w:rPr>
              <w:t xml:space="preserve"> due to pulmonary, performance status, or other clinical factors.</w:t>
            </w:r>
          </w:p>
        </w:tc>
      </w:tr>
      <w:tr w:rsidR="001375D8" w:rsidRPr="00624B52" w14:paraId="6228F380" w14:textId="77777777" w:rsidTr="00122F4D">
        <w:tc>
          <w:tcPr>
            <w:tcW w:w="1555" w:type="dxa"/>
            <w:vAlign w:val="center"/>
          </w:tcPr>
          <w:p w14:paraId="20BBA3A8"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lastRenderedPageBreak/>
              <w:t>Proportion of patients treated with T-</w:t>
            </w:r>
            <w:proofErr w:type="spellStart"/>
            <w:r w:rsidRPr="00624B52">
              <w:rPr>
                <w:rFonts w:ascii="Arial Narrow" w:eastAsiaTheme="majorEastAsia" w:hAnsi="Arial Narrow" w:cstheme="majorBidi"/>
                <w:bCs/>
                <w:sz w:val="20"/>
              </w:rPr>
              <w:t>DXd</w:t>
            </w:r>
            <w:proofErr w:type="spellEnd"/>
          </w:p>
        </w:tc>
        <w:tc>
          <w:tcPr>
            <w:tcW w:w="1317" w:type="dxa"/>
            <w:vAlign w:val="center"/>
          </w:tcPr>
          <w:p w14:paraId="59822A17"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28.9%</w:t>
            </w:r>
          </w:p>
        </w:tc>
        <w:tc>
          <w:tcPr>
            <w:tcW w:w="2376" w:type="dxa"/>
            <w:vAlign w:val="center"/>
          </w:tcPr>
          <w:p w14:paraId="719587D3"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Based on the assumption that T-</w:t>
            </w:r>
            <w:proofErr w:type="spellStart"/>
            <w:r w:rsidRPr="00624B52">
              <w:rPr>
                <w:rFonts w:ascii="Arial Narrow" w:eastAsiaTheme="majorEastAsia" w:hAnsi="Arial Narrow" w:cstheme="majorBidi"/>
                <w:bCs/>
                <w:sz w:val="20"/>
              </w:rPr>
              <w:t>DXd</w:t>
            </w:r>
            <w:proofErr w:type="spellEnd"/>
            <w:r w:rsidRPr="00624B52">
              <w:rPr>
                <w:rFonts w:ascii="Arial Narrow" w:eastAsiaTheme="majorEastAsia" w:hAnsi="Arial Narrow" w:cstheme="majorBidi"/>
                <w:bCs/>
                <w:sz w:val="20"/>
              </w:rPr>
              <w:t xml:space="preserve"> will only replace 2L IV chemotherapy (paclitaxel and nab-paclitaxel) and not 2L oral chemotherapy (capecitabine).</w:t>
            </w:r>
          </w:p>
        </w:tc>
        <w:tc>
          <w:tcPr>
            <w:tcW w:w="3768" w:type="dxa"/>
            <w:vAlign w:val="center"/>
          </w:tcPr>
          <w:p w14:paraId="7F3825FF" w14:textId="5EA4D213" w:rsidR="001375D8" w:rsidRPr="006F37B1" w:rsidRDefault="001375D8" w:rsidP="008241B5">
            <w:pPr>
              <w:keepLines/>
              <w:jc w:val="left"/>
              <w:rPr>
                <w:rFonts w:ascii="Arial Narrow" w:eastAsiaTheme="majorEastAsia" w:hAnsi="Arial Narrow" w:cstheme="majorBidi"/>
                <w:sz w:val="20"/>
              </w:rPr>
            </w:pPr>
            <w:r w:rsidRPr="006F37B1">
              <w:rPr>
                <w:rFonts w:ascii="Arial Narrow" w:eastAsiaTheme="majorEastAsia" w:hAnsi="Arial Narrow" w:cstheme="majorBidi"/>
                <w:bCs/>
                <w:iCs/>
                <w:sz w:val="20"/>
              </w:rPr>
              <w:t>Th</w:t>
            </w:r>
            <w:r w:rsidR="006F37B1">
              <w:rPr>
                <w:rFonts w:ascii="Arial Narrow" w:eastAsiaTheme="majorEastAsia" w:hAnsi="Arial Narrow" w:cstheme="majorBidi"/>
                <w:bCs/>
                <w:iCs/>
                <w:sz w:val="20"/>
              </w:rPr>
              <w:t xml:space="preserve">e </w:t>
            </w:r>
            <w:r w:rsidR="006F37B1" w:rsidRPr="00B13CE3">
              <w:rPr>
                <w:rFonts w:ascii="Arial Narrow" w:eastAsiaTheme="majorEastAsia" w:hAnsi="Arial Narrow" w:cstheme="majorBidi"/>
                <w:bCs/>
                <w:sz w:val="20"/>
              </w:rPr>
              <w:t>evaluation considered</w:t>
            </w:r>
            <w:r w:rsidRPr="006F37B1">
              <w:rPr>
                <w:rFonts w:ascii="Arial Narrow" w:eastAsiaTheme="majorEastAsia" w:hAnsi="Arial Narrow" w:cstheme="majorBidi"/>
                <w:bCs/>
                <w:iCs/>
                <w:sz w:val="20"/>
              </w:rPr>
              <w:t xml:space="preserve"> </w:t>
            </w:r>
            <w:r w:rsidR="006F37B1">
              <w:rPr>
                <w:rFonts w:ascii="Arial Narrow" w:eastAsiaTheme="majorEastAsia" w:hAnsi="Arial Narrow" w:cstheme="majorBidi"/>
                <w:bCs/>
                <w:iCs/>
                <w:sz w:val="20"/>
              </w:rPr>
              <w:t>this</w:t>
            </w:r>
            <w:r w:rsidR="006F37B1">
              <w:rPr>
                <w:rFonts w:ascii="Arial Narrow" w:eastAsiaTheme="majorEastAsia" w:hAnsi="Arial Narrow" w:cstheme="majorBidi"/>
                <w:sz w:val="20"/>
              </w:rPr>
              <w:t xml:space="preserve"> </w:t>
            </w:r>
            <w:r w:rsidRPr="006F37B1">
              <w:rPr>
                <w:rFonts w:ascii="Arial Narrow" w:eastAsiaTheme="majorEastAsia" w:hAnsi="Arial Narrow" w:cstheme="majorBidi"/>
                <w:sz w:val="20"/>
              </w:rPr>
              <w:t>was not reasonable as substitution of oral capecitabine with T-</w:t>
            </w:r>
            <w:proofErr w:type="spellStart"/>
            <w:r w:rsidRPr="006F37B1">
              <w:rPr>
                <w:rFonts w:ascii="Arial Narrow" w:eastAsiaTheme="majorEastAsia" w:hAnsi="Arial Narrow" w:cstheme="majorBidi"/>
                <w:sz w:val="20"/>
              </w:rPr>
              <w:t>DXd</w:t>
            </w:r>
            <w:proofErr w:type="spellEnd"/>
            <w:r w:rsidRPr="006F37B1">
              <w:rPr>
                <w:rFonts w:ascii="Arial Narrow" w:eastAsiaTheme="majorEastAsia" w:hAnsi="Arial Narrow" w:cstheme="majorBidi"/>
                <w:sz w:val="20"/>
              </w:rPr>
              <w:t xml:space="preserve"> would occur in clinical practice if T-</w:t>
            </w:r>
            <w:proofErr w:type="spellStart"/>
            <w:r w:rsidRPr="006F37B1">
              <w:rPr>
                <w:rFonts w:ascii="Arial Narrow" w:eastAsiaTheme="majorEastAsia" w:hAnsi="Arial Narrow" w:cstheme="majorBidi"/>
                <w:sz w:val="20"/>
              </w:rPr>
              <w:t>DXd</w:t>
            </w:r>
            <w:proofErr w:type="spellEnd"/>
            <w:r w:rsidRPr="006F37B1">
              <w:rPr>
                <w:rFonts w:ascii="Arial Narrow" w:eastAsiaTheme="majorEastAsia" w:hAnsi="Arial Narrow" w:cstheme="majorBidi"/>
                <w:sz w:val="20"/>
              </w:rPr>
              <w:t xml:space="preserve"> improves PFS and OS compared with chemotherapy including capecitabine, as claimed in the submission. </w:t>
            </w:r>
          </w:p>
          <w:p w14:paraId="07753537" w14:textId="77777777" w:rsidR="00B61147" w:rsidRPr="00B13CE3" w:rsidRDefault="00B61147" w:rsidP="008241B5">
            <w:pPr>
              <w:keepLines/>
              <w:jc w:val="left"/>
              <w:rPr>
                <w:rFonts w:ascii="Arial Narrow" w:eastAsiaTheme="majorEastAsia" w:hAnsi="Arial Narrow" w:cstheme="majorBidi"/>
                <w:bCs/>
                <w:sz w:val="20"/>
              </w:rPr>
            </w:pPr>
          </w:p>
          <w:p w14:paraId="108890D5" w14:textId="78BF29D0" w:rsidR="00B61147" w:rsidRPr="001869C1" w:rsidRDefault="008655AE" w:rsidP="008241B5">
            <w:pPr>
              <w:keepLines/>
              <w:jc w:val="left"/>
              <w:rPr>
                <w:rFonts w:ascii="Arial Narrow" w:eastAsiaTheme="majorEastAsia" w:hAnsi="Arial Narrow" w:cstheme="majorBidi"/>
                <w:bCs/>
                <w:i/>
                <w:sz w:val="20"/>
              </w:rPr>
            </w:pPr>
            <w:r w:rsidRPr="00B13CE3">
              <w:rPr>
                <w:rFonts w:ascii="Arial Narrow" w:eastAsiaTheme="majorEastAsia" w:hAnsi="Arial Narrow" w:cstheme="majorBidi"/>
                <w:bCs/>
                <w:sz w:val="20"/>
              </w:rPr>
              <w:t xml:space="preserve">The </w:t>
            </w:r>
            <w:r w:rsidR="00D85B8B" w:rsidRPr="00B13CE3">
              <w:rPr>
                <w:rFonts w:ascii="Arial Narrow" w:eastAsiaTheme="majorEastAsia" w:hAnsi="Arial Narrow" w:cstheme="majorBidi"/>
                <w:bCs/>
                <w:sz w:val="20"/>
              </w:rPr>
              <w:t>Sub-Committees</w:t>
            </w:r>
            <w:r w:rsidR="006E34F6" w:rsidRPr="00B13CE3">
              <w:rPr>
                <w:rFonts w:ascii="Arial Narrow" w:eastAsiaTheme="majorEastAsia" w:hAnsi="Arial Narrow" w:cstheme="majorBidi"/>
                <w:bCs/>
                <w:sz w:val="20"/>
              </w:rPr>
              <w:t xml:space="preserve"> </w:t>
            </w:r>
            <w:r w:rsidRPr="00B13CE3">
              <w:rPr>
                <w:rFonts w:ascii="Arial Narrow" w:eastAsiaTheme="majorEastAsia" w:hAnsi="Arial Narrow" w:cstheme="majorBidi"/>
                <w:bCs/>
                <w:sz w:val="20"/>
              </w:rPr>
              <w:t xml:space="preserve">agreed with the </w:t>
            </w:r>
            <w:r w:rsidR="002830A7" w:rsidRPr="00B13CE3">
              <w:rPr>
                <w:rFonts w:ascii="Arial Narrow" w:eastAsiaTheme="majorEastAsia" w:hAnsi="Arial Narrow" w:cstheme="majorBidi"/>
                <w:bCs/>
                <w:sz w:val="20"/>
              </w:rPr>
              <w:t>evaluation</w:t>
            </w:r>
            <w:r w:rsidRPr="00B13CE3">
              <w:rPr>
                <w:rFonts w:ascii="Arial Narrow" w:eastAsiaTheme="majorEastAsia" w:hAnsi="Arial Narrow" w:cstheme="majorBidi"/>
                <w:bCs/>
                <w:sz w:val="20"/>
              </w:rPr>
              <w:t xml:space="preserve"> that </w:t>
            </w:r>
            <w:r w:rsidR="002A663B" w:rsidRPr="00B13CE3">
              <w:rPr>
                <w:rFonts w:ascii="Arial Narrow" w:eastAsiaTheme="majorEastAsia" w:hAnsi="Arial Narrow" w:cstheme="majorBidi"/>
                <w:bCs/>
                <w:sz w:val="20"/>
              </w:rPr>
              <w:t xml:space="preserve">the assumption that only </w:t>
            </w:r>
            <w:r w:rsidRPr="00B13CE3">
              <w:rPr>
                <w:rFonts w:ascii="Arial Narrow" w:eastAsiaTheme="majorEastAsia" w:hAnsi="Arial Narrow" w:cstheme="majorBidi"/>
                <w:bCs/>
                <w:sz w:val="20"/>
              </w:rPr>
              <w:t>IV</w:t>
            </w:r>
            <w:r w:rsidR="002A663B" w:rsidRPr="00B13CE3">
              <w:rPr>
                <w:rFonts w:ascii="Arial Narrow" w:eastAsiaTheme="majorEastAsia" w:hAnsi="Arial Narrow" w:cstheme="majorBidi"/>
                <w:bCs/>
                <w:sz w:val="20"/>
              </w:rPr>
              <w:t xml:space="preserve"> chemotherapy would be displaced </w:t>
            </w:r>
            <w:r w:rsidR="00D23DAC" w:rsidRPr="00B13CE3">
              <w:rPr>
                <w:rFonts w:ascii="Arial Narrow" w:eastAsiaTheme="majorEastAsia" w:hAnsi="Arial Narrow" w:cstheme="majorBidi"/>
                <w:bCs/>
                <w:sz w:val="20"/>
              </w:rPr>
              <w:t>was</w:t>
            </w:r>
            <w:r w:rsidRPr="00B13CE3">
              <w:rPr>
                <w:rFonts w:ascii="Arial Narrow" w:eastAsiaTheme="majorEastAsia" w:hAnsi="Arial Narrow" w:cstheme="majorBidi"/>
                <w:bCs/>
                <w:sz w:val="20"/>
              </w:rPr>
              <w:t xml:space="preserve"> not supported by the trial or </w:t>
            </w:r>
            <w:r w:rsidR="001902C1" w:rsidRPr="00B13CE3">
              <w:rPr>
                <w:rFonts w:ascii="Arial Narrow" w:eastAsiaTheme="majorEastAsia" w:hAnsi="Arial Narrow" w:cstheme="majorBidi"/>
                <w:bCs/>
                <w:sz w:val="20"/>
              </w:rPr>
              <w:t>clinical experience</w:t>
            </w:r>
            <w:r w:rsidRPr="00B13CE3">
              <w:rPr>
                <w:rFonts w:ascii="Arial Narrow" w:eastAsiaTheme="majorEastAsia" w:hAnsi="Arial Narrow" w:cstheme="majorBidi"/>
                <w:bCs/>
                <w:sz w:val="20"/>
                <w:lang w:val="en-US"/>
              </w:rPr>
              <w:t xml:space="preserve"> (</w:t>
            </w:r>
            <w:r w:rsidR="002830A7" w:rsidRPr="00B13CE3">
              <w:rPr>
                <w:rFonts w:ascii="Arial Narrow" w:eastAsiaTheme="majorEastAsia" w:hAnsi="Arial Narrow" w:cstheme="majorBidi"/>
                <w:bCs/>
                <w:sz w:val="20"/>
                <w:lang w:val="en-US"/>
              </w:rPr>
              <w:t xml:space="preserve">see paragraph </w:t>
            </w:r>
            <w:r w:rsidR="002830A7" w:rsidRPr="00B13CE3">
              <w:rPr>
                <w:rFonts w:ascii="Arial Narrow" w:eastAsiaTheme="majorEastAsia" w:hAnsi="Arial Narrow" w:cstheme="majorBidi"/>
                <w:bCs/>
                <w:sz w:val="20"/>
                <w:lang w:val="en-US"/>
              </w:rPr>
              <w:fldChar w:fldCharType="begin"/>
            </w:r>
            <w:r w:rsidR="002830A7" w:rsidRPr="00B13CE3">
              <w:rPr>
                <w:rFonts w:ascii="Arial Narrow" w:eastAsiaTheme="majorEastAsia" w:hAnsi="Arial Narrow" w:cstheme="majorBidi"/>
                <w:bCs/>
                <w:sz w:val="20"/>
                <w:lang w:val="en-US"/>
              </w:rPr>
              <w:instrText xml:space="preserve"> REF _Ref221803983 \r \h </w:instrText>
            </w:r>
            <w:r w:rsidR="002830A7" w:rsidRPr="00B13CE3">
              <w:rPr>
                <w:rFonts w:ascii="Arial Narrow" w:eastAsiaTheme="majorEastAsia" w:hAnsi="Arial Narrow" w:cstheme="majorBidi"/>
                <w:bCs/>
                <w:sz w:val="20"/>
                <w:lang w:val="en-US"/>
              </w:rPr>
            </w:r>
            <w:r w:rsidR="002830A7" w:rsidRPr="00B13CE3">
              <w:rPr>
                <w:rFonts w:ascii="Arial Narrow" w:eastAsiaTheme="majorEastAsia" w:hAnsi="Arial Narrow" w:cstheme="majorBidi"/>
                <w:bCs/>
                <w:sz w:val="20"/>
                <w:lang w:val="en-US"/>
              </w:rPr>
              <w:fldChar w:fldCharType="separate"/>
            </w:r>
            <w:r w:rsidR="00453A02">
              <w:rPr>
                <w:rFonts w:ascii="Arial Narrow" w:eastAsiaTheme="majorEastAsia" w:hAnsi="Arial Narrow" w:cstheme="majorBidi"/>
                <w:bCs/>
                <w:sz w:val="20"/>
                <w:lang w:val="en-US"/>
              </w:rPr>
              <w:t>6.87</w:t>
            </w:r>
            <w:r w:rsidR="002830A7" w:rsidRPr="00B13CE3">
              <w:rPr>
                <w:rFonts w:ascii="Arial Narrow" w:eastAsiaTheme="majorEastAsia" w:hAnsi="Arial Narrow" w:cstheme="majorBidi"/>
                <w:bCs/>
                <w:sz w:val="20"/>
                <w:lang w:val="en-US"/>
              </w:rPr>
              <w:fldChar w:fldCharType="end"/>
            </w:r>
            <w:r w:rsidR="002830A7" w:rsidRPr="00B13CE3">
              <w:rPr>
                <w:rFonts w:ascii="Arial Narrow" w:eastAsiaTheme="majorEastAsia" w:hAnsi="Arial Narrow" w:cstheme="majorBidi"/>
                <w:bCs/>
                <w:sz w:val="20"/>
                <w:lang w:val="en-US"/>
              </w:rPr>
              <w:t>).</w:t>
            </w:r>
          </w:p>
        </w:tc>
      </w:tr>
      <w:tr w:rsidR="001375D8" w:rsidRPr="00624B52" w14:paraId="49481DF3" w14:textId="77777777" w:rsidTr="00122F4D">
        <w:trPr>
          <w:cantSplit/>
        </w:trPr>
        <w:tc>
          <w:tcPr>
            <w:tcW w:w="1555" w:type="dxa"/>
            <w:vAlign w:val="center"/>
          </w:tcPr>
          <w:p w14:paraId="58125136" w14:textId="77777777" w:rsidR="001375D8" w:rsidRPr="00624B52" w:rsidRDefault="001375D8" w:rsidP="008241B5">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Patients progressing within </w:t>
            </w:r>
            <w:r w:rsidRPr="00624B52">
              <w:rPr>
                <w:rFonts w:ascii="Arial Narrow" w:eastAsiaTheme="majorEastAsia" w:hAnsi="Arial Narrow" w:cstheme="majorBidi"/>
                <w:bCs/>
                <w:sz w:val="20"/>
              </w:rPr>
              <w:t xml:space="preserve">6 months of </w:t>
            </w:r>
            <w:r>
              <w:rPr>
                <w:rFonts w:ascii="Arial Narrow" w:eastAsiaTheme="majorEastAsia" w:hAnsi="Arial Narrow" w:cstheme="majorBidi"/>
                <w:bCs/>
                <w:sz w:val="20"/>
              </w:rPr>
              <w:t xml:space="preserve">1L </w:t>
            </w:r>
            <w:r w:rsidRPr="00624B52">
              <w:rPr>
                <w:rFonts w:ascii="Arial Narrow" w:eastAsiaTheme="majorEastAsia" w:hAnsi="Arial Narrow" w:cstheme="majorBidi"/>
                <w:bCs/>
                <w:sz w:val="20"/>
              </w:rPr>
              <w:t>ET+CDK 4/6i therapy</w:t>
            </w:r>
          </w:p>
        </w:tc>
        <w:tc>
          <w:tcPr>
            <w:tcW w:w="1317" w:type="dxa"/>
            <w:vAlign w:val="center"/>
          </w:tcPr>
          <w:p w14:paraId="51C26B0B" w14:textId="77777777" w:rsidR="001375D8" w:rsidRPr="00624B52" w:rsidRDefault="001375D8" w:rsidP="008241B5">
            <w:pPr>
              <w:keepNext/>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8.49% </w:t>
            </w:r>
          </w:p>
        </w:tc>
        <w:tc>
          <w:tcPr>
            <w:tcW w:w="2376" w:type="dxa"/>
            <w:vAlign w:val="center"/>
          </w:tcPr>
          <w:p w14:paraId="2A916A73" w14:textId="77777777" w:rsidR="001375D8" w:rsidRPr="00624B52" w:rsidRDefault="001375D8" w:rsidP="008241B5">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Additional patients, proportion d</w:t>
            </w:r>
            <w:r w:rsidRPr="00624B52">
              <w:rPr>
                <w:rFonts w:ascii="Arial Narrow" w:eastAsiaTheme="majorEastAsia" w:hAnsi="Arial Narrow" w:cstheme="majorBidi"/>
                <w:bCs/>
                <w:sz w:val="20"/>
              </w:rPr>
              <w:t xml:space="preserve">erived from the DB-06 trial. </w:t>
            </w:r>
          </w:p>
        </w:tc>
        <w:tc>
          <w:tcPr>
            <w:tcW w:w="3768" w:type="dxa"/>
            <w:vMerge w:val="restart"/>
          </w:tcPr>
          <w:p w14:paraId="27AD955F" w14:textId="1D1ACF87" w:rsidR="001375D8" w:rsidRPr="001375D8" w:rsidRDefault="001375D8" w:rsidP="008241B5">
            <w:pPr>
              <w:pStyle w:val="TableText0"/>
              <w:rPr>
                <w:iCs/>
              </w:rPr>
            </w:pPr>
            <w:r w:rsidRPr="001375D8">
              <w:rPr>
                <w:iCs/>
              </w:rPr>
              <w:t>The</w:t>
            </w:r>
            <w:r w:rsidR="00104A4F">
              <w:rPr>
                <w:iCs/>
              </w:rPr>
              <w:t xml:space="preserve"> </w:t>
            </w:r>
            <w:r w:rsidR="00D85B8B" w:rsidRPr="00B13CE3">
              <w:t>Sub-Committees</w:t>
            </w:r>
            <w:r w:rsidR="006E34F6" w:rsidRPr="00B13CE3">
              <w:t xml:space="preserve"> </w:t>
            </w:r>
            <w:r w:rsidR="00B16373" w:rsidRPr="00B13CE3">
              <w:t xml:space="preserve">noted that </w:t>
            </w:r>
            <w:r w:rsidR="002A1A9F" w:rsidRPr="00B13CE3">
              <w:t xml:space="preserve">the </w:t>
            </w:r>
            <w:r w:rsidR="0033712A" w:rsidRPr="00B13CE3">
              <w:t>population estimates</w:t>
            </w:r>
            <w:r w:rsidR="00AB0220" w:rsidRPr="00B13CE3">
              <w:t xml:space="preserve"> were based on CDK4/6is in the mBC setting only, and as such it may be reasonable to capture additional patients </w:t>
            </w:r>
            <w:r w:rsidR="00A26EB4" w:rsidRPr="00B13CE3">
              <w:t xml:space="preserve">who </w:t>
            </w:r>
            <w:r w:rsidR="00EA0D45" w:rsidRPr="00B13CE3">
              <w:t>progressed after being</w:t>
            </w:r>
            <w:r w:rsidR="00A26EB4" w:rsidRPr="00B13CE3">
              <w:t xml:space="preserve"> treated with a CDK4/6i in the </w:t>
            </w:r>
            <w:proofErr w:type="spellStart"/>
            <w:r w:rsidR="00A26EB4" w:rsidRPr="00B13CE3">
              <w:t>eBC</w:t>
            </w:r>
            <w:proofErr w:type="spellEnd"/>
            <w:r w:rsidR="00A26EB4" w:rsidRPr="00B13CE3">
              <w:t xml:space="preserve"> setting.</w:t>
            </w:r>
          </w:p>
        </w:tc>
      </w:tr>
      <w:tr w:rsidR="001375D8" w:rsidRPr="00624B52" w14:paraId="342B85D3" w14:textId="77777777" w:rsidTr="00122F4D">
        <w:trPr>
          <w:cantSplit/>
        </w:trPr>
        <w:tc>
          <w:tcPr>
            <w:tcW w:w="1555" w:type="dxa"/>
            <w:vAlign w:val="center"/>
          </w:tcPr>
          <w:p w14:paraId="6EB1D535" w14:textId="77777777" w:rsidR="001375D8" w:rsidRPr="00624B52" w:rsidRDefault="001375D8" w:rsidP="008241B5">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Patients with </w:t>
            </w:r>
            <w:r w:rsidRPr="00624B52">
              <w:rPr>
                <w:rFonts w:ascii="Arial Narrow" w:eastAsiaTheme="majorEastAsia" w:hAnsi="Arial Narrow" w:cstheme="majorBidi"/>
                <w:bCs/>
                <w:sz w:val="20"/>
              </w:rPr>
              <w:t>disease recurrence within 24 months of adjuvant ET</w:t>
            </w:r>
          </w:p>
        </w:tc>
        <w:tc>
          <w:tcPr>
            <w:tcW w:w="1317" w:type="dxa"/>
            <w:vAlign w:val="center"/>
          </w:tcPr>
          <w:p w14:paraId="374D3B9B" w14:textId="77777777" w:rsidR="001375D8" w:rsidRPr="00624B52" w:rsidRDefault="001375D8" w:rsidP="008241B5">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6.42%</w:t>
            </w:r>
          </w:p>
        </w:tc>
        <w:tc>
          <w:tcPr>
            <w:tcW w:w="2376" w:type="dxa"/>
            <w:vAlign w:val="center"/>
          </w:tcPr>
          <w:p w14:paraId="28F46BC6" w14:textId="77777777" w:rsidR="001375D8" w:rsidRPr="00624B52" w:rsidRDefault="001375D8" w:rsidP="008241B5">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Additional patients, proportion d</w:t>
            </w:r>
            <w:r w:rsidRPr="00624B52">
              <w:rPr>
                <w:rFonts w:ascii="Arial Narrow" w:eastAsiaTheme="majorEastAsia" w:hAnsi="Arial Narrow" w:cstheme="majorBidi"/>
                <w:bCs/>
                <w:sz w:val="20"/>
              </w:rPr>
              <w:t>erived from the DB-06 trial.</w:t>
            </w:r>
          </w:p>
        </w:tc>
        <w:tc>
          <w:tcPr>
            <w:tcW w:w="3768" w:type="dxa"/>
            <w:vMerge/>
          </w:tcPr>
          <w:p w14:paraId="43D742D4" w14:textId="77777777" w:rsidR="001375D8" w:rsidRPr="001375D8" w:rsidRDefault="001375D8" w:rsidP="008241B5">
            <w:pPr>
              <w:pStyle w:val="TableText0"/>
              <w:rPr>
                <w:iCs/>
              </w:rPr>
            </w:pPr>
          </w:p>
        </w:tc>
      </w:tr>
      <w:tr w:rsidR="001375D8" w:rsidRPr="00624B52" w14:paraId="1CA1B9E8" w14:textId="77777777" w:rsidTr="00122F4D">
        <w:tc>
          <w:tcPr>
            <w:tcW w:w="1555" w:type="dxa"/>
            <w:vAlign w:val="center"/>
          </w:tcPr>
          <w:p w14:paraId="04B9BC15"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Uptake rate </w:t>
            </w:r>
          </w:p>
        </w:tc>
        <w:tc>
          <w:tcPr>
            <w:tcW w:w="1317" w:type="dxa"/>
            <w:vAlign w:val="center"/>
          </w:tcPr>
          <w:p w14:paraId="64712F98" w14:textId="21E93483"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Yr 1: </w:t>
            </w:r>
            <w:r w:rsidR="006340CE" w:rsidRPr="006340CE">
              <w:rPr>
                <w:rFonts w:ascii="Arial Narrow" w:eastAsiaTheme="majorEastAsia" w:hAnsi="Arial Narrow" w:cstheme="majorBidi"/>
                <w:bCs/>
                <w:sz w:val="2"/>
                <w:highlight w:val="black"/>
              </w:rPr>
              <w:t>redacted content</w:t>
            </w:r>
            <w:r w:rsidRPr="00624B52">
              <w:rPr>
                <w:rFonts w:ascii="Arial Narrow" w:eastAsiaTheme="majorEastAsia" w:hAnsi="Arial Narrow" w:cstheme="majorBidi"/>
                <w:bCs/>
                <w:sz w:val="20"/>
              </w:rPr>
              <w:t>%</w:t>
            </w:r>
          </w:p>
          <w:p w14:paraId="653BBC5F" w14:textId="5DEF248C"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Yr 2-3: </w:t>
            </w:r>
            <w:r w:rsidR="006340CE" w:rsidRPr="006340CE">
              <w:rPr>
                <w:rFonts w:ascii="Arial Narrow" w:eastAsiaTheme="majorEastAsia" w:hAnsi="Arial Narrow" w:cstheme="majorBidi"/>
                <w:bCs/>
                <w:sz w:val="2"/>
                <w:highlight w:val="black"/>
              </w:rPr>
              <w:t>redacted content</w:t>
            </w:r>
            <w:r w:rsidRPr="00624B52">
              <w:rPr>
                <w:rFonts w:ascii="Arial Narrow" w:eastAsiaTheme="majorEastAsia" w:hAnsi="Arial Narrow" w:cstheme="majorBidi"/>
                <w:bCs/>
                <w:sz w:val="20"/>
              </w:rPr>
              <w:t>%</w:t>
            </w:r>
          </w:p>
          <w:p w14:paraId="3FB686C4" w14:textId="294EC986"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Yr 4-6: </w:t>
            </w:r>
            <w:r w:rsidR="006340CE" w:rsidRPr="006340CE">
              <w:rPr>
                <w:rFonts w:ascii="Arial Narrow" w:eastAsiaTheme="majorEastAsia" w:hAnsi="Arial Narrow" w:cstheme="majorBidi"/>
                <w:bCs/>
                <w:sz w:val="2"/>
                <w:highlight w:val="black"/>
              </w:rPr>
              <w:t>redacted content</w:t>
            </w:r>
            <w:r w:rsidRPr="00624B52">
              <w:rPr>
                <w:rFonts w:ascii="Arial Narrow" w:eastAsiaTheme="majorEastAsia" w:hAnsi="Arial Narrow" w:cstheme="majorBidi"/>
                <w:bCs/>
                <w:sz w:val="20"/>
              </w:rPr>
              <w:t>%</w:t>
            </w:r>
          </w:p>
        </w:tc>
        <w:tc>
          <w:tcPr>
            <w:tcW w:w="2376" w:type="dxa"/>
            <w:vAlign w:val="center"/>
          </w:tcPr>
          <w:p w14:paraId="585CE983"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Assumption </w:t>
            </w:r>
          </w:p>
        </w:tc>
        <w:tc>
          <w:tcPr>
            <w:tcW w:w="3768" w:type="dxa"/>
            <w:vAlign w:val="center"/>
          </w:tcPr>
          <w:p w14:paraId="7F773E66" w14:textId="6858D63F" w:rsidR="009E1E24" w:rsidRPr="001375D8" w:rsidRDefault="00865032" w:rsidP="008241B5">
            <w:pPr>
              <w:keepLines/>
              <w:jc w:val="left"/>
              <w:rPr>
                <w:rFonts w:ascii="Arial Narrow" w:eastAsiaTheme="majorEastAsia" w:hAnsi="Arial Narrow" w:cstheme="majorBidi"/>
                <w:sz w:val="20"/>
                <w:szCs w:val="20"/>
              </w:rPr>
            </w:pPr>
            <w:r w:rsidRPr="00B13CE3">
              <w:rPr>
                <w:rFonts w:ascii="Arial Narrow" w:eastAsiaTheme="majorEastAsia" w:hAnsi="Arial Narrow" w:cstheme="majorBidi"/>
                <w:sz w:val="20"/>
                <w:szCs w:val="20"/>
              </w:rPr>
              <w:t xml:space="preserve">The </w:t>
            </w:r>
            <w:r w:rsidR="00D85B8B" w:rsidRPr="00B13CE3">
              <w:rPr>
                <w:rFonts w:ascii="Arial Narrow" w:eastAsiaTheme="majorEastAsia" w:hAnsi="Arial Narrow" w:cstheme="majorBidi"/>
                <w:sz w:val="20"/>
                <w:szCs w:val="20"/>
              </w:rPr>
              <w:t>Sub-Committees</w:t>
            </w:r>
            <w:r w:rsidR="006E34F6" w:rsidRPr="00B13CE3">
              <w:rPr>
                <w:rFonts w:ascii="Arial Narrow" w:eastAsiaTheme="majorEastAsia" w:hAnsi="Arial Narrow" w:cstheme="majorBidi"/>
                <w:sz w:val="20"/>
                <w:szCs w:val="20"/>
              </w:rPr>
              <w:t xml:space="preserve"> </w:t>
            </w:r>
            <w:r w:rsidRPr="00B13CE3">
              <w:rPr>
                <w:rFonts w:ascii="Arial Narrow" w:eastAsiaTheme="majorEastAsia" w:hAnsi="Arial Narrow" w:cstheme="majorBidi"/>
                <w:sz w:val="20"/>
                <w:szCs w:val="20"/>
              </w:rPr>
              <w:t xml:space="preserve">noted that </w:t>
            </w:r>
            <w:r w:rsidR="009E1E24" w:rsidRPr="00B13CE3">
              <w:rPr>
                <w:rFonts w:ascii="Arial Narrow" w:eastAsiaTheme="majorEastAsia" w:hAnsi="Arial Narrow" w:cstheme="majorBidi"/>
                <w:sz w:val="20"/>
                <w:szCs w:val="20"/>
              </w:rPr>
              <w:t xml:space="preserve">the uptake rate </w:t>
            </w:r>
            <w:r w:rsidR="00315B99" w:rsidRPr="006A0922">
              <w:rPr>
                <w:rFonts w:ascii="Arial Narrow" w:eastAsiaTheme="majorEastAsia" w:hAnsi="Arial Narrow" w:cstheme="majorBidi"/>
                <w:sz w:val="20"/>
                <w:szCs w:val="20"/>
              </w:rPr>
              <w:t xml:space="preserve">of </w:t>
            </w:r>
            <w:r w:rsidR="006340CE" w:rsidRPr="006340CE">
              <w:rPr>
                <w:rFonts w:ascii="Arial Narrow" w:eastAsiaTheme="majorEastAsia" w:hAnsi="Arial Narrow" w:cstheme="majorBidi"/>
                <w:sz w:val="2"/>
                <w:szCs w:val="20"/>
                <w:highlight w:val="black"/>
              </w:rPr>
              <w:t>redacted content</w:t>
            </w:r>
            <w:r w:rsidR="00315B99" w:rsidRPr="006A0922">
              <w:rPr>
                <w:rFonts w:ascii="Arial Narrow" w:eastAsiaTheme="majorEastAsia" w:hAnsi="Arial Narrow" w:cstheme="majorBidi"/>
                <w:sz w:val="20"/>
                <w:szCs w:val="20"/>
              </w:rPr>
              <w:t>% in</w:t>
            </w:r>
            <w:r w:rsidR="00315B99" w:rsidRPr="00B13CE3">
              <w:rPr>
                <w:rFonts w:ascii="Arial Narrow" w:eastAsiaTheme="majorEastAsia" w:hAnsi="Arial Narrow" w:cstheme="majorBidi"/>
                <w:sz w:val="20"/>
                <w:szCs w:val="20"/>
              </w:rPr>
              <w:t xml:space="preserve"> year 6 </w:t>
            </w:r>
            <w:r w:rsidR="009E1E24" w:rsidRPr="00B13CE3">
              <w:rPr>
                <w:rFonts w:ascii="Arial Narrow" w:eastAsiaTheme="majorEastAsia" w:hAnsi="Arial Narrow" w:cstheme="majorBidi"/>
                <w:sz w:val="20"/>
                <w:szCs w:val="20"/>
              </w:rPr>
              <w:t>was potentially overestimated</w:t>
            </w:r>
            <w:r w:rsidR="00D64A19" w:rsidRPr="00B13CE3">
              <w:rPr>
                <w:rFonts w:ascii="Arial Narrow" w:eastAsiaTheme="majorEastAsia" w:hAnsi="Arial Narrow" w:cstheme="majorBidi"/>
                <w:sz w:val="20"/>
                <w:szCs w:val="20"/>
              </w:rPr>
              <w:t>, n</w:t>
            </w:r>
            <w:r w:rsidR="009E1E24" w:rsidRPr="00B13CE3">
              <w:rPr>
                <w:rFonts w:ascii="Arial Narrow" w:eastAsiaTheme="majorEastAsia" w:hAnsi="Arial Narrow" w:cstheme="majorBidi"/>
                <w:sz w:val="20"/>
                <w:szCs w:val="20"/>
              </w:rPr>
              <w:t>oting that the previous DUSC accepted value for uptake of T</w:t>
            </w:r>
            <w:r w:rsidR="00D0602F" w:rsidRPr="00B13CE3">
              <w:rPr>
                <w:rFonts w:ascii="Arial Narrow" w:eastAsiaTheme="majorEastAsia" w:hAnsi="Arial Narrow" w:cstheme="majorBidi"/>
                <w:sz w:val="20"/>
                <w:szCs w:val="20"/>
              </w:rPr>
              <w:t>-</w:t>
            </w:r>
            <w:proofErr w:type="spellStart"/>
            <w:r w:rsidR="009E1E24" w:rsidRPr="00B13CE3">
              <w:rPr>
                <w:rFonts w:ascii="Arial Narrow" w:eastAsiaTheme="majorEastAsia" w:hAnsi="Arial Narrow" w:cstheme="majorBidi"/>
                <w:sz w:val="20"/>
                <w:szCs w:val="20"/>
              </w:rPr>
              <w:t>DXd</w:t>
            </w:r>
            <w:proofErr w:type="spellEnd"/>
            <w:r w:rsidR="009E1E24" w:rsidRPr="00B13CE3">
              <w:rPr>
                <w:rFonts w:ascii="Arial Narrow" w:eastAsiaTheme="majorEastAsia" w:hAnsi="Arial Narrow" w:cstheme="majorBidi"/>
                <w:sz w:val="20"/>
                <w:szCs w:val="20"/>
              </w:rPr>
              <w:t xml:space="preserve"> for </w:t>
            </w:r>
            <w:proofErr w:type="spellStart"/>
            <w:r w:rsidR="009E1E24" w:rsidRPr="00B13CE3">
              <w:rPr>
                <w:rFonts w:ascii="Arial Narrow" w:eastAsiaTheme="majorEastAsia" w:hAnsi="Arial Narrow" w:cstheme="majorBidi"/>
                <w:sz w:val="20"/>
                <w:szCs w:val="20"/>
              </w:rPr>
              <w:t>mBC</w:t>
            </w:r>
            <w:proofErr w:type="spellEnd"/>
            <w:r w:rsidR="009E1E24" w:rsidRPr="00B13CE3">
              <w:rPr>
                <w:rFonts w:ascii="Arial Narrow" w:eastAsiaTheme="majorEastAsia" w:hAnsi="Arial Narrow" w:cstheme="majorBidi"/>
                <w:sz w:val="20"/>
                <w:szCs w:val="20"/>
              </w:rPr>
              <w:t xml:space="preserve"> was 90-95%. </w:t>
            </w:r>
            <w:r w:rsidR="007D2ADE" w:rsidRPr="00B13CE3">
              <w:rPr>
                <w:rFonts w:ascii="Arial Narrow" w:eastAsiaTheme="majorEastAsia" w:hAnsi="Arial Narrow" w:cstheme="majorBidi"/>
                <w:sz w:val="20"/>
                <w:szCs w:val="20"/>
              </w:rPr>
              <w:t xml:space="preserve">The </w:t>
            </w:r>
            <w:r w:rsidR="00D85B8B" w:rsidRPr="00B13CE3">
              <w:rPr>
                <w:rFonts w:ascii="Arial Narrow" w:eastAsiaTheme="majorEastAsia" w:hAnsi="Arial Narrow" w:cstheme="majorBidi"/>
                <w:sz w:val="20"/>
                <w:szCs w:val="20"/>
              </w:rPr>
              <w:t>Sub-Committees</w:t>
            </w:r>
            <w:r w:rsidR="006E34F6" w:rsidRPr="00B13CE3">
              <w:rPr>
                <w:rFonts w:ascii="Arial Narrow" w:eastAsiaTheme="majorEastAsia" w:hAnsi="Arial Narrow" w:cstheme="majorBidi"/>
                <w:sz w:val="20"/>
                <w:szCs w:val="20"/>
              </w:rPr>
              <w:t xml:space="preserve"> </w:t>
            </w:r>
            <w:r w:rsidR="00C04364">
              <w:rPr>
                <w:rFonts w:ascii="Arial Narrow" w:eastAsiaTheme="majorEastAsia" w:hAnsi="Arial Narrow" w:cstheme="majorBidi"/>
                <w:sz w:val="20"/>
                <w:szCs w:val="20"/>
              </w:rPr>
              <w:t xml:space="preserve">and PBAC </w:t>
            </w:r>
            <w:r w:rsidR="00AD48B9" w:rsidRPr="00B13CE3">
              <w:rPr>
                <w:rFonts w:ascii="Arial Narrow" w:eastAsiaTheme="majorEastAsia" w:hAnsi="Arial Narrow" w:cstheme="majorBidi"/>
                <w:sz w:val="20"/>
                <w:szCs w:val="20"/>
              </w:rPr>
              <w:t xml:space="preserve">considered that </w:t>
            </w:r>
            <w:r w:rsidR="00322639" w:rsidRPr="00B13CE3">
              <w:rPr>
                <w:rFonts w:ascii="Arial Narrow" w:eastAsiaTheme="majorEastAsia" w:hAnsi="Arial Narrow" w:cstheme="majorBidi"/>
                <w:sz w:val="20"/>
                <w:szCs w:val="20"/>
              </w:rPr>
              <w:t xml:space="preserve">uptake would also be limited by </w:t>
            </w:r>
            <w:r w:rsidR="00110800" w:rsidRPr="00B13CE3">
              <w:rPr>
                <w:rFonts w:ascii="Arial Narrow" w:eastAsiaTheme="majorEastAsia" w:hAnsi="Arial Narrow" w:cstheme="majorBidi"/>
                <w:sz w:val="20"/>
                <w:szCs w:val="20"/>
              </w:rPr>
              <w:t>safety concerns for T-</w:t>
            </w:r>
            <w:proofErr w:type="spellStart"/>
            <w:r w:rsidR="00110800" w:rsidRPr="00B13CE3">
              <w:rPr>
                <w:rFonts w:ascii="Arial Narrow" w:eastAsiaTheme="majorEastAsia" w:hAnsi="Arial Narrow" w:cstheme="majorBidi"/>
                <w:sz w:val="20"/>
                <w:szCs w:val="20"/>
              </w:rPr>
              <w:t>DXd</w:t>
            </w:r>
            <w:proofErr w:type="spellEnd"/>
            <w:r w:rsidR="00110800" w:rsidRPr="00B13CE3">
              <w:rPr>
                <w:rFonts w:ascii="Arial Narrow" w:eastAsiaTheme="majorEastAsia" w:hAnsi="Arial Narrow" w:cstheme="majorBidi"/>
                <w:sz w:val="20"/>
                <w:szCs w:val="20"/>
              </w:rPr>
              <w:t>.</w:t>
            </w:r>
          </w:p>
        </w:tc>
      </w:tr>
      <w:tr w:rsidR="001375D8" w:rsidRPr="00624B52" w14:paraId="47A55F74" w14:textId="77777777" w:rsidTr="00122F4D">
        <w:tc>
          <w:tcPr>
            <w:tcW w:w="1555" w:type="dxa"/>
            <w:vAlign w:val="center"/>
          </w:tcPr>
          <w:p w14:paraId="0365ADA9"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Treatment duration</w:t>
            </w:r>
          </w:p>
        </w:tc>
        <w:tc>
          <w:tcPr>
            <w:tcW w:w="1317" w:type="dxa"/>
            <w:vAlign w:val="center"/>
          </w:tcPr>
          <w:p w14:paraId="6EC3DE98"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59 and 62 weeks for HER2-low and HER2-ultralow BC, respectively. </w:t>
            </w:r>
          </w:p>
        </w:tc>
        <w:tc>
          <w:tcPr>
            <w:tcW w:w="2376" w:type="dxa"/>
            <w:vAlign w:val="center"/>
          </w:tcPr>
          <w:p w14:paraId="6B3F61E1" w14:textId="77777777" w:rsidR="001375D8" w:rsidRPr="00624B52" w:rsidRDefault="001375D8" w:rsidP="008241B5">
            <w:pPr>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DB-06 trial + parametric extrapolation </w:t>
            </w:r>
          </w:p>
        </w:tc>
        <w:tc>
          <w:tcPr>
            <w:tcW w:w="3768" w:type="dxa"/>
            <w:vAlign w:val="center"/>
          </w:tcPr>
          <w:p w14:paraId="799AEDE5" w14:textId="77777777" w:rsidR="001375D8" w:rsidRPr="001375D8" w:rsidRDefault="001375D8" w:rsidP="008241B5">
            <w:pPr>
              <w:keepLines/>
              <w:jc w:val="left"/>
              <w:rPr>
                <w:rFonts w:ascii="Arial Narrow" w:eastAsiaTheme="majorEastAsia" w:hAnsi="Arial Narrow" w:cstheme="majorBidi"/>
                <w:bCs/>
                <w:iCs/>
                <w:sz w:val="20"/>
              </w:rPr>
            </w:pPr>
            <w:r w:rsidRPr="001375D8">
              <w:rPr>
                <w:rFonts w:ascii="Arial Narrow" w:eastAsiaTheme="majorEastAsia" w:hAnsi="Arial Narrow" w:cstheme="majorBidi"/>
                <w:bCs/>
                <w:iCs/>
                <w:sz w:val="20"/>
              </w:rPr>
              <w:t>This was reasonable.</w:t>
            </w:r>
          </w:p>
        </w:tc>
      </w:tr>
      <w:tr w:rsidR="001375D8" w:rsidRPr="00624B52" w14:paraId="2C772303" w14:textId="77777777" w:rsidTr="00122F4D">
        <w:tc>
          <w:tcPr>
            <w:tcW w:w="9016" w:type="dxa"/>
            <w:gridSpan w:val="4"/>
            <w:vAlign w:val="center"/>
          </w:tcPr>
          <w:p w14:paraId="2E4BC952" w14:textId="77777777" w:rsidR="001375D8" w:rsidRPr="001375D8" w:rsidRDefault="001375D8" w:rsidP="008241B5">
            <w:pPr>
              <w:keepLines/>
              <w:jc w:val="left"/>
              <w:rPr>
                <w:rFonts w:ascii="Arial Narrow" w:eastAsiaTheme="majorEastAsia" w:hAnsi="Arial Narrow" w:cs="Times New Roman"/>
                <w:b/>
                <w:iCs/>
                <w:sz w:val="20"/>
                <w:lang w:val="en-US"/>
              </w:rPr>
            </w:pPr>
            <w:r w:rsidRPr="001375D8">
              <w:rPr>
                <w:rFonts w:ascii="Arial Narrow" w:eastAsiaTheme="majorEastAsia" w:hAnsi="Arial Narrow" w:cs="Times New Roman"/>
                <w:b/>
                <w:iCs/>
                <w:sz w:val="20"/>
                <w:lang w:val="en-US"/>
              </w:rPr>
              <w:t>Costs</w:t>
            </w:r>
          </w:p>
        </w:tc>
      </w:tr>
      <w:tr w:rsidR="001375D8" w:rsidRPr="00624B52" w14:paraId="2E8807DB" w14:textId="77777777" w:rsidTr="00122F4D">
        <w:tc>
          <w:tcPr>
            <w:tcW w:w="1555" w:type="dxa"/>
            <w:vAlign w:val="center"/>
          </w:tcPr>
          <w:p w14:paraId="7186E3DB"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2L T-</w:t>
            </w:r>
            <w:proofErr w:type="spellStart"/>
            <w:r w:rsidRPr="00624B52">
              <w:rPr>
                <w:rFonts w:ascii="Arial Narrow" w:eastAsiaTheme="majorEastAsia" w:hAnsi="Arial Narrow" w:cstheme="majorBidi"/>
                <w:bCs/>
                <w:sz w:val="20"/>
              </w:rPr>
              <w:t>DXd</w:t>
            </w:r>
            <w:proofErr w:type="spellEnd"/>
          </w:p>
        </w:tc>
        <w:tc>
          <w:tcPr>
            <w:tcW w:w="1317" w:type="dxa"/>
            <w:vAlign w:val="center"/>
          </w:tcPr>
          <w:p w14:paraId="5EE04A7C" w14:textId="72CCED45"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Pr="00624B52">
              <w:rPr>
                <w:rFonts w:ascii="Arial Narrow" w:eastAsiaTheme="majorEastAsia" w:hAnsi="Arial Narrow" w:cstheme="majorBidi"/>
                <w:bCs/>
                <w:sz w:val="20"/>
              </w:rPr>
              <w:t xml:space="preserve"> per vial </w:t>
            </w:r>
          </w:p>
        </w:tc>
        <w:tc>
          <w:tcPr>
            <w:tcW w:w="2376" w:type="dxa"/>
            <w:vAlign w:val="center"/>
          </w:tcPr>
          <w:p w14:paraId="5D964FB0"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Requested ex-manufacturer price</w:t>
            </w:r>
          </w:p>
        </w:tc>
        <w:tc>
          <w:tcPr>
            <w:tcW w:w="3768" w:type="dxa"/>
            <w:tcBorders>
              <w:bottom w:val="nil"/>
            </w:tcBorders>
            <w:vAlign w:val="center"/>
          </w:tcPr>
          <w:p w14:paraId="6A7BE834" w14:textId="77777777" w:rsidR="001375D8" w:rsidRPr="001375D8" w:rsidRDefault="001375D8" w:rsidP="008241B5">
            <w:pPr>
              <w:keepLines/>
              <w:jc w:val="left"/>
              <w:rPr>
                <w:rFonts w:ascii="Arial Narrow" w:eastAsiaTheme="majorEastAsia" w:hAnsi="Arial Narrow" w:cstheme="majorBidi"/>
                <w:bCs/>
                <w:iCs/>
                <w:sz w:val="20"/>
              </w:rPr>
            </w:pPr>
            <w:r w:rsidRPr="001375D8">
              <w:rPr>
                <w:rFonts w:ascii="Arial Narrow" w:eastAsiaTheme="majorEastAsia" w:hAnsi="Arial Narrow" w:cstheme="majorBidi"/>
                <w:bCs/>
                <w:iCs/>
                <w:sz w:val="20"/>
              </w:rPr>
              <w:t>Appropriate</w:t>
            </w:r>
          </w:p>
        </w:tc>
      </w:tr>
      <w:tr w:rsidR="001375D8" w:rsidRPr="00624B52" w14:paraId="05C5CE14" w14:textId="77777777" w:rsidTr="00122F4D">
        <w:tc>
          <w:tcPr>
            <w:tcW w:w="1555" w:type="dxa"/>
            <w:vAlign w:val="center"/>
          </w:tcPr>
          <w:p w14:paraId="33A224CA" w14:textId="77777777" w:rsidR="001375D8" w:rsidRPr="00BE3331" w:rsidRDefault="001375D8" w:rsidP="008241B5">
            <w:pPr>
              <w:keepLines/>
              <w:jc w:val="left"/>
              <w:rPr>
                <w:rFonts w:ascii="Arial Narrow" w:eastAsiaTheme="majorEastAsia" w:hAnsi="Arial Narrow" w:cstheme="majorBidi"/>
                <w:bCs/>
                <w:sz w:val="20"/>
              </w:rPr>
            </w:pPr>
            <w:r w:rsidRPr="00BE3331">
              <w:rPr>
                <w:rFonts w:ascii="Arial Narrow" w:eastAsiaTheme="majorEastAsia" w:hAnsi="Arial Narrow" w:cstheme="majorBidi"/>
                <w:bCs/>
                <w:sz w:val="20"/>
              </w:rPr>
              <w:t>3L T-</w:t>
            </w:r>
            <w:proofErr w:type="spellStart"/>
            <w:r w:rsidRPr="00BE3331">
              <w:rPr>
                <w:rFonts w:ascii="Arial Narrow" w:eastAsiaTheme="majorEastAsia" w:hAnsi="Arial Narrow" w:cstheme="majorBidi"/>
                <w:bCs/>
                <w:sz w:val="20"/>
              </w:rPr>
              <w:t>DXd</w:t>
            </w:r>
            <w:proofErr w:type="spellEnd"/>
          </w:p>
        </w:tc>
        <w:tc>
          <w:tcPr>
            <w:tcW w:w="1317" w:type="dxa"/>
            <w:vAlign w:val="center"/>
          </w:tcPr>
          <w:p w14:paraId="6E6A371E" w14:textId="27473C40" w:rsidR="001375D8" w:rsidRPr="00BE3331" w:rsidRDefault="001375D8" w:rsidP="008241B5">
            <w:pPr>
              <w:keepLines/>
              <w:jc w:val="left"/>
              <w:rPr>
                <w:rFonts w:ascii="Arial Narrow" w:eastAsiaTheme="majorEastAsia" w:hAnsi="Arial Narrow" w:cstheme="majorBidi"/>
                <w:bCs/>
                <w:sz w:val="20"/>
              </w:rPr>
            </w:pPr>
            <w:r w:rsidRPr="00BE3331">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Pr="00BE3331">
              <w:rPr>
                <w:rFonts w:ascii="Arial Narrow" w:eastAsiaTheme="majorEastAsia" w:hAnsi="Arial Narrow" w:cstheme="majorBidi"/>
                <w:bCs/>
                <w:sz w:val="20"/>
              </w:rPr>
              <w:t xml:space="preserve"> per vial</w:t>
            </w:r>
          </w:p>
        </w:tc>
        <w:tc>
          <w:tcPr>
            <w:tcW w:w="2376" w:type="dxa"/>
            <w:vAlign w:val="center"/>
          </w:tcPr>
          <w:p w14:paraId="7BD15CA7"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AEMP</w:t>
            </w:r>
          </w:p>
        </w:tc>
        <w:tc>
          <w:tcPr>
            <w:tcW w:w="3768" w:type="dxa"/>
            <w:tcBorders>
              <w:top w:val="nil"/>
              <w:bottom w:val="nil"/>
            </w:tcBorders>
            <w:vAlign w:val="center"/>
          </w:tcPr>
          <w:p w14:paraId="29DC5C18" w14:textId="540188E1" w:rsidR="001375D8" w:rsidRPr="001375D8" w:rsidRDefault="001375D8" w:rsidP="008241B5">
            <w:pPr>
              <w:keepLines/>
              <w:jc w:val="left"/>
              <w:rPr>
                <w:rFonts w:ascii="Arial Narrow" w:eastAsiaTheme="majorEastAsia" w:hAnsi="Arial Narrow" w:cstheme="majorBidi"/>
                <w:bCs/>
                <w:iCs/>
                <w:sz w:val="20"/>
              </w:rPr>
            </w:pPr>
          </w:p>
        </w:tc>
      </w:tr>
      <w:tr w:rsidR="001375D8" w:rsidRPr="00624B52" w14:paraId="4F6FD23B" w14:textId="77777777" w:rsidTr="00122F4D">
        <w:tc>
          <w:tcPr>
            <w:tcW w:w="1555" w:type="dxa"/>
            <w:tcBorders>
              <w:bottom w:val="single" w:sz="4" w:space="0" w:color="auto"/>
            </w:tcBorders>
            <w:vAlign w:val="center"/>
          </w:tcPr>
          <w:p w14:paraId="107F8213"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bCs/>
                <w:color w:val="000000"/>
                <w:sz w:val="20"/>
                <w:szCs w:val="20"/>
              </w:rPr>
              <w:t>Paclitaxel</w:t>
            </w:r>
          </w:p>
        </w:tc>
        <w:tc>
          <w:tcPr>
            <w:tcW w:w="1317" w:type="dxa"/>
            <w:tcBorders>
              <w:bottom w:val="single" w:sz="4" w:space="0" w:color="auto"/>
            </w:tcBorders>
            <w:vAlign w:val="center"/>
          </w:tcPr>
          <w:p w14:paraId="06ADDE36"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Public: $164.79</w:t>
            </w:r>
          </w:p>
          <w:p w14:paraId="57325FC9"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Private: $211.48</w:t>
            </w:r>
          </w:p>
        </w:tc>
        <w:tc>
          <w:tcPr>
            <w:tcW w:w="2376" w:type="dxa"/>
            <w:tcBorders>
              <w:bottom w:val="single" w:sz="4" w:space="0" w:color="auto"/>
            </w:tcBorders>
            <w:vAlign w:val="center"/>
          </w:tcPr>
          <w:p w14:paraId="42917544"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PBS items: 7245T, 4567J</w:t>
            </w:r>
          </w:p>
        </w:tc>
        <w:tc>
          <w:tcPr>
            <w:tcW w:w="3768" w:type="dxa"/>
            <w:tcBorders>
              <w:top w:val="nil"/>
              <w:bottom w:val="single" w:sz="4" w:space="0" w:color="auto"/>
            </w:tcBorders>
            <w:vAlign w:val="center"/>
          </w:tcPr>
          <w:p w14:paraId="614C83F9" w14:textId="59ED008B" w:rsidR="001375D8" w:rsidRPr="001375D8" w:rsidRDefault="001375D8" w:rsidP="008241B5">
            <w:pPr>
              <w:keepLines/>
              <w:jc w:val="left"/>
              <w:rPr>
                <w:rFonts w:ascii="Arial Narrow" w:eastAsiaTheme="majorEastAsia" w:hAnsi="Arial Narrow" w:cstheme="majorBidi"/>
                <w:bCs/>
                <w:iCs/>
                <w:sz w:val="20"/>
              </w:rPr>
            </w:pPr>
          </w:p>
        </w:tc>
      </w:tr>
      <w:tr w:rsidR="001375D8" w:rsidRPr="00624B52" w14:paraId="5F9B2B72" w14:textId="77777777" w:rsidTr="00122F4D">
        <w:tc>
          <w:tcPr>
            <w:tcW w:w="1555" w:type="dxa"/>
            <w:tcBorders>
              <w:bottom w:val="single" w:sz="4" w:space="0" w:color="auto"/>
            </w:tcBorders>
            <w:vAlign w:val="center"/>
          </w:tcPr>
          <w:p w14:paraId="0FE0F50F"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bCs/>
                <w:color w:val="000000"/>
                <w:sz w:val="20"/>
                <w:szCs w:val="20"/>
              </w:rPr>
              <w:t>Nab-paclitaxel</w:t>
            </w:r>
          </w:p>
        </w:tc>
        <w:tc>
          <w:tcPr>
            <w:tcW w:w="1317" w:type="dxa"/>
            <w:tcBorders>
              <w:bottom w:val="single" w:sz="4" w:space="0" w:color="auto"/>
            </w:tcBorders>
            <w:vAlign w:val="center"/>
          </w:tcPr>
          <w:p w14:paraId="4425E8D6"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Public: $1,814.01</w:t>
            </w:r>
          </w:p>
          <w:p w14:paraId="7D622FE8"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Private: $1,883.8</w:t>
            </w:r>
          </w:p>
        </w:tc>
        <w:tc>
          <w:tcPr>
            <w:tcW w:w="2376" w:type="dxa"/>
            <w:tcBorders>
              <w:top w:val="single" w:sz="4" w:space="0" w:color="auto"/>
              <w:bottom w:val="single" w:sz="4" w:space="0" w:color="auto"/>
            </w:tcBorders>
            <w:vAlign w:val="center"/>
          </w:tcPr>
          <w:p w14:paraId="3AD4D323" w14:textId="77777777" w:rsidR="001375D8" w:rsidRPr="00624B52" w:rsidRDefault="001375D8" w:rsidP="008241B5">
            <w:pPr>
              <w:keepLines/>
              <w:jc w:val="left"/>
              <w:rPr>
                <w:rFonts w:ascii="Arial Narrow" w:eastAsiaTheme="majorEastAsia" w:hAnsi="Arial Narrow" w:cstheme="majorBidi"/>
                <w:bCs/>
                <w:sz w:val="20"/>
              </w:rPr>
            </w:pPr>
            <w:r w:rsidRPr="00624B52">
              <w:rPr>
                <w:rFonts w:ascii="Arial Narrow" w:eastAsiaTheme="majorEastAsia" w:hAnsi="Arial Narrow" w:cstheme="majorBidi"/>
                <w:bCs/>
                <w:sz w:val="20"/>
              </w:rPr>
              <w:t xml:space="preserve">PBS items: 7270P, 4531L </w:t>
            </w:r>
          </w:p>
        </w:tc>
        <w:tc>
          <w:tcPr>
            <w:tcW w:w="3768" w:type="dxa"/>
            <w:tcBorders>
              <w:top w:val="single" w:sz="4" w:space="0" w:color="auto"/>
              <w:bottom w:val="single" w:sz="4" w:space="0" w:color="auto"/>
            </w:tcBorders>
            <w:vAlign w:val="center"/>
          </w:tcPr>
          <w:p w14:paraId="11B4C94C" w14:textId="743AC868" w:rsidR="001375D8" w:rsidRPr="001375D8" w:rsidRDefault="001375D8" w:rsidP="008241B5">
            <w:pPr>
              <w:keepLines/>
              <w:jc w:val="left"/>
              <w:rPr>
                <w:rFonts w:ascii="Arial Narrow" w:eastAsiaTheme="majorEastAsia" w:hAnsi="Arial Narrow" w:cstheme="majorBidi"/>
                <w:bCs/>
                <w:iCs/>
                <w:sz w:val="20"/>
              </w:rPr>
            </w:pPr>
          </w:p>
        </w:tc>
      </w:tr>
    </w:tbl>
    <w:p w14:paraId="562C0B4E" w14:textId="77777777" w:rsidR="00EE7FE2" w:rsidRPr="00EE7FE2" w:rsidRDefault="00EE7FE2" w:rsidP="009C2B6F">
      <w:pPr>
        <w:pStyle w:val="TableFigureFooter"/>
      </w:pPr>
      <w:r w:rsidRPr="00EE7FE2">
        <w:t xml:space="preserve">Source: tabulated during the evaluation, from Table 4.1, pp 172-173 of the submission and the “ATT41_~1” excel workbook provided in the submission. </w:t>
      </w:r>
    </w:p>
    <w:p w14:paraId="72BA80DB" w14:textId="77777777" w:rsidR="00EE7FE2" w:rsidRPr="00EE7FE2" w:rsidRDefault="00EE7FE2" w:rsidP="009C2B6F">
      <w:pPr>
        <w:pStyle w:val="TableFigureFooter"/>
      </w:pPr>
      <w:r w:rsidRPr="00EE7FE2">
        <w:t>1L = first-line; 2L = second-line; 3L = third-line; BC = breast cancer; CDK = cyclin-dependent kinase; DUSC = Drug Utilisation Sub Committee; ET = endocrine therapy; HER2 = human epidermal growth factor receptor 2; HR = human receptor; IHC = immunohistochemistry; IV = intravenous; mBC = metastatic breast cancer; MBS = Medicare Benefits Schedule; PBAC = Pharmaceutical Benefits Advisory Committee; PBS = Pharmaceutical Benefits Scheme; PSD = Public Summary Document; RPBS = Repatriation Pharmaceutical Benefits Scheme; T-</w:t>
      </w:r>
      <w:proofErr w:type="spellStart"/>
      <w:r w:rsidRPr="00EE7FE2">
        <w:t>DXd</w:t>
      </w:r>
      <w:proofErr w:type="spellEnd"/>
      <w:r w:rsidRPr="00EE7FE2">
        <w:t xml:space="preserve"> = trastuzumab deruxtecan; TTD = time to treatment discontinuation.</w:t>
      </w:r>
    </w:p>
    <w:p w14:paraId="77EE435F" w14:textId="34EF94A4" w:rsidR="00EE7FE2" w:rsidRPr="00AE3CDC" w:rsidRDefault="00EE7FE2" w:rsidP="008241B5">
      <w:pPr>
        <w:numPr>
          <w:ilvl w:val="1"/>
          <w:numId w:val="7"/>
        </w:numPr>
        <w:spacing w:before="60" w:after="60"/>
        <w:rPr>
          <w:rFonts w:asciiTheme="minorHAnsi" w:eastAsiaTheme="minorHAnsi" w:hAnsiTheme="minorHAnsi" w:cstheme="minorBidi"/>
          <w:szCs w:val="22"/>
        </w:rPr>
      </w:pPr>
      <w:bookmarkStart w:id="82" w:name="_Ref222153694"/>
      <w:r w:rsidRPr="00AE3CDC">
        <w:rPr>
          <w:rFonts w:asciiTheme="minorHAnsi" w:eastAsiaTheme="minorHAnsi" w:hAnsiTheme="minorHAnsi" w:cstheme="minorBidi"/>
          <w:szCs w:val="22"/>
        </w:rPr>
        <w:lastRenderedPageBreak/>
        <w:t>The submission estimated the total number of patients eligible for treatment with T</w:t>
      </w:r>
      <w:r w:rsidR="00481497" w:rsidRPr="00AE3CDC">
        <w:rPr>
          <w:rFonts w:asciiTheme="minorHAnsi" w:eastAsiaTheme="minorHAnsi" w:hAnsiTheme="minorHAnsi" w:cstheme="minorBidi"/>
          <w:szCs w:val="22"/>
        </w:rPr>
        <w:noBreakHyphen/>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based on the inputs presented in </w:t>
      </w:r>
      <w:r w:rsidRPr="00AE3CDC">
        <w:rPr>
          <w:rFonts w:asciiTheme="minorHAnsi" w:eastAsiaTheme="minorHAnsi" w:hAnsiTheme="minorHAnsi" w:cstheme="minorBidi"/>
          <w:szCs w:val="22"/>
        </w:rPr>
        <w:fldChar w:fldCharType="begin"/>
      </w:r>
      <w:r w:rsidRPr="00AE3CDC">
        <w:rPr>
          <w:rFonts w:asciiTheme="minorHAnsi" w:eastAsiaTheme="minorHAnsi" w:hAnsiTheme="minorHAnsi" w:cstheme="minorBidi"/>
          <w:szCs w:val="22"/>
        </w:rPr>
        <w:instrText xml:space="preserve"> REF _Ref104805262 \h </w:instrText>
      </w:r>
      <w:r w:rsidR="009E1245" w:rsidRPr="00AE3CDC">
        <w:rPr>
          <w:rFonts w:asciiTheme="minorHAnsi" w:eastAsiaTheme="minorHAnsi" w:hAnsiTheme="minorHAnsi" w:cstheme="minorBidi"/>
          <w:szCs w:val="22"/>
        </w:rPr>
        <w:instrText xml:space="preserve"> \* MERGEFORMAT </w:instrText>
      </w:r>
      <w:r w:rsidRPr="00AE3CDC">
        <w:rPr>
          <w:rFonts w:asciiTheme="minorHAnsi" w:eastAsiaTheme="minorHAnsi" w:hAnsiTheme="minorHAnsi" w:cstheme="minorBidi"/>
          <w:szCs w:val="22"/>
        </w:rPr>
      </w:r>
      <w:r w:rsidRPr="00AE3CDC">
        <w:rPr>
          <w:rFonts w:asciiTheme="minorHAnsi" w:eastAsiaTheme="minorHAnsi" w:hAnsiTheme="minorHAnsi" w:cstheme="minorBidi"/>
          <w:szCs w:val="22"/>
        </w:rPr>
        <w:fldChar w:fldCharType="separate"/>
      </w:r>
      <w:r w:rsidR="005D3E29" w:rsidRPr="005D3E29">
        <w:rPr>
          <w:rFonts w:asciiTheme="minorHAnsi" w:eastAsiaTheme="minorHAnsi" w:hAnsiTheme="minorHAnsi" w:cstheme="minorBidi"/>
          <w:szCs w:val="22"/>
        </w:rPr>
        <w:t>Table 19</w:t>
      </w:r>
      <w:r w:rsidRPr="00AE3CDC">
        <w:rPr>
          <w:rFonts w:asciiTheme="minorHAnsi" w:eastAsiaTheme="minorHAnsi" w:hAnsiTheme="minorHAnsi" w:cstheme="minorBidi"/>
          <w:szCs w:val="22"/>
        </w:rPr>
        <w:fldChar w:fldCharType="end"/>
      </w:r>
      <w:r w:rsidRPr="00AE3CDC">
        <w:rPr>
          <w:rFonts w:asciiTheme="minorHAnsi" w:eastAsiaTheme="minorHAnsi" w:hAnsiTheme="minorHAnsi" w:cstheme="minorBidi"/>
          <w:szCs w:val="22"/>
        </w:rPr>
        <w:t xml:space="preserve">. The patient population was established based on DUSC estimates of </w:t>
      </w:r>
      <w:r w:rsidR="004B03A4" w:rsidRPr="00AE3CDC">
        <w:rPr>
          <w:rFonts w:asciiTheme="minorHAnsi" w:eastAsiaTheme="minorHAnsi" w:hAnsiTheme="minorHAnsi" w:cstheme="minorBidi"/>
          <w:szCs w:val="22"/>
        </w:rPr>
        <w:t>incident</w:t>
      </w:r>
      <w:r w:rsidR="00BA0FA0" w:rsidRPr="00AE3CDC">
        <w:rPr>
          <w:rFonts w:asciiTheme="minorHAnsi" w:eastAsiaTheme="minorHAnsi" w:hAnsiTheme="minorHAnsi" w:cstheme="minorBidi"/>
          <w:szCs w:val="22"/>
        </w:rPr>
        <w:t xml:space="preserve"> </w:t>
      </w:r>
      <w:r w:rsidRPr="00AE3CDC">
        <w:rPr>
          <w:rFonts w:asciiTheme="minorHAnsi" w:eastAsiaTheme="minorHAnsi" w:hAnsiTheme="minorHAnsi" w:cstheme="minorBidi"/>
          <w:szCs w:val="22"/>
        </w:rPr>
        <w:t xml:space="preserve">patients that progressed on </w:t>
      </w:r>
      <w:r w:rsidR="00893DFE" w:rsidRPr="00AE3CDC">
        <w:rPr>
          <w:rFonts w:asciiTheme="minorHAnsi" w:eastAsiaTheme="minorHAnsi" w:hAnsiTheme="minorHAnsi" w:cstheme="minorBidi"/>
          <w:szCs w:val="22"/>
        </w:rPr>
        <w:t xml:space="preserve">first-line </w:t>
      </w:r>
      <w:r w:rsidRPr="00AE3CDC">
        <w:rPr>
          <w:rFonts w:asciiTheme="minorHAnsi" w:eastAsiaTheme="minorHAnsi" w:hAnsiTheme="minorHAnsi" w:cstheme="minorBidi"/>
          <w:szCs w:val="22"/>
        </w:rPr>
        <w:t>treatment with CDK 4/6 inhibitors</w:t>
      </w:r>
      <w:r w:rsidR="00893DFE" w:rsidRPr="00AE3CDC">
        <w:rPr>
          <w:rFonts w:asciiTheme="minorHAnsi" w:eastAsiaTheme="minorHAnsi" w:hAnsiTheme="minorHAnsi" w:cstheme="minorBidi"/>
          <w:szCs w:val="22"/>
        </w:rPr>
        <w:t xml:space="preserve"> and ET in the metastatic setting</w:t>
      </w:r>
      <w:r w:rsidRPr="00AE3CDC">
        <w:rPr>
          <w:rFonts w:asciiTheme="minorHAnsi" w:eastAsiaTheme="minorHAnsi" w:hAnsiTheme="minorHAnsi" w:cstheme="minorBidi"/>
          <w:szCs w:val="22"/>
        </w:rPr>
        <w:t xml:space="preserve">. </w:t>
      </w:r>
      <w:r w:rsidR="00893DFE" w:rsidRPr="00AE3CDC">
        <w:rPr>
          <w:rFonts w:asciiTheme="minorHAnsi" w:eastAsiaTheme="minorHAnsi" w:hAnsiTheme="minorHAnsi" w:cstheme="minorBidi"/>
          <w:szCs w:val="22"/>
        </w:rPr>
        <w:t>A 2% yearly increase was applied to project the number of incident patients over the first 6 years of listing as accepted by the PBAC previously (paragraph 4.24, T-</w:t>
      </w:r>
      <w:proofErr w:type="spellStart"/>
      <w:r w:rsidR="00893DFE" w:rsidRPr="00AE3CDC">
        <w:rPr>
          <w:rFonts w:asciiTheme="minorHAnsi" w:eastAsiaTheme="minorHAnsi" w:hAnsiTheme="minorHAnsi" w:cstheme="minorBidi"/>
          <w:szCs w:val="22"/>
        </w:rPr>
        <w:t>DXd</w:t>
      </w:r>
      <w:proofErr w:type="spellEnd"/>
      <w:r w:rsidR="00893DFE" w:rsidRPr="00AE3CDC">
        <w:rPr>
          <w:rFonts w:asciiTheme="minorHAnsi" w:eastAsiaTheme="minorHAnsi" w:hAnsiTheme="minorHAnsi" w:cstheme="minorBidi"/>
          <w:szCs w:val="22"/>
        </w:rPr>
        <w:t xml:space="preserve"> PSD, March 2024 PBAC Meeting). </w:t>
      </w:r>
      <w:r w:rsidRPr="00AE3CDC">
        <w:rPr>
          <w:rFonts w:asciiTheme="minorHAnsi" w:eastAsiaTheme="minorHAnsi" w:hAnsiTheme="minorHAnsi" w:cstheme="minorBidi"/>
          <w:szCs w:val="22"/>
        </w:rPr>
        <w:t xml:space="preserve">CDK 4/6 inhibitors are currently listed on the PBS for the treatment of HR-positive, HER2-negative early BC and mBC. </w:t>
      </w:r>
      <w:r w:rsidR="00A113C7" w:rsidRPr="00B13CE3">
        <w:rPr>
          <w:rFonts w:asciiTheme="minorHAnsi" w:eastAsiaTheme="minorHAnsi" w:hAnsiTheme="minorHAnsi" w:cstheme="minorBidi"/>
          <w:iCs/>
          <w:szCs w:val="22"/>
        </w:rPr>
        <w:t>The PSCR clarified that</w:t>
      </w:r>
      <w:r w:rsidR="00F43858" w:rsidRPr="00AE3CDC">
        <w:rPr>
          <w:rFonts w:asciiTheme="minorHAnsi" w:eastAsiaTheme="minorHAnsi" w:hAnsiTheme="minorHAnsi" w:cstheme="minorBidi"/>
          <w:szCs w:val="22"/>
        </w:rPr>
        <w:t xml:space="preserve"> the </w:t>
      </w:r>
      <w:r w:rsidRPr="00AE3CDC">
        <w:rPr>
          <w:rFonts w:asciiTheme="minorHAnsi" w:eastAsiaTheme="minorHAnsi" w:hAnsiTheme="minorHAnsi" w:cstheme="minorBidi"/>
          <w:szCs w:val="22"/>
        </w:rPr>
        <w:t xml:space="preserve">incident patient population utilised in the submission includes </w:t>
      </w:r>
      <w:r w:rsidR="008A2A7F">
        <w:rPr>
          <w:rFonts w:asciiTheme="minorHAnsi" w:eastAsiaTheme="minorHAnsi" w:hAnsiTheme="minorHAnsi" w:cstheme="minorBidi"/>
          <w:szCs w:val="22"/>
        </w:rPr>
        <w:t>only</w:t>
      </w:r>
      <w:r w:rsidR="008A2A7F" w:rsidRPr="00AE3CDC">
        <w:rPr>
          <w:rFonts w:asciiTheme="minorHAnsi" w:eastAsiaTheme="minorHAnsi" w:hAnsiTheme="minorHAnsi" w:cstheme="minorBidi"/>
          <w:szCs w:val="22"/>
        </w:rPr>
        <w:t xml:space="preserve"> </w:t>
      </w:r>
      <w:r w:rsidRPr="00AE3CDC">
        <w:rPr>
          <w:rFonts w:asciiTheme="minorHAnsi" w:eastAsiaTheme="minorHAnsi" w:hAnsiTheme="minorHAnsi" w:cstheme="minorBidi"/>
          <w:szCs w:val="22"/>
        </w:rPr>
        <w:t>patients treated with CDK 4/6 inhibitors</w:t>
      </w:r>
      <w:r w:rsidR="008A2A7F">
        <w:rPr>
          <w:rFonts w:asciiTheme="minorHAnsi" w:eastAsiaTheme="minorHAnsi" w:hAnsiTheme="minorHAnsi" w:cstheme="minorBidi"/>
          <w:szCs w:val="22"/>
        </w:rPr>
        <w:t xml:space="preserve"> for</w:t>
      </w:r>
      <w:r w:rsidRPr="00AE3CDC">
        <w:rPr>
          <w:rFonts w:asciiTheme="minorHAnsi" w:eastAsiaTheme="minorHAnsi" w:hAnsiTheme="minorHAnsi" w:cstheme="minorBidi"/>
          <w:szCs w:val="22"/>
        </w:rPr>
        <w:t xml:space="preserve"> metastatic breast cancer. </w:t>
      </w:r>
      <w:r w:rsidR="00141C51" w:rsidRPr="00B13CE3">
        <w:rPr>
          <w:rFonts w:asciiTheme="minorHAnsi" w:eastAsiaTheme="minorHAnsi" w:hAnsiTheme="minorHAnsi" w:cstheme="minorBidi"/>
          <w:iCs/>
          <w:szCs w:val="22"/>
        </w:rPr>
        <w:t xml:space="preserve">The </w:t>
      </w:r>
      <w:r w:rsidR="00082487" w:rsidRPr="00B13CE3">
        <w:rPr>
          <w:rFonts w:asciiTheme="minorHAnsi" w:eastAsiaTheme="minorHAnsi" w:hAnsiTheme="minorHAnsi" w:cstheme="minorBidi"/>
          <w:iCs/>
          <w:szCs w:val="22"/>
        </w:rPr>
        <w:t>S</w:t>
      </w:r>
      <w:r w:rsidR="00851C84" w:rsidRPr="00B13CE3">
        <w:rPr>
          <w:rFonts w:asciiTheme="minorHAnsi" w:eastAsiaTheme="minorHAnsi" w:hAnsiTheme="minorHAnsi" w:cstheme="minorBidi"/>
          <w:iCs/>
          <w:szCs w:val="22"/>
        </w:rPr>
        <w:t>ub-</w:t>
      </w:r>
      <w:r w:rsidR="00082487" w:rsidRPr="00B13CE3">
        <w:rPr>
          <w:rFonts w:asciiTheme="minorHAnsi" w:eastAsiaTheme="minorHAnsi" w:hAnsiTheme="minorHAnsi" w:cstheme="minorBidi"/>
          <w:iCs/>
          <w:szCs w:val="22"/>
        </w:rPr>
        <w:t>C</w:t>
      </w:r>
      <w:r w:rsidR="00851C84" w:rsidRPr="00B13CE3">
        <w:rPr>
          <w:rFonts w:asciiTheme="minorHAnsi" w:eastAsiaTheme="minorHAnsi" w:hAnsiTheme="minorHAnsi" w:cstheme="minorBidi"/>
          <w:iCs/>
          <w:szCs w:val="22"/>
        </w:rPr>
        <w:t>ommittees</w:t>
      </w:r>
      <w:r w:rsidR="00141C51" w:rsidRPr="00B13CE3">
        <w:rPr>
          <w:rFonts w:asciiTheme="minorHAnsi" w:eastAsiaTheme="minorHAnsi" w:hAnsiTheme="minorHAnsi" w:cstheme="minorBidi"/>
          <w:iCs/>
          <w:szCs w:val="22"/>
        </w:rPr>
        <w:t xml:space="preserve"> noted that</w:t>
      </w:r>
      <w:r w:rsidR="00BB475B" w:rsidRPr="00B13CE3">
        <w:rPr>
          <w:rFonts w:asciiTheme="minorHAnsi" w:eastAsiaTheme="minorHAnsi" w:hAnsiTheme="minorHAnsi" w:cstheme="minorBidi"/>
          <w:iCs/>
          <w:szCs w:val="22"/>
        </w:rPr>
        <w:t xml:space="preserve"> </w:t>
      </w:r>
      <w:r w:rsidR="00742242" w:rsidRPr="00B13CE3">
        <w:rPr>
          <w:rFonts w:asciiTheme="minorHAnsi" w:eastAsiaTheme="minorHAnsi" w:hAnsiTheme="minorHAnsi" w:cstheme="minorBidi"/>
          <w:iCs/>
          <w:szCs w:val="22"/>
        </w:rPr>
        <w:t>updated</w:t>
      </w:r>
      <w:r w:rsidR="00377E45" w:rsidRPr="00B13CE3">
        <w:rPr>
          <w:rFonts w:asciiTheme="minorHAnsi" w:eastAsiaTheme="minorHAnsi" w:hAnsiTheme="minorHAnsi" w:cstheme="minorBidi"/>
          <w:iCs/>
          <w:szCs w:val="22"/>
        </w:rPr>
        <w:t xml:space="preserve"> </w:t>
      </w:r>
      <w:r w:rsidR="00145D1E" w:rsidRPr="00B13CE3">
        <w:rPr>
          <w:rFonts w:asciiTheme="minorHAnsi" w:eastAsiaTheme="minorHAnsi" w:hAnsiTheme="minorHAnsi" w:cstheme="minorBidi"/>
          <w:iCs/>
          <w:szCs w:val="22"/>
        </w:rPr>
        <w:t>utilisation</w:t>
      </w:r>
      <w:r w:rsidR="00377E45" w:rsidRPr="00B13CE3">
        <w:rPr>
          <w:rFonts w:asciiTheme="minorHAnsi" w:eastAsiaTheme="minorHAnsi" w:hAnsiTheme="minorHAnsi" w:cstheme="minorBidi"/>
          <w:iCs/>
          <w:szCs w:val="22"/>
        </w:rPr>
        <w:t xml:space="preserve"> data </w:t>
      </w:r>
      <w:r w:rsidR="00D20DBB" w:rsidRPr="00B13CE3">
        <w:rPr>
          <w:rFonts w:asciiTheme="minorHAnsi" w:eastAsiaTheme="minorHAnsi" w:hAnsiTheme="minorHAnsi" w:cstheme="minorBidi"/>
          <w:iCs/>
          <w:szCs w:val="22"/>
        </w:rPr>
        <w:t xml:space="preserve">from 2025 </w:t>
      </w:r>
      <w:r w:rsidR="00145D1E" w:rsidRPr="00B13CE3">
        <w:rPr>
          <w:rFonts w:asciiTheme="minorHAnsi" w:eastAsiaTheme="minorHAnsi" w:hAnsiTheme="minorHAnsi" w:cstheme="minorBidi"/>
          <w:iCs/>
          <w:szCs w:val="22"/>
        </w:rPr>
        <w:t xml:space="preserve">was provided and considered that this </w:t>
      </w:r>
      <w:r w:rsidR="00377E45" w:rsidRPr="00B13CE3">
        <w:rPr>
          <w:rFonts w:asciiTheme="minorHAnsi" w:eastAsiaTheme="minorHAnsi" w:hAnsiTheme="minorHAnsi" w:cstheme="minorBidi"/>
          <w:iCs/>
          <w:szCs w:val="22"/>
        </w:rPr>
        <w:t xml:space="preserve">should be used, </w:t>
      </w:r>
      <w:r w:rsidR="00110800" w:rsidRPr="00B13CE3">
        <w:rPr>
          <w:rFonts w:asciiTheme="minorHAnsi" w:eastAsiaTheme="minorHAnsi" w:hAnsiTheme="minorHAnsi" w:cstheme="minorBidi"/>
          <w:iCs/>
          <w:szCs w:val="22"/>
        </w:rPr>
        <w:t>which resulted</w:t>
      </w:r>
      <w:r w:rsidR="00145D1E" w:rsidRPr="00B13CE3">
        <w:rPr>
          <w:rFonts w:asciiTheme="minorHAnsi" w:eastAsiaTheme="minorHAnsi" w:hAnsiTheme="minorHAnsi" w:cstheme="minorBidi"/>
          <w:iCs/>
          <w:szCs w:val="22"/>
        </w:rPr>
        <w:t xml:space="preserve"> in a slight increase in </w:t>
      </w:r>
      <w:r w:rsidR="00D20DBB" w:rsidRPr="00B13CE3">
        <w:rPr>
          <w:rFonts w:asciiTheme="minorHAnsi" w:eastAsiaTheme="minorHAnsi" w:hAnsiTheme="minorHAnsi" w:cstheme="minorBidi"/>
          <w:iCs/>
          <w:szCs w:val="22"/>
        </w:rPr>
        <w:t xml:space="preserve">the number of </w:t>
      </w:r>
      <w:r w:rsidR="00145D1E" w:rsidRPr="00B13CE3">
        <w:rPr>
          <w:rFonts w:asciiTheme="minorHAnsi" w:eastAsiaTheme="minorHAnsi" w:hAnsiTheme="minorHAnsi" w:cstheme="minorBidi"/>
          <w:iCs/>
          <w:szCs w:val="22"/>
        </w:rPr>
        <w:t>patients</w:t>
      </w:r>
      <w:r w:rsidR="00A92990" w:rsidRPr="00B13CE3">
        <w:rPr>
          <w:rFonts w:asciiTheme="minorHAnsi" w:eastAsiaTheme="minorHAnsi" w:hAnsiTheme="minorHAnsi" w:cstheme="minorBidi"/>
          <w:iCs/>
          <w:szCs w:val="22"/>
        </w:rPr>
        <w:t>.</w:t>
      </w:r>
      <w:bookmarkEnd w:id="82"/>
    </w:p>
    <w:p w14:paraId="44F63D37" w14:textId="3C3AE9C2" w:rsidR="003C1E8D" w:rsidRPr="00B13CE3" w:rsidRDefault="00EE7FE2" w:rsidP="008241B5">
      <w:pPr>
        <w:pStyle w:val="3-BodyText"/>
      </w:pPr>
      <w:r w:rsidRPr="00ED2593">
        <w:t>The submission assumed that 90% of patients would be eligible for 2L treatment</w:t>
      </w:r>
      <w:r w:rsidR="001025A7" w:rsidRPr="00ED2593">
        <w:t>,</w:t>
      </w:r>
      <w:r w:rsidRPr="00ED2593">
        <w:t xml:space="preserve"> of which 28.9% are treated with IV chemotherapy. The submission </w:t>
      </w:r>
      <w:r w:rsidR="000138E1" w:rsidRPr="00ED2593">
        <w:t xml:space="preserve">stated </w:t>
      </w:r>
      <w:r w:rsidRPr="00ED2593">
        <w:t>that T-</w:t>
      </w:r>
      <w:proofErr w:type="spellStart"/>
      <w:r w:rsidRPr="00ED2593">
        <w:t>DXd</w:t>
      </w:r>
      <w:proofErr w:type="spellEnd"/>
      <w:r w:rsidRPr="00ED2593">
        <w:t xml:space="preserve"> was most likely to replace 2L IV chemotherapy (paclitaxel and nab-paclitaxel) only due to the convenience associated with oral medications (capecitabine). </w:t>
      </w:r>
      <w:r w:rsidR="00F17978" w:rsidRPr="00ED2593">
        <w:t>The</w:t>
      </w:r>
      <w:r w:rsidR="00F17978" w:rsidRPr="00B13CE3">
        <w:rPr>
          <w:iCs/>
        </w:rPr>
        <w:t xml:space="preserve"> evaluation considered that</w:t>
      </w:r>
      <w:r w:rsidR="00F17978" w:rsidRPr="00ED2593">
        <w:t xml:space="preserve"> </w:t>
      </w:r>
      <w:r w:rsidRPr="00ED2593">
        <w:t>T-</w:t>
      </w:r>
      <w:proofErr w:type="spellStart"/>
      <w:r w:rsidRPr="00ED2593">
        <w:t>DXd</w:t>
      </w:r>
      <w:proofErr w:type="spellEnd"/>
      <w:r w:rsidRPr="00ED2593">
        <w:t xml:space="preserve"> will replace oral capecitabine in clinical practice in line with the clinical claim of increased PFS and OS compared to chemotherapy</w:t>
      </w:r>
      <w:r w:rsidR="00DB7E91" w:rsidRPr="00ED2593">
        <w:t xml:space="preserve"> (including capecitabine)</w:t>
      </w:r>
      <w:r w:rsidRPr="00ED2593">
        <w:t xml:space="preserve">. </w:t>
      </w:r>
      <w:bookmarkStart w:id="83" w:name="_Ref221803983"/>
      <w:r w:rsidR="000E1D59" w:rsidRPr="00B13CE3">
        <w:rPr>
          <w:rFonts w:eastAsiaTheme="minorEastAsia"/>
        </w:rPr>
        <w:t>The PSCR</w:t>
      </w:r>
      <w:r w:rsidR="007E68E4" w:rsidRPr="00B13CE3">
        <w:rPr>
          <w:rFonts w:eastAsiaTheme="minorEastAsia"/>
        </w:rPr>
        <w:t xml:space="preserve"> stated</w:t>
      </w:r>
      <w:r w:rsidR="00CD5D4D" w:rsidRPr="00B13CE3">
        <w:rPr>
          <w:rFonts w:eastAsiaTheme="minorEastAsia"/>
        </w:rPr>
        <w:t xml:space="preserve"> “t</w:t>
      </w:r>
      <w:r w:rsidR="00CD5D4D" w:rsidRPr="00B13CE3">
        <w:rPr>
          <w:bCs/>
          <w:iCs/>
        </w:rPr>
        <w:t>he assumption that T</w:t>
      </w:r>
      <w:r w:rsidR="00CD5D4D" w:rsidRPr="00B13CE3">
        <w:rPr>
          <w:rFonts w:ascii="Cambria Math" w:hAnsi="Cambria Math" w:cs="Cambria Math"/>
          <w:bCs/>
          <w:iCs/>
        </w:rPr>
        <w:t>‑</w:t>
      </w:r>
      <w:proofErr w:type="spellStart"/>
      <w:r w:rsidR="00CD5D4D" w:rsidRPr="00B13CE3">
        <w:rPr>
          <w:bCs/>
          <w:iCs/>
        </w:rPr>
        <w:t>DXd</w:t>
      </w:r>
      <w:proofErr w:type="spellEnd"/>
      <w:r w:rsidR="00CD5D4D" w:rsidRPr="00B13CE3">
        <w:rPr>
          <w:bCs/>
          <w:iCs/>
        </w:rPr>
        <w:t xml:space="preserve"> will mainly replace IV chemotherapy rather than capecitabine reflects clinician advice that treatment choice often prioritises patient convenience. Capecitabine helps patients maintain independence and avoid the burden of transitioning to IV therapy, which is seen as a major escalation. Clinicians are familiar with capecitabine, can adjust dosing for tolerability, and have observed durable responses in some patients. For these reasons, broad substitution away from capecitabine is unlikely despite T</w:t>
      </w:r>
      <w:r w:rsidR="00CD5D4D" w:rsidRPr="00B13CE3">
        <w:rPr>
          <w:rFonts w:ascii="Cambria Math" w:hAnsi="Cambria Math" w:cs="Cambria Math"/>
          <w:bCs/>
          <w:iCs/>
        </w:rPr>
        <w:t>‑</w:t>
      </w:r>
      <w:proofErr w:type="spellStart"/>
      <w:r w:rsidR="00CD5D4D" w:rsidRPr="00B13CE3">
        <w:rPr>
          <w:bCs/>
          <w:iCs/>
        </w:rPr>
        <w:t>DXd</w:t>
      </w:r>
      <w:r w:rsidR="00CD5D4D" w:rsidRPr="00B13CE3">
        <w:rPr>
          <w:rFonts w:cs="Calibri"/>
          <w:bCs/>
          <w:iCs/>
        </w:rPr>
        <w:t>’</w:t>
      </w:r>
      <w:r w:rsidR="00CD5D4D" w:rsidRPr="00B13CE3">
        <w:rPr>
          <w:bCs/>
          <w:iCs/>
        </w:rPr>
        <w:t>s</w:t>
      </w:r>
      <w:proofErr w:type="spellEnd"/>
      <w:r w:rsidR="00CD5D4D" w:rsidRPr="00B13CE3">
        <w:rPr>
          <w:bCs/>
          <w:iCs/>
        </w:rPr>
        <w:t xml:space="preserve"> superior efficacy</w:t>
      </w:r>
      <w:r w:rsidR="008F51C0" w:rsidRPr="00B13CE3">
        <w:rPr>
          <w:bCs/>
          <w:iCs/>
        </w:rPr>
        <w:t>”</w:t>
      </w:r>
      <w:r w:rsidR="00EC1DA0" w:rsidRPr="00B13CE3">
        <w:rPr>
          <w:bCs/>
          <w:iCs/>
        </w:rPr>
        <w:t>.</w:t>
      </w:r>
      <w:r w:rsidR="000E1D59" w:rsidRPr="00B13CE3">
        <w:rPr>
          <w:rFonts w:eastAsiaTheme="minorEastAsia"/>
        </w:rPr>
        <w:t xml:space="preserve"> </w:t>
      </w:r>
      <w:r w:rsidR="000B6FEA" w:rsidRPr="00B13CE3">
        <w:rPr>
          <w:iCs/>
        </w:rPr>
        <w:t xml:space="preserve">The </w:t>
      </w:r>
      <w:r w:rsidR="00D85B8B" w:rsidRPr="00B13CE3">
        <w:rPr>
          <w:iCs/>
        </w:rPr>
        <w:t>Sub-Committees</w:t>
      </w:r>
      <w:r w:rsidR="006E34F6" w:rsidRPr="00B13CE3">
        <w:rPr>
          <w:iCs/>
        </w:rPr>
        <w:t xml:space="preserve"> </w:t>
      </w:r>
      <w:r w:rsidR="000B6FEA" w:rsidRPr="00B13CE3">
        <w:rPr>
          <w:iCs/>
        </w:rPr>
        <w:t>noted that, although the convenience of oral administration is a factor for some patients, patients treated with capecitabine will still require frequent monitoring</w:t>
      </w:r>
      <w:r w:rsidR="00D06E61" w:rsidRPr="00B13CE3">
        <w:rPr>
          <w:iCs/>
        </w:rPr>
        <w:t>.</w:t>
      </w:r>
      <w:r w:rsidR="000B6FEA" w:rsidRPr="00B13CE3">
        <w:rPr>
          <w:iCs/>
        </w:rPr>
        <w:t xml:space="preserve"> </w:t>
      </w:r>
      <w:r w:rsidR="00D23DE9" w:rsidRPr="00B13CE3">
        <w:rPr>
          <w:iCs/>
        </w:rPr>
        <w:t xml:space="preserve">The </w:t>
      </w:r>
      <w:r w:rsidR="00D85B8B" w:rsidRPr="00B13CE3">
        <w:rPr>
          <w:iCs/>
        </w:rPr>
        <w:t>Sub-Committees</w:t>
      </w:r>
      <w:r w:rsidR="006E34F6" w:rsidRPr="00B13CE3">
        <w:rPr>
          <w:iCs/>
        </w:rPr>
        <w:t xml:space="preserve"> </w:t>
      </w:r>
      <w:r w:rsidR="006B16E7" w:rsidRPr="00B13CE3">
        <w:rPr>
          <w:iCs/>
        </w:rPr>
        <w:t xml:space="preserve">acknowledged that </w:t>
      </w:r>
      <w:r w:rsidR="00BA0BE2" w:rsidRPr="00B13CE3">
        <w:rPr>
          <w:iCs/>
        </w:rPr>
        <w:t xml:space="preserve">for </w:t>
      </w:r>
      <w:r w:rsidR="006B16E7" w:rsidRPr="00B13CE3">
        <w:rPr>
          <w:iCs/>
        </w:rPr>
        <w:t xml:space="preserve">some patients </w:t>
      </w:r>
      <w:r w:rsidR="00BA0BE2" w:rsidRPr="00B13CE3">
        <w:rPr>
          <w:iCs/>
        </w:rPr>
        <w:t xml:space="preserve">the </w:t>
      </w:r>
      <w:r w:rsidR="00B028B3" w:rsidRPr="00B13CE3">
        <w:rPr>
          <w:iCs/>
        </w:rPr>
        <w:t xml:space="preserve">preferred </w:t>
      </w:r>
      <w:r w:rsidR="002270AD" w:rsidRPr="00B13CE3">
        <w:rPr>
          <w:iCs/>
        </w:rPr>
        <w:t>trea</w:t>
      </w:r>
      <w:r w:rsidR="00B028B3" w:rsidRPr="00B13CE3">
        <w:rPr>
          <w:iCs/>
        </w:rPr>
        <w:t>tment would be oral capecitabine</w:t>
      </w:r>
      <w:r w:rsidR="00462265" w:rsidRPr="00B13CE3">
        <w:rPr>
          <w:iCs/>
        </w:rPr>
        <w:t xml:space="preserve"> due to </w:t>
      </w:r>
      <w:r w:rsidR="00C248E7" w:rsidRPr="00B13CE3">
        <w:rPr>
          <w:iCs/>
        </w:rPr>
        <w:t xml:space="preserve">its oral administration and </w:t>
      </w:r>
      <w:r w:rsidR="00D223F5" w:rsidRPr="00B13CE3">
        <w:rPr>
          <w:iCs/>
        </w:rPr>
        <w:t>more tolerable safety profile compared with T-</w:t>
      </w:r>
      <w:proofErr w:type="spellStart"/>
      <w:r w:rsidR="00D223F5" w:rsidRPr="00B13CE3">
        <w:rPr>
          <w:iCs/>
        </w:rPr>
        <w:t>DXd</w:t>
      </w:r>
      <w:proofErr w:type="spellEnd"/>
      <w:r w:rsidR="00D223F5" w:rsidRPr="00B13CE3">
        <w:rPr>
          <w:iCs/>
        </w:rPr>
        <w:t xml:space="preserve">. </w:t>
      </w:r>
      <w:r w:rsidR="00AF4E13" w:rsidRPr="00B13CE3">
        <w:rPr>
          <w:iCs/>
        </w:rPr>
        <w:t>However</w:t>
      </w:r>
      <w:r w:rsidR="00867609" w:rsidRPr="00B13CE3">
        <w:rPr>
          <w:iCs/>
        </w:rPr>
        <w:t>,</w:t>
      </w:r>
      <w:r w:rsidR="00AF4E13" w:rsidRPr="00B13CE3">
        <w:rPr>
          <w:iCs/>
        </w:rPr>
        <w:t xml:space="preserve"> the </w:t>
      </w:r>
      <w:r w:rsidR="00D85B8B" w:rsidRPr="00B13CE3">
        <w:rPr>
          <w:iCs/>
        </w:rPr>
        <w:t>Sub-Committees</w:t>
      </w:r>
      <w:r w:rsidR="006E34F6" w:rsidRPr="00B13CE3">
        <w:rPr>
          <w:iCs/>
        </w:rPr>
        <w:t xml:space="preserve"> </w:t>
      </w:r>
      <w:r w:rsidR="00D23DE9" w:rsidRPr="00B13CE3">
        <w:rPr>
          <w:iCs/>
        </w:rPr>
        <w:t>agreed with the evaluation that the assumption that only IV chemotherapy would be displaced was not reasonable for the following reasons:</w:t>
      </w:r>
    </w:p>
    <w:bookmarkEnd w:id="83"/>
    <w:p w14:paraId="6AE4AC44" w14:textId="037A0335" w:rsidR="006D46D0" w:rsidRPr="00B13CE3" w:rsidRDefault="00787B07" w:rsidP="008241B5">
      <w:pPr>
        <w:pStyle w:val="ListParagraph"/>
        <w:jc w:val="both"/>
        <w:rPr>
          <w:rFonts w:eastAsiaTheme="minorEastAsia"/>
          <w:iCs/>
        </w:rPr>
      </w:pPr>
      <w:r w:rsidRPr="00B13CE3">
        <w:rPr>
          <w:rFonts w:eastAsiaTheme="minorEastAsia"/>
        </w:rPr>
        <w:t xml:space="preserve">In DB-06 the </w:t>
      </w:r>
      <w:r w:rsidR="00BC05C9" w:rsidRPr="00B13CE3">
        <w:rPr>
          <w:rFonts w:eastAsiaTheme="minorEastAsia"/>
        </w:rPr>
        <w:t>ICC</w:t>
      </w:r>
      <w:r w:rsidRPr="00B13CE3">
        <w:rPr>
          <w:rFonts w:eastAsiaTheme="minorEastAsia"/>
        </w:rPr>
        <w:t xml:space="preserve"> arm </w:t>
      </w:r>
      <w:r w:rsidR="00027144" w:rsidRPr="00B13CE3">
        <w:rPr>
          <w:rFonts w:eastAsiaTheme="minorEastAsia"/>
        </w:rPr>
        <w:t xml:space="preserve">included </w:t>
      </w:r>
      <w:r w:rsidR="00BC05C9" w:rsidRPr="00B13CE3">
        <w:rPr>
          <w:rFonts w:eastAsiaTheme="minorEastAsia"/>
        </w:rPr>
        <w:t>capecitabine for ~60% of patients, suggesting that replacement with T-</w:t>
      </w:r>
      <w:proofErr w:type="spellStart"/>
      <w:r w:rsidR="00BC05C9" w:rsidRPr="00B13CE3">
        <w:rPr>
          <w:rFonts w:eastAsiaTheme="minorEastAsia"/>
        </w:rPr>
        <w:t>DXd</w:t>
      </w:r>
      <w:proofErr w:type="spellEnd"/>
      <w:r w:rsidR="00BC05C9" w:rsidRPr="00B13CE3">
        <w:rPr>
          <w:rFonts w:eastAsiaTheme="minorEastAsia"/>
        </w:rPr>
        <w:t xml:space="preserve"> would be considered </w:t>
      </w:r>
      <w:r w:rsidR="0086159E" w:rsidRPr="00B13CE3">
        <w:rPr>
          <w:rFonts w:eastAsiaTheme="minorEastAsia"/>
          <w:iCs/>
        </w:rPr>
        <w:t xml:space="preserve">clinically appropriate </w:t>
      </w:r>
      <w:r w:rsidR="00BC05C9" w:rsidRPr="00B13CE3">
        <w:rPr>
          <w:rFonts w:eastAsiaTheme="minorEastAsia"/>
        </w:rPr>
        <w:t xml:space="preserve">for </w:t>
      </w:r>
      <w:r w:rsidR="003F2D85" w:rsidRPr="00B13CE3">
        <w:rPr>
          <w:rFonts w:eastAsiaTheme="minorEastAsia"/>
        </w:rPr>
        <w:t>these patients.</w:t>
      </w:r>
      <w:r w:rsidR="00790EB6" w:rsidRPr="00B13CE3">
        <w:rPr>
          <w:rFonts w:eastAsiaTheme="minorEastAsia" w:cstheme="minorBidi"/>
          <w:lang w:val="en-US"/>
        </w:rPr>
        <w:t xml:space="preserve"> </w:t>
      </w:r>
    </w:p>
    <w:p w14:paraId="496C2A4C" w14:textId="19BAEB00" w:rsidR="00583E2C" w:rsidRPr="00B13CE3" w:rsidRDefault="00B631B1" w:rsidP="008241B5">
      <w:pPr>
        <w:pStyle w:val="ListParagraph"/>
        <w:jc w:val="both"/>
        <w:rPr>
          <w:rFonts w:eastAsiaTheme="minorEastAsia"/>
          <w:iCs/>
        </w:rPr>
      </w:pPr>
      <w:r w:rsidRPr="00B13CE3">
        <w:rPr>
          <w:rFonts w:eastAsiaTheme="minorHAnsi"/>
          <w:iCs/>
        </w:rPr>
        <w:t xml:space="preserve">The </w:t>
      </w:r>
      <w:r w:rsidR="00D85B8B" w:rsidRPr="00B13CE3">
        <w:rPr>
          <w:rFonts w:eastAsiaTheme="minorHAnsi"/>
          <w:iCs/>
        </w:rPr>
        <w:t>Sub-Committees</w:t>
      </w:r>
      <w:r w:rsidR="006E34F6" w:rsidRPr="00B13CE3">
        <w:rPr>
          <w:rFonts w:eastAsiaTheme="minorHAnsi"/>
          <w:iCs/>
        </w:rPr>
        <w:t xml:space="preserve"> </w:t>
      </w:r>
      <w:r w:rsidRPr="00B13CE3">
        <w:rPr>
          <w:rFonts w:eastAsiaTheme="minorHAnsi"/>
          <w:iCs/>
        </w:rPr>
        <w:t xml:space="preserve">considered </w:t>
      </w:r>
      <w:r w:rsidR="0086159E" w:rsidRPr="00B13CE3">
        <w:rPr>
          <w:rFonts w:eastAsiaTheme="minorHAnsi"/>
          <w:iCs/>
        </w:rPr>
        <w:t xml:space="preserve">it </w:t>
      </w:r>
      <w:r w:rsidRPr="00B13CE3">
        <w:rPr>
          <w:rFonts w:eastAsiaTheme="minorHAnsi"/>
          <w:iCs/>
        </w:rPr>
        <w:t>is likely that some clinicians would want to use T-</w:t>
      </w:r>
      <w:proofErr w:type="spellStart"/>
      <w:r w:rsidRPr="00B13CE3">
        <w:rPr>
          <w:rFonts w:eastAsiaTheme="minorHAnsi"/>
          <w:iCs/>
        </w:rPr>
        <w:t>DXd</w:t>
      </w:r>
      <w:proofErr w:type="spellEnd"/>
      <w:r w:rsidRPr="00B13CE3">
        <w:rPr>
          <w:rFonts w:eastAsiaTheme="minorHAnsi"/>
          <w:iCs/>
        </w:rPr>
        <w:t xml:space="preserve"> in place of capecitabine where it is expected to have improved </w:t>
      </w:r>
      <w:r w:rsidRPr="00B13CE3">
        <w:rPr>
          <w:rFonts w:eastAsiaTheme="minorHAnsi"/>
          <w:iCs/>
        </w:rPr>
        <w:lastRenderedPageBreak/>
        <w:t>survival benefit.</w:t>
      </w:r>
      <w:r w:rsidR="002D3BAB" w:rsidRPr="00B13CE3">
        <w:rPr>
          <w:rFonts w:eastAsiaTheme="minorEastAsia"/>
          <w:iCs/>
        </w:rPr>
        <w:t xml:space="preserve"> Recent real world evidence trial emulation confirms the benefit of T-</w:t>
      </w:r>
      <w:proofErr w:type="spellStart"/>
      <w:r w:rsidR="002D3BAB" w:rsidRPr="00B13CE3">
        <w:rPr>
          <w:rFonts w:eastAsiaTheme="minorEastAsia"/>
          <w:iCs/>
        </w:rPr>
        <w:t>DXd</w:t>
      </w:r>
      <w:proofErr w:type="spellEnd"/>
      <w:r w:rsidR="002D3BAB" w:rsidRPr="00B13CE3">
        <w:rPr>
          <w:rFonts w:eastAsiaTheme="minorEastAsia"/>
          <w:iCs/>
        </w:rPr>
        <w:t xml:space="preserve"> compared with capecitabine and IV chemotherapy</w:t>
      </w:r>
      <w:r w:rsidR="00802231" w:rsidRPr="00B13CE3">
        <w:rPr>
          <w:rStyle w:val="FootnoteReference"/>
          <w:rFonts w:eastAsiaTheme="minorEastAsia"/>
          <w:iCs/>
        </w:rPr>
        <w:footnoteReference w:id="30"/>
      </w:r>
      <w:r w:rsidR="00DB0A77" w:rsidRPr="00B13CE3">
        <w:rPr>
          <w:rFonts w:eastAsiaTheme="minorEastAsia"/>
          <w:iCs/>
        </w:rPr>
        <w:t>.</w:t>
      </w:r>
    </w:p>
    <w:p w14:paraId="1F911D60" w14:textId="234D2FD7" w:rsidR="00D864D1" w:rsidRPr="00B13CE3" w:rsidRDefault="00790EB6" w:rsidP="008241B5">
      <w:pPr>
        <w:pStyle w:val="ListParagraph"/>
        <w:jc w:val="both"/>
        <w:rPr>
          <w:rFonts w:eastAsiaTheme="minorEastAsia"/>
        </w:rPr>
      </w:pPr>
      <w:r w:rsidRPr="00B13CE3">
        <w:rPr>
          <w:rFonts w:eastAsiaTheme="minorEastAsia" w:cstheme="minorBidi"/>
          <w:lang w:val="en-US"/>
        </w:rPr>
        <w:t>Based on data</w:t>
      </w:r>
      <w:r w:rsidR="00DF6ABF" w:rsidRPr="00B13CE3">
        <w:rPr>
          <w:rFonts w:eastAsiaTheme="minorEastAsia" w:cstheme="minorBidi"/>
          <w:lang w:val="en-US"/>
        </w:rPr>
        <w:t xml:space="preserve"> from the 10% PBS sample</w:t>
      </w:r>
      <w:r w:rsidRPr="00B13CE3">
        <w:rPr>
          <w:rFonts w:eastAsiaTheme="minorEastAsia" w:cstheme="minorBidi"/>
          <w:lang w:val="en-US"/>
        </w:rPr>
        <w:t>, capecitabine accounted for about 71% of all 2L chemotherapy regimen</w:t>
      </w:r>
      <w:r w:rsidR="00062E5A" w:rsidRPr="00B13CE3">
        <w:rPr>
          <w:rFonts w:eastAsiaTheme="minorEastAsia" w:cstheme="minorBidi"/>
          <w:lang w:val="en-US"/>
        </w:rPr>
        <w:t>s</w:t>
      </w:r>
      <w:r w:rsidR="006D46D0" w:rsidRPr="00B13CE3">
        <w:rPr>
          <w:rFonts w:eastAsiaTheme="minorEastAsia" w:cstheme="minorBidi"/>
          <w:lang w:val="en-US"/>
        </w:rPr>
        <w:t xml:space="preserve">, suggesting that even if </w:t>
      </w:r>
      <w:r w:rsidR="00673AF6" w:rsidRPr="00B13CE3">
        <w:rPr>
          <w:rFonts w:eastAsiaTheme="minorEastAsia" w:cstheme="minorBidi"/>
          <w:lang w:val="en-US"/>
        </w:rPr>
        <w:t xml:space="preserve">a small proportion of patients </w:t>
      </w:r>
      <w:r w:rsidR="0054378A" w:rsidRPr="00B13CE3">
        <w:rPr>
          <w:rFonts w:eastAsiaTheme="minorEastAsia" w:cstheme="minorBidi"/>
          <w:lang w:val="en-US"/>
        </w:rPr>
        <w:t xml:space="preserve">substitute capecitabine </w:t>
      </w:r>
      <w:r w:rsidR="002D3BAB" w:rsidRPr="00B13CE3">
        <w:rPr>
          <w:rFonts w:eastAsiaTheme="minorEastAsia" w:cstheme="minorBidi"/>
          <w:lang w:val="en-US"/>
        </w:rPr>
        <w:t>it would have a substantial impact on patient numbers</w:t>
      </w:r>
      <w:r w:rsidRPr="00B13CE3">
        <w:rPr>
          <w:rFonts w:eastAsiaTheme="minorEastAsia" w:cstheme="minorBidi"/>
          <w:lang w:val="en-US"/>
        </w:rPr>
        <w:t>.</w:t>
      </w:r>
      <w:r w:rsidR="006B16E7" w:rsidRPr="00B13CE3">
        <w:rPr>
          <w:rFonts w:eastAsiaTheme="minorHAnsi"/>
          <w:iCs/>
        </w:rPr>
        <w:t xml:space="preserve"> </w:t>
      </w:r>
    </w:p>
    <w:p w14:paraId="1E1CD366" w14:textId="309646FE" w:rsidR="004B73EC" w:rsidRPr="00B13CE3" w:rsidRDefault="00D23DE9" w:rsidP="008241B5">
      <w:pPr>
        <w:pStyle w:val="ListParagraph"/>
        <w:jc w:val="both"/>
        <w:rPr>
          <w:rFonts w:eastAsiaTheme="minorEastAsia"/>
        </w:rPr>
      </w:pPr>
      <w:r w:rsidRPr="00B13CE3">
        <w:rPr>
          <w:rFonts w:eastAsiaTheme="minorHAnsi"/>
        </w:rPr>
        <w:t>A</w:t>
      </w:r>
      <w:r w:rsidR="002A67ED" w:rsidRPr="00B13CE3">
        <w:rPr>
          <w:rFonts w:eastAsiaTheme="minorHAnsi"/>
        </w:rPr>
        <w:t>lthough</w:t>
      </w:r>
      <w:r w:rsidR="00D6357A" w:rsidRPr="00B13CE3">
        <w:rPr>
          <w:rFonts w:eastAsiaTheme="minorHAnsi"/>
        </w:rPr>
        <w:t xml:space="preserve"> </w:t>
      </w:r>
      <w:r w:rsidR="001638D3" w:rsidRPr="00B13CE3">
        <w:rPr>
          <w:rFonts w:eastAsiaTheme="minorHAnsi"/>
        </w:rPr>
        <w:t xml:space="preserve">the convenience of </w:t>
      </w:r>
      <w:r w:rsidR="006304D4" w:rsidRPr="00B13CE3">
        <w:rPr>
          <w:rFonts w:eastAsiaTheme="minorHAnsi"/>
        </w:rPr>
        <w:t>oral</w:t>
      </w:r>
      <w:r w:rsidR="001638D3" w:rsidRPr="00B13CE3">
        <w:rPr>
          <w:rFonts w:eastAsiaTheme="minorHAnsi"/>
        </w:rPr>
        <w:t xml:space="preserve"> administration is a factor</w:t>
      </w:r>
      <w:r w:rsidR="002A67ED" w:rsidRPr="00B13CE3">
        <w:rPr>
          <w:rFonts w:eastAsiaTheme="minorHAnsi"/>
        </w:rPr>
        <w:t xml:space="preserve"> </w:t>
      </w:r>
      <w:r w:rsidR="00BD4412" w:rsidRPr="00B13CE3">
        <w:rPr>
          <w:rFonts w:eastAsiaTheme="minorHAnsi"/>
        </w:rPr>
        <w:t>for some patients</w:t>
      </w:r>
      <w:r w:rsidR="001638D3" w:rsidRPr="00B13CE3">
        <w:rPr>
          <w:rFonts w:eastAsiaTheme="minorHAnsi"/>
        </w:rPr>
        <w:t xml:space="preserve">, patients </w:t>
      </w:r>
      <w:r w:rsidR="000A0C6B" w:rsidRPr="00B13CE3">
        <w:rPr>
          <w:rFonts w:eastAsiaTheme="minorHAnsi"/>
        </w:rPr>
        <w:t xml:space="preserve">treated with capecitabine </w:t>
      </w:r>
      <w:r w:rsidR="001638D3" w:rsidRPr="00B13CE3">
        <w:rPr>
          <w:rFonts w:eastAsiaTheme="minorHAnsi"/>
        </w:rPr>
        <w:t>will still require</w:t>
      </w:r>
      <w:r w:rsidR="000A0C6B" w:rsidRPr="00B13CE3">
        <w:rPr>
          <w:rFonts w:eastAsiaTheme="minorHAnsi"/>
        </w:rPr>
        <w:t xml:space="preserve"> frequent monitoring. </w:t>
      </w:r>
    </w:p>
    <w:p w14:paraId="681054CA" w14:textId="7A9654A3" w:rsidR="008F51C0" w:rsidRPr="00B13CE3" w:rsidRDefault="00062D38" w:rsidP="008241B5">
      <w:pPr>
        <w:pStyle w:val="ListParagraph"/>
        <w:jc w:val="both"/>
        <w:rPr>
          <w:rFonts w:eastAsiaTheme="minorEastAsia"/>
        </w:rPr>
      </w:pPr>
      <w:r w:rsidRPr="00B13CE3">
        <w:rPr>
          <w:iCs/>
        </w:rPr>
        <w:t>F</w:t>
      </w:r>
      <w:r w:rsidR="00A07437" w:rsidRPr="00B13CE3">
        <w:rPr>
          <w:iCs/>
        </w:rPr>
        <w:t>or</w:t>
      </w:r>
      <w:r w:rsidR="00A07437" w:rsidRPr="00B13CE3">
        <w:t xml:space="preserve"> some patients there may be a preference to receive the more toxic drug (T-</w:t>
      </w:r>
      <w:proofErr w:type="spellStart"/>
      <w:r w:rsidR="00A07437" w:rsidRPr="00B13CE3">
        <w:t>DXd</w:t>
      </w:r>
      <w:proofErr w:type="spellEnd"/>
      <w:r w:rsidR="00A07437" w:rsidRPr="00B13CE3">
        <w:t xml:space="preserve">) earlier, as they may be better able to tolerate treatment in the earlier line, reserving oral capecitabine for a later line of therapy. </w:t>
      </w:r>
      <w:r w:rsidR="007F73EC">
        <w:t>This was consistent with consumer inputs regarding the submission.</w:t>
      </w:r>
    </w:p>
    <w:p w14:paraId="774623BF" w14:textId="2B52A4BC" w:rsidR="00AD0B31" w:rsidRPr="00B13CE3" w:rsidRDefault="008F51C0" w:rsidP="008241B5">
      <w:pPr>
        <w:pStyle w:val="3-BodyText"/>
      </w:pPr>
      <w:r w:rsidRPr="00B13CE3">
        <w:t xml:space="preserve">The </w:t>
      </w:r>
      <w:r w:rsidR="00D85B8B" w:rsidRPr="00B13CE3">
        <w:rPr>
          <w:iCs/>
        </w:rPr>
        <w:t>Sub-Committees</w:t>
      </w:r>
      <w:r w:rsidR="006E34F6" w:rsidRPr="00B13CE3">
        <w:rPr>
          <w:iCs/>
        </w:rPr>
        <w:t xml:space="preserve"> </w:t>
      </w:r>
      <w:r w:rsidR="00CD1184" w:rsidRPr="00B13CE3">
        <w:t>noted</w:t>
      </w:r>
      <w:r w:rsidR="002108F7" w:rsidRPr="00B13CE3">
        <w:t xml:space="preserve"> that it is uncertain what proportion of patients </w:t>
      </w:r>
      <w:r w:rsidR="00A037ED" w:rsidRPr="00B13CE3">
        <w:t xml:space="preserve">currently </w:t>
      </w:r>
      <w:r w:rsidR="002108F7" w:rsidRPr="00B13CE3">
        <w:t xml:space="preserve">treated with capecitabine would </w:t>
      </w:r>
      <w:r w:rsidR="008A5B65" w:rsidRPr="00B13CE3">
        <w:t>receive</w:t>
      </w:r>
      <w:r w:rsidR="00A037ED" w:rsidRPr="00B13CE3">
        <w:t xml:space="preserve"> </w:t>
      </w:r>
      <w:r w:rsidR="00E25220" w:rsidRPr="00B13CE3">
        <w:t>2L</w:t>
      </w:r>
      <w:r w:rsidR="008A5B65" w:rsidRPr="00B13CE3">
        <w:t xml:space="preserve"> T-</w:t>
      </w:r>
      <w:proofErr w:type="spellStart"/>
      <w:r w:rsidR="008A5B65" w:rsidRPr="00B13CE3">
        <w:t>DXd</w:t>
      </w:r>
      <w:proofErr w:type="spellEnd"/>
      <w:r w:rsidR="008A5B65" w:rsidRPr="00B13CE3">
        <w:t xml:space="preserve"> </w:t>
      </w:r>
      <w:proofErr w:type="gramStart"/>
      <w:r w:rsidR="00E25220" w:rsidRPr="00B13CE3">
        <w:t>instead, but</w:t>
      </w:r>
      <w:proofErr w:type="gramEnd"/>
      <w:r w:rsidR="00E25220" w:rsidRPr="00B13CE3">
        <w:t xml:space="preserve"> </w:t>
      </w:r>
      <w:r w:rsidR="00CD1184" w:rsidRPr="00B13CE3">
        <w:rPr>
          <w:iCs/>
        </w:rPr>
        <w:t xml:space="preserve">considered </w:t>
      </w:r>
      <w:r w:rsidR="00E25220" w:rsidRPr="00B13CE3">
        <w:t>it may be reasonable to assume up to around 50%</w:t>
      </w:r>
      <w:r w:rsidR="00CD1184" w:rsidRPr="00B13CE3">
        <w:t xml:space="preserve"> of </w:t>
      </w:r>
      <w:r w:rsidR="00CD1184" w:rsidRPr="00B13CE3">
        <w:rPr>
          <w:iCs/>
        </w:rPr>
        <w:t>patients.</w:t>
      </w:r>
      <w:r w:rsidR="008241B5">
        <w:rPr>
          <w:iCs/>
        </w:rPr>
        <w:t xml:space="preserve"> </w:t>
      </w:r>
      <w:bookmarkStart w:id="84" w:name="_Ref222153707"/>
    </w:p>
    <w:bookmarkEnd w:id="84"/>
    <w:p w14:paraId="4928B723" w14:textId="29D495AF" w:rsidR="007A0340" w:rsidRPr="00B13CE3" w:rsidRDefault="00A43F69" w:rsidP="008241B5">
      <w:pPr>
        <w:pStyle w:val="3-BodyText"/>
        <w:rPr>
          <w:iCs/>
        </w:rPr>
      </w:pPr>
      <w:r w:rsidRPr="00A43F69">
        <w:t>&lt; 50</w:t>
      </w:r>
      <w:r w:rsidR="00063136">
        <w:t>0</w:t>
      </w:r>
      <w:r w:rsidR="00001645">
        <w:t xml:space="preserve"> </w:t>
      </w:r>
      <w:r w:rsidR="00EE7FE2" w:rsidRPr="00AE3CDC">
        <w:t>grandfathered patients, who will access T-</w:t>
      </w:r>
      <w:proofErr w:type="spellStart"/>
      <w:r w:rsidR="00EE7FE2" w:rsidRPr="00AE3CDC">
        <w:t>DXd</w:t>
      </w:r>
      <w:proofErr w:type="spellEnd"/>
      <w:r w:rsidR="00EE7FE2" w:rsidRPr="00AE3CDC">
        <w:t xml:space="preserve"> through the sponsor’s patient access program were also included in year 1. The submission also included patients </w:t>
      </w:r>
      <w:r w:rsidR="008D2237" w:rsidRPr="00AE3CDC">
        <w:t xml:space="preserve">who </w:t>
      </w:r>
      <w:r w:rsidR="00EE7FE2" w:rsidRPr="00AE3CDC">
        <w:t xml:space="preserve">relapsed within 6 months of 1L CDK 4/6i + ET therapy, i.e., 8.49% of incident patients, in addition to the prevalent and incident patients. Additionally, patients with disease recurrence within 24 months of adjuvant ET were also included. This was estimated to be 6.42% of the incident patients in each year, based on the DB-06 trial. </w:t>
      </w:r>
      <w:r w:rsidR="00300889" w:rsidRPr="00B13CE3">
        <w:rPr>
          <w:iCs/>
        </w:rPr>
        <w:t>The</w:t>
      </w:r>
      <w:r w:rsidR="007A0340" w:rsidRPr="00B13CE3">
        <w:rPr>
          <w:iCs/>
        </w:rPr>
        <w:t xml:space="preserve"> </w:t>
      </w:r>
      <w:r w:rsidR="00D85B8B" w:rsidRPr="00B13CE3">
        <w:rPr>
          <w:iCs/>
        </w:rPr>
        <w:t>Sub-Committees</w:t>
      </w:r>
      <w:r w:rsidR="006E34F6" w:rsidRPr="00B13CE3">
        <w:rPr>
          <w:iCs/>
        </w:rPr>
        <w:t xml:space="preserve"> </w:t>
      </w:r>
      <w:r w:rsidR="00561E2F" w:rsidRPr="00B13CE3">
        <w:rPr>
          <w:iCs/>
        </w:rPr>
        <w:t xml:space="preserve">noted that including </w:t>
      </w:r>
      <w:r w:rsidR="00E23CEC" w:rsidRPr="00B13CE3">
        <w:rPr>
          <w:iCs/>
        </w:rPr>
        <w:t xml:space="preserve">additional </w:t>
      </w:r>
      <w:r w:rsidR="007A0340" w:rsidRPr="00B13CE3">
        <w:rPr>
          <w:iCs/>
        </w:rPr>
        <w:t xml:space="preserve">rapid </w:t>
      </w:r>
      <w:proofErr w:type="spellStart"/>
      <w:r w:rsidR="007A0340" w:rsidRPr="00B13CE3">
        <w:rPr>
          <w:iCs/>
        </w:rPr>
        <w:t>relapsers</w:t>
      </w:r>
      <w:proofErr w:type="spellEnd"/>
      <w:r w:rsidR="007A0340" w:rsidRPr="00B13CE3">
        <w:rPr>
          <w:iCs/>
        </w:rPr>
        <w:t xml:space="preserve"> who received </w:t>
      </w:r>
      <w:r w:rsidR="007408DF" w:rsidRPr="00B13CE3">
        <w:rPr>
          <w:iCs/>
        </w:rPr>
        <w:t>CDK4</w:t>
      </w:r>
      <w:r w:rsidR="007A0340" w:rsidRPr="00B13CE3">
        <w:rPr>
          <w:iCs/>
        </w:rPr>
        <w:t xml:space="preserve">/6 </w:t>
      </w:r>
      <w:r w:rsidR="007408DF" w:rsidRPr="00B13CE3">
        <w:rPr>
          <w:iCs/>
        </w:rPr>
        <w:t xml:space="preserve">inhibitors </w:t>
      </w:r>
      <w:r w:rsidR="007A0340" w:rsidRPr="00B13CE3">
        <w:rPr>
          <w:iCs/>
        </w:rPr>
        <w:t xml:space="preserve">in the </w:t>
      </w:r>
      <w:proofErr w:type="spellStart"/>
      <w:r w:rsidR="007A0340" w:rsidRPr="00B13CE3">
        <w:rPr>
          <w:iCs/>
        </w:rPr>
        <w:t>eBC</w:t>
      </w:r>
      <w:proofErr w:type="spellEnd"/>
      <w:r w:rsidR="007A0340" w:rsidRPr="00B13CE3">
        <w:rPr>
          <w:iCs/>
        </w:rPr>
        <w:t xml:space="preserve"> setting would not </w:t>
      </w:r>
      <w:r w:rsidR="007408DF" w:rsidRPr="00B13CE3">
        <w:rPr>
          <w:iCs/>
        </w:rPr>
        <w:t xml:space="preserve">result in </w:t>
      </w:r>
      <w:r w:rsidR="007A0340" w:rsidRPr="00B13CE3">
        <w:rPr>
          <w:iCs/>
        </w:rPr>
        <w:t xml:space="preserve">double </w:t>
      </w:r>
      <w:r w:rsidR="007408DF" w:rsidRPr="00B13CE3">
        <w:rPr>
          <w:iCs/>
        </w:rPr>
        <w:t xml:space="preserve">counting, </w:t>
      </w:r>
      <w:r w:rsidR="00E23CEC" w:rsidRPr="00B13CE3">
        <w:rPr>
          <w:iCs/>
        </w:rPr>
        <w:t>as</w:t>
      </w:r>
      <w:r w:rsidR="007A0340" w:rsidRPr="00B13CE3">
        <w:rPr>
          <w:iCs/>
        </w:rPr>
        <w:t xml:space="preserve"> the starting values for </w:t>
      </w:r>
      <w:r w:rsidR="007408DF" w:rsidRPr="00B13CE3">
        <w:rPr>
          <w:iCs/>
        </w:rPr>
        <w:t xml:space="preserve">CDK4/6 inhibitor use </w:t>
      </w:r>
      <w:r w:rsidR="007A0340" w:rsidRPr="00B13CE3">
        <w:rPr>
          <w:iCs/>
        </w:rPr>
        <w:t xml:space="preserve">include </w:t>
      </w:r>
      <w:r w:rsidR="007408DF" w:rsidRPr="00B13CE3">
        <w:rPr>
          <w:iCs/>
        </w:rPr>
        <w:t xml:space="preserve">only </w:t>
      </w:r>
      <w:r w:rsidR="007A0340" w:rsidRPr="00B13CE3">
        <w:rPr>
          <w:iCs/>
        </w:rPr>
        <w:t>mBC</w:t>
      </w:r>
      <w:r w:rsidR="00426C54" w:rsidRPr="00B13CE3">
        <w:rPr>
          <w:iCs/>
        </w:rPr>
        <w:t>.</w:t>
      </w:r>
      <w:bookmarkStart w:id="85" w:name="_Ref222153713"/>
    </w:p>
    <w:bookmarkEnd w:id="85"/>
    <w:p w14:paraId="32D8DF19" w14:textId="3F0A1078" w:rsidR="00764869" w:rsidRPr="00AE3CDC" w:rsidRDefault="00EE7FE2" w:rsidP="008241B5">
      <w:pPr>
        <w:numPr>
          <w:ilvl w:val="1"/>
          <w:numId w:val="7"/>
        </w:numPr>
        <w:spacing w:before="60" w:after="60"/>
        <w:rPr>
          <w:rFonts w:asciiTheme="minorHAnsi" w:eastAsiaTheme="minorHAnsi" w:hAnsiTheme="minorHAnsi" w:cstheme="minorBidi"/>
          <w:szCs w:val="22"/>
        </w:rPr>
      </w:pPr>
      <w:r w:rsidRPr="00AE3CDC">
        <w:rPr>
          <w:rFonts w:asciiTheme="minorHAnsi" w:eastAsiaTheme="minorHAnsi" w:hAnsiTheme="minorHAnsi" w:cstheme="minorBidi"/>
          <w:szCs w:val="22"/>
        </w:rPr>
        <w:t xml:space="preserve">Uptake rates of </w:t>
      </w:r>
      <w:r w:rsidR="006340CE" w:rsidRPr="006340CE">
        <w:rPr>
          <w:rFonts w:asciiTheme="minorHAnsi" w:eastAsiaTheme="minorHAnsi" w:hAnsiTheme="minorHAnsi" w:cstheme="minorBidi"/>
          <w:sz w:val="2"/>
          <w:szCs w:val="22"/>
          <w:highlight w:val="black"/>
        </w:rPr>
        <w:t>redacted content</w:t>
      </w:r>
      <w:r w:rsidRPr="00AE3CDC">
        <w:rPr>
          <w:rFonts w:asciiTheme="minorHAnsi" w:eastAsiaTheme="minorHAnsi" w:hAnsiTheme="minorHAnsi" w:cstheme="minorBidi"/>
          <w:szCs w:val="22"/>
        </w:rPr>
        <w:t xml:space="preserve">% in year 1, increasing to </w:t>
      </w:r>
      <w:r w:rsidR="006340CE" w:rsidRPr="006340CE">
        <w:rPr>
          <w:rFonts w:asciiTheme="minorHAnsi" w:eastAsiaTheme="minorHAnsi" w:hAnsiTheme="minorHAnsi" w:cstheme="minorBidi"/>
          <w:sz w:val="2"/>
          <w:szCs w:val="22"/>
          <w:highlight w:val="black"/>
        </w:rPr>
        <w:t>redacted content</w:t>
      </w:r>
      <w:r w:rsidRPr="00AE3CDC">
        <w:rPr>
          <w:rFonts w:asciiTheme="minorHAnsi" w:eastAsiaTheme="minorHAnsi" w:hAnsiTheme="minorHAnsi" w:cstheme="minorBidi"/>
          <w:szCs w:val="22"/>
        </w:rPr>
        <w:t xml:space="preserve">% in year 6, were applied to the total number of eligible patients (incident + prevalent + grandfathered + </w:t>
      </w:r>
      <w:proofErr w:type="spellStart"/>
      <w:r w:rsidRPr="00AE3CDC">
        <w:rPr>
          <w:rFonts w:asciiTheme="minorHAnsi" w:eastAsiaTheme="minorHAnsi" w:hAnsiTheme="minorHAnsi" w:cstheme="minorBidi"/>
          <w:szCs w:val="22"/>
        </w:rPr>
        <w:t>relapsers</w:t>
      </w:r>
      <w:proofErr w:type="spellEnd"/>
      <w:r w:rsidRPr="00AE3CDC">
        <w:rPr>
          <w:rFonts w:asciiTheme="minorHAnsi" w:eastAsiaTheme="minorHAnsi" w:hAnsiTheme="minorHAnsi" w:cstheme="minorBidi"/>
          <w:szCs w:val="22"/>
        </w:rPr>
        <w:t>) to determine the total number of patients treated with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w:t>
      </w:r>
      <w:r w:rsidR="005C19FA" w:rsidRPr="00B13CE3">
        <w:rPr>
          <w:rFonts w:asciiTheme="minorHAnsi" w:eastAsiaTheme="minorHAnsi" w:hAnsiTheme="minorHAnsi" w:cstheme="minorBidi"/>
          <w:iCs/>
          <w:szCs w:val="22"/>
        </w:rPr>
        <w:t xml:space="preserve">The </w:t>
      </w:r>
      <w:r w:rsidR="00D85B8B" w:rsidRPr="00B13CE3">
        <w:rPr>
          <w:rFonts w:asciiTheme="minorHAnsi" w:eastAsiaTheme="minorHAnsi" w:hAnsiTheme="minorHAnsi" w:cstheme="minorBidi"/>
          <w:iCs/>
          <w:szCs w:val="22"/>
        </w:rPr>
        <w:t>Sub-Committees</w:t>
      </w:r>
      <w:r w:rsidR="006E34F6" w:rsidRPr="00B13CE3">
        <w:rPr>
          <w:rFonts w:asciiTheme="minorHAnsi" w:eastAsiaTheme="minorHAnsi" w:hAnsiTheme="minorHAnsi" w:cstheme="minorBidi"/>
          <w:iCs/>
          <w:szCs w:val="22"/>
        </w:rPr>
        <w:t xml:space="preserve"> </w:t>
      </w:r>
      <w:r w:rsidR="00764869" w:rsidRPr="00B13CE3">
        <w:rPr>
          <w:rFonts w:asciiTheme="minorHAnsi" w:eastAsiaTheme="minorHAnsi" w:hAnsiTheme="minorHAnsi" w:cstheme="minorBidi"/>
          <w:iCs/>
          <w:szCs w:val="22"/>
        </w:rPr>
        <w:t>considered</w:t>
      </w:r>
      <w:r w:rsidR="005C19FA" w:rsidRPr="00B13CE3">
        <w:rPr>
          <w:rFonts w:asciiTheme="minorHAnsi" w:eastAsiaTheme="minorHAnsi" w:hAnsiTheme="minorHAnsi" w:cstheme="minorBidi"/>
          <w:iCs/>
          <w:szCs w:val="22"/>
        </w:rPr>
        <w:t xml:space="preserve"> that </w:t>
      </w:r>
      <w:r w:rsidR="00F6131D" w:rsidRPr="00B13CE3">
        <w:rPr>
          <w:rFonts w:asciiTheme="minorHAnsi" w:eastAsiaTheme="minorHAnsi" w:hAnsiTheme="minorHAnsi" w:cstheme="minorBidi"/>
          <w:iCs/>
          <w:szCs w:val="22"/>
        </w:rPr>
        <w:t xml:space="preserve">the assumption of </w:t>
      </w:r>
      <w:r w:rsidR="006340CE" w:rsidRPr="006340CE">
        <w:rPr>
          <w:rFonts w:asciiTheme="minorHAnsi" w:eastAsiaTheme="minorHAnsi" w:hAnsiTheme="minorHAnsi" w:cstheme="minorBidi"/>
          <w:iCs/>
          <w:sz w:val="2"/>
          <w:szCs w:val="22"/>
          <w:highlight w:val="black"/>
        </w:rPr>
        <w:t>redacted content</w:t>
      </w:r>
      <w:r w:rsidR="00F6131D" w:rsidRPr="00B13CE3">
        <w:rPr>
          <w:rFonts w:asciiTheme="minorHAnsi" w:eastAsiaTheme="minorHAnsi" w:hAnsiTheme="minorHAnsi" w:cstheme="minorBidi"/>
          <w:iCs/>
          <w:szCs w:val="22"/>
        </w:rPr>
        <w:t>% uptake in Y</w:t>
      </w:r>
      <w:r w:rsidR="00D736A0">
        <w:rPr>
          <w:rFonts w:asciiTheme="minorHAnsi" w:eastAsiaTheme="minorHAnsi" w:hAnsiTheme="minorHAnsi" w:cstheme="minorBidi"/>
          <w:iCs/>
          <w:szCs w:val="22"/>
        </w:rPr>
        <w:t xml:space="preserve">ear </w:t>
      </w:r>
      <w:r w:rsidR="00F6131D" w:rsidRPr="00B13CE3">
        <w:rPr>
          <w:rFonts w:asciiTheme="minorHAnsi" w:eastAsiaTheme="minorHAnsi" w:hAnsiTheme="minorHAnsi" w:cstheme="minorBidi"/>
          <w:iCs/>
          <w:szCs w:val="22"/>
        </w:rPr>
        <w:t>6</w:t>
      </w:r>
      <w:r w:rsidR="005C19FA" w:rsidRPr="00B13CE3">
        <w:rPr>
          <w:rFonts w:asciiTheme="minorHAnsi" w:eastAsiaTheme="minorHAnsi" w:hAnsiTheme="minorHAnsi" w:cstheme="minorBidi"/>
          <w:iCs/>
          <w:szCs w:val="22"/>
        </w:rPr>
        <w:t xml:space="preserve"> may be overestimated</w:t>
      </w:r>
      <w:r w:rsidR="00F6131D" w:rsidRPr="00B13CE3">
        <w:rPr>
          <w:rFonts w:asciiTheme="minorHAnsi" w:eastAsiaTheme="minorHAnsi" w:hAnsiTheme="minorHAnsi" w:cstheme="minorBidi"/>
          <w:iCs/>
          <w:szCs w:val="22"/>
        </w:rPr>
        <w:t xml:space="preserve">, </w:t>
      </w:r>
      <w:r w:rsidR="00764869" w:rsidRPr="00B13CE3">
        <w:rPr>
          <w:rFonts w:asciiTheme="minorHAnsi" w:eastAsiaTheme="minorHAnsi" w:hAnsiTheme="minorHAnsi" w:cstheme="minorBidi"/>
          <w:iCs/>
          <w:szCs w:val="22"/>
        </w:rPr>
        <w:t>noting that</w:t>
      </w:r>
      <w:r w:rsidR="00F6131D" w:rsidRPr="00B13CE3">
        <w:rPr>
          <w:rFonts w:asciiTheme="minorHAnsi" w:eastAsiaTheme="minorHAnsi" w:hAnsiTheme="minorHAnsi" w:cstheme="minorBidi"/>
          <w:iCs/>
          <w:szCs w:val="22"/>
        </w:rPr>
        <w:t xml:space="preserve"> </w:t>
      </w:r>
      <w:r w:rsidR="0097208F" w:rsidRPr="00B13CE3">
        <w:rPr>
          <w:rFonts w:asciiTheme="minorHAnsi" w:eastAsiaTheme="minorHAnsi" w:hAnsiTheme="minorHAnsi" w:cstheme="minorBidi"/>
          <w:iCs/>
          <w:szCs w:val="22"/>
        </w:rPr>
        <w:t xml:space="preserve">previously accepted DUSC values for mBC were </w:t>
      </w:r>
      <w:r w:rsidR="0097208F" w:rsidRPr="00A17B0B">
        <w:rPr>
          <w:rFonts w:asciiTheme="minorHAnsi" w:eastAsiaTheme="minorHAnsi" w:hAnsiTheme="minorHAnsi" w:cstheme="minorBidi"/>
          <w:iCs/>
          <w:szCs w:val="22"/>
        </w:rPr>
        <w:t xml:space="preserve">from </w:t>
      </w:r>
      <w:r w:rsidR="006340CE" w:rsidRPr="006340CE">
        <w:rPr>
          <w:rFonts w:asciiTheme="minorHAnsi" w:eastAsiaTheme="minorHAnsi" w:hAnsiTheme="minorHAnsi" w:cstheme="minorBidi"/>
          <w:iCs/>
          <w:sz w:val="2"/>
          <w:szCs w:val="22"/>
          <w:highlight w:val="black"/>
        </w:rPr>
        <w:t>redacted content</w:t>
      </w:r>
      <w:r w:rsidR="005D0B5F" w:rsidRPr="00A17B0B">
        <w:rPr>
          <w:rFonts w:asciiTheme="minorHAnsi" w:eastAsiaTheme="minorHAnsi" w:hAnsiTheme="minorHAnsi" w:cstheme="minorBidi"/>
          <w:iCs/>
          <w:szCs w:val="22"/>
        </w:rPr>
        <w:t>-</w:t>
      </w:r>
      <w:r w:rsidR="006340CE" w:rsidRPr="006340CE">
        <w:rPr>
          <w:rFonts w:asciiTheme="minorHAnsi" w:eastAsiaTheme="minorHAnsi" w:hAnsiTheme="minorHAnsi" w:cstheme="minorBidi"/>
          <w:iCs/>
          <w:sz w:val="2"/>
          <w:szCs w:val="22"/>
          <w:highlight w:val="black"/>
        </w:rPr>
        <w:t>redacted content</w:t>
      </w:r>
      <w:r w:rsidR="005D0B5F" w:rsidRPr="00A17B0B">
        <w:rPr>
          <w:rFonts w:asciiTheme="minorHAnsi" w:eastAsiaTheme="minorHAnsi" w:hAnsiTheme="minorHAnsi" w:cstheme="minorBidi"/>
          <w:iCs/>
          <w:szCs w:val="22"/>
        </w:rPr>
        <w:t>%.</w:t>
      </w:r>
      <w:r w:rsidR="00081E99" w:rsidRPr="00B13CE3">
        <w:rPr>
          <w:rFonts w:asciiTheme="minorHAnsi" w:eastAsiaTheme="minorHAnsi" w:hAnsiTheme="minorHAnsi" w:cstheme="minorBidi"/>
          <w:iCs/>
          <w:szCs w:val="22"/>
        </w:rPr>
        <w:t xml:space="preserve"> </w:t>
      </w:r>
      <w:bookmarkStart w:id="86" w:name="_Ref222153727"/>
      <w:r w:rsidR="00D736A0">
        <w:rPr>
          <w:rFonts w:asciiTheme="minorHAnsi" w:eastAsiaTheme="minorHAnsi" w:hAnsiTheme="minorHAnsi" w:cstheme="minorBidi"/>
          <w:iCs/>
          <w:szCs w:val="22"/>
        </w:rPr>
        <w:t xml:space="preserve">The PBAC agreed with the Sub-Committees and considered that uptake would not </w:t>
      </w:r>
      <w:r w:rsidR="00F52703">
        <w:rPr>
          <w:rFonts w:asciiTheme="minorHAnsi" w:eastAsiaTheme="minorHAnsi" w:hAnsiTheme="minorHAnsi" w:cstheme="minorBidi"/>
          <w:iCs/>
          <w:szCs w:val="22"/>
        </w:rPr>
        <w:t xml:space="preserve">be expected to increase </w:t>
      </w:r>
      <w:r w:rsidR="00F52703" w:rsidRPr="00A17B0B">
        <w:rPr>
          <w:rFonts w:asciiTheme="minorHAnsi" w:eastAsiaTheme="minorHAnsi" w:hAnsiTheme="minorHAnsi" w:cstheme="minorBidi"/>
          <w:iCs/>
          <w:szCs w:val="22"/>
        </w:rPr>
        <w:t xml:space="preserve">above </w:t>
      </w:r>
      <w:r w:rsidR="006340CE" w:rsidRPr="006340CE">
        <w:rPr>
          <w:rFonts w:asciiTheme="minorHAnsi" w:eastAsiaTheme="minorHAnsi" w:hAnsiTheme="minorHAnsi" w:cstheme="minorBidi"/>
          <w:iCs/>
          <w:sz w:val="2"/>
          <w:szCs w:val="22"/>
          <w:highlight w:val="black"/>
        </w:rPr>
        <w:t>redacted content</w:t>
      </w:r>
      <w:r w:rsidR="00F52703" w:rsidRPr="00A17B0B">
        <w:rPr>
          <w:rFonts w:asciiTheme="minorHAnsi" w:eastAsiaTheme="minorHAnsi" w:hAnsiTheme="minorHAnsi" w:cstheme="minorBidi"/>
          <w:iCs/>
          <w:szCs w:val="22"/>
        </w:rPr>
        <w:t>%.</w:t>
      </w:r>
    </w:p>
    <w:bookmarkEnd w:id="86"/>
    <w:p w14:paraId="3BCDD411" w14:textId="0F21FEE2" w:rsidR="00EE7FE2" w:rsidRPr="00AE3CDC" w:rsidRDefault="00EE7FE2" w:rsidP="008241B5">
      <w:pPr>
        <w:numPr>
          <w:ilvl w:val="1"/>
          <w:numId w:val="7"/>
        </w:numPr>
        <w:spacing w:before="60" w:after="60"/>
        <w:rPr>
          <w:rFonts w:asciiTheme="minorHAnsi" w:eastAsiaTheme="minorHAnsi" w:hAnsiTheme="minorHAnsi" w:cstheme="minorBidi"/>
          <w:szCs w:val="22"/>
        </w:rPr>
      </w:pPr>
      <w:r w:rsidRPr="00AE3CDC">
        <w:rPr>
          <w:rFonts w:asciiTheme="minorHAnsi" w:eastAsiaTheme="minorHAnsi" w:hAnsiTheme="minorHAnsi" w:cstheme="minorBidi"/>
          <w:szCs w:val="22"/>
        </w:rPr>
        <w:t>The costs associated with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were based on a proposed ex-manufacturer price of $</w:t>
      </w:r>
      <w:r w:rsidR="006340CE" w:rsidRPr="006340CE">
        <w:rPr>
          <w:rFonts w:asciiTheme="minorHAnsi" w:eastAsiaTheme="minorHAnsi" w:hAnsiTheme="minorHAnsi" w:cstheme="minorBidi"/>
          <w:sz w:val="2"/>
          <w:szCs w:val="22"/>
          <w:highlight w:val="black"/>
        </w:rPr>
        <w:t>redacted content</w:t>
      </w:r>
      <w:r w:rsidRPr="00AE3CDC">
        <w:rPr>
          <w:rFonts w:asciiTheme="minorHAnsi" w:eastAsiaTheme="minorHAnsi" w:hAnsiTheme="minorHAnsi" w:cstheme="minorBidi"/>
          <w:szCs w:val="22"/>
        </w:rPr>
        <w:t xml:space="preserve"> per vial and it was assumed that vial sharing was not allowed. Thus, it was estimated that 4 vials of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would be required for the average dose of 352 mg equating to $</w:t>
      </w:r>
      <w:r w:rsidR="006340CE" w:rsidRPr="006340CE">
        <w:rPr>
          <w:rFonts w:asciiTheme="minorHAnsi" w:eastAsiaTheme="minorHAnsi" w:hAnsiTheme="minorHAnsi" w:cstheme="minorBidi"/>
          <w:sz w:val="2"/>
          <w:szCs w:val="22"/>
          <w:highlight w:val="black"/>
        </w:rPr>
        <w:t>redacted content</w:t>
      </w:r>
      <w:r w:rsidRPr="00AE3CDC">
        <w:rPr>
          <w:rFonts w:asciiTheme="minorHAnsi" w:eastAsiaTheme="minorHAnsi" w:hAnsiTheme="minorHAnsi" w:cstheme="minorBidi"/>
          <w:szCs w:val="22"/>
        </w:rPr>
        <w:t xml:space="preserve"> for the average dose</w:t>
      </w:r>
      <w:r w:rsidR="00B51476">
        <w:rPr>
          <w:rFonts w:asciiTheme="minorHAnsi" w:eastAsiaTheme="minorHAnsi" w:hAnsiTheme="minorHAnsi" w:cstheme="minorBidi"/>
          <w:szCs w:val="22"/>
        </w:rPr>
        <w:t xml:space="preserve"> (</w:t>
      </w:r>
      <w:r w:rsidR="00B51476" w:rsidRPr="00B13CE3">
        <w:rPr>
          <w:rFonts w:asciiTheme="minorHAnsi" w:eastAsiaTheme="minorHAnsi" w:hAnsiTheme="minorHAnsi" w:cstheme="minorBidi"/>
          <w:iCs/>
          <w:szCs w:val="22"/>
        </w:rPr>
        <w:t xml:space="preserve">see also paragraph </w:t>
      </w:r>
      <w:r w:rsidR="00887BD3" w:rsidRPr="00B13CE3">
        <w:rPr>
          <w:rFonts w:asciiTheme="minorHAnsi" w:eastAsiaTheme="minorHAnsi" w:hAnsiTheme="minorHAnsi" w:cstheme="minorBidi"/>
          <w:iCs/>
          <w:szCs w:val="22"/>
        </w:rPr>
        <w:fldChar w:fldCharType="begin"/>
      </w:r>
      <w:r w:rsidR="00887BD3" w:rsidRPr="00B13CE3">
        <w:rPr>
          <w:rFonts w:asciiTheme="minorHAnsi" w:eastAsiaTheme="minorHAnsi" w:hAnsiTheme="minorHAnsi" w:cstheme="minorBidi"/>
          <w:iCs/>
          <w:szCs w:val="22"/>
        </w:rPr>
        <w:instrText xml:space="preserve"> REF _Ref222217266 \r \h  \* MERGEFORMAT </w:instrText>
      </w:r>
      <w:r w:rsidR="00887BD3" w:rsidRPr="00B13CE3">
        <w:rPr>
          <w:rFonts w:asciiTheme="minorHAnsi" w:eastAsiaTheme="minorHAnsi" w:hAnsiTheme="minorHAnsi" w:cstheme="minorBidi"/>
          <w:iCs/>
          <w:szCs w:val="22"/>
        </w:rPr>
      </w:r>
      <w:r w:rsidR="00887BD3" w:rsidRPr="00B13CE3">
        <w:rPr>
          <w:rFonts w:asciiTheme="minorHAnsi" w:eastAsiaTheme="minorHAnsi" w:hAnsiTheme="minorHAnsi" w:cstheme="minorBidi"/>
          <w:iCs/>
          <w:szCs w:val="22"/>
        </w:rPr>
        <w:fldChar w:fldCharType="separate"/>
      </w:r>
      <w:r w:rsidR="00453A02">
        <w:rPr>
          <w:rFonts w:asciiTheme="minorHAnsi" w:eastAsiaTheme="minorHAnsi" w:hAnsiTheme="minorHAnsi" w:cstheme="minorBidi"/>
          <w:iCs/>
          <w:szCs w:val="22"/>
        </w:rPr>
        <w:t>6.84</w:t>
      </w:r>
      <w:r w:rsidR="00887BD3" w:rsidRPr="00B13CE3">
        <w:rPr>
          <w:rFonts w:asciiTheme="minorHAnsi" w:eastAsiaTheme="minorHAnsi" w:hAnsiTheme="minorHAnsi" w:cstheme="minorBidi"/>
          <w:iCs/>
          <w:szCs w:val="22"/>
        </w:rPr>
        <w:fldChar w:fldCharType="end"/>
      </w:r>
      <w:r w:rsidR="00887BD3">
        <w:rPr>
          <w:rFonts w:asciiTheme="minorHAnsi" w:eastAsiaTheme="minorHAnsi" w:hAnsiTheme="minorHAnsi" w:cstheme="minorBidi"/>
          <w:szCs w:val="22"/>
        </w:rPr>
        <w:t>)</w:t>
      </w:r>
      <w:r w:rsidRPr="00AE3CDC">
        <w:rPr>
          <w:rFonts w:asciiTheme="minorHAnsi" w:eastAsiaTheme="minorHAnsi" w:hAnsiTheme="minorHAnsi" w:cstheme="minorBidi"/>
          <w:szCs w:val="22"/>
        </w:rPr>
        <w:t xml:space="preserve">. </w:t>
      </w:r>
    </w:p>
    <w:p w14:paraId="624D70E8" w14:textId="2CAC21A7" w:rsidR="00EE7FE2" w:rsidRPr="00B13CE3" w:rsidRDefault="00EE7FE2" w:rsidP="008241B5">
      <w:pPr>
        <w:numPr>
          <w:ilvl w:val="1"/>
          <w:numId w:val="7"/>
        </w:numPr>
        <w:spacing w:before="60" w:after="60"/>
        <w:rPr>
          <w:rFonts w:eastAsiaTheme="minorEastAsia" w:cstheme="minorBidi"/>
        </w:rPr>
      </w:pPr>
      <w:r w:rsidRPr="3ED13AEF">
        <w:rPr>
          <w:rFonts w:asciiTheme="minorHAnsi" w:eastAsiaTheme="minorEastAsia" w:hAnsiTheme="minorHAnsi" w:cstheme="minorBidi"/>
        </w:rPr>
        <w:lastRenderedPageBreak/>
        <w:t xml:space="preserve">The </w:t>
      </w:r>
      <w:r w:rsidR="005571C9">
        <w:rPr>
          <w:rFonts w:asciiTheme="minorHAnsi" w:eastAsiaTheme="minorEastAsia" w:hAnsiTheme="minorHAnsi" w:cstheme="minorBidi"/>
        </w:rPr>
        <w:t>estimate</w:t>
      </w:r>
      <w:r w:rsidR="00286094">
        <w:rPr>
          <w:rFonts w:asciiTheme="minorHAnsi" w:eastAsiaTheme="minorEastAsia" w:hAnsiTheme="minorHAnsi" w:cstheme="minorBidi"/>
        </w:rPr>
        <w:t>s</w:t>
      </w:r>
      <w:r w:rsidR="005571C9">
        <w:rPr>
          <w:rFonts w:asciiTheme="minorHAnsi" w:eastAsiaTheme="minorEastAsia" w:hAnsiTheme="minorHAnsi" w:cstheme="minorBidi"/>
        </w:rPr>
        <w:t xml:space="preserve"> assumed</w:t>
      </w:r>
      <w:r w:rsidRPr="3ED13AEF">
        <w:rPr>
          <w:rFonts w:asciiTheme="minorHAnsi" w:eastAsiaTheme="minorEastAsia" w:hAnsiTheme="minorHAnsi" w:cstheme="minorBidi"/>
        </w:rPr>
        <w:t xml:space="preserve"> that T-</w:t>
      </w:r>
      <w:proofErr w:type="spellStart"/>
      <w:r w:rsidRPr="3ED13AEF">
        <w:rPr>
          <w:rFonts w:asciiTheme="minorHAnsi" w:eastAsiaTheme="minorEastAsia" w:hAnsiTheme="minorHAnsi" w:cstheme="minorBidi"/>
        </w:rPr>
        <w:t>DXd</w:t>
      </w:r>
      <w:proofErr w:type="spellEnd"/>
      <w:r w:rsidRPr="3ED13AEF">
        <w:rPr>
          <w:rFonts w:asciiTheme="minorHAnsi" w:eastAsiaTheme="minorEastAsia" w:hAnsiTheme="minorHAnsi" w:cstheme="minorBidi"/>
        </w:rPr>
        <w:t xml:space="preserve"> would replace 2L IV chemotherapy and offset 3L T-</w:t>
      </w:r>
      <w:proofErr w:type="spellStart"/>
      <w:r w:rsidRPr="3ED13AEF">
        <w:rPr>
          <w:rFonts w:asciiTheme="minorHAnsi" w:eastAsiaTheme="minorEastAsia" w:hAnsiTheme="minorHAnsi" w:cstheme="minorBidi"/>
        </w:rPr>
        <w:t>DXd</w:t>
      </w:r>
      <w:proofErr w:type="spellEnd"/>
      <w:r w:rsidRPr="3ED13AEF">
        <w:rPr>
          <w:rFonts w:asciiTheme="minorHAnsi" w:eastAsiaTheme="minorEastAsia" w:hAnsiTheme="minorHAnsi" w:cstheme="minorBidi"/>
        </w:rPr>
        <w:t xml:space="preserve"> in the HER2-low population. </w:t>
      </w:r>
    </w:p>
    <w:p w14:paraId="4FF1613A" w14:textId="45D35B42" w:rsidR="00EE7FE2" w:rsidRPr="00AE3CDC" w:rsidRDefault="00EE7FE2" w:rsidP="008241B5">
      <w:pPr>
        <w:numPr>
          <w:ilvl w:val="1"/>
          <w:numId w:val="7"/>
        </w:numPr>
        <w:spacing w:before="60" w:after="60"/>
        <w:rPr>
          <w:rFonts w:asciiTheme="minorHAnsi" w:eastAsiaTheme="minorHAnsi" w:hAnsiTheme="minorHAnsi" w:cstheme="minorBidi"/>
          <w:szCs w:val="22"/>
        </w:rPr>
      </w:pPr>
      <w:r w:rsidRPr="00AE3CDC">
        <w:rPr>
          <w:rFonts w:asciiTheme="minorHAnsi" w:eastAsiaTheme="minorHAnsi" w:hAnsiTheme="minorHAnsi" w:cstheme="minorBidi"/>
          <w:szCs w:val="22"/>
        </w:rPr>
        <w:t>The submission estimated that the listing of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would result in additional costs to the MBS due to </w:t>
      </w:r>
      <w:r w:rsidR="00451E60">
        <w:rPr>
          <w:rFonts w:asciiTheme="minorHAnsi" w:eastAsiaTheme="minorHAnsi" w:hAnsiTheme="minorHAnsi" w:cstheme="minorBidi"/>
          <w:szCs w:val="22"/>
        </w:rPr>
        <w:t xml:space="preserve">additional IV administration costs for </w:t>
      </w:r>
      <w:r w:rsidRPr="00AE3CDC">
        <w:rPr>
          <w:rFonts w:asciiTheme="minorHAnsi" w:eastAsiaTheme="minorHAnsi" w:hAnsiTheme="minorHAnsi" w:cstheme="minorBidi"/>
          <w:szCs w:val="22"/>
        </w:rPr>
        <w:t xml:space="preserve">the HR-positive, HER2-ultralow population. Costs for ECG monitoring were included </w:t>
      </w:r>
      <w:r w:rsidR="00A019E7">
        <w:rPr>
          <w:rFonts w:asciiTheme="minorHAnsi" w:eastAsiaTheme="minorHAnsi" w:hAnsiTheme="minorHAnsi" w:cstheme="minorBidi"/>
          <w:szCs w:val="22"/>
        </w:rPr>
        <w:t>assuming</w:t>
      </w:r>
      <w:r w:rsidRPr="00AE3CDC">
        <w:rPr>
          <w:rFonts w:asciiTheme="minorHAnsi" w:eastAsiaTheme="minorHAnsi" w:hAnsiTheme="minorHAnsi" w:cstheme="minorBidi"/>
          <w:szCs w:val="22"/>
        </w:rPr>
        <w:t xml:space="preserve"> one ECG every month. </w:t>
      </w:r>
      <w:r w:rsidR="00C81D3A">
        <w:rPr>
          <w:rFonts w:asciiTheme="minorHAnsi" w:eastAsiaTheme="minorHAnsi" w:hAnsiTheme="minorHAnsi" w:cstheme="minorBidi"/>
          <w:szCs w:val="22"/>
        </w:rPr>
        <w:t>P</w:t>
      </w:r>
      <w:r w:rsidRPr="00AE3CDC">
        <w:rPr>
          <w:rFonts w:asciiTheme="minorHAnsi" w:eastAsiaTheme="minorHAnsi" w:hAnsiTheme="minorHAnsi" w:cstheme="minorBidi"/>
          <w:szCs w:val="22"/>
        </w:rPr>
        <w:t>atients treated with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are at a higher risk for ILD. Costs associated with the monitoring of potential ILD events via radiographic imaging w</w:t>
      </w:r>
      <w:r w:rsidR="006B6429" w:rsidRPr="00AE3CDC">
        <w:rPr>
          <w:rFonts w:asciiTheme="minorHAnsi" w:eastAsiaTheme="minorHAnsi" w:hAnsiTheme="minorHAnsi" w:cstheme="minorBidi"/>
          <w:szCs w:val="22"/>
        </w:rPr>
        <w:t>ere</w:t>
      </w:r>
      <w:r w:rsidRPr="00AE3CDC">
        <w:rPr>
          <w:rFonts w:asciiTheme="minorHAnsi" w:eastAsiaTheme="minorHAnsi" w:hAnsiTheme="minorHAnsi" w:cstheme="minorBidi"/>
          <w:szCs w:val="22"/>
        </w:rPr>
        <w:t xml:space="preserve"> not included in the submission. </w:t>
      </w:r>
    </w:p>
    <w:p w14:paraId="7A2BCBF4" w14:textId="3B591992" w:rsidR="00EE7FE2" w:rsidRPr="00AE3CDC" w:rsidRDefault="00EE7FE2" w:rsidP="008241B5">
      <w:pPr>
        <w:numPr>
          <w:ilvl w:val="1"/>
          <w:numId w:val="7"/>
        </w:numPr>
        <w:spacing w:before="60" w:after="60"/>
        <w:rPr>
          <w:rFonts w:asciiTheme="minorHAnsi" w:eastAsiaTheme="minorHAnsi" w:hAnsiTheme="minorHAnsi" w:cstheme="minorBidi"/>
          <w:szCs w:val="22"/>
        </w:rPr>
      </w:pPr>
      <w:r w:rsidRPr="00AE3CDC">
        <w:rPr>
          <w:rFonts w:asciiTheme="minorHAnsi" w:eastAsiaTheme="minorHAnsi" w:hAnsiTheme="minorHAnsi" w:cstheme="minorBidi"/>
          <w:szCs w:val="22"/>
        </w:rPr>
        <w:t>The net financial implication of listing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on the PBS is presented in </w:t>
      </w:r>
      <w:r w:rsidRPr="00AE3CDC">
        <w:rPr>
          <w:rFonts w:eastAsiaTheme="minorHAnsi"/>
        </w:rPr>
        <w:fldChar w:fldCharType="begin"/>
      </w:r>
      <w:r w:rsidRPr="00AE3CDC">
        <w:rPr>
          <w:rFonts w:eastAsiaTheme="minorHAnsi"/>
        </w:rPr>
        <w:instrText xml:space="preserve"> REF _Ref104805295 \h  \* MERGEFORMAT </w:instrText>
      </w:r>
      <w:r w:rsidRPr="00AE3CDC">
        <w:rPr>
          <w:rFonts w:eastAsiaTheme="minorHAnsi"/>
        </w:rPr>
      </w:r>
      <w:r w:rsidRPr="00AE3CDC">
        <w:rPr>
          <w:rFonts w:eastAsiaTheme="minorHAnsi"/>
        </w:rPr>
        <w:fldChar w:fldCharType="separate"/>
      </w:r>
      <w:r w:rsidR="005D3E29" w:rsidRPr="005D3E29">
        <w:t>Table 20</w:t>
      </w:r>
      <w:r w:rsidRPr="00AE3CDC">
        <w:rPr>
          <w:rFonts w:eastAsiaTheme="minorHAnsi"/>
        </w:rPr>
        <w:fldChar w:fldCharType="end"/>
      </w:r>
      <w:r w:rsidRPr="00AE3CDC">
        <w:rPr>
          <w:rFonts w:eastAsiaTheme="minorHAnsi"/>
        </w:rPr>
        <w:t>.</w:t>
      </w:r>
      <w:r w:rsidRPr="00AE3CDC">
        <w:rPr>
          <w:rFonts w:asciiTheme="minorHAnsi" w:eastAsiaTheme="minorHAnsi" w:hAnsiTheme="minorHAnsi" w:cstheme="minorBidi"/>
          <w:szCs w:val="22"/>
        </w:rPr>
        <w:t xml:space="preserve"> </w:t>
      </w:r>
    </w:p>
    <w:p w14:paraId="7D3C4054" w14:textId="6B1DB1B1" w:rsidR="00EE7FE2" w:rsidRPr="00F936B6" w:rsidRDefault="00EE7FE2" w:rsidP="008241B5">
      <w:pPr>
        <w:keepNext/>
        <w:keepLines/>
        <w:rPr>
          <w:rFonts w:ascii="Arial Narrow" w:hAnsi="Arial Narrow"/>
          <w:b/>
          <w:bCs/>
          <w:sz w:val="20"/>
          <w:szCs w:val="18"/>
        </w:rPr>
      </w:pPr>
      <w:bookmarkStart w:id="87" w:name="_Ref104805295"/>
      <w:r w:rsidRPr="00F936B6">
        <w:rPr>
          <w:rFonts w:ascii="Arial Narrow" w:hAnsi="Arial Narrow"/>
          <w:b/>
          <w:bCs/>
          <w:sz w:val="20"/>
          <w:szCs w:val="18"/>
        </w:rPr>
        <w:t xml:space="preserve">Table </w:t>
      </w:r>
      <w:r w:rsidRPr="00F936B6">
        <w:rPr>
          <w:rFonts w:ascii="Arial Narrow" w:hAnsi="Arial Narrow"/>
          <w:b/>
          <w:bCs/>
          <w:sz w:val="20"/>
          <w:szCs w:val="18"/>
        </w:rPr>
        <w:fldChar w:fldCharType="begin"/>
      </w:r>
      <w:r w:rsidRPr="00F936B6">
        <w:rPr>
          <w:rFonts w:ascii="Arial Narrow" w:hAnsi="Arial Narrow"/>
          <w:b/>
          <w:bCs/>
          <w:sz w:val="20"/>
          <w:szCs w:val="18"/>
        </w:rPr>
        <w:instrText xml:space="preserve"> SEQ Table \* ARABIC </w:instrText>
      </w:r>
      <w:r w:rsidRPr="00F936B6">
        <w:rPr>
          <w:rFonts w:ascii="Arial Narrow" w:hAnsi="Arial Narrow"/>
          <w:b/>
          <w:bCs/>
          <w:sz w:val="20"/>
          <w:szCs w:val="18"/>
        </w:rPr>
        <w:fldChar w:fldCharType="separate"/>
      </w:r>
      <w:r w:rsidR="005D3E29">
        <w:rPr>
          <w:rFonts w:ascii="Arial Narrow" w:hAnsi="Arial Narrow"/>
          <w:b/>
          <w:bCs/>
          <w:noProof/>
          <w:sz w:val="20"/>
          <w:szCs w:val="18"/>
        </w:rPr>
        <w:t>20</w:t>
      </w:r>
      <w:r w:rsidRPr="00F936B6">
        <w:rPr>
          <w:rFonts w:ascii="Arial Narrow" w:hAnsi="Arial Narrow"/>
          <w:b/>
          <w:bCs/>
          <w:noProof/>
          <w:sz w:val="20"/>
          <w:szCs w:val="18"/>
        </w:rPr>
        <w:fldChar w:fldCharType="end"/>
      </w:r>
      <w:bookmarkEnd w:id="87"/>
      <w:r w:rsidRPr="00F936B6">
        <w:rPr>
          <w:rFonts w:ascii="Arial Narrow" w:hAnsi="Arial Narrow"/>
          <w:b/>
          <w:bCs/>
          <w:sz w:val="20"/>
          <w:szCs w:val="18"/>
        </w:rPr>
        <w:t>:</w:t>
      </w:r>
      <w:r w:rsidRPr="00F936B6">
        <w:rPr>
          <w:rFonts w:ascii="Arial Narrow" w:hAnsi="Arial Narrow"/>
          <w:b/>
          <w:bCs/>
          <w:sz w:val="20"/>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Estimated use and financial implications"/>
      </w:tblPr>
      <w:tblGrid>
        <w:gridCol w:w="2405"/>
        <w:gridCol w:w="1102"/>
        <w:gridCol w:w="1102"/>
        <w:gridCol w:w="1102"/>
        <w:gridCol w:w="1102"/>
        <w:gridCol w:w="1102"/>
        <w:gridCol w:w="1102"/>
      </w:tblGrid>
      <w:tr w:rsidR="00EE7FE2" w:rsidRPr="00F936B6" w14:paraId="46662B46" w14:textId="77777777">
        <w:trPr>
          <w:tblHeader/>
        </w:trPr>
        <w:tc>
          <w:tcPr>
            <w:tcW w:w="1334" w:type="pct"/>
            <w:vAlign w:val="center"/>
          </w:tcPr>
          <w:p w14:paraId="0B7CDDEA" w14:textId="77777777" w:rsidR="00EE7FE2" w:rsidRPr="00F936B6" w:rsidRDefault="00EE7FE2" w:rsidP="008241B5">
            <w:pPr>
              <w:keepNext/>
              <w:jc w:val="left"/>
              <w:rPr>
                <w:rFonts w:ascii="Arial Narrow" w:eastAsiaTheme="majorEastAsia" w:hAnsi="Arial Narrow" w:cs="Times New Roman"/>
                <w:b/>
                <w:sz w:val="20"/>
              </w:rPr>
            </w:pPr>
          </w:p>
        </w:tc>
        <w:tc>
          <w:tcPr>
            <w:tcW w:w="611" w:type="pct"/>
            <w:vAlign w:val="center"/>
          </w:tcPr>
          <w:p w14:paraId="505A162D"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1</w:t>
            </w:r>
          </w:p>
        </w:tc>
        <w:tc>
          <w:tcPr>
            <w:tcW w:w="611" w:type="pct"/>
            <w:vAlign w:val="center"/>
          </w:tcPr>
          <w:p w14:paraId="2B1190B8"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2</w:t>
            </w:r>
          </w:p>
        </w:tc>
        <w:tc>
          <w:tcPr>
            <w:tcW w:w="611" w:type="pct"/>
            <w:vAlign w:val="center"/>
          </w:tcPr>
          <w:p w14:paraId="5BE9AA8C"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3</w:t>
            </w:r>
          </w:p>
        </w:tc>
        <w:tc>
          <w:tcPr>
            <w:tcW w:w="611" w:type="pct"/>
            <w:vAlign w:val="center"/>
          </w:tcPr>
          <w:p w14:paraId="2E40B68B"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4</w:t>
            </w:r>
          </w:p>
        </w:tc>
        <w:tc>
          <w:tcPr>
            <w:tcW w:w="611" w:type="pct"/>
            <w:vAlign w:val="center"/>
          </w:tcPr>
          <w:p w14:paraId="03A7CBBD"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5</w:t>
            </w:r>
          </w:p>
        </w:tc>
        <w:tc>
          <w:tcPr>
            <w:tcW w:w="611" w:type="pct"/>
          </w:tcPr>
          <w:p w14:paraId="573FD1F3"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6</w:t>
            </w:r>
          </w:p>
        </w:tc>
      </w:tr>
      <w:tr w:rsidR="00EE7FE2" w:rsidRPr="00F936B6" w14:paraId="3041FFF5" w14:textId="77777777">
        <w:tc>
          <w:tcPr>
            <w:tcW w:w="5000" w:type="pct"/>
            <w:gridSpan w:val="7"/>
            <w:vAlign w:val="center"/>
          </w:tcPr>
          <w:p w14:paraId="5896E7A8" w14:textId="77777777" w:rsidR="00EE7FE2" w:rsidRPr="00F936B6" w:rsidRDefault="00EE7FE2" w:rsidP="008241B5">
            <w:pPr>
              <w:keepNext/>
              <w:jc w:val="left"/>
              <w:rPr>
                <w:rFonts w:ascii="Arial Narrow" w:eastAsiaTheme="majorEastAsia" w:hAnsi="Arial Narrow" w:cs="Times New Roman"/>
                <w:b/>
                <w:sz w:val="20"/>
              </w:rPr>
            </w:pPr>
            <w:r w:rsidRPr="00F936B6">
              <w:rPr>
                <w:rFonts w:ascii="Arial Narrow" w:eastAsiaTheme="majorEastAsia" w:hAnsi="Arial Narrow" w:cs="Times New Roman"/>
                <w:b/>
                <w:sz w:val="20"/>
              </w:rPr>
              <w:t>Estimated extent of use of 2L T-</w:t>
            </w:r>
            <w:proofErr w:type="spellStart"/>
            <w:r w:rsidRPr="00F936B6">
              <w:rPr>
                <w:rFonts w:ascii="Arial Narrow" w:eastAsiaTheme="majorEastAsia" w:hAnsi="Arial Narrow" w:cs="Times New Roman"/>
                <w:b/>
                <w:sz w:val="20"/>
              </w:rPr>
              <w:t>DXd</w:t>
            </w:r>
            <w:proofErr w:type="spellEnd"/>
          </w:p>
        </w:tc>
      </w:tr>
      <w:tr w:rsidR="00EE7FE2" w:rsidRPr="00F936B6" w14:paraId="1E047876" w14:textId="77777777">
        <w:tc>
          <w:tcPr>
            <w:tcW w:w="1334" w:type="pct"/>
            <w:vAlign w:val="center"/>
          </w:tcPr>
          <w:p w14:paraId="6F05315E" w14:textId="77777777" w:rsidR="00EE7FE2" w:rsidRPr="00F936B6" w:rsidRDefault="00EE7FE2" w:rsidP="008241B5">
            <w:pPr>
              <w:keepNext/>
              <w:keepLines/>
              <w:jc w:val="left"/>
              <w:rPr>
                <w:rFonts w:ascii="Times" w:eastAsiaTheme="majorEastAsia" w:hAnsi="Times" w:cstheme="majorBidi"/>
                <w:bCs/>
                <w:sz w:val="20"/>
              </w:rPr>
            </w:pPr>
            <w:r w:rsidRPr="00F936B6">
              <w:rPr>
                <w:rFonts w:ascii="Arial Narrow" w:eastAsiaTheme="majorEastAsia" w:hAnsi="Arial Narrow" w:cstheme="majorBidi"/>
                <w:bCs/>
                <w:sz w:val="20"/>
              </w:rPr>
              <w:t>Number of patients treated</w:t>
            </w:r>
          </w:p>
        </w:tc>
        <w:tc>
          <w:tcPr>
            <w:tcW w:w="611" w:type="pct"/>
            <w:vAlign w:val="center"/>
          </w:tcPr>
          <w:p w14:paraId="3543DB69" w14:textId="20699524" w:rsidR="00EE7FE2" w:rsidRPr="00E776C8" w:rsidRDefault="006340CE" w:rsidP="008241B5">
            <w:pPr>
              <w:keepNext/>
              <w:keepLines/>
              <w:jc w:val="center"/>
              <w:rPr>
                <w:rFonts w:ascii="Arial Narrow" w:eastAsiaTheme="majorEastAsia" w:hAnsi="Arial Narrow" w:cstheme="majorBidi"/>
                <w:bCs/>
                <w:color w:val="000000"/>
                <w:sz w:val="20"/>
                <w:vertAlign w:val="superscript"/>
              </w:rPr>
            </w:pPr>
            <w:r w:rsidRPr="006340CE">
              <w:rPr>
                <w:rFonts w:ascii="Arial Narrow" w:eastAsiaTheme="majorEastAsia" w:hAnsi="Arial Narrow" w:cstheme="majorBidi"/>
                <w:bCs/>
                <w:color w:val="000000"/>
                <w:sz w:val="2"/>
                <w:highlight w:val="black"/>
              </w:rPr>
              <w:t>redacted content</w:t>
            </w:r>
            <w:r w:rsidR="00E776C8">
              <w:rPr>
                <w:rFonts w:ascii="Arial Narrow" w:eastAsiaTheme="majorEastAsia" w:hAnsi="Arial Narrow" w:cstheme="majorBidi"/>
                <w:bCs/>
                <w:color w:val="000000"/>
                <w:sz w:val="20"/>
                <w:vertAlign w:val="superscript"/>
              </w:rPr>
              <w:t>1</w:t>
            </w:r>
          </w:p>
        </w:tc>
        <w:tc>
          <w:tcPr>
            <w:tcW w:w="611" w:type="pct"/>
          </w:tcPr>
          <w:p w14:paraId="07451328" w14:textId="311A8F09"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1</w:t>
            </w:r>
            <w:r w:rsidR="00EE7FE2" w:rsidRPr="00F936B6">
              <w:rPr>
                <w:rFonts w:ascii="Arial Narrow" w:eastAsiaTheme="majorEastAsia" w:hAnsi="Arial Narrow" w:cstheme="majorBidi"/>
                <w:bCs/>
                <w:sz w:val="20"/>
              </w:rPr>
              <w:t xml:space="preserve"> </w:t>
            </w:r>
          </w:p>
        </w:tc>
        <w:tc>
          <w:tcPr>
            <w:tcW w:w="611" w:type="pct"/>
          </w:tcPr>
          <w:p w14:paraId="7FFC87FF" w14:textId="631C6A28"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1</w:t>
            </w:r>
            <w:r w:rsidR="00EE7FE2" w:rsidRPr="00F936B6">
              <w:rPr>
                <w:rFonts w:ascii="Arial Narrow" w:eastAsiaTheme="majorEastAsia" w:hAnsi="Arial Narrow" w:cstheme="majorBidi"/>
                <w:bCs/>
                <w:sz w:val="20"/>
              </w:rPr>
              <w:t xml:space="preserve"> </w:t>
            </w:r>
          </w:p>
        </w:tc>
        <w:tc>
          <w:tcPr>
            <w:tcW w:w="611" w:type="pct"/>
          </w:tcPr>
          <w:p w14:paraId="15FA30C2" w14:textId="1FA2F407"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1</w:t>
            </w:r>
            <w:r w:rsidR="00EE7FE2" w:rsidRPr="00F936B6">
              <w:rPr>
                <w:rFonts w:ascii="Arial Narrow" w:eastAsiaTheme="majorEastAsia" w:hAnsi="Arial Narrow" w:cstheme="majorBidi"/>
                <w:bCs/>
                <w:sz w:val="20"/>
              </w:rPr>
              <w:t xml:space="preserve"> </w:t>
            </w:r>
          </w:p>
        </w:tc>
        <w:tc>
          <w:tcPr>
            <w:tcW w:w="611" w:type="pct"/>
          </w:tcPr>
          <w:p w14:paraId="3A2D4457" w14:textId="2FC0AA84"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1</w:t>
            </w:r>
            <w:r w:rsidR="00EE7FE2" w:rsidRPr="00F936B6">
              <w:rPr>
                <w:rFonts w:ascii="Arial Narrow" w:eastAsiaTheme="majorEastAsia" w:hAnsi="Arial Narrow" w:cstheme="majorBidi"/>
                <w:bCs/>
                <w:sz w:val="20"/>
              </w:rPr>
              <w:t xml:space="preserve"> </w:t>
            </w:r>
          </w:p>
        </w:tc>
        <w:tc>
          <w:tcPr>
            <w:tcW w:w="611" w:type="pct"/>
          </w:tcPr>
          <w:p w14:paraId="75A38A7B" w14:textId="5FB8F428"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1</w:t>
            </w:r>
            <w:r w:rsidR="00EE7FE2" w:rsidRPr="00F936B6">
              <w:rPr>
                <w:rFonts w:ascii="Arial Narrow" w:eastAsiaTheme="majorEastAsia" w:hAnsi="Arial Narrow" w:cstheme="majorBidi"/>
                <w:bCs/>
                <w:sz w:val="20"/>
              </w:rPr>
              <w:t xml:space="preserve"> </w:t>
            </w:r>
          </w:p>
        </w:tc>
      </w:tr>
      <w:tr w:rsidR="00EE7FE2" w:rsidRPr="00F936B6" w14:paraId="49D77604" w14:textId="77777777">
        <w:tc>
          <w:tcPr>
            <w:tcW w:w="1334" w:type="pct"/>
            <w:vAlign w:val="center"/>
          </w:tcPr>
          <w:p w14:paraId="2C8E1060" w14:textId="77777777" w:rsidR="00EE7FE2" w:rsidRPr="00F936B6" w:rsidRDefault="00EE7FE2" w:rsidP="008241B5">
            <w:pPr>
              <w:keepNext/>
              <w:keepLines/>
              <w:jc w:val="left"/>
              <w:rPr>
                <w:rFonts w:ascii="Times" w:eastAsiaTheme="majorEastAsia" w:hAnsi="Times" w:cstheme="majorBidi"/>
                <w:bCs/>
                <w:sz w:val="20"/>
              </w:rPr>
            </w:pPr>
            <w:r w:rsidRPr="00F936B6">
              <w:rPr>
                <w:rFonts w:ascii="Arial Narrow" w:eastAsiaTheme="majorEastAsia" w:hAnsi="Arial Narrow" w:cstheme="majorBidi"/>
                <w:bCs/>
                <w:sz w:val="20"/>
              </w:rPr>
              <w:t xml:space="preserve">Number of scripts dispensed </w:t>
            </w:r>
            <w:r w:rsidRPr="00F936B6">
              <w:rPr>
                <w:rFonts w:ascii="Arial Narrow" w:eastAsiaTheme="majorEastAsia" w:hAnsi="Arial Narrow" w:cstheme="majorBidi"/>
                <w:bCs/>
                <w:sz w:val="20"/>
                <w:vertAlign w:val="superscript"/>
              </w:rPr>
              <w:t>a</w:t>
            </w:r>
          </w:p>
        </w:tc>
        <w:tc>
          <w:tcPr>
            <w:tcW w:w="611" w:type="pct"/>
          </w:tcPr>
          <w:p w14:paraId="6116ED9E" w14:textId="01D166FA"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2</w:t>
            </w:r>
            <w:r w:rsidR="00EE7FE2" w:rsidRPr="00F936B6">
              <w:rPr>
                <w:rFonts w:ascii="Arial Narrow" w:eastAsiaTheme="majorEastAsia" w:hAnsi="Arial Narrow" w:cstheme="majorBidi"/>
                <w:bCs/>
                <w:sz w:val="20"/>
              </w:rPr>
              <w:t xml:space="preserve"> </w:t>
            </w:r>
          </w:p>
        </w:tc>
        <w:tc>
          <w:tcPr>
            <w:tcW w:w="611" w:type="pct"/>
          </w:tcPr>
          <w:p w14:paraId="47A6AFD3" w14:textId="0B19F1C2"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3</w:t>
            </w:r>
            <w:r w:rsidR="00EE7FE2" w:rsidRPr="00F936B6">
              <w:rPr>
                <w:rFonts w:ascii="Arial Narrow" w:eastAsiaTheme="majorEastAsia" w:hAnsi="Arial Narrow" w:cstheme="majorBidi"/>
                <w:bCs/>
                <w:sz w:val="20"/>
              </w:rPr>
              <w:t xml:space="preserve"> </w:t>
            </w:r>
          </w:p>
        </w:tc>
        <w:tc>
          <w:tcPr>
            <w:tcW w:w="611" w:type="pct"/>
          </w:tcPr>
          <w:p w14:paraId="60B3FAEE" w14:textId="5937D433"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2</w:t>
            </w:r>
            <w:r w:rsidR="00EE7FE2" w:rsidRPr="00F936B6">
              <w:rPr>
                <w:rFonts w:ascii="Arial Narrow" w:eastAsiaTheme="majorEastAsia" w:hAnsi="Arial Narrow" w:cstheme="majorBidi"/>
                <w:bCs/>
                <w:sz w:val="20"/>
              </w:rPr>
              <w:t xml:space="preserve"> </w:t>
            </w:r>
          </w:p>
        </w:tc>
        <w:tc>
          <w:tcPr>
            <w:tcW w:w="611" w:type="pct"/>
          </w:tcPr>
          <w:p w14:paraId="73AE6F06" w14:textId="6FB93DDD"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2</w:t>
            </w:r>
            <w:r w:rsidR="00EE7FE2" w:rsidRPr="00F936B6">
              <w:rPr>
                <w:rFonts w:ascii="Arial Narrow" w:eastAsiaTheme="majorEastAsia" w:hAnsi="Arial Narrow" w:cstheme="majorBidi"/>
                <w:bCs/>
                <w:sz w:val="20"/>
              </w:rPr>
              <w:t xml:space="preserve"> </w:t>
            </w:r>
          </w:p>
        </w:tc>
        <w:tc>
          <w:tcPr>
            <w:tcW w:w="611" w:type="pct"/>
          </w:tcPr>
          <w:p w14:paraId="05E62EF9" w14:textId="51864FE1"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2</w:t>
            </w:r>
            <w:r w:rsidR="00EE7FE2" w:rsidRPr="00F936B6">
              <w:rPr>
                <w:rFonts w:ascii="Arial Narrow" w:eastAsiaTheme="majorEastAsia" w:hAnsi="Arial Narrow" w:cstheme="majorBidi"/>
                <w:bCs/>
                <w:sz w:val="20"/>
              </w:rPr>
              <w:t xml:space="preserve"> </w:t>
            </w:r>
          </w:p>
        </w:tc>
        <w:tc>
          <w:tcPr>
            <w:tcW w:w="611" w:type="pct"/>
          </w:tcPr>
          <w:p w14:paraId="6AA4A83F" w14:textId="020CBFEA" w:rsidR="00EE7FE2" w:rsidRPr="00F936B6" w:rsidRDefault="006340CE" w:rsidP="008241B5">
            <w:pPr>
              <w:keepNext/>
              <w:keepLines/>
              <w:jc w:val="center"/>
              <w:rPr>
                <w:rFonts w:ascii="Arial Narrow" w:eastAsiaTheme="majorEastAsia" w:hAnsi="Arial Narrow" w:cstheme="majorBidi"/>
                <w:bCs/>
                <w:color w:val="000000"/>
                <w:sz w:val="20"/>
              </w:rPr>
            </w:pPr>
            <w:r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2</w:t>
            </w:r>
            <w:r w:rsidR="00EE7FE2" w:rsidRPr="00F936B6">
              <w:rPr>
                <w:rFonts w:ascii="Arial Narrow" w:eastAsiaTheme="majorEastAsia" w:hAnsi="Arial Narrow" w:cstheme="majorBidi"/>
                <w:bCs/>
                <w:sz w:val="20"/>
              </w:rPr>
              <w:t xml:space="preserve"> </w:t>
            </w:r>
          </w:p>
        </w:tc>
      </w:tr>
      <w:tr w:rsidR="00EE7FE2" w:rsidRPr="00F936B6" w14:paraId="064AA56B" w14:textId="77777777">
        <w:tc>
          <w:tcPr>
            <w:tcW w:w="5000" w:type="pct"/>
            <w:gridSpan w:val="7"/>
            <w:vAlign w:val="center"/>
          </w:tcPr>
          <w:p w14:paraId="69D75E54" w14:textId="77777777" w:rsidR="00EE7FE2" w:rsidRPr="00F936B6" w:rsidRDefault="00EE7FE2" w:rsidP="008241B5">
            <w:pPr>
              <w:keepNext/>
              <w:jc w:val="left"/>
              <w:rPr>
                <w:rFonts w:ascii="Arial Narrow" w:eastAsiaTheme="majorEastAsia" w:hAnsi="Arial Narrow" w:cs="Times New Roman"/>
                <w:b/>
                <w:sz w:val="20"/>
              </w:rPr>
            </w:pPr>
            <w:r w:rsidRPr="00F936B6">
              <w:rPr>
                <w:rFonts w:ascii="Arial Narrow" w:eastAsiaTheme="majorEastAsia" w:hAnsi="Arial Narrow" w:cs="Times New Roman"/>
                <w:b/>
                <w:sz w:val="20"/>
              </w:rPr>
              <w:t>Estimated financial implications of T-</w:t>
            </w:r>
            <w:proofErr w:type="spellStart"/>
            <w:r w:rsidRPr="00F936B6">
              <w:rPr>
                <w:rFonts w:ascii="Arial Narrow" w:eastAsiaTheme="majorEastAsia" w:hAnsi="Arial Narrow" w:cs="Times New Roman"/>
                <w:b/>
                <w:sz w:val="20"/>
              </w:rPr>
              <w:t>DXd</w:t>
            </w:r>
            <w:proofErr w:type="spellEnd"/>
          </w:p>
        </w:tc>
      </w:tr>
      <w:tr w:rsidR="00EE7FE2" w:rsidRPr="00F936B6" w14:paraId="0CA3EB24" w14:textId="77777777">
        <w:tc>
          <w:tcPr>
            <w:tcW w:w="1334" w:type="pct"/>
            <w:vAlign w:val="center"/>
          </w:tcPr>
          <w:p w14:paraId="78B8B8BC" w14:textId="77777777" w:rsidR="00EE7FE2" w:rsidRPr="00F936B6" w:rsidRDefault="00EE7FE2" w:rsidP="008241B5">
            <w:pPr>
              <w:keepNext/>
              <w:keepLines/>
              <w:jc w:val="left"/>
              <w:rPr>
                <w:rFonts w:ascii="Arial Narrow" w:eastAsiaTheme="majorEastAsia" w:hAnsi="Arial Narrow" w:cstheme="majorBidi"/>
                <w:bCs/>
                <w:sz w:val="19"/>
                <w:szCs w:val="19"/>
              </w:rPr>
            </w:pPr>
            <w:r w:rsidRPr="00F936B6">
              <w:rPr>
                <w:rFonts w:ascii="Arial Narrow" w:eastAsiaTheme="majorEastAsia" w:hAnsi="Arial Narrow" w:cstheme="majorBidi"/>
                <w:bCs/>
                <w:sz w:val="19"/>
                <w:szCs w:val="19"/>
              </w:rPr>
              <w:t>Cost to PBS/RPBS less copayments</w:t>
            </w:r>
          </w:p>
        </w:tc>
        <w:tc>
          <w:tcPr>
            <w:tcW w:w="611" w:type="pct"/>
          </w:tcPr>
          <w:p w14:paraId="6193ED58" w14:textId="1740811D" w:rsidR="00EE7FE2" w:rsidRPr="00E776C8" w:rsidRDefault="00EE7FE2" w:rsidP="008241B5">
            <w:pPr>
              <w:keepNext/>
              <w:keepLines/>
              <w:jc w:val="center"/>
              <w:rPr>
                <w:rFonts w:ascii="Arial Narrow" w:eastAsiaTheme="majorEastAsia" w:hAnsi="Arial Narrow" w:cstheme="majorBidi"/>
                <w:bCs/>
                <w:sz w:val="20"/>
                <w:vertAlign w:val="superscript"/>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E776C8">
              <w:rPr>
                <w:rFonts w:ascii="Arial Narrow" w:eastAsiaTheme="majorEastAsia" w:hAnsi="Arial Narrow" w:cstheme="majorBidi"/>
                <w:bCs/>
                <w:sz w:val="20"/>
                <w:vertAlign w:val="superscript"/>
              </w:rPr>
              <w:t>3</w:t>
            </w:r>
          </w:p>
        </w:tc>
        <w:tc>
          <w:tcPr>
            <w:tcW w:w="611" w:type="pct"/>
          </w:tcPr>
          <w:p w14:paraId="03053C4A" w14:textId="1A0B1131" w:rsidR="00EE7FE2" w:rsidRPr="00E776C8" w:rsidRDefault="00EE7FE2" w:rsidP="008241B5">
            <w:pPr>
              <w:keepNext/>
              <w:keepLines/>
              <w:jc w:val="center"/>
              <w:rPr>
                <w:rFonts w:ascii="Arial Narrow" w:eastAsiaTheme="majorEastAsia" w:hAnsi="Arial Narrow" w:cstheme="majorBidi"/>
                <w:bCs/>
                <w:sz w:val="20"/>
                <w:vertAlign w:val="superscript"/>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0FB3">
              <w:rPr>
                <w:rFonts w:ascii="Arial Narrow" w:eastAsiaTheme="majorEastAsia" w:hAnsi="Arial Narrow" w:cstheme="majorBidi"/>
                <w:bCs/>
                <w:sz w:val="20"/>
                <w:vertAlign w:val="superscript"/>
              </w:rPr>
              <w:t>4</w:t>
            </w:r>
          </w:p>
        </w:tc>
        <w:tc>
          <w:tcPr>
            <w:tcW w:w="611" w:type="pct"/>
          </w:tcPr>
          <w:p w14:paraId="7AE684E6" w14:textId="3B91A72F" w:rsidR="00EE7FE2" w:rsidRPr="006F0FB3" w:rsidRDefault="00EE7FE2" w:rsidP="008241B5">
            <w:pPr>
              <w:keepNext/>
              <w:keepLines/>
              <w:jc w:val="center"/>
              <w:rPr>
                <w:rFonts w:ascii="Arial Narrow" w:eastAsiaTheme="majorEastAsia" w:hAnsi="Arial Narrow" w:cstheme="majorBidi"/>
                <w:bCs/>
                <w:sz w:val="20"/>
                <w:vertAlign w:val="superscript"/>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0FB3">
              <w:rPr>
                <w:rFonts w:ascii="Arial Narrow" w:eastAsiaTheme="majorEastAsia" w:hAnsi="Arial Narrow" w:cstheme="majorBidi"/>
                <w:bCs/>
                <w:sz w:val="20"/>
                <w:vertAlign w:val="superscript"/>
              </w:rPr>
              <w:t>5</w:t>
            </w:r>
          </w:p>
        </w:tc>
        <w:tc>
          <w:tcPr>
            <w:tcW w:w="611" w:type="pct"/>
          </w:tcPr>
          <w:p w14:paraId="7885573A" w14:textId="4D028901" w:rsidR="00EE7FE2" w:rsidRPr="006F0FB3" w:rsidRDefault="00EE7FE2" w:rsidP="008241B5">
            <w:pPr>
              <w:keepNext/>
              <w:keepLines/>
              <w:jc w:val="center"/>
              <w:rPr>
                <w:rFonts w:ascii="Arial Narrow" w:eastAsiaTheme="majorEastAsia" w:hAnsi="Arial Narrow" w:cstheme="majorBidi"/>
                <w:bCs/>
                <w:sz w:val="20"/>
                <w:vertAlign w:val="superscript"/>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2A2AB7">
              <w:rPr>
                <w:rFonts w:ascii="Arial Narrow" w:eastAsiaTheme="majorEastAsia" w:hAnsi="Arial Narrow" w:cstheme="majorBidi"/>
                <w:bCs/>
                <w:sz w:val="20"/>
                <w:vertAlign w:val="superscript"/>
              </w:rPr>
              <w:t>5</w:t>
            </w:r>
          </w:p>
        </w:tc>
        <w:tc>
          <w:tcPr>
            <w:tcW w:w="611" w:type="pct"/>
          </w:tcPr>
          <w:p w14:paraId="2E703D97" w14:textId="6C968F0A" w:rsidR="00EE7FE2" w:rsidRPr="006F0FB3" w:rsidRDefault="00EE7FE2" w:rsidP="008241B5">
            <w:pPr>
              <w:keepNext/>
              <w:keepLines/>
              <w:jc w:val="center"/>
              <w:rPr>
                <w:rFonts w:ascii="Arial Narrow" w:eastAsiaTheme="majorEastAsia" w:hAnsi="Arial Narrow" w:cstheme="majorBidi"/>
                <w:bCs/>
                <w:sz w:val="20"/>
                <w:vertAlign w:val="superscript"/>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2A2AB7">
              <w:rPr>
                <w:rFonts w:ascii="Arial Narrow" w:eastAsiaTheme="majorEastAsia" w:hAnsi="Arial Narrow" w:cstheme="majorBidi"/>
                <w:bCs/>
                <w:sz w:val="20"/>
                <w:vertAlign w:val="superscript"/>
              </w:rPr>
              <w:t>5</w:t>
            </w:r>
          </w:p>
        </w:tc>
        <w:tc>
          <w:tcPr>
            <w:tcW w:w="611" w:type="pct"/>
          </w:tcPr>
          <w:p w14:paraId="22F78487" w14:textId="2F036549"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2A2AB7">
              <w:rPr>
                <w:rFonts w:ascii="Arial Narrow" w:eastAsiaTheme="majorEastAsia" w:hAnsi="Arial Narrow" w:cstheme="majorBidi"/>
                <w:bCs/>
                <w:sz w:val="20"/>
                <w:vertAlign w:val="superscript"/>
              </w:rPr>
              <w:t>5</w:t>
            </w:r>
          </w:p>
        </w:tc>
      </w:tr>
      <w:tr w:rsidR="00EE7FE2" w:rsidRPr="00F936B6" w14:paraId="649A29B9" w14:textId="77777777">
        <w:tc>
          <w:tcPr>
            <w:tcW w:w="5000" w:type="pct"/>
            <w:gridSpan w:val="7"/>
            <w:vAlign w:val="center"/>
          </w:tcPr>
          <w:p w14:paraId="07806B1F" w14:textId="77777777" w:rsidR="00EE7FE2" w:rsidRPr="00F936B6" w:rsidRDefault="00EE7FE2" w:rsidP="008241B5">
            <w:pPr>
              <w:keepNext/>
              <w:keepLines/>
              <w:jc w:val="left"/>
              <w:rPr>
                <w:rFonts w:ascii="Arial Narrow" w:eastAsiaTheme="majorEastAsia" w:hAnsi="Arial Narrow" w:cstheme="majorBidi"/>
                <w:b/>
                <w:sz w:val="20"/>
              </w:rPr>
            </w:pPr>
            <w:r w:rsidRPr="00F936B6">
              <w:rPr>
                <w:rFonts w:ascii="Arial Narrow" w:eastAsiaTheme="majorEastAsia" w:hAnsi="Arial Narrow" w:cstheme="majorBidi"/>
                <w:b/>
                <w:sz w:val="20"/>
              </w:rPr>
              <w:t>Estimated financial implications for 2L IV chemotherapy and 3L T-</w:t>
            </w:r>
            <w:proofErr w:type="spellStart"/>
            <w:r w:rsidRPr="00F936B6">
              <w:rPr>
                <w:rFonts w:ascii="Arial Narrow" w:eastAsiaTheme="majorEastAsia" w:hAnsi="Arial Narrow" w:cstheme="majorBidi"/>
                <w:b/>
                <w:sz w:val="20"/>
              </w:rPr>
              <w:t>DXd</w:t>
            </w:r>
            <w:proofErr w:type="spellEnd"/>
          </w:p>
        </w:tc>
      </w:tr>
      <w:tr w:rsidR="00EE7FE2" w:rsidRPr="00F936B6" w14:paraId="49E86E2B" w14:textId="77777777">
        <w:tc>
          <w:tcPr>
            <w:tcW w:w="1334" w:type="pct"/>
            <w:vAlign w:val="center"/>
          </w:tcPr>
          <w:p w14:paraId="093F9785" w14:textId="77777777" w:rsidR="00EE7FE2" w:rsidRPr="00E749C6" w:rsidRDefault="00EE7FE2" w:rsidP="008241B5">
            <w:pPr>
              <w:keepNext/>
              <w:keepLines/>
              <w:jc w:val="left"/>
              <w:rPr>
                <w:rFonts w:ascii="Arial Narrow" w:eastAsiaTheme="majorEastAsia" w:hAnsi="Arial Narrow" w:cstheme="majorBidi"/>
                <w:bCs/>
                <w:sz w:val="19"/>
                <w:szCs w:val="19"/>
                <w:vertAlign w:val="superscript"/>
              </w:rPr>
            </w:pPr>
            <w:r w:rsidRPr="00F936B6">
              <w:rPr>
                <w:rFonts w:ascii="Arial Narrow" w:eastAsiaTheme="majorEastAsia" w:hAnsi="Arial Narrow" w:cstheme="majorBidi"/>
                <w:bCs/>
                <w:sz w:val="19"/>
                <w:szCs w:val="19"/>
              </w:rPr>
              <w:t>Reduction in prescriptions</w:t>
            </w:r>
            <w:r>
              <w:rPr>
                <w:rFonts w:ascii="Arial Narrow" w:eastAsiaTheme="majorEastAsia" w:hAnsi="Arial Narrow" w:cstheme="majorBidi"/>
                <w:bCs/>
                <w:sz w:val="19"/>
                <w:szCs w:val="19"/>
              </w:rPr>
              <w:t xml:space="preserve"> </w:t>
            </w:r>
            <w:r>
              <w:rPr>
                <w:rFonts w:ascii="Arial Narrow" w:eastAsiaTheme="majorEastAsia" w:hAnsi="Arial Narrow" w:cstheme="majorBidi"/>
                <w:bCs/>
                <w:sz w:val="19"/>
                <w:szCs w:val="19"/>
                <w:vertAlign w:val="superscript"/>
              </w:rPr>
              <w:t>b</w:t>
            </w:r>
          </w:p>
        </w:tc>
        <w:tc>
          <w:tcPr>
            <w:tcW w:w="611" w:type="pct"/>
          </w:tcPr>
          <w:p w14:paraId="67A47FB6" w14:textId="40976E5D" w:rsidR="00EE7FE2" w:rsidRPr="00F936B6" w:rsidRDefault="006340CE" w:rsidP="008241B5">
            <w:pPr>
              <w:keepNext/>
              <w:keepLines/>
              <w:jc w:val="center"/>
              <w:rPr>
                <w:rFonts w:ascii="Arial Narrow" w:eastAsiaTheme="majorEastAsia" w:hAnsi="Arial Narrow" w:cstheme="majorBidi"/>
                <w:bCs/>
                <w:sz w:val="20"/>
              </w:rPr>
            </w:pPr>
            <w:r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2</w:t>
            </w:r>
            <w:r w:rsidR="00EE7FE2" w:rsidRPr="00F936B6">
              <w:rPr>
                <w:rFonts w:ascii="Arial Narrow" w:eastAsiaTheme="majorEastAsia" w:hAnsi="Arial Narrow" w:cstheme="majorBidi"/>
                <w:bCs/>
                <w:sz w:val="20"/>
              </w:rPr>
              <w:t xml:space="preserve"> </w:t>
            </w:r>
          </w:p>
        </w:tc>
        <w:tc>
          <w:tcPr>
            <w:tcW w:w="611" w:type="pct"/>
          </w:tcPr>
          <w:p w14:paraId="2CC46460" w14:textId="00222DB6" w:rsidR="00EE7FE2" w:rsidRPr="00441015" w:rsidRDefault="006340CE" w:rsidP="008241B5">
            <w:pPr>
              <w:keepNext/>
              <w:keepLines/>
              <w:jc w:val="center"/>
              <w:rPr>
                <w:rFonts w:ascii="Arial Narrow" w:eastAsiaTheme="majorEastAsia" w:hAnsi="Arial Narrow" w:cstheme="majorBidi"/>
                <w:bCs/>
                <w:sz w:val="20"/>
                <w:highlight w:val="darkGray"/>
              </w:rPr>
            </w:pPr>
            <w:r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2</w:t>
            </w:r>
          </w:p>
        </w:tc>
        <w:tc>
          <w:tcPr>
            <w:tcW w:w="611" w:type="pct"/>
          </w:tcPr>
          <w:p w14:paraId="054B8900" w14:textId="4EBC1944" w:rsidR="00EE7FE2" w:rsidRPr="00441015" w:rsidRDefault="006340CE" w:rsidP="008241B5">
            <w:pPr>
              <w:keepNext/>
              <w:keepLines/>
              <w:jc w:val="center"/>
              <w:rPr>
                <w:rFonts w:ascii="Arial Narrow" w:eastAsiaTheme="majorEastAsia" w:hAnsi="Arial Narrow" w:cstheme="majorBidi"/>
                <w:bCs/>
                <w:sz w:val="20"/>
                <w:highlight w:val="darkGray"/>
              </w:rPr>
            </w:pPr>
            <w:r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2</w:t>
            </w:r>
          </w:p>
        </w:tc>
        <w:tc>
          <w:tcPr>
            <w:tcW w:w="611" w:type="pct"/>
          </w:tcPr>
          <w:p w14:paraId="3DD37B79" w14:textId="34D34CA9" w:rsidR="00EE7FE2" w:rsidRPr="00441015" w:rsidRDefault="006340CE" w:rsidP="008241B5">
            <w:pPr>
              <w:keepNext/>
              <w:keepLines/>
              <w:jc w:val="center"/>
              <w:rPr>
                <w:rFonts w:ascii="Arial Narrow" w:eastAsiaTheme="majorEastAsia" w:hAnsi="Arial Narrow" w:cstheme="majorBidi"/>
                <w:bCs/>
                <w:sz w:val="20"/>
                <w:highlight w:val="darkGray"/>
              </w:rPr>
            </w:pPr>
            <w:r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2</w:t>
            </w:r>
          </w:p>
        </w:tc>
        <w:tc>
          <w:tcPr>
            <w:tcW w:w="611" w:type="pct"/>
          </w:tcPr>
          <w:p w14:paraId="7534ACD1" w14:textId="4F00FBD7" w:rsidR="00EE7FE2" w:rsidRPr="00441015" w:rsidRDefault="006340CE" w:rsidP="008241B5">
            <w:pPr>
              <w:keepNext/>
              <w:keepLines/>
              <w:jc w:val="center"/>
              <w:rPr>
                <w:rFonts w:ascii="Arial Narrow" w:eastAsiaTheme="majorEastAsia" w:hAnsi="Arial Narrow" w:cstheme="majorBidi"/>
                <w:bCs/>
                <w:sz w:val="20"/>
                <w:highlight w:val="darkGray"/>
              </w:rPr>
            </w:pPr>
            <w:r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2</w:t>
            </w:r>
          </w:p>
        </w:tc>
        <w:tc>
          <w:tcPr>
            <w:tcW w:w="611" w:type="pct"/>
          </w:tcPr>
          <w:p w14:paraId="00D6C24B" w14:textId="31CE2E37" w:rsidR="00EE7FE2" w:rsidRPr="00441015" w:rsidRDefault="006340CE" w:rsidP="008241B5">
            <w:pPr>
              <w:keepNext/>
              <w:keepLines/>
              <w:jc w:val="center"/>
              <w:rPr>
                <w:rFonts w:ascii="Arial Narrow" w:eastAsiaTheme="majorEastAsia" w:hAnsi="Arial Narrow" w:cstheme="majorBidi"/>
                <w:bCs/>
                <w:sz w:val="20"/>
                <w:highlight w:val="darkGray"/>
              </w:rPr>
            </w:pPr>
            <w:r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2</w:t>
            </w:r>
          </w:p>
        </w:tc>
      </w:tr>
      <w:tr w:rsidR="00EE7FE2" w:rsidRPr="00F936B6" w14:paraId="69322B39" w14:textId="77777777">
        <w:tc>
          <w:tcPr>
            <w:tcW w:w="1334" w:type="pct"/>
            <w:vAlign w:val="center"/>
          </w:tcPr>
          <w:p w14:paraId="74D746EE" w14:textId="77777777" w:rsidR="00EE7FE2" w:rsidRPr="00F936B6" w:rsidRDefault="00EE7FE2" w:rsidP="008241B5">
            <w:pPr>
              <w:keepNext/>
              <w:keepLines/>
              <w:jc w:val="left"/>
              <w:rPr>
                <w:rFonts w:ascii="Arial Narrow" w:eastAsiaTheme="majorEastAsia" w:hAnsi="Arial Narrow" w:cstheme="majorBidi"/>
                <w:bCs/>
                <w:sz w:val="19"/>
                <w:szCs w:val="19"/>
              </w:rPr>
            </w:pPr>
            <w:r w:rsidRPr="00F936B6">
              <w:rPr>
                <w:rFonts w:ascii="Arial Narrow" w:eastAsiaTheme="majorEastAsia" w:hAnsi="Arial Narrow" w:cstheme="majorBidi"/>
                <w:bCs/>
                <w:sz w:val="19"/>
                <w:szCs w:val="19"/>
              </w:rPr>
              <w:t>Reduction in cost to PBS/RPBS less copayments</w:t>
            </w:r>
          </w:p>
        </w:tc>
        <w:tc>
          <w:tcPr>
            <w:tcW w:w="611" w:type="pct"/>
          </w:tcPr>
          <w:p w14:paraId="01C8FF91" w14:textId="37544BC2"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17010EC2" w14:textId="4FD902EA"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1E9FDAFC" w14:textId="7D75F2C7"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75A0A9FE" w14:textId="7755EEEF"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2FA67B2C" w14:textId="6E349DC6"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20D0113E" w14:textId="51B746A5"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r>
      <w:tr w:rsidR="00EE7FE2" w:rsidRPr="00F936B6" w14:paraId="57CA8D8B" w14:textId="77777777">
        <w:tc>
          <w:tcPr>
            <w:tcW w:w="5000" w:type="pct"/>
            <w:gridSpan w:val="7"/>
            <w:vAlign w:val="center"/>
          </w:tcPr>
          <w:p w14:paraId="44B11049" w14:textId="77777777" w:rsidR="00EE7FE2" w:rsidRPr="00F936B6" w:rsidRDefault="00EE7FE2" w:rsidP="008241B5">
            <w:pPr>
              <w:keepNext/>
              <w:jc w:val="left"/>
              <w:rPr>
                <w:rFonts w:ascii="Arial Narrow" w:eastAsiaTheme="majorEastAsia" w:hAnsi="Arial Narrow" w:cs="Times New Roman"/>
                <w:b/>
                <w:sz w:val="20"/>
              </w:rPr>
            </w:pPr>
            <w:r w:rsidRPr="00F936B6">
              <w:rPr>
                <w:rFonts w:ascii="Arial Narrow" w:eastAsiaTheme="majorEastAsia" w:hAnsi="Arial Narrow" w:cs="Times New Roman"/>
                <w:b/>
                <w:sz w:val="20"/>
              </w:rPr>
              <w:t>Net financial implications</w:t>
            </w:r>
            <w:r w:rsidRPr="00F936B6">
              <w:rPr>
                <w:rFonts w:ascii="Arial Narrow" w:eastAsiaTheme="majorEastAsia" w:hAnsi="Arial Narrow" w:cs="Times New Roman"/>
                <w:b/>
                <w:color w:val="4BACC6" w:themeColor="accent5"/>
                <w:sz w:val="20"/>
              </w:rPr>
              <w:t xml:space="preserve"> </w:t>
            </w:r>
          </w:p>
        </w:tc>
      </w:tr>
      <w:tr w:rsidR="00EE7FE2" w:rsidRPr="00F936B6" w14:paraId="0CE862C0" w14:textId="77777777">
        <w:tc>
          <w:tcPr>
            <w:tcW w:w="1334" w:type="pct"/>
            <w:vAlign w:val="center"/>
          </w:tcPr>
          <w:p w14:paraId="10A50336" w14:textId="77777777" w:rsidR="00EE7FE2" w:rsidRPr="00F936B6" w:rsidRDefault="00EE7FE2" w:rsidP="008241B5">
            <w:pPr>
              <w:keepNext/>
              <w:keepLines/>
              <w:jc w:val="left"/>
              <w:rPr>
                <w:rFonts w:ascii="Arial Narrow" w:eastAsiaTheme="majorEastAsia" w:hAnsi="Arial Narrow" w:cstheme="majorBidi"/>
                <w:bCs/>
                <w:sz w:val="19"/>
                <w:szCs w:val="19"/>
              </w:rPr>
            </w:pPr>
            <w:r w:rsidRPr="00F936B6">
              <w:rPr>
                <w:rFonts w:ascii="Arial Narrow" w:eastAsiaTheme="majorEastAsia" w:hAnsi="Arial Narrow" w:cstheme="majorBidi"/>
                <w:bCs/>
                <w:sz w:val="19"/>
                <w:szCs w:val="19"/>
              </w:rPr>
              <w:t>Net cost to PBS/RPBS</w:t>
            </w:r>
          </w:p>
        </w:tc>
        <w:tc>
          <w:tcPr>
            <w:tcW w:w="611" w:type="pct"/>
          </w:tcPr>
          <w:p w14:paraId="2578EFCF" w14:textId="40A10003"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7</w:t>
            </w:r>
          </w:p>
        </w:tc>
        <w:tc>
          <w:tcPr>
            <w:tcW w:w="611" w:type="pct"/>
          </w:tcPr>
          <w:p w14:paraId="2B948CBA" w14:textId="05A481E5"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8</w:t>
            </w:r>
          </w:p>
        </w:tc>
        <w:tc>
          <w:tcPr>
            <w:tcW w:w="611" w:type="pct"/>
          </w:tcPr>
          <w:p w14:paraId="7CE77BB5" w14:textId="13704EDE" w:rsidR="00EE7FE2" w:rsidRPr="00441015" w:rsidRDefault="00EE7FE2" w:rsidP="008241B5">
            <w:pPr>
              <w:keepNext/>
              <w:keepLines/>
              <w:jc w:val="center"/>
              <w:rPr>
                <w:rFonts w:ascii="Arial Narrow" w:eastAsiaTheme="majorEastAsia" w:hAnsi="Arial Narrow" w:cstheme="majorBidi"/>
                <w:bCs/>
                <w:sz w:val="20"/>
                <w:vertAlign w:val="superscript"/>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5781BB2D" w14:textId="2FF589A8"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26F680E5" w14:textId="3E5AA384"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59BB98F9" w14:textId="4ADFB03F"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6</w:t>
            </w:r>
          </w:p>
        </w:tc>
      </w:tr>
      <w:tr w:rsidR="00EE7FE2" w:rsidRPr="00F936B6" w14:paraId="1EFBC7C0" w14:textId="77777777">
        <w:tc>
          <w:tcPr>
            <w:tcW w:w="1334" w:type="pct"/>
            <w:vAlign w:val="center"/>
          </w:tcPr>
          <w:p w14:paraId="4A210E81" w14:textId="77777777" w:rsidR="00EE7FE2" w:rsidRPr="00F936B6" w:rsidRDefault="00EE7FE2" w:rsidP="008241B5">
            <w:pPr>
              <w:keepNext/>
              <w:keepLines/>
              <w:jc w:val="left"/>
              <w:rPr>
                <w:rFonts w:ascii="Times" w:eastAsiaTheme="majorEastAsia" w:hAnsi="Times" w:cstheme="majorBidi"/>
                <w:bCs/>
                <w:sz w:val="20"/>
              </w:rPr>
            </w:pPr>
            <w:r w:rsidRPr="00F936B6">
              <w:rPr>
                <w:rFonts w:ascii="Arial Narrow" w:eastAsiaTheme="majorEastAsia" w:hAnsi="Arial Narrow" w:cstheme="majorBidi"/>
                <w:bCs/>
                <w:sz w:val="19"/>
                <w:szCs w:val="19"/>
              </w:rPr>
              <w:t>Net cost to MBS</w:t>
            </w:r>
          </w:p>
        </w:tc>
        <w:tc>
          <w:tcPr>
            <w:tcW w:w="611" w:type="pct"/>
          </w:tcPr>
          <w:p w14:paraId="713651E3" w14:textId="7E0897AC"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9</w:t>
            </w:r>
          </w:p>
        </w:tc>
        <w:tc>
          <w:tcPr>
            <w:tcW w:w="611" w:type="pct"/>
          </w:tcPr>
          <w:p w14:paraId="4BF0684D" w14:textId="2EA14833"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9</w:t>
            </w:r>
          </w:p>
        </w:tc>
        <w:tc>
          <w:tcPr>
            <w:tcW w:w="611" w:type="pct"/>
          </w:tcPr>
          <w:p w14:paraId="60DE2F1B" w14:textId="62779C6A"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9</w:t>
            </w:r>
          </w:p>
        </w:tc>
        <w:tc>
          <w:tcPr>
            <w:tcW w:w="611" w:type="pct"/>
          </w:tcPr>
          <w:p w14:paraId="46C2168B" w14:textId="3D39D0F7"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9</w:t>
            </w:r>
          </w:p>
        </w:tc>
        <w:tc>
          <w:tcPr>
            <w:tcW w:w="611" w:type="pct"/>
          </w:tcPr>
          <w:p w14:paraId="1EE7B661" w14:textId="5532FE00"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9</w:t>
            </w:r>
          </w:p>
        </w:tc>
        <w:tc>
          <w:tcPr>
            <w:tcW w:w="611" w:type="pct"/>
          </w:tcPr>
          <w:p w14:paraId="3A4C5F96" w14:textId="6712A4F1" w:rsidR="00EE7FE2" w:rsidRPr="00F936B6" w:rsidRDefault="00EE7FE2" w:rsidP="008241B5">
            <w:pPr>
              <w:keepNext/>
              <w:keepLines/>
              <w:jc w:val="center"/>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r w:rsidR="006F552C">
              <w:rPr>
                <w:rFonts w:ascii="Arial Narrow" w:eastAsiaTheme="majorEastAsia" w:hAnsi="Arial Narrow" w:cstheme="majorBidi"/>
                <w:bCs/>
                <w:sz w:val="20"/>
                <w:vertAlign w:val="superscript"/>
              </w:rPr>
              <w:t>9</w:t>
            </w:r>
          </w:p>
        </w:tc>
      </w:tr>
      <w:tr w:rsidR="00EE7FE2" w:rsidRPr="00F936B6" w14:paraId="477B8336" w14:textId="77777777">
        <w:tc>
          <w:tcPr>
            <w:tcW w:w="1334" w:type="pct"/>
            <w:vAlign w:val="center"/>
          </w:tcPr>
          <w:p w14:paraId="3C2AC473" w14:textId="77777777" w:rsidR="00EE7FE2" w:rsidRPr="00F936B6" w:rsidRDefault="00EE7FE2" w:rsidP="008241B5">
            <w:pPr>
              <w:keepNext/>
              <w:keepLines/>
              <w:jc w:val="left"/>
              <w:rPr>
                <w:rFonts w:ascii="Arial Narrow" w:eastAsiaTheme="majorEastAsia" w:hAnsi="Arial Narrow" w:cstheme="majorBidi"/>
                <w:b/>
                <w:sz w:val="19"/>
                <w:szCs w:val="19"/>
              </w:rPr>
            </w:pPr>
            <w:r w:rsidRPr="00F936B6">
              <w:rPr>
                <w:rFonts w:ascii="Arial Narrow" w:eastAsiaTheme="majorEastAsia" w:hAnsi="Arial Narrow" w:cstheme="majorBidi"/>
                <w:b/>
                <w:sz w:val="19"/>
                <w:szCs w:val="19"/>
              </w:rPr>
              <w:t>Net cost to PBS/RPBS/MBS</w:t>
            </w:r>
          </w:p>
        </w:tc>
        <w:tc>
          <w:tcPr>
            <w:tcW w:w="611" w:type="pct"/>
          </w:tcPr>
          <w:p w14:paraId="4FBF565B" w14:textId="52765140" w:rsidR="00EE7FE2" w:rsidRPr="00F936B6" w:rsidRDefault="00EE7FE2" w:rsidP="008241B5">
            <w:pPr>
              <w:keepNext/>
              <w:keepLines/>
              <w:jc w:val="center"/>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r w:rsidR="006F552C">
              <w:rPr>
                <w:rFonts w:ascii="Arial Narrow" w:eastAsiaTheme="majorEastAsia" w:hAnsi="Arial Narrow" w:cstheme="majorBidi"/>
                <w:bCs/>
                <w:sz w:val="20"/>
                <w:vertAlign w:val="superscript"/>
              </w:rPr>
              <w:t>7</w:t>
            </w:r>
          </w:p>
        </w:tc>
        <w:tc>
          <w:tcPr>
            <w:tcW w:w="611" w:type="pct"/>
          </w:tcPr>
          <w:p w14:paraId="7A60AE15" w14:textId="50C0D23B" w:rsidR="00EE7FE2" w:rsidRPr="00F936B6" w:rsidRDefault="00EE7FE2" w:rsidP="008241B5">
            <w:pPr>
              <w:keepNext/>
              <w:keepLines/>
              <w:jc w:val="center"/>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r w:rsidR="006F552C">
              <w:rPr>
                <w:rFonts w:ascii="Arial Narrow" w:eastAsiaTheme="majorEastAsia" w:hAnsi="Arial Narrow" w:cstheme="majorBidi"/>
                <w:bCs/>
                <w:sz w:val="20"/>
                <w:vertAlign w:val="superscript"/>
              </w:rPr>
              <w:t>8</w:t>
            </w:r>
          </w:p>
        </w:tc>
        <w:tc>
          <w:tcPr>
            <w:tcW w:w="611" w:type="pct"/>
          </w:tcPr>
          <w:p w14:paraId="6A035157" w14:textId="1BF52F5C" w:rsidR="00EE7FE2" w:rsidRPr="00F936B6" w:rsidRDefault="00EE7FE2" w:rsidP="008241B5">
            <w:pPr>
              <w:keepNext/>
              <w:keepLines/>
              <w:jc w:val="center"/>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1C545E3C" w14:textId="6EAF8B15" w:rsidR="00EE7FE2" w:rsidRPr="00F936B6" w:rsidRDefault="00EE7FE2" w:rsidP="008241B5">
            <w:pPr>
              <w:keepNext/>
              <w:keepLines/>
              <w:jc w:val="center"/>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6BAFDF4A" w14:textId="0732C839" w:rsidR="00EE7FE2" w:rsidRPr="00F936B6" w:rsidRDefault="00EE7FE2" w:rsidP="008241B5">
            <w:pPr>
              <w:keepNext/>
              <w:keepLines/>
              <w:jc w:val="center"/>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r w:rsidR="006F552C">
              <w:rPr>
                <w:rFonts w:ascii="Arial Narrow" w:eastAsiaTheme="majorEastAsia" w:hAnsi="Arial Narrow" w:cstheme="majorBidi"/>
                <w:bCs/>
                <w:sz w:val="20"/>
                <w:vertAlign w:val="superscript"/>
              </w:rPr>
              <w:t>6</w:t>
            </w:r>
          </w:p>
        </w:tc>
        <w:tc>
          <w:tcPr>
            <w:tcW w:w="611" w:type="pct"/>
          </w:tcPr>
          <w:p w14:paraId="5515FC43" w14:textId="7521CF45" w:rsidR="00EE7FE2" w:rsidRPr="00F936B6" w:rsidRDefault="00EE7FE2" w:rsidP="008241B5">
            <w:pPr>
              <w:keepNext/>
              <w:keepLines/>
              <w:jc w:val="center"/>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r w:rsidR="006F552C">
              <w:rPr>
                <w:rFonts w:ascii="Arial Narrow" w:eastAsiaTheme="majorEastAsia" w:hAnsi="Arial Narrow" w:cstheme="majorBidi"/>
                <w:bCs/>
                <w:sz w:val="20"/>
                <w:vertAlign w:val="superscript"/>
              </w:rPr>
              <w:t>6</w:t>
            </w:r>
          </w:p>
        </w:tc>
      </w:tr>
    </w:tbl>
    <w:p w14:paraId="68658588" w14:textId="77777777" w:rsidR="00EE7FE2" w:rsidRPr="00EE7FE2" w:rsidRDefault="00EE7FE2" w:rsidP="009C2B6F">
      <w:pPr>
        <w:pStyle w:val="TableFigureFooter"/>
      </w:pPr>
      <w:r w:rsidRPr="00EE7FE2">
        <w:t>Source: tabulated during the evaluation, from the “ATT41_~1” excel workbook provided in the submission.</w:t>
      </w:r>
    </w:p>
    <w:p w14:paraId="19C0A739" w14:textId="77777777" w:rsidR="00EE7FE2" w:rsidRPr="00B55A5A" w:rsidRDefault="00EE7FE2" w:rsidP="009C2B6F">
      <w:pPr>
        <w:pStyle w:val="TableFigureFooter"/>
      </w:pPr>
      <w:r w:rsidRPr="00EE7FE2">
        <w:t xml:space="preserve">2L = </w:t>
      </w:r>
      <w:proofErr w:type="gramStart"/>
      <w:r w:rsidRPr="00EE7FE2">
        <w:t>second-line</w:t>
      </w:r>
      <w:proofErr w:type="gramEnd"/>
      <w:r w:rsidRPr="00EE7FE2">
        <w:t xml:space="preserve">; 3L = </w:t>
      </w:r>
      <w:proofErr w:type="gramStart"/>
      <w:r w:rsidRPr="00EE7FE2">
        <w:t>third-line</w:t>
      </w:r>
      <w:proofErr w:type="gramEnd"/>
      <w:r w:rsidRPr="00EE7FE2">
        <w:t xml:space="preserve">; IV = intravenous; MBS = Medicare Benefits Schedule; PBS = Pharmaceutical Benefits Scheme; RPBS = </w:t>
      </w:r>
      <w:r w:rsidRPr="00B55A5A">
        <w:t>Repatriation Pharmaceutical Benefits Scheme; T-</w:t>
      </w:r>
      <w:proofErr w:type="spellStart"/>
      <w:r w:rsidRPr="00B55A5A">
        <w:t>DXd</w:t>
      </w:r>
      <w:proofErr w:type="spellEnd"/>
      <w:r w:rsidRPr="00B55A5A">
        <w:t xml:space="preserve"> = trastuzumab deruxtecan.</w:t>
      </w:r>
    </w:p>
    <w:p w14:paraId="0EDBF001" w14:textId="77777777" w:rsidR="00EE7FE2" w:rsidRPr="00B55A5A" w:rsidRDefault="00EE7FE2" w:rsidP="009C2B6F">
      <w:pPr>
        <w:pStyle w:val="TableFigureFooter"/>
      </w:pPr>
      <w:r w:rsidRPr="00B55A5A">
        <w:rPr>
          <w:vertAlign w:val="superscript"/>
        </w:rPr>
        <w:t>a</w:t>
      </w:r>
      <w:r w:rsidRPr="00B55A5A">
        <w:t xml:space="preserve"> 17.33 scripts per patient year-on treatment as estimated by the submission.</w:t>
      </w:r>
    </w:p>
    <w:p w14:paraId="1C68A0E7" w14:textId="77777777" w:rsidR="001B508B" w:rsidRPr="00B55A5A" w:rsidRDefault="00EE7FE2" w:rsidP="009C2B6F">
      <w:pPr>
        <w:pStyle w:val="TableFigureFooter"/>
      </w:pPr>
      <w:r w:rsidRPr="00B55A5A">
        <w:rPr>
          <w:vertAlign w:val="superscript"/>
        </w:rPr>
        <w:t xml:space="preserve">b </w:t>
      </w:r>
      <w:r w:rsidRPr="00B55A5A">
        <w:t>17.33 scripts per patient year-on treatment for paclitaxel and T-</w:t>
      </w:r>
      <w:proofErr w:type="spellStart"/>
      <w:r w:rsidRPr="00B55A5A">
        <w:t>DXd</w:t>
      </w:r>
      <w:proofErr w:type="spellEnd"/>
      <w:r w:rsidRPr="00B55A5A">
        <w:t xml:space="preserve"> and 13 scripts per patient year-on treatment for nab-paclitaxel.</w:t>
      </w:r>
    </w:p>
    <w:p w14:paraId="06516C2A" w14:textId="77777777" w:rsidR="001B508B" w:rsidRDefault="001B508B" w:rsidP="009C2B6F">
      <w:pPr>
        <w:pStyle w:val="TableFigureFooter"/>
        <w:rPr>
          <w:i/>
          <w:iCs/>
        </w:rPr>
      </w:pPr>
      <w:r w:rsidRPr="00B55A5A">
        <w:rPr>
          <w:i/>
          <w:iCs/>
        </w:rPr>
        <w:t>The redacted values correspond to the following ranges:</w:t>
      </w:r>
    </w:p>
    <w:p w14:paraId="398DD5F5" w14:textId="77777777" w:rsidR="001B508B" w:rsidRDefault="001B508B" w:rsidP="009C2B6F">
      <w:pPr>
        <w:pStyle w:val="TableFigureFooter"/>
        <w:rPr>
          <w:i/>
          <w:iCs/>
        </w:rPr>
      </w:pPr>
      <w:r>
        <w:rPr>
          <w:i/>
          <w:iCs/>
          <w:vertAlign w:val="superscript"/>
        </w:rPr>
        <w:t>1</w:t>
      </w:r>
      <w:r>
        <w:rPr>
          <w:i/>
          <w:iCs/>
        </w:rPr>
        <w:t xml:space="preserve"> 500 to &lt; 5,000</w:t>
      </w:r>
    </w:p>
    <w:p w14:paraId="752EB1B6" w14:textId="654A7DFC" w:rsidR="002A2AB7" w:rsidRPr="002A2AB7" w:rsidRDefault="001B508B" w:rsidP="002A2AB7">
      <w:pPr>
        <w:pStyle w:val="TableFigureFooter"/>
        <w:rPr>
          <w:i/>
        </w:rPr>
      </w:pPr>
      <w:r>
        <w:rPr>
          <w:i/>
          <w:iCs/>
          <w:vertAlign w:val="superscript"/>
        </w:rPr>
        <w:t>2</w:t>
      </w:r>
      <w:r>
        <w:rPr>
          <w:i/>
          <w:iCs/>
        </w:rPr>
        <w:t xml:space="preserve"> </w:t>
      </w:r>
      <w:r w:rsidR="008B32E9">
        <w:rPr>
          <w:i/>
          <w:iCs/>
        </w:rPr>
        <w:t>10,000 to &lt; 20,000</w:t>
      </w:r>
      <w:r w:rsidR="008B32E9">
        <w:br/>
      </w:r>
      <w:r w:rsidR="008B32E9" w:rsidRPr="008B32E9">
        <w:rPr>
          <w:i/>
          <w:iCs/>
          <w:vertAlign w:val="superscript"/>
        </w:rPr>
        <w:t>3</w:t>
      </w:r>
      <w:r w:rsidR="006340CE">
        <w:rPr>
          <w:iCs/>
          <w:vertAlign w:val="superscript"/>
        </w:rPr>
        <w:t xml:space="preserve"> </w:t>
      </w:r>
      <w:r w:rsidR="008B32E9">
        <w:rPr>
          <w:i/>
        </w:rPr>
        <w:t>$</w:t>
      </w:r>
      <w:r w:rsidR="00F75153">
        <w:rPr>
          <w:i/>
        </w:rPr>
        <w:t>60 million to &lt; $70 million</w:t>
      </w:r>
      <w:r w:rsidR="00F75153">
        <w:rPr>
          <w:i/>
        </w:rPr>
        <w:br/>
      </w:r>
      <w:r w:rsidR="00F75153">
        <w:rPr>
          <w:i/>
          <w:vertAlign w:val="superscript"/>
        </w:rPr>
        <w:t>4</w:t>
      </w:r>
      <w:r w:rsidR="00F75153">
        <w:rPr>
          <w:i/>
        </w:rPr>
        <w:t xml:space="preserve"> $70 million to &lt; $80 million</w:t>
      </w:r>
      <w:r w:rsidR="00F75153">
        <w:rPr>
          <w:i/>
        </w:rPr>
        <w:br/>
      </w:r>
      <w:r w:rsidR="00F75153">
        <w:rPr>
          <w:i/>
          <w:vertAlign w:val="superscript"/>
        </w:rPr>
        <w:t>5</w:t>
      </w:r>
      <w:r w:rsidR="00F75153">
        <w:rPr>
          <w:i/>
        </w:rPr>
        <w:t xml:space="preserve"> $</w:t>
      </w:r>
      <w:r w:rsidR="002A2AB7">
        <w:rPr>
          <w:i/>
        </w:rPr>
        <w:t>50 million to &lt; $60 million</w:t>
      </w:r>
      <w:r w:rsidR="002A2AB7">
        <w:rPr>
          <w:i/>
        </w:rPr>
        <w:br/>
      </w:r>
      <w:r w:rsidR="002A2AB7">
        <w:rPr>
          <w:i/>
          <w:vertAlign w:val="superscript"/>
        </w:rPr>
        <w:t>6</w:t>
      </w:r>
      <w:r w:rsidR="002A2AB7">
        <w:rPr>
          <w:i/>
        </w:rPr>
        <w:t xml:space="preserve"> </w:t>
      </w:r>
      <w:r w:rsidR="006F552C">
        <w:rPr>
          <w:i/>
        </w:rPr>
        <w:t>$20 million to &lt; $30 million</w:t>
      </w:r>
      <w:r w:rsidR="006F552C">
        <w:rPr>
          <w:i/>
        </w:rPr>
        <w:br/>
      </w:r>
      <w:r w:rsidR="006F552C">
        <w:rPr>
          <w:i/>
          <w:vertAlign w:val="superscript"/>
        </w:rPr>
        <w:t>7</w:t>
      </w:r>
      <w:r w:rsidR="006F552C">
        <w:rPr>
          <w:i/>
        </w:rPr>
        <w:t xml:space="preserve"> $</w:t>
      </w:r>
      <w:r w:rsidR="008809DB">
        <w:rPr>
          <w:i/>
        </w:rPr>
        <w:t>30 million to &lt; $40 million</w:t>
      </w:r>
      <w:r w:rsidR="008809DB">
        <w:rPr>
          <w:i/>
        </w:rPr>
        <w:br/>
      </w:r>
      <w:r w:rsidR="008809DB">
        <w:rPr>
          <w:i/>
          <w:vertAlign w:val="superscript"/>
        </w:rPr>
        <w:t>8</w:t>
      </w:r>
      <w:r w:rsidR="008809DB">
        <w:rPr>
          <w:i/>
        </w:rPr>
        <w:t xml:space="preserve"> $40 million to &lt; $50 million</w:t>
      </w:r>
      <w:r w:rsidR="008809DB">
        <w:rPr>
          <w:i/>
        </w:rPr>
        <w:br/>
      </w:r>
      <w:r w:rsidR="008809DB">
        <w:rPr>
          <w:i/>
          <w:vertAlign w:val="superscript"/>
        </w:rPr>
        <w:t>9</w:t>
      </w:r>
      <w:r w:rsidR="008809DB">
        <w:rPr>
          <w:i/>
        </w:rPr>
        <w:t xml:space="preserve"> </w:t>
      </w:r>
      <w:r w:rsidR="0083620D">
        <w:rPr>
          <w:i/>
        </w:rPr>
        <w:t>$0 to &lt; $10 million</w:t>
      </w:r>
    </w:p>
    <w:p w14:paraId="1372582C" w14:textId="4D07693D" w:rsidR="006D4189" w:rsidRDefault="00EE7FE2" w:rsidP="008241B5">
      <w:pPr>
        <w:numPr>
          <w:ilvl w:val="1"/>
          <w:numId w:val="7"/>
        </w:numPr>
        <w:spacing w:before="60" w:after="60"/>
        <w:rPr>
          <w:rFonts w:asciiTheme="minorHAnsi" w:eastAsiaTheme="minorHAnsi" w:hAnsiTheme="minorHAnsi" w:cstheme="minorBidi"/>
          <w:szCs w:val="22"/>
        </w:rPr>
      </w:pPr>
      <w:r w:rsidRPr="00AE3CDC">
        <w:rPr>
          <w:rFonts w:asciiTheme="minorHAnsi" w:eastAsiaTheme="minorHAnsi" w:hAnsiTheme="minorHAnsi" w:cstheme="minorBidi"/>
          <w:szCs w:val="22"/>
        </w:rPr>
        <w:t>The submission estimated a cost of $</w:t>
      </w:r>
      <w:r w:rsidR="0083620D">
        <w:rPr>
          <w:rFonts w:asciiTheme="minorHAnsi" w:eastAsiaTheme="minorHAnsi" w:hAnsiTheme="minorHAnsi" w:cstheme="minorBidi"/>
          <w:szCs w:val="22"/>
        </w:rPr>
        <w:t xml:space="preserve">30 million to &lt; $40 </w:t>
      </w:r>
      <w:r w:rsidRPr="00AE3CDC">
        <w:rPr>
          <w:rFonts w:asciiTheme="minorHAnsi" w:eastAsiaTheme="minorHAnsi" w:hAnsiTheme="minorHAnsi" w:cstheme="minorBidi"/>
          <w:szCs w:val="22"/>
        </w:rPr>
        <w:t>million in the first year of listing, reducing to $</w:t>
      </w:r>
      <w:r w:rsidR="0083620D">
        <w:rPr>
          <w:rFonts w:asciiTheme="minorHAnsi" w:eastAsiaTheme="minorHAnsi" w:hAnsiTheme="minorHAnsi" w:cstheme="minorBidi"/>
          <w:szCs w:val="22"/>
        </w:rPr>
        <w:t xml:space="preserve">20 million to &lt; $30 </w:t>
      </w:r>
      <w:r w:rsidRPr="00AE3CDC">
        <w:rPr>
          <w:rFonts w:asciiTheme="minorHAnsi" w:eastAsiaTheme="minorHAnsi" w:hAnsiTheme="minorHAnsi" w:cstheme="minorBidi"/>
          <w:szCs w:val="22"/>
        </w:rPr>
        <w:t>million in the sixth year of listing (due to the addition of a prevalent pool in the first 2 years of listing), and a cumulative cost of $</w:t>
      </w:r>
      <w:r w:rsidR="0083620D">
        <w:rPr>
          <w:rFonts w:asciiTheme="minorHAnsi" w:eastAsiaTheme="minorHAnsi" w:hAnsiTheme="minorHAnsi" w:cstheme="minorBidi"/>
          <w:szCs w:val="22"/>
        </w:rPr>
        <w:t xml:space="preserve">100 million to &lt; $200 </w:t>
      </w:r>
      <w:r w:rsidRPr="00AE3CDC">
        <w:rPr>
          <w:rFonts w:asciiTheme="minorHAnsi" w:eastAsiaTheme="minorHAnsi" w:hAnsiTheme="minorHAnsi" w:cstheme="minorBidi"/>
          <w:szCs w:val="22"/>
        </w:rPr>
        <w:t xml:space="preserve">million across the first 6 years of listing, to the PBS/RPBS. </w:t>
      </w:r>
      <w:bookmarkStart w:id="88" w:name="_Toc22897648"/>
    </w:p>
    <w:p w14:paraId="73BEF9D3" w14:textId="11AA4093" w:rsidR="00EE7FE2" w:rsidRDefault="00EE7FE2" w:rsidP="008241B5">
      <w:pPr>
        <w:numPr>
          <w:ilvl w:val="1"/>
          <w:numId w:val="7"/>
        </w:numPr>
        <w:spacing w:before="60" w:after="60"/>
        <w:rPr>
          <w:rFonts w:asciiTheme="minorHAnsi" w:eastAsiaTheme="minorHAnsi" w:hAnsiTheme="minorHAnsi" w:cstheme="minorBidi"/>
          <w:szCs w:val="22"/>
        </w:rPr>
      </w:pPr>
      <w:bookmarkStart w:id="89" w:name="_Ref222153744"/>
      <w:bookmarkStart w:id="90" w:name="_Ref222214022"/>
      <w:r w:rsidRPr="00AE3CDC">
        <w:rPr>
          <w:rFonts w:asciiTheme="minorHAnsi" w:eastAsiaTheme="minorHAnsi" w:hAnsiTheme="minorHAnsi" w:cstheme="minorBidi"/>
          <w:szCs w:val="22"/>
        </w:rPr>
        <w:t>The results indicate a substantial increase in the cost to the PBS associated with the listing of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which does not appear plausible</w:t>
      </w:r>
      <w:r w:rsidRPr="00B13CE3">
        <w:rPr>
          <w:rFonts w:asciiTheme="minorHAnsi" w:eastAsiaTheme="minorHAnsi" w:hAnsiTheme="minorHAnsi" w:cstheme="minorBidi"/>
          <w:szCs w:val="22"/>
        </w:rPr>
        <w:t xml:space="preserve">. </w:t>
      </w:r>
      <w:r w:rsidR="00E20043" w:rsidRPr="00B13CE3">
        <w:rPr>
          <w:rFonts w:asciiTheme="minorHAnsi" w:eastAsiaTheme="minorHAnsi" w:hAnsiTheme="minorHAnsi" w:cstheme="minorBidi"/>
          <w:szCs w:val="22"/>
        </w:rPr>
        <w:t>Offsets from reduced</w:t>
      </w:r>
      <w:r w:rsidR="00E20043">
        <w:rPr>
          <w:rFonts w:asciiTheme="minorHAnsi" w:eastAsiaTheme="minorHAnsi" w:hAnsiTheme="minorHAnsi" w:cstheme="minorBidi"/>
          <w:szCs w:val="22"/>
        </w:rPr>
        <w:t xml:space="preserve"> </w:t>
      </w:r>
      <w:r w:rsidRPr="00AE3CDC">
        <w:rPr>
          <w:rFonts w:asciiTheme="minorHAnsi" w:eastAsiaTheme="minorHAnsi" w:hAnsiTheme="minorHAnsi" w:cstheme="minorBidi"/>
          <w:szCs w:val="22"/>
        </w:rPr>
        <w:t>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in the 3L setting for HER2-low patients </w:t>
      </w:r>
      <w:r w:rsidR="00E20043" w:rsidRPr="00AE3CDC">
        <w:rPr>
          <w:rFonts w:asciiTheme="minorHAnsi" w:eastAsiaTheme="minorHAnsi" w:hAnsiTheme="minorHAnsi" w:cstheme="minorBidi"/>
          <w:szCs w:val="22"/>
        </w:rPr>
        <w:t>w</w:t>
      </w:r>
      <w:r w:rsidR="00E20043">
        <w:rPr>
          <w:rFonts w:asciiTheme="minorHAnsi" w:eastAsiaTheme="minorHAnsi" w:hAnsiTheme="minorHAnsi" w:cstheme="minorBidi"/>
          <w:szCs w:val="22"/>
        </w:rPr>
        <w:t>ere</w:t>
      </w:r>
      <w:r w:rsidR="001E64ED">
        <w:rPr>
          <w:rFonts w:asciiTheme="minorHAnsi" w:eastAsiaTheme="minorHAnsi" w:hAnsiTheme="minorHAnsi" w:cstheme="minorBidi"/>
          <w:szCs w:val="22"/>
        </w:rPr>
        <w:t xml:space="preserve"> </w:t>
      </w:r>
      <w:r w:rsidRPr="00AE3CDC">
        <w:rPr>
          <w:rFonts w:asciiTheme="minorHAnsi" w:eastAsiaTheme="minorHAnsi" w:hAnsiTheme="minorHAnsi" w:cstheme="minorBidi"/>
          <w:szCs w:val="22"/>
        </w:rPr>
        <w:t xml:space="preserve">estimated to </w:t>
      </w:r>
      <w:r w:rsidR="001E64ED">
        <w:rPr>
          <w:rFonts w:asciiTheme="minorHAnsi" w:eastAsiaTheme="minorHAnsi" w:hAnsiTheme="minorHAnsi" w:cstheme="minorBidi"/>
          <w:szCs w:val="22"/>
        </w:rPr>
        <w:t>be</w:t>
      </w:r>
      <w:r w:rsidR="001E64ED" w:rsidRPr="00AE3CDC">
        <w:rPr>
          <w:rFonts w:asciiTheme="minorHAnsi" w:eastAsiaTheme="minorHAnsi" w:hAnsiTheme="minorHAnsi" w:cstheme="minorBidi"/>
          <w:szCs w:val="22"/>
        </w:rPr>
        <w:t xml:space="preserve"> </w:t>
      </w:r>
      <w:r w:rsidRPr="00AE3CDC">
        <w:rPr>
          <w:rFonts w:asciiTheme="minorHAnsi" w:eastAsiaTheme="minorHAnsi" w:hAnsiTheme="minorHAnsi" w:cstheme="minorBidi"/>
          <w:szCs w:val="22"/>
        </w:rPr>
        <w:t>$</w:t>
      </w:r>
      <w:r w:rsidR="002F4A42">
        <w:rPr>
          <w:rFonts w:asciiTheme="minorHAnsi" w:eastAsiaTheme="minorHAnsi" w:hAnsiTheme="minorHAnsi" w:cstheme="minorBidi"/>
          <w:szCs w:val="22"/>
        </w:rPr>
        <w:t xml:space="preserve">10 million to &lt; $20 </w:t>
      </w:r>
      <w:r w:rsidRPr="00AE3CDC">
        <w:rPr>
          <w:rFonts w:asciiTheme="minorHAnsi" w:eastAsiaTheme="minorHAnsi" w:hAnsiTheme="minorHAnsi" w:cstheme="minorBidi"/>
          <w:szCs w:val="22"/>
        </w:rPr>
        <w:t xml:space="preserve">million in year 1 in the financial analysis. </w:t>
      </w:r>
      <w:r w:rsidR="00C1797B">
        <w:rPr>
          <w:rFonts w:asciiTheme="minorHAnsi" w:eastAsiaTheme="minorHAnsi" w:hAnsiTheme="minorHAnsi" w:cstheme="minorBidi"/>
          <w:szCs w:val="22"/>
        </w:rPr>
        <w:t>M</w:t>
      </w:r>
      <w:r w:rsidRPr="00AE3CDC">
        <w:rPr>
          <w:rFonts w:asciiTheme="minorHAnsi" w:eastAsiaTheme="minorHAnsi" w:hAnsiTheme="minorHAnsi" w:cstheme="minorBidi"/>
          <w:szCs w:val="22"/>
        </w:rPr>
        <w:t>oving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to the 2L increased the cost to </w:t>
      </w:r>
      <w:r w:rsidR="002F4A42">
        <w:rPr>
          <w:rFonts w:asciiTheme="minorHAnsi" w:eastAsiaTheme="minorHAnsi" w:hAnsiTheme="minorHAnsi" w:cstheme="minorBidi"/>
          <w:szCs w:val="22"/>
        </w:rPr>
        <w:br/>
      </w:r>
      <w:r w:rsidR="002F4A42">
        <w:rPr>
          <w:rFonts w:asciiTheme="minorHAnsi" w:eastAsiaTheme="minorHAnsi" w:hAnsiTheme="minorHAnsi" w:cstheme="minorBidi"/>
          <w:szCs w:val="22"/>
        </w:rPr>
        <w:lastRenderedPageBreak/>
        <w:t xml:space="preserve">$60 million to &lt; $70 million </w:t>
      </w:r>
      <w:r w:rsidRPr="00AE3CDC">
        <w:rPr>
          <w:rFonts w:asciiTheme="minorHAnsi" w:eastAsiaTheme="minorHAnsi" w:hAnsiTheme="minorHAnsi" w:cstheme="minorBidi"/>
          <w:szCs w:val="22"/>
        </w:rPr>
        <w:t>in year 1. Th</w:t>
      </w:r>
      <w:r w:rsidR="00C1797B">
        <w:rPr>
          <w:rFonts w:asciiTheme="minorHAnsi" w:eastAsiaTheme="minorHAnsi" w:hAnsiTheme="minorHAnsi" w:cstheme="minorBidi"/>
          <w:szCs w:val="22"/>
        </w:rPr>
        <w:t xml:space="preserve">e </w:t>
      </w:r>
      <w:r w:rsidR="00C1797B" w:rsidRPr="007921A6">
        <w:rPr>
          <w:rFonts w:asciiTheme="minorHAnsi" w:eastAsiaTheme="minorHAnsi" w:hAnsiTheme="minorHAnsi" w:cstheme="minorBidi"/>
          <w:szCs w:val="22"/>
        </w:rPr>
        <w:t xml:space="preserve">evaluation noted that </w:t>
      </w:r>
      <w:r w:rsidR="00C1797B">
        <w:rPr>
          <w:rFonts w:asciiTheme="minorHAnsi" w:eastAsiaTheme="minorHAnsi" w:hAnsiTheme="minorHAnsi" w:cstheme="minorBidi"/>
          <w:szCs w:val="22"/>
        </w:rPr>
        <w:t>th</w:t>
      </w:r>
      <w:r w:rsidRPr="00AE3CDC">
        <w:rPr>
          <w:rFonts w:asciiTheme="minorHAnsi" w:eastAsiaTheme="minorHAnsi" w:hAnsiTheme="minorHAnsi" w:cstheme="minorBidi"/>
          <w:szCs w:val="22"/>
        </w:rPr>
        <w:t>is</w:t>
      </w:r>
      <w:r w:rsidR="005128E0">
        <w:rPr>
          <w:rFonts w:asciiTheme="minorHAnsi" w:eastAsiaTheme="minorHAnsi" w:hAnsiTheme="minorHAnsi" w:cstheme="minorBidi"/>
          <w:szCs w:val="22"/>
        </w:rPr>
        <w:t xml:space="preserve"> large</w:t>
      </w:r>
      <w:r w:rsidRPr="00AE3CDC">
        <w:rPr>
          <w:rFonts w:asciiTheme="minorHAnsi" w:eastAsiaTheme="minorHAnsi" w:hAnsiTheme="minorHAnsi" w:cstheme="minorBidi"/>
          <w:szCs w:val="22"/>
        </w:rPr>
        <w:t xml:space="preserve"> increase</w:t>
      </w:r>
      <w:r w:rsidR="00245C69">
        <w:rPr>
          <w:rFonts w:asciiTheme="minorHAnsi" w:eastAsiaTheme="minorHAnsi" w:hAnsiTheme="minorHAnsi" w:cstheme="minorBidi"/>
          <w:szCs w:val="22"/>
        </w:rPr>
        <w:t xml:space="preserve"> in the cost fo</w:t>
      </w:r>
      <w:r w:rsidR="000453F8">
        <w:rPr>
          <w:rFonts w:asciiTheme="minorHAnsi" w:eastAsiaTheme="minorHAnsi" w:hAnsiTheme="minorHAnsi" w:cstheme="minorBidi"/>
          <w:szCs w:val="22"/>
        </w:rPr>
        <w:t>r</w:t>
      </w:r>
      <w:r w:rsidR="002F0184">
        <w:rPr>
          <w:rFonts w:asciiTheme="minorHAnsi" w:eastAsiaTheme="minorHAnsi" w:hAnsiTheme="minorHAnsi" w:cstheme="minorBidi"/>
          <w:szCs w:val="22"/>
        </w:rPr>
        <w:t xml:space="preserve"> moving the line of therapy for</w:t>
      </w:r>
      <w:r w:rsidR="00245C69">
        <w:rPr>
          <w:rFonts w:asciiTheme="minorHAnsi" w:eastAsiaTheme="minorHAnsi" w:hAnsiTheme="minorHAnsi" w:cstheme="minorBidi"/>
          <w:szCs w:val="22"/>
        </w:rPr>
        <w:t xml:space="preserve"> T-</w:t>
      </w:r>
      <w:proofErr w:type="spellStart"/>
      <w:r w:rsidR="00245C69">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is not accounted for by the increase in eligibility (90% in 2L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xml:space="preserve"> compared to 80% for 3L T-</w:t>
      </w:r>
      <w:proofErr w:type="spellStart"/>
      <w:r w:rsidRPr="00AE3CDC">
        <w:rPr>
          <w:rFonts w:asciiTheme="minorHAnsi" w:eastAsiaTheme="minorHAnsi" w:hAnsiTheme="minorHAnsi" w:cstheme="minorBidi"/>
          <w:szCs w:val="22"/>
        </w:rPr>
        <w:t>DXd</w:t>
      </w:r>
      <w:proofErr w:type="spellEnd"/>
      <w:r w:rsidRPr="00AE3CDC">
        <w:rPr>
          <w:rFonts w:asciiTheme="minorHAnsi" w:eastAsiaTheme="minorHAnsi" w:hAnsiTheme="minorHAnsi" w:cstheme="minorBidi"/>
          <w:szCs w:val="22"/>
        </w:rPr>
        <w:t>), nor the treatment durations (13.5 months and 14.3 months for HER2-low and HER2-ultralow, respectively, compared to 10.95 months), nor the inclusion of the HER2-ultralow population (about 24% of all eligible patients)</w:t>
      </w:r>
      <w:r w:rsidR="00F45503" w:rsidRPr="00AE3CDC">
        <w:rPr>
          <w:rFonts w:asciiTheme="minorHAnsi" w:eastAsiaTheme="minorHAnsi" w:hAnsiTheme="minorHAnsi" w:cstheme="minorBidi"/>
          <w:szCs w:val="22"/>
        </w:rPr>
        <w:t>, nor the increased proposed price for 2L T-</w:t>
      </w:r>
      <w:proofErr w:type="spellStart"/>
      <w:r w:rsidR="00F45503" w:rsidRPr="00AE3CDC">
        <w:rPr>
          <w:rFonts w:asciiTheme="minorHAnsi" w:eastAsiaTheme="minorHAnsi" w:hAnsiTheme="minorHAnsi" w:cstheme="minorBidi"/>
          <w:szCs w:val="22"/>
        </w:rPr>
        <w:t>DXd</w:t>
      </w:r>
      <w:proofErr w:type="spellEnd"/>
      <w:r w:rsidR="00F45503" w:rsidRPr="00AE3CDC">
        <w:rPr>
          <w:rFonts w:asciiTheme="minorHAnsi" w:eastAsiaTheme="minorHAnsi" w:hAnsiTheme="minorHAnsi" w:cstheme="minorBidi"/>
          <w:szCs w:val="22"/>
        </w:rPr>
        <w:t xml:space="preserve"> ($</w:t>
      </w:r>
      <w:r w:rsidR="006340CE" w:rsidRPr="006340CE">
        <w:rPr>
          <w:rFonts w:asciiTheme="minorHAnsi" w:eastAsiaTheme="minorHAnsi" w:hAnsiTheme="minorHAnsi" w:cstheme="minorBidi"/>
          <w:sz w:val="2"/>
          <w:szCs w:val="22"/>
          <w:highlight w:val="black"/>
        </w:rPr>
        <w:t>redacted content</w:t>
      </w:r>
      <w:r w:rsidR="00F45503" w:rsidRPr="00AE3CDC">
        <w:rPr>
          <w:rFonts w:asciiTheme="minorHAnsi" w:eastAsiaTheme="minorHAnsi" w:hAnsiTheme="minorHAnsi" w:cstheme="minorBidi"/>
          <w:szCs w:val="22"/>
        </w:rPr>
        <w:t xml:space="preserve"> per 100 mg vial) compared to 3L T-</w:t>
      </w:r>
      <w:proofErr w:type="spellStart"/>
      <w:r w:rsidR="00F45503" w:rsidRPr="00AE3CDC">
        <w:rPr>
          <w:rFonts w:asciiTheme="minorHAnsi" w:eastAsiaTheme="minorHAnsi" w:hAnsiTheme="minorHAnsi" w:cstheme="minorBidi"/>
          <w:szCs w:val="22"/>
        </w:rPr>
        <w:t>DXd</w:t>
      </w:r>
      <w:proofErr w:type="spellEnd"/>
      <w:r w:rsidR="00F45503" w:rsidRPr="00AE3CDC">
        <w:rPr>
          <w:rFonts w:asciiTheme="minorHAnsi" w:eastAsiaTheme="minorHAnsi" w:hAnsiTheme="minorHAnsi" w:cstheme="minorBidi"/>
          <w:szCs w:val="22"/>
        </w:rPr>
        <w:t xml:space="preserve"> ($</w:t>
      </w:r>
      <w:r w:rsidR="006340CE" w:rsidRPr="006340CE">
        <w:rPr>
          <w:rFonts w:asciiTheme="minorHAnsi" w:eastAsiaTheme="minorHAnsi" w:hAnsiTheme="minorHAnsi" w:cstheme="minorBidi"/>
          <w:sz w:val="2"/>
          <w:szCs w:val="22"/>
          <w:highlight w:val="black"/>
        </w:rPr>
        <w:t>redacted content</w:t>
      </w:r>
      <w:r w:rsidR="00F45503" w:rsidRPr="00AE3CDC">
        <w:rPr>
          <w:rFonts w:asciiTheme="minorHAnsi" w:eastAsiaTheme="minorHAnsi" w:hAnsiTheme="minorHAnsi" w:cstheme="minorBidi"/>
          <w:szCs w:val="22"/>
        </w:rPr>
        <w:t xml:space="preserve"> per 100 mg vial)</w:t>
      </w:r>
      <w:r w:rsidRPr="00AE3CDC">
        <w:rPr>
          <w:rFonts w:asciiTheme="minorHAnsi" w:eastAsiaTheme="minorHAnsi" w:hAnsiTheme="minorHAnsi" w:cstheme="minorBidi"/>
          <w:szCs w:val="22"/>
        </w:rPr>
        <w:t>.</w:t>
      </w:r>
      <w:bookmarkEnd w:id="89"/>
      <w:r w:rsidR="007921A6">
        <w:rPr>
          <w:rFonts w:asciiTheme="minorHAnsi" w:eastAsiaTheme="minorHAnsi" w:hAnsiTheme="minorHAnsi" w:cstheme="minorBidi"/>
          <w:szCs w:val="22"/>
        </w:rPr>
        <w:t xml:space="preserve"> </w:t>
      </w:r>
      <w:r w:rsidR="007921A6" w:rsidRPr="00B13CE3">
        <w:rPr>
          <w:rFonts w:asciiTheme="minorHAnsi" w:eastAsiaTheme="minorHAnsi" w:hAnsiTheme="minorHAnsi" w:cstheme="minorBidi"/>
          <w:iCs/>
          <w:szCs w:val="22"/>
        </w:rPr>
        <w:t xml:space="preserve">The Sub-Committees noted that the estimates </w:t>
      </w:r>
      <w:r w:rsidR="00F438C7" w:rsidRPr="00B13CE3">
        <w:rPr>
          <w:rFonts w:asciiTheme="minorHAnsi" w:eastAsiaTheme="minorHAnsi" w:hAnsiTheme="minorHAnsi" w:cstheme="minorBidi"/>
          <w:iCs/>
          <w:szCs w:val="22"/>
        </w:rPr>
        <w:t xml:space="preserve">used the </w:t>
      </w:r>
      <w:r w:rsidR="00450751" w:rsidRPr="00B13CE3">
        <w:rPr>
          <w:rFonts w:asciiTheme="minorHAnsi" w:eastAsiaTheme="minorHAnsi" w:hAnsiTheme="minorHAnsi" w:cstheme="minorBidi"/>
          <w:iCs/>
          <w:szCs w:val="22"/>
        </w:rPr>
        <w:t xml:space="preserve">agreed </w:t>
      </w:r>
      <w:r w:rsidR="00F438C7" w:rsidRPr="00B13CE3">
        <w:rPr>
          <w:rFonts w:asciiTheme="minorHAnsi" w:eastAsiaTheme="minorHAnsi" w:hAnsiTheme="minorHAnsi" w:cstheme="minorBidi"/>
          <w:iCs/>
          <w:szCs w:val="22"/>
        </w:rPr>
        <w:t xml:space="preserve">patient numbers from the </w:t>
      </w:r>
      <w:r w:rsidR="00450751" w:rsidRPr="00B13CE3">
        <w:rPr>
          <w:rFonts w:asciiTheme="minorHAnsi" w:eastAsiaTheme="minorHAnsi" w:hAnsiTheme="minorHAnsi" w:cstheme="minorBidi"/>
          <w:iCs/>
          <w:szCs w:val="22"/>
        </w:rPr>
        <w:t xml:space="preserve">3L setting (DB-04) </w:t>
      </w:r>
      <w:r w:rsidR="000E4165">
        <w:rPr>
          <w:rFonts w:asciiTheme="minorHAnsi" w:eastAsiaTheme="minorHAnsi" w:hAnsiTheme="minorHAnsi" w:cstheme="minorBidi"/>
          <w:iCs/>
          <w:szCs w:val="22"/>
        </w:rPr>
        <w:t xml:space="preserve">and </w:t>
      </w:r>
      <w:r w:rsidR="00F4283F" w:rsidRPr="00B13CE3">
        <w:rPr>
          <w:rFonts w:asciiTheme="minorHAnsi" w:eastAsiaTheme="minorHAnsi" w:hAnsiTheme="minorHAnsi" w:cstheme="minorBidi"/>
          <w:iCs/>
          <w:szCs w:val="22"/>
        </w:rPr>
        <w:t xml:space="preserve">appear to have assumed that </w:t>
      </w:r>
      <w:r w:rsidR="006745BF" w:rsidRPr="00B13CE3">
        <w:rPr>
          <w:rFonts w:asciiTheme="minorHAnsi" w:eastAsiaTheme="minorHAnsi" w:hAnsiTheme="minorHAnsi" w:cstheme="minorBidi"/>
          <w:iCs/>
          <w:szCs w:val="22"/>
        </w:rPr>
        <w:t>3L T-</w:t>
      </w:r>
      <w:proofErr w:type="spellStart"/>
      <w:r w:rsidR="006745BF" w:rsidRPr="00B13CE3">
        <w:rPr>
          <w:rFonts w:asciiTheme="minorHAnsi" w:eastAsiaTheme="minorHAnsi" w:hAnsiTheme="minorHAnsi" w:cstheme="minorBidi"/>
          <w:iCs/>
          <w:szCs w:val="22"/>
        </w:rPr>
        <w:t>DXd</w:t>
      </w:r>
      <w:proofErr w:type="spellEnd"/>
      <w:r w:rsidR="006745BF" w:rsidRPr="00B13CE3">
        <w:rPr>
          <w:rFonts w:asciiTheme="minorHAnsi" w:eastAsiaTheme="minorHAnsi" w:hAnsiTheme="minorHAnsi" w:cstheme="minorBidi"/>
          <w:iCs/>
          <w:szCs w:val="22"/>
        </w:rPr>
        <w:t xml:space="preserve"> </w:t>
      </w:r>
      <w:r w:rsidR="00B9498D">
        <w:rPr>
          <w:rFonts w:asciiTheme="minorHAnsi" w:eastAsiaTheme="minorHAnsi" w:hAnsiTheme="minorHAnsi" w:cstheme="minorBidi"/>
          <w:iCs/>
          <w:szCs w:val="22"/>
        </w:rPr>
        <w:t>would only be offset for</w:t>
      </w:r>
      <w:r w:rsidR="00F4283F" w:rsidRPr="00B13CE3">
        <w:rPr>
          <w:rFonts w:asciiTheme="minorHAnsi" w:eastAsiaTheme="minorHAnsi" w:hAnsiTheme="minorHAnsi" w:cstheme="minorBidi"/>
          <w:iCs/>
          <w:szCs w:val="22"/>
        </w:rPr>
        <w:t xml:space="preserve"> patients treated with </w:t>
      </w:r>
      <w:r w:rsidR="00CB4CCD">
        <w:rPr>
          <w:rFonts w:asciiTheme="minorHAnsi" w:eastAsiaTheme="minorHAnsi" w:hAnsiTheme="minorHAnsi" w:cstheme="minorBidi"/>
          <w:iCs/>
          <w:szCs w:val="22"/>
        </w:rPr>
        <w:t xml:space="preserve">2L </w:t>
      </w:r>
      <w:r w:rsidR="00F4283F" w:rsidRPr="00B13CE3">
        <w:rPr>
          <w:rFonts w:asciiTheme="minorHAnsi" w:eastAsiaTheme="minorHAnsi" w:hAnsiTheme="minorHAnsi" w:cstheme="minorBidi"/>
          <w:iCs/>
          <w:szCs w:val="22"/>
        </w:rPr>
        <w:t>IV chemotherapy</w:t>
      </w:r>
      <w:r w:rsidR="00F56E95" w:rsidRPr="00B13CE3">
        <w:rPr>
          <w:rFonts w:asciiTheme="minorHAnsi" w:eastAsiaTheme="minorHAnsi" w:hAnsiTheme="minorHAnsi" w:cstheme="minorBidi"/>
          <w:iCs/>
          <w:szCs w:val="22"/>
        </w:rPr>
        <w:t xml:space="preserve"> (29%</w:t>
      </w:r>
      <w:r w:rsidR="00C64275">
        <w:rPr>
          <w:rFonts w:asciiTheme="minorHAnsi" w:eastAsiaTheme="minorHAnsi" w:hAnsiTheme="minorHAnsi" w:cstheme="minorBidi"/>
          <w:iCs/>
          <w:szCs w:val="22"/>
        </w:rPr>
        <w:t>)</w:t>
      </w:r>
      <w:r w:rsidR="00390E0A" w:rsidRPr="00B13CE3">
        <w:rPr>
          <w:rFonts w:asciiTheme="minorHAnsi" w:eastAsiaTheme="minorHAnsi" w:hAnsiTheme="minorHAnsi" w:cstheme="minorBidi"/>
          <w:iCs/>
          <w:szCs w:val="22"/>
        </w:rPr>
        <w:t>.</w:t>
      </w:r>
      <w:r w:rsidR="00F438C7">
        <w:rPr>
          <w:rFonts w:asciiTheme="minorHAnsi" w:eastAsiaTheme="minorHAnsi" w:hAnsiTheme="minorHAnsi" w:cstheme="minorBidi"/>
          <w:szCs w:val="22"/>
        </w:rPr>
        <w:t xml:space="preserve"> </w:t>
      </w:r>
      <w:r w:rsidR="007921A6" w:rsidRPr="00B13CE3">
        <w:t>The Sub-Committees considered that the offsets for 3L T-</w:t>
      </w:r>
      <w:proofErr w:type="spellStart"/>
      <w:r w:rsidR="007921A6" w:rsidRPr="00B13CE3">
        <w:t>DXd</w:t>
      </w:r>
      <w:proofErr w:type="spellEnd"/>
      <w:r w:rsidR="007921A6" w:rsidRPr="00B13CE3">
        <w:t xml:space="preserve"> appear underestimated and inconsistent with the assumption in the economic model that 82.2% of progressed patients (100% of HER2-low patients) in the comparator arm would receive 3L T-</w:t>
      </w:r>
      <w:proofErr w:type="spellStart"/>
      <w:r w:rsidR="007921A6" w:rsidRPr="00B13CE3">
        <w:t>DXd</w:t>
      </w:r>
      <w:proofErr w:type="spellEnd"/>
      <w:r w:rsidR="007921A6" w:rsidRPr="00B13CE3">
        <w:t>.</w:t>
      </w:r>
      <w:r w:rsidR="008241B5">
        <w:t xml:space="preserve"> </w:t>
      </w:r>
      <w:bookmarkEnd w:id="90"/>
    </w:p>
    <w:p w14:paraId="1E7BE5EC" w14:textId="63621C90" w:rsidR="00282A30" w:rsidRPr="00B13CE3" w:rsidRDefault="00D76267" w:rsidP="008241B5">
      <w:pPr>
        <w:numPr>
          <w:ilvl w:val="1"/>
          <w:numId w:val="7"/>
        </w:numPr>
        <w:spacing w:before="60" w:after="60"/>
        <w:rPr>
          <w:rFonts w:asciiTheme="minorHAnsi" w:eastAsiaTheme="minorHAnsi" w:hAnsiTheme="minorHAnsi" w:cstheme="minorBidi"/>
          <w:szCs w:val="22"/>
        </w:rPr>
      </w:pPr>
      <w:r w:rsidRPr="00B13CE3">
        <w:rPr>
          <w:rFonts w:asciiTheme="minorHAnsi" w:eastAsiaTheme="minorHAnsi" w:hAnsiTheme="minorHAnsi" w:cstheme="minorBidi"/>
          <w:iCs/>
          <w:szCs w:val="22"/>
        </w:rPr>
        <w:t xml:space="preserve">The </w:t>
      </w:r>
      <w:r w:rsidR="00082487" w:rsidRPr="00B13CE3">
        <w:rPr>
          <w:rFonts w:asciiTheme="minorHAnsi" w:eastAsiaTheme="minorHAnsi" w:hAnsiTheme="minorHAnsi" w:cstheme="minorBidi"/>
          <w:iCs/>
          <w:szCs w:val="22"/>
        </w:rPr>
        <w:t>S</w:t>
      </w:r>
      <w:r w:rsidR="00CE1596" w:rsidRPr="00B13CE3">
        <w:rPr>
          <w:rFonts w:asciiTheme="minorHAnsi" w:eastAsiaTheme="minorHAnsi" w:hAnsiTheme="minorHAnsi" w:cstheme="minorBidi"/>
          <w:iCs/>
          <w:szCs w:val="22"/>
        </w:rPr>
        <w:t>ub-</w:t>
      </w:r>
      <w:r w:rsidR="00082487" w:rsidRPr="00B13CE3">
        <w:rPr>
          <w:rFonts w:asciiTheme="minorHAnsi" w:eastAsiaTheme="minorHAnsi" w:hAnsiTheme="minorHAnsi" w:cstheme="minorBidi"/>
          <w:iCs/>
          <w:szCs w:val="22"/>
        </w:rPr>
        <w:t>C</w:t>
      </w:r>
      <w:r w:rsidR="00CE1596" w:rsidRPr="00B13CE3">
        <w:rPr>
          <w:rFonts w:asciiTheme="minorHAnsi" w:eastAsiaTheme="minorHAnsi" w:hAnsiTheme="minorHAnsi" w:cstheme="minorBidi"/>
          <w:iCs/>
          <w:szCs w:val="22"/>
        </w:rPr>
        <w:t>ommitte</w:t>
      </w:r>
      <w:r w:rsidR="0011626B" w:rsidRPr="00B13CE3">
        <w:rPr>
          <w:rFonts w:asciiTheme="minorHAnsi" w:eastAsiaTheme="minorHAnsi" w:hAnsiTheme="minorHAnsi" w:cstheme="minorBidi"/>
          <w:iCs/>
          <w:szCs w:val="22"/>
        </w:rPr>
        <w:t>e</w:t>
      </w:r>
      <w:r w:rsidR="00CE1596" w:rsidRPr="00B13CE3">
        <w:rPr>
          <w:rFonts w:asciiTheme="minorHAnsi" w:eastAsiaTheme="minorHAnsi" w:hAnsiTheme="minorHAnsi" w:cstheme="minorBidi"/>
          <w:iCs/>
          <w:szCs w:val="22"/>
        </w:rPr>
        <w:t>s</w:t>
      </w:r>
      <w:r w:rsidRPr="00B13CE3">
        <w:rPr>
          <w:rFonts w:asciiTheme="minorHAnsi" w:eastAsiaTheme="minorHAnsi" w:hAnsiTheme="minorHAnsi" w:cstheme="minorBidi"/>
          <w:iCs/>
          <w:szCs w:val="22"/>
        </w:rPr>
        <w:t xml:space="preserve"> advised</w:t>
      </w:r>
      <w:r w:rsidR="00B06B9D" w:rsidRPr="00B13CE3">
        <w:rPr>
          <w:rFonts w:asciiTheme="minorHAnsi" w:eastAsiaTheme="minorHAnsi" w:hAnsiTheme="minorHAnsi" w:cstheme="minorBidi"/>
          <w:iCs/>
          <w:szCs w:val="22"/>
        </w:rPr>
        <w:t xml:space="preserve"> the utilisation estimates </w:t>
      </w:r>
      <w:r w:rsidR="001E238A" w:rsidRPr="00B13CE3">
        <w:rPr>
          <w:rFonts w:asciiTheme="minorHAnsi" w:eastAsiaTheme="minorHAnsi" w:hAnsiTheme="minorHAnsi" w:cstheme="minorBidi"/>
          <w:iCs/>
          <w:szCs w:val="22"/>
        </w:rPr>
        <w:t>are</w:t>
      </w:r>
      <w:r w:rsidR="00B06B9D" w:rsidRPr="00B13CE3">
        <w:rPr>
          <w:rFonts w:asciiTheme="minorHAnsi" w:eastAsiaTheme="minorHAnsi" w:hAnsiTheme="minorHAnsi" w:cstheme="minorBidi"/>
          <w:iCs/>
          <w:szCs w:val="22"/>
        </w:rPr>
        <w:t xml:space="preserve"> uncertain</w:t>
      </w:r>
      <w:r w:rsidR="00DA1535" w:rsidRPr="00B13CE3">
        <w:rPr>
          <w:rFonts w:asciiTheme="minorHAnsi" w:eastAsiaTheme="minorHAnsi" w:hAnsiTheme="minorHAnsi" w:cstheme="minorBidi"/>
          <w:iCs/>
          <w:szCs w:val="22"/>
        </w:rPr>
        <w:t xml:space="preserve"> </w:t>
      </w:r>
      <w:r w:rsidR="001E238A" w:rsidRPr="00B13CE3">
        <w:rPr>
          <w:rFonts w:asciiTheme="minorHAnsi" w:eastAsiaTheme="minorHAnsi" w:hAnsiTheme="minorHAnsi" w:cstheme="minorBidi"/>
          <w:iCs/>
          <w:szCs w:val="22"/>
        </w:rPr>
        <w:t xml:space="preserve">and </w:t>
      </w:r>
      <w:r w:rsidR="009B0179" w:rsidRPr="00B13CE3">
        <w:rPr>
          <w:rFonts w:asciiTheme="minorHAnsi" w:eastAsiaTheme="minorHAnsi" w:hAnsiTheme="minorHAnsi" w:cstheme="minorBidi"/>
          <w:iCs/>
          <w:szCs w:val="22"/>
        </w:rPr>
        <w:t xml:space="preserve">appear underestimated </w:t>
      </w:r>
      <w:r w:rsidR="001A75EA" w:rsidRPr="00B13CE3">
        <w:rPr>
          <w:rFonts w:asciiTheme="minorHAnsi" w:eastAsiaTheme="minorHAnsi" w:hAnsiTheme="minorHAnsi" w:cstheme="minorBidi"/>
          <w:iCs/>
          <w:szCs w:val="22"/>
        </w:rPr>
        <w:t>due to the high likelihood of T-</w:t>
      </w:r>
      <w:proofErr w:type="spellStart"/>
      <w:r w:rsidR="001A75EA" w:rsidRPr="00B13CE3">
        <w:rPr>
          <w:rFonts w:asciiTheme="minorHAnsi" w:eastAsiaTheme="minorHAnsi" w:hAnsiTheme="minorHAnsi" w:cstheme="minorBidi"/>
          <w:iCs/>
          <w:szCs w:val="22"/>
        </w:rPr>
        <w:t>D</w:t>
      </w:r>
      <w:r w:rsidR="00D92B3E" w:rsidRPr="00B13CE3">
        <w:rPr>
          <w:rFonts w:asciiTheme="minorHAnsi" w:eastAsiaTheme="minorHAnsi" w:hAnsiTheme="minorHAnsi" w:cstheme="minorBidi"/>
          <w:iCs/>
          <w:szCs w:val="22"/>
        </w:rPr>
        <w:t>X</w:t>
      </w:r>
      <w:r w:rsidR="00672D30" w:rsidRPr="00B13CE3">
        <w:rPr>
          <w:rFonts w:asciiTheme="minorHAnsi" w:eastAsiaTheme="minorHAnsi" w:hAnsiTheme="minorHAnsi" w:cstheme="minorBidi"/>
          <w:iCs/>
          <w:szCs w:val="22"/>
        </w:rPr>
        <w:t>d</w:t>
      </w:r>
      <w:proofErr w:type="spellEnd"/>
      <w:r w:rsidR="00672D30" w:rsidRPr="00B13CE3">
        <w:rPr>
          <w:rFonts w:asciiTheme="minorHAnsi" w:eastAsiaTheme="minorHAnsi" w:hAnsiTheme="minorHAnsi" w:cstheme="minorBidi"/>
          <w:iCs/>
          <w:szCs w:val="22"/>
        </w:rPr>
        <w:t xml:space="preserve"> replacing </w:t>
      </w:r>
      <w:r w:rsidR="0011626B" w:rsidRPr="00B13CE3">
        <w:rPr>
          <w:rFonts w:asciiTheme="minorHAnsi" w:eastAsiaTheme="minorHAnsi" w:hAnsiTheme="minorHAnsi" w:cstheme="minorBidi"/>
          <w:iCs/>
          <w:szCs w:val="22"/>
        </w:rPr>
        <w:t xml:space="preserve">a proportion of </w:t>
      </w:r>
      <w:r w:rsidR="00672D30" w:rsidRPr="00B13CE3">
        <w:rPr>
          <w:rFonts w:asciiTheme="minorHAnsi" w:eastAsiaTheme="minorHAnsi" w:hAnsiTheme="minorHAnsi" w:cstheme="minorBidi"/>
          <w:iCs/>
          <w:szCs w:val="22"/>
        </w:rPr>
        <w:t>both IV and oral 2L chemotherapy regimens</w:t>
      </w:r>
      <w:r w:rsidR="004024FA" w:rsidRPr="00B13CE3">
        <w:rPr>
          <w:rFonts w:asciiTheme="minorHAnsi" w:eastAsiaTheme="minorHAnsi" w:hAnsiTheme="minorHAnsi" w:cstheme="minorBidi"/>
          <w:iCs/>
          <w:szCs w:val="22"/>
        </w:rPr>
        <w:t>, such as capecitabine</w:t>
      </w:r>
      <w:r w:rsidR="00672D30" w:rsidRPr="00B13CE3">
        <w:rPr>
          <w:rFonts w:asciiTheme="minorHAnsi" w:eastAsiaTheme="minorHAnsi" w:hAnsiTheme="minorHAnsi" w:cstheme="minorBidi"/>
          <w:iCs/>
          <w:szCs w:val="22"/>
        </w:rPr>
        <w:t>.</w:t>
      </w:r>
      <w:r w:rsidR="006E0384" w:rsidRPr="00B13CE3">
        <w:rPr>
          <w:rFonts w:asciiTheme="minorHAnsi" w:eastAsiaTheme="minorHAnsi" w:hAnsiTheme="minorHAnsi" w:cstheme="minorBidi"/>
          <w:iCs/>
          <w:szCs w:val="22"/>
        </w:rPr>
        <w:t xml:space="preserve"> </w:t>
      </w:r>
      <w:r w:rsidR="0011626B" w:rsidRPr="00B13CE3">
        <w:rPr>
          <w:iCs/>
        </w:rPr>
        <w:t xml:space="preserve">The </w:t>
      </w:r>
      <w:r w:rsidR="00D85B8B" w:rsidRPr="00B13CE3">
        <w:rPr>
          <w:iCs/>
        </w:rPr>
        <w:t>Sub-Committees</w:t>
      </w:r>
      <w:r w:rsidR="006E34F6" w:rsidRPr="00B13CE3">
        <w:rPr>
          <w:iCs/>
        </w:rPr>
        <w:t xml:space="preserve"> </w:t>
      </w:r>
      <w:r w:rsidR="0011626B" w:rsidRPr="00B13CE3">
        <w:rPr>
          <w:rFonts w:eastAsiaTheme="minorHAnsi"/>
        </w:rPr>
        <w:t>noted that t</w:t>
      </w:r>
      <w:r w:rsidR="0011626B" w:rsidRPr="00B13CE3">
        <w:rPr>
          <w:rFonts w:eastAsiaTheme="minorEastAsia" w:cstheme="minorBidi"/>
          <w:lang w:val="en-US"/>
        </w:rPr>
        <w:t xml:space="preserve">he sponsor provided a sensitivity analysis in the submission assuming displacement of 10% of patients who would otherwise receive capecitabine which demonstrated an </w:t>
      </w:r>
      <w:r w:rsidR="0011626B" w:rsidRPr="00175E85">
        <w:rPr>
          <w:rFonts w:eastAsiaTheme="minorEastAsia" w:cstheme="minorBidi"/>
          <w:lang w:val="en-US"/>
        </w:rPr>
        <w:t xml:space="preserve">increase of </w:t>
      </w:r>
      <w:r w:rsidR="006340CE" w:rsidRPr="006340CE">
        <w:rPr>
          <w:rFonts w:eastAsiaTheme="minorEastAsia" w:cstheme="minorBidi"/>
          <w:sz w:val="2"/>
          <w:highlight w:val="black"/>
          <w:lang w:val="en-US"/>
        </w:rPr>
        <w:t>redacted content</w:t>
      </w:r>
      <w:r w:rsidR="0011626B" w:rsidRPr="00175E85">
        <w:rPr>
          <w:rFonts w:eastAsiaTheme="minorEastAsia" w:cstheme="minorBidi"/>
          <w:lang w:val="en-US"/>
        </w:rPr>
        <w:t>% to the</w:t>
      </w:r>
      <w:r w:rsidR="0011626B" w:rsidRPr="00B13CE3">
        <w:rPr>
          <w:rFonts w:eastAsiaTheme="minorEastAsia" w:cstheme="minorBidi"/>
          <w:lang w:val="en-US"/>
        </w:rPr>
        <w:t xml:space="preserve"> net financial impact. </w:t>
      </w:r>
      <w:r w:rsidR="0011626B" w:rsidRPr="00B13CE3">
        <w:rPr>
          <w:rFonts w:eastAsiaTheme="minorEastAsia"/>
          <w:lang w:val="en-US"/>
        </w:rPr>
        <w:t>However,</w:t>
      </w:r>
      <w:r w:rsidR="0011626B" w:rsidRPr="00B13CE3">
        <w:rPr>
          <w:rFonts w:eastAsiaTheme="minorEastAsia" w:cstheme="minorBidi"/>
          <w:lang w:val="en-US"/>
        </w:rPr>
        <w:t xml:space="preserve"> </w:t>
      </w:r>
      <w:r w:rsidR="0011626B" w:rsidRPr="00B13CE3">
        <w:rPr>
          <w:rFonts w:eastAsiaTheme="minorEastAsia"/>
          <w:lang w:val="en-US"/>
        </w:rPr>
        <w:t xml:space="preserve">these analyses </w:t>
      </w:r>
      <w:proofErr w:type="gramStart"/>
      <w:r w:rsidR="0011626B" w:rsidRPr="00B13CE3">
        <w:rPr>
          <w:rFonts w:eastAsiaTheme="minorEastAsia"/>
          <w:lang w:val="en-US"/>
        </w:rPr>
        <w:t>were not able to</w:t>
      </w:r>
      <w:proofErr w:type="gramEnd"/>
      <w:r w:rsidR="0011626B" w:rsidRPr="00B13CE3">
        <w:rPr>
          <w:rFonts w:eastAsiaTheme="minorEastAsia"/>
          <w:lang w:val="en-US"/>
        </w:rPr>
        <w:t xml:space="preserve"> be</w:t>
      </w:r>
      <w:r w:rsidR="0011626B" w:rsidRPr="00B13CE3">
        <w:rPr>
          <w:rFonts w:eastAsiaTheme="minorEastAsia" w:cstheme="minorBidi"/>
          <w:lang w:val="en-US"/>
        </w:rPr>
        <w:t xml:space="preserve"> </w:t>
      </w:r>
      <w:r w:rsidR="0011626B" w:rsidRPr="00B13CE3">
        <w:rPr>
          <w:rFonts w:eastAsiaTheme="minorEastAsia"/>
          <w:lang w:val="en-US"/>
        </w:rPr>
        <w:t>verified</w:t>
      </w:r>
      <w:r w:rsidR="0011626B" w:rsidRPr="00B13CE3">
        <w:rPr>
          <w:rFonts w:eastAsiaTheme="minorEastAsia" w:cstheme="minorBidi"/>
          <w:lang w:val="en-US"/>
        </w:rPr>
        <w:t xml:space="preserve">, </w:t>
      </w:r>
      <w:r w:rsidR="0011626B" w:rsidRPr="00B13CE3">
        <w:rPr>
          <w:rFonts w:eastAsiaTheme="minorEastAsia"/>
          <w:lang w:val="en-US"/>
        </w:rPr>
        <w:t>and</w:t>
      </w:r>
      <w:r w:rsidR="0011626B" w:rsidRPr="00B13CE3">
        <w:rPr>
          <w:rFonts w:eastAsiaTheme="minorEastAsia" w:cstheme="minorBidi"/>
          <w:lang w:val="en-US"/>
        </w:rPr>
        <w:t xml:space="preserve"> clarification on the sponsor</w:t>
      </w:r>
      <w:r w:rsidR="003D35B2" w:rsidRPr="00B13CE3">
        <w:rPr>
          <w:rFonts w:eastAsiaTheme="minorEastAsia" w:cstheme="minorBidi"/>
          <w:lang w:val="en-US"/>
        </w:rPr>
        <w:t>’</w:t>
      </w:r>
      <w:r w:rsidR="0011626B" w:rsidRPr="00B13CE3">
        <w:rPr>
          <w:rFonts w:eastAsiaTheme="minorEastAsia" w:cstheme="minorBidi"/>
          <w:lang w:val="en-US"/>
        </w:rPr>
        <w:t xml:space="preserve">s numbers and approach </w:t>
      </w:r>
      <w:r w:rsidR="00D92147">
        <w:rPr>
          <w:rFonts w:eastAsiaTheme="minorEastAsia" w:cstheme="minorBidi"/>
          <w:lang w:val="en-US"/>
        </w:rPr>
        <w:t>were not provided in the pre-PBAC response</w:t>
      </w:r>
      <w:r w:rsidR="0011626B" w:rsidRPr="00B13CE3">
        <w:rPr>
          <w:rFonts w:eastAsiaTheme="minorEastAsia" w:cstheme="minorBidi"/>
          <w:lang w:val="en-US"/>
        </w:rPr>
        <w:t xml:space="preserve">. </w:t>
      </w:r>
      <w:r w:rsidR="006E0384" w:rsidRPr="00B13CE3">
        <w:rPr>
          <w:rFonts w:asciiTheme="minorHAnsi" w:eastAsiaTheme="minorHAnsi" w:hAnsiTheme="minorHAnsi" w:cstheme="minorBidi"/>
          <w:iCs/>
          <w:szCs w:val="22"/>
        </w:rPr>
        <w:t xml:space="preserve">The </w:t>
      </w:r>
      <w:r w:rsidR="0013181E" w:rsidRPr="00B13CE3">
        <w:rPr>
          <w:rFonts w:asciiTheme="minorHAnsi" w:eastAsiaTheme="minorHAnsi" w:hAnsiTheme="minorHAnsi" w:cstheme="minorBidi"/>
          <w:iCs/>
          <w:szCs w:val="22"/>
        </w:rPr>
        <w:t>S</w:t>
      </w:r>
      <w:r w:rsidR="006E0384" w:rsidRPr="00B13CE3">
        <w:rPr>
          <w:rFonts w:asciiTheme="minorHAnsi" w:eastAsiaTheme="minorHAnsi" w:hAnsiTheme="minorHAnsi" w:cstheme="minorBidi"/>
          <w:iCs/>
          <w:szCs w:val="22"/>
        </w:rPr>
        <w:t>ub-</w:t>
      </w:r>
      <w:r w:rsidR="0013181E" w:rsidRPr="00B13CE3">
        <w:rPr>
          <w:rFonts w:asciiTheme="minorHAnsi" w:eastAsiaTheme="minorHAnsi" w:hAnsiTheme="minorHAnsi" w:cstheme="minorBidi"/>
          <w:iCs/>
          <w:szCs w:val="22"/>
        </w:rPr>
        <w:t>C</w:t>
      </w:r>
      <w:r w:rsidR="006E0384" w:rsidRPr="00B13CE3">
        <w:rPr>
          <w:rFonts w:asciiTheme="minorHAnsi" w:eastAsiaTheme="minorHAnsi" w:hAnsiTheme="minorHAnsi" w:cstheme="minorBidi"/>
          <w:iCs/>
          <w:szCs w:val="22"/>
        </w:rPr>
        <w:t xml:space="preserve">ommittees considered that a 50% replacement sensitivity analysis </w:t>
      </w:r>
      <w:r w:rsidR="00440EB7" w:rsidRPr="00B13CE3">
        <w:rPr>
          <w:rFonts w:asciiTheme="minorHAnsi" w:eastAsiaTheme="minorHAnsi" w:hAnsiTheme="minorHAnsi" w:cstheme="minorBidi"/>
          <w:iCs/>
          <w:szCs w:val="22"/>
        </w:rPr>
        <w:t xml:space="preserve">would </w:t>
      </w:r>
      <w:r w:rsidR="006E0384" w:rsidRPr="00B13CE3">
        <w:rPr>
          <w:rFonts w:asciiTheme="minorHAnsi" w:eastAsiaTheme="minorHAnsi" w:hAnsiTheme="minorHAnsi" w:cstheme="minorBidi"/>
          <w:iCs/>
          <w:szCs w:val="22"/>
        </w:rPr>
        <w:t xml:space="preserve">better reflect the </w:t>
      </w:r>
      <w:r w:rsidR="00B115D5" w:rsidRPr="00B13CE3">
        <w:rPr>
          <w:rFonts w:asciiTheme="minorHAnsi" w:eastAsiaTheme="minorHAnsi" w:hAnsiTheme="minorHAnsi" w:cstheme="minorBidi"/>
          <w:iCs/>
          <w:szCs w:val="22"/>
        </w:rPr>
        <w:t>potential</w:t>
      </w:r>
      <w:r w:rsidR="006E0384" w:rsidRPr="00B13CE3">
        <w:rPr>
          <w:rFonts w:asciiTheme="minorHAnsi" w:eastAsiaTheme="minorHAnsi" w:hAnsiTheme="minorHAnsi" w:cstheme="minorBidi"/>
          <w:iCs/>
          <w:szCs w:val="22"/>
        </w:rPr>
        <w:t xml:space="preserve"> replacement level of T-</w:t>
      </w:r>
      <w:proofErr w:type="spellStart"/>
      <w:r w:rsidR="006E0384" w:rsidRPr="00B13CE3">
        <w:rPr>
          <w:rFonts w:asciiTheme="minorHAnsi" w:eastAsiaTheme="minorHAnsi" w:hAnsiTheme="minorHAnsi" w:cstheme="minorBidi"/>
          <w:iCs/>
          <w:szCs w:val="22"/>
        </w:rPr>
        <w:t>DXd</w:t>
      </w:r>
      <w:proofErr w:type="spellEnd"/>
      <w:r w:rsidR="006E0384" w:rsidRPr="00B13CE3">
        <w:rPr>
          <w:rFonts w:asciiTheme="minorHAnsi" w:eastAsiaTheme="minorHAnsi" w:hAnsiTheme="minorHAnsi" w:cstheme="minorBidi"/>
          <w:iCs/>
          <w:szCs w:val="22"/>
        </w:rPr>
        <w:t xml:space="preserve"> to capecitabine. </w:t>
      </w:r>
      <w:r w:rsidR="009732D6" w:rsidRPr="00B13CE3">
        <w:rPr>
          <w:rFonts w:asciiTheme="minorHAnsi" w:eastAsiaTheme="minorHAnsi" w:hAnsiTheme="minorHAnsi" w:cstheme="minorBidi"/>
          <w:iCs/>
          <w:szCs w:val="22"/>
        </w:rPr>
        <w:t>Revised analyses</w:t>
      </w:r>
      <w:r w:rsidR="00440EB7" w:rsidRPr="00B13CE3">
        <w:rPr>
          <w:rFonts w:asciiTheme="minorHAnsi" w:eastAsiaTheme="minorHAnsi" w:hAnsiTheme="minorHAnsi" w:cstheme="minorBidi"/>
          <w:iCs/>
          <w:szCs w:val="22"/>
        </w:rPr>
        <w:t xml:space="preserve"> provided for the ESC</w:t>
      </w:r>
      <w:r w:rsidR="00347223" w:rsidRPr="00B13CE3">
        <w:rPr>
          <w:rFonts w:asciiTheme="minorHAnsi" w:eastAsiaTheme="minorHAnsi" w:hAnsiTheme="minorHAnsi" w:cstheme="minorBidi"/>
          <w:iCs/>
          <w:szCs w:val="22"/>
        </w:rPr>
        <w:t>/DUSC advice</w:t>
      </w:r>
      <w:r w:rsidR="009732D6" w:rsidRPr="00B13CE3">
        <w:rPr>
          <w:rFonts w:asciiTheme="minorHAnsi" w:eastAsiaTheme="minorHAnsi" w:hAnsiTheme="minorHAnsi" w:cstheme="minorBidi"/>
          <w:iCs/>
          <w:szCs w:val="22"/>
        </w:rPr>
        <w:t xml:space="preserve"> </w:t>
      </w:r>
      <w:r w:rsidR="0013181E" w:rsidRPr="00B13CE3">
        <w:rPr>
          <w:rFonts w:asciiTheme="minorHAnsi" w:eastAsiaTheme="minorHAnsi" w:hAnsiTheme="minorHAnsi" w:cstheme="minorBidi"/>
          <w:iCs/>
          <w:szCs w:val="22"/>
        </w:rPr>
        <w:t>reflecting</w:t>
      </w:r>
      <w:r w:rsidR="009732D6" w:rsidRPr="00B13CE3">
        <w:rPr>
          <w:rFonts w:asciiTheme="minorHAnsi" w:eastAsiaTheme="minorHAnsi" w:hAnsiTheme="minorHAnsi" w:cstheme="minorBidi"/>
          <w:iCs/>
          <w:szCs w:val="22"/>
        </w:rPr>
        <w:t xml:space="preserve"> 10% and 50% replacement of capecitabine are provided in </w:t>
      </w:r>
      <w:r w:rsidR="00310423" w:rsidRPr="00B13CE3">
        <w:rPr>
          <w:rFonts w:asciiTheme="minorHAnsi" w:eastAsiaTheme="minorHAnsi" w:hAnsiTheme="minorHAnsi" w:cstheme="minorBidi"/>
          <w:iCs/>
          <w:szCs w:val="22"/>
        </w:rPr>
        <w:fldChar w:fldCharType="begin"/>
      </w:r>
      <w:r w:rsidR="00310423" w:rsidRPr="00B13CE3">
        <w:rPr>
          <w:rFonts w:asciiTheme="minorHAnsi" w:eastAsiaTheme="minorHAnsi" w:hAnsiTheme="minorHAnsi" w:cstheme="minorBidi"/>
          <w:iCs/>
          <w:szCs w:val="22"/>
        </w:rPr>
        <w:instrText xml:space="preserve"> REF _Ref221870663 \h  \* MERGEFORMAT </w:instrText>
      </w:r>
      <w:r w:rsidR="00310423" w:rsidRPr="00B13CE3">
        <w:rPr>
          <w:rFonts w:asciiTheme="minorHAnsi" w:eastAsiaTheme="minorHAnsi" w:hAnsiTheme="minorHAnsi" w:cstheme="minorBidi"/>
          <w:iCs/>
          <w:szCs w:val="22"/>
        </w:rPr>
      </w:r>
      <w:r w:rsidR="00310423" w:rsidRPr="00B13CE3">
        <w:rPr>
          <w:rFonts w:asciiTheme="minorHAnsi" w:eastAsiaTheme="minorHAnsi" w:hAnsiTheme="minorHAnsi" w:cstheme="minorBidi"/>
          <w:iCs/>
          <w:szCs w:val="22"/>
        </w:rPr>
        <w:fldChar w:fldCharType="separate"/>
      </w:r>
      <w:r w:rsidR="005D3E29" w:rsidRPr="005D3E29">
        <w:rPr>
          <w:rFonts w:asciiTheme="minorHAnsi" w:eastAsiaTheme="minorHAnsi" w:hAnsiTheme="minorHAnsi" w:cstheme="minorBidi"/>
          <w:iCs/>
          <w:szCs w:val="22"/>
        </w:rPr>
        <w:t>Table 21</w:t>
      </w:r>
      <w:r w:rsidR="00310423" w:rsidRPr="00B13CE3">
        <w:rPr>
          <w:rFonts w:asciiTheme="minorHAnsi" w:eastAsiaTheme="minorHAnsi" w:hAnsiTheme="minorHAnsi" w:cstheme="minorBidi"/>
          <w:iCs/>
          <w:szCs w:val="22"/>
        </w:rPr>
        <w:fldChar w:fldCharType="end"/>
      </w:r>
      <w:r w:rsidR="009732D6" w:rsidRPr="00B13CE3">
        <w:rPr>
          <w:rFonts w:asciiTheme="minorHAnsi" w:eastAsiaTheme="minorHAnsi" w:hAnsiTheme="minorHAnsi" w:cstheme="minorBidi"/>
          <w:iCs/>
          <w:szCs w:val="22"/>
        </w:rPr>
        <w:t>.</w:t>
      </w:r>
      <w:r w:rsidR="00C63053" w:rsidRPr="00B13CE3">
        <w:rPr>
          <w:rFonts w:asciiTheme="minorHAnsi" w:eastAsiaTheme="minorHAnsi" w:hAnsiTheme="minorHAnsi" w:cstheme="minorBidi"/>
          <w:iCs/>
          <w:szCs w:val="22"/>
        </w:rPr>
        <w:t xml:space="preserve"> The revised analyses have not corrected the </w:t>
      </w:r>
      <w:r w:rsidR="00F34628" w:rsidRPr="00B13CE3">
        <w:rPr>
          <w:rFonts w:asciiTheme="minorHAnsi" w:eastAsiaTheme="minorHAnsi" w:hAnsiTheme="minorHAnsi" w:cstheme="minorBidi"/>
          <w:iCs/>
          <w:szCs w:val="22"/>
        </w:rPr>
        <w:t>3L T-</w:t>
      </w:r>
      <w:proofErr w:type="spellStart"/>
      <w:r w:rsidR="00F34628" w:rsidRPr="00B13CE3">
        <w:rPr>
          <w:rFonts w:asciiTheme="minorHAnsi" w:eastAsiaTheme="minorHAnsi" w:hAnsiTheme="minorHAnsi" w:cstheme="minorBidi"/>
          <w:iCs/>
          <w:szCs w:val="22"/>
        </w:rPr>
        <w:t>DXd</w:t>
      </w:r>
      <w:proofErr w:type="spellEnd"/>
      <w:r w:rsidR="00F34628" w:rsidRPr="00B13CE3">
        <w:rPr>
          <w:rFonts w:asciiTheme="minorHAnsi" w:eastAsiaTheme="minorHAnsi" w:hAnsiTheme="minorHAnsi" w:cstheme="minorBidi"/>
          <w:iCs/>
          <w:szCs w:val="22"/>
        </w:rPr>
        <w:t xml:space="preserve"> offsets as discussed in paragraph </w:t>
      </w:r>
      <w:r w:rsidR="00F34628" w:rsidRPr="00B13CE3">
        <w:rPr>
          <w:rFonts w:asciiTheme="minorHAnsi" w:eastAsiaTheme="minorHAnsi" w:hAnsiTheme="minorHAnsi" w:cstheme="minorBidi"/>
          <w:iCs/>
          <w:szCs w:val="22"/>
        </w:rPr>
        <w:fldChar w:fldCharType="begin"/>
      </w:r>
      <w:r w:rsidR="00F34628" w:rsidRPr="00B13CE3">
        <w:rPr>
          <w:rFonts w:asciiTheme="minorHAnsi" w:eastAsiaTheme="minorHAnsi" w:hAnsiTheme="minorHAnsi" w:cstheme="minorBidi"/>
          <w:iCs/>
          <w:szCs w:val="22"/>
        </w:rPr>
        <w:instrText xml:space="preserve"> REF _Ref222214022 \r \h </w:instrText>
      </w:r>
      <w:r w:rsidR="00F34628" w:rsidRPr="00B13CE3">
        <w:rPr>
          <w:rFonts w:asciiTheme="minorHAnsi" w:eastAsiaTheme="minorHAnsi" w:hAnsiTheme="minorHAnsi" w:cstheme="minorBidi"/>
          <w:iCs/>
          <w:szCs w:val="22"/>
        </w:rPr>
      </w:r>
      <w:r w:rsidR="00F34628" w:rsidRPr="00B13CE3">
        <w:rPr>
          <w:rFonts w:asciiTheme="minorHAnsi" w:eastAsiaTheme="minorHAnsi" w:hAnsiTheme="minorHAnsi" w:cstheme="minorBidi"/>
          <w:iCs/>
          <w:szCs w:val="22"/>
        </w:rPr>
        <w:fldChar w:fldCharType="separate"/>
      </w:r>
      <w:r w:rsidR="00453A02">
        <w:rPr>
          <w:rFonts w:asciiTheme="minorHAnsi" w:eastAsiaTheme="minorHAnsi" w:hAnsiTheme="minorHAnsi" w:cstheme="minorBidi"/>
          <w:iCs/>
          <w:szCs w:val="22"/>
        </w:rPr>
        <w:t>6.96</w:t>
      </w:r>
      <w:r w:rsidR="00F34628" w:rsidRPr="00B13CE3">
        <w:rPr>
          <w:rFonts w:asciiTheme="minorHAnsi" w:eastAsiaTheme="minorHAnsi" w:hAnsiTheme="minorHAnsi" w:cstheme="minorBidi"/>
          <w:iCs/>
          <w:szCs w:val="22"/>
        </w:rPr>
        <w:fldChar w:fldCharType="end"/>
      </w:r>
      <w:r w:rsidR="00F34628" w:rsidRPr="00B13CE3">
        <w:rPr>
          <w:rFonts w:asciiTheme="minorHAnsi" w:eastAsiaTheme="minorHAnsi" w:hAnsiTheme="minorHAnsi" w:cstheme="minorBidi"/>
          <w:iCs/>
          <w:szCs w:val="22"/>
        </w:rPr>
        <w:t xml:space="preserve"> and therefore are likely to overestimate the net cost to the PBS/RPBS</w:t>
      </w:r>
      <w:r w:rsidR="00226EB0" w:rsidRPr="00B13CE3">
        <w:rPr>
          <w:rFonts w:asciiTheme="minorHAnsi" w:eastAsiaTheme="minorHAnsi" w:hAnsiTheme="minorHAnsi" w:cstheme="minorBidi"/>
          <w:iCs/>
          <w:szCs w:val="22"/>
        </w:rPr>
        <w:t>.</w:t>
      </w:r>
    </w:p>
    <w:p w14:paraId="32412DAB" w14:textId="77777777" w:rsidR="006E0384" w:rsidRPr="000E0B97" w:rsidRDefault="006E0384" w:rsidP="008241B5">
      <w:pPr>
        <w:spacing w:before="60" w:after="60"/>
        <w:ind w:left="720"/>
        <w:rPr>
          <w:rFonts w:asciiTheme="minorHAnsi" w:eastAsiaTheme="minorHAnsi" w:hAnsiTheme="minorHAnsi" w:cstheme="minorBidi"/>
          <w:szCs w:val="22"/>
        </w:rPr>
      </w:pPr>
    </w:p>
    <w:p w14:paraId="40B57196" w14:textId="77777777" w:rsidR="009B23C2" w:rsidRDefault="009B23C2">
      <w:pPr>
        <w:jc w:val="left"/>
        <w:rPr>
          <w:rFonts w:ascii="Arial Narrow" w:hAnsi="Arial Narrow"/>
          <w:b/>
          <w:sz w:val="20"/>
          <w:szCs w:val="18"/>
        </w:rPr>
      </w:pPr>
      <w:bookmarkStart w:id="91" w:name="_Ref221870663"/>
      <w:r>
        <w:rPr>
          <w:rFonts w:ascii="Arial Narrow" w:hAnsi="Arial Narrow"/>
          <w:b/>
          <w:sz w:val="20"/>
          <w:szCs w:val="18"/>
        </w:rPr>
        <w:br w:type="page"/>
      </w:r>
    </w:p>
    <w:p w14:paraId="1625913D" w14:textId="39B71BE2" w:rsidR="000E0B97" w:rsidRPr="00B13CE3" w:rsidRDefault="00310423" w:rsidP="008241B5">
      <w:pPr>
        <w:keepNext/>
        <w:keepLines/>
        <w:rPr>
          <w:rFonts w:ascii="Arial Narrow" w:eastAsiaTheme="minorHAnsi" w:hAnsi="Arial Narrow"/>
          <w:b/>
          <w:sz w:val="20"/>
          <w:szCs w:val="18"/>
        </w:rPr>
      </w:pPr>
      <w:r w:rsidRPr="00B13CE3">
        <w:rPr>
          <w:rFonts w:ascii="Arial Narrow" w:hAnsi="Arial Narrow"/>
          <w:b/>
          <w:sz w:val="20"/>
          <w:szCs w:val="18"/>
        </w:rPr>
        <w:lastRenderedPageBreak/>
        <w:t xml:space="preserve">Table </w:t>
      </w:r>
      <w:r w:rsidRPr="00B13CE3">
        <w:rPr>
          <w:rFonts w:ascii="Arial Narrow" w:hAnsi="Arial Narrow"/>
          <w:b/>
          <w:sz w:val="20"/>
          <w:szCs w:val="18"/>
        </w:rPr>
        <w:fldChar w:fldCharType="begin"/>
      </w:r>
      <w:r w:rsidRPr="00B13CE3">
        <w:rPr>
          <w:rFonts w:ascii="Arial Narrow" w:hAnsi="Arial Narrow"/>
          <w:b/>
          <w:sz w:val="20"/>
          <w:szCs w:val="18"/>
        </w:rPr>
        <w:instrText xml:space="preserve"> SEQ Table \* ARABIC </w:instrText>
      </w:r>
      <w:r w:rsidRPr="00B13CE3">
        <w:rPr>
          <w:rFonts w:ascii="Arial Narrow" w:hAnsi="Arial Narrow"/>
          <w:b/>
          <w:sz w:val="20"/>
          <w:szCs w:val="18"/>
        </w:rPr>
        <w:fldChar w:fldCharType="separate"/>
      </w:r>
      <w:r w:rsidR="005D3E29">
        <w:rPr>
          <w:rFonts w:ascii="Arial Narrow" w:hAnsi="Arial Narrow"/>
          <w:b/>
          <w:noProof/>
          <w:sz w:val="20"/>
          <w:szCs w:val="18"/>
        </w:rPr>
        <w:t>21</w:t>
      </w:r>
      <w:r w:rsidRPr="00B13CE3">
        <w:rPr>
          <w:rFonts w:ascii="Arial Narrow" w:hAnsi="Arial Narrow"/>
          <w:b/>
          <w:sz w:val="20"/>
          <w:szCs w:val="18"/>
        </w:rPr>
        <w:fldChar w:fldCharType="end"/>
      </w:r>
      <w:bookmarkEnd w:id="91"/>
      <w:r w:rsidRPr="00B13CE3">
        <w:rPr>
          <w:rFonts w:ascii="Arial Narrow" w:hAnsi="Arial Narrow"/>
          <w:b/>
          <w:sz w:val="20"/>
          <w:szCs w:val="18"/>
        </w:rPr>
        <w:t>:</w:t>
      </w:r>
      <w:r w:rsidRPr="00B13CE3">
        <w:rPr>
          <w:rFonts w:ascii="Arial Narrow" w:hAnsi="Arial Narrow"/>
          <w:b/>
          <w:sz w:val="20"/>
        </w:rPr>
        <w:t xml:space="preserve"> </w:t>
      </w:r>
      <w:r w:rsidR="004B4221" w:rsidRPr="00B13CE3">
        <w:rPr>
          <w:rFonts w:ascii="Arial Narrow" w:eastAsiaTheme="minorHAnsi" w:hAnsi="Arial Narrow"/>
          <w:b/>
          <w:sz w:val="20"/>
          <w:szCs w:val="18"/>
        </w:rPr>
        <w:t>Sub-</w:t>
      </w:r>
      <w:r w:rsidR="006E0384" w:rsidRPr="00B13CE3">
        <w:rPr>
          <w:rFonts w:ascii="Arial Narrow" w:hAnsi="Arial Narrow"/>
          <w:b/>
          <w:sz w:val="20"/>
          <w:szCs w:val="18"/>
        </w:rPr>
        <w:t>committees’</w:t>
      </w:r>
      <w:r w:rsidR="004B4221" w:rsidRPr="00B13CE3">
        <w:rPr>
          <w:rFonts w:ascii="Arial Narrow" w:eastAsiaTheme="minorHAnsi" w:hAnsi="Arial Narrow"/>
          <w:b/>
          <w:sz w:val="20"/>
          <w:szCs w:val="18"/>
        </w:rPr>
        <w:t xml:space="preserve"> sensitivity analysis</w:t>
      </w:r>
      <w:r w:rsidR="0000757D" w:rsidRPr="00B13CE3">
        <w:rPr>
          <w:rFonts w:ascii="Arial Narrow" w:eastAsiaTheme="minorHAnsi" w:hAnsi="Arial Narrow"/>
          <w:b/>
          <w:sz w:val="20"/>
          <w:szCs w:val="18"/>
        </w:rPr>
        <w:t xml:space="preserve"> assuming </w:t>
      </w:r>
      <w:r w:rsidR="006F75D8" w:rsidRPr="00B13CE3">
        <w:rPr>
          <w:rFonts w:ascii="Arial Narrow" w:eastAsiaTheme="minorHAnsi" w:hAnsi="Arial Narrow"/>
          <w:b/>
          <w:sz w:val="20"/>
          <w:szCs w:val="18"/>
        </w:rPr>
        <w:t>replacement of capecitabine</w:t>
      </w:r>
    </w:p>
    <w:tbl>
      <w:tblPr>
        <w:tblW w:w="5000" w:type="pct"/>
        <w:tblCellMar>
          <w:left w:w="0" w:type="dxa"/>
          <w:right w:w="0" w:type="dxa"/>
        </w:tblCellMar>
        <w:tblLook w:val="0600" w:firstRow="0" w:lastRow="0" w:firstColumn="0" w:lastColumn="0" w:noHBand="1" w:noVBand="1"/>
        <w:tblCaption w:val="Table 21: Sub-committees’ sensitivity analysis assuming replacement of capecitabine"/>
      </w:tblPr>
      <w:tblGrid>
        <w:gridCol w:w="1483"/>
        <w:gridCol w:w="1254"/>
        <w:gridCol w:w="1254"/>
        <w:gridCol w:w="1254"/>
        <w:gridCol w:w="1254"/>
        <w:gridCol w:w="1254"/>
        <w:gridCol w:w="1254"/>
      </w:tblGrid>
      <w:tr w:rsidR="00A07BA0" w:rsidRPr="00B13CE3" w14:paraId="29B87B03" w14:textId="77777777" w:rsidTr="00B16611">
        <w:tc>
          <w:tcPr>
            <w:tcW w:w="824"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31B51F64" w14:textId="1BE7A0A4" w:rsidR="00A5722E" w:rsidRPr="00B13CE3" w:rsidRDefault="00A5722E" w:rsidP="008241B5">
            <w:pPr>
              <w:pStyle w:val="TableText0"/>
              <w:rPr>
                <w:b/>
              </w:rPr>
            </w:pPr>
          </w:p>
        </w:tc>
        <w:tc>
          <w:tcPr>
            <w:tcW w:w="696"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0C8214D3" w14:textId="77777777" w:rsidR="00A5722E" w:rsidRPr="00B13CE3" w:rsidRDefault="00A5722E" w:rsidP="008241B5">
            <w:pPr>
              <w:pStyle w:val="TableText0"/>
              <w:jc w:val="center"/>
              <w:rPr>
                <w:b/>
              </w:rPr>
            </w:pPr>
            <w:r w:rsidRPr="00B13CE3">
              <w:rPr>
                <w:b/>
                <w:color w:val="000000" w:themeColor="text1"/>
              </w:rPr>
              <w:t>Year 1</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75659FCA" w14:textId="77777777" w:rsidR="00A5722E" w:rsidRPr="00B13CE3" w:rsidRDefault="00A5722E" w:rsidP="008241B5">
            <w:pPr>
              <w:pStyle w:val="TableText0"/>
              <w:jc w:val="center"/>
              <w:rPr>
                <w:b/>
              </w:rPr>
            </w:pPr>
            <w:r w:rsidRPr="00B13CE3">
              <w:rPr>
                <w:b/>
                <w:color w:val="000000" w:themeColor="text1"/>
              </w:rPr>
              <w:t>Year 2</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56B010FA" w14:textId="77777777" w:rsidR="00A5722E" w:rsidRPr="00B13CE3" w:rsidRDefault="00A5722E" w:rsidP="008241B5">
            <w:pPr>
              <w:pStyle w:val="TableText0"/>
              <w:jc w:val="center"/>
              <w:rPr>
                <w:b/>
              </w:rPr>
            </w:pPr>
            <w:r w:rsidRPr="00B13CE3">
              <w:rPr>
                <w:b/>
                <w:color w:val="000000" w:themeColor="text1"/>
              </w:rPr>
              <w:t>Year 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3B8825C1" w14:textId="77777777" w:rsidR="00A5722E" w:rsidRPr="00B13CE3" w:rsidRDefault="00A5722E" w:rsidP="008241B5">
            <w:pPr>
              <w:pStyle w:val="TableText0"/>
              <w:jc w:val="center"/>
              <w:rPr>
                <w:b/>
              </w:rPr>
            </w:pPr>
            <w:r w:rsidRPr="00B13CE3">
              <w:rPr>
                <w:b/>
                <w:color w:val="000000" w:themeColor="text1"/>
              </w:rPr>
              <w:t>Year 4</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711D3C45" w14:textId="77777777" w:rsidR="00A5722E" w:rsidRPr="00B13CE3" w:rsidRDefault="00A5722E" w:rsidP="008241B5">
            <w:pPr>
              <w:pStyle w:val="TableText0"/>
              <w:jc w:val="center"/>
              <w:rPr>
                <w:b/>
              </w:rPr>
            </w:pPr>
            <w:r w:rsidRPr="00B13CE3">
              <w:rPr>
                <w:b/>
                <w:color w:val="000000" w:themeColor="text1"/>
              </w:rPr>
              <w:t>Year 5</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099E1722" w14:textId="77777777" w:rsidR="00A5722E" w:rsidRPr="00B13CE3" w:rsidRDefault="00A5722E" w:rsidP="008241B5">
            <w:pPr>
              <w:pStyle w:val="TableText0"/>
              <w:jc w:val="center"/>
              <w:rPr>
                <w:b/>
              </w:rPr>
            </w:pPr>
            <w:r w:rsidRPr="00B13CE3">
              <w:rPr>
                <w:b/>
                <w:color w:val="000000" w:themeColor="text1"/>
              </w:rPr>
              <w:t>Year 6</w:t>
            </w:r>
          </w:p>
        </w:tc>
      </w:tr>
      <w:tr w:rsidR="00CB58A5" w:rsidRPr="00B13CE3" w14:paraId="2D2B1044" w14:textId="77777777" w:rsidTr="006D421D">
        <w:tc>
          <w:tcPr>
            <w:tcW w:w="0" w:type="auto"/>
            <w:gridSpan w:val="7"/>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554402C5" w14:textId="775AB8F5" w:rsidR="00CB58A5" w:rsidRPr="00B13CE3" w:rsidRDefault="00A5722E" w:rsidP="008241B5">
            <w:pPr>
              <w:pStyle w:val="TableText0"/>
              <w:rPr>
                <w:b/>
              </w:rPr>
            </w:pPr>
            <w:r w:rsidRPr="00B13CE3">
              <w:rPr>
                <w:b/>
                <w:lang w:val="en-US"/>
              </w:rPr>
              <w:t>Scenario analysis: assuming 10% capecitabine use replaced</w:t>
            </w:r>
          </w:p>
        </w:tc>
      </w:tr>
      <w:tr w:rsidR="00A07BA0" w:rsidRPr="00B13CE3" w14:paraId="7B7B217C" w14:textId="77777777" w:rsidTr="00B16611">
        <w:tc>
          <w:tcPr>
            <w:tcW w:w="824"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1B3F4129" w14:textId="35611731" w:rsidR="00A5722E" w:rsidRPr="00B13CE3" w:rsidRDefault="00A5722E" w:rsidP="008241B5">
            <w:pPr>
              <w:pStyle w:val="TableText0"/>
            </w:pPr>
            <w:r w:rsidRPr="00B13CE3">
              <w:rPr>
                <w:lang w:val="en-US"/>
              </w:rPr>
              <w:t>Increase in cost to PBS/RPBS (2L T-</w:t>
            </w:r>
            <w:proofErr w:type="spellStart"/>
            <w:r w:rsidRPr="00B13CE3">
              <w:rPr>
                <w:lang w:val="en-US"/>
              </w:rPr>
              <w:t>DXd</w:t>
            </w:r>
            <w:proofErr w:type="spellEnd"/>
            <w:r w:rsidRPr="00B13CE3">
              <w:rPr>
                <w:lang w:val="en-US"/>
              </w:rPr>
              <w:t>)</w:t>
            </w:r>
          </w:p>
        </w:tc>
        <w:tc>
          <w:tcPr>
            <w:tcW w:w="696"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64B38374" w14:textId="41772D72" w:rsidR="00A5722E" w:rsidRPr="001C3C37" w:rsidRDefault="00A5722E" w:rsidP="008241B5">
            <w:pPr>
              <w:pStyle w:val="TableText0"/>
              <w:jc w:val="center"/>
              <w:rPr>
                <w:vertAlign w:val="superscript"/>
              </w:rPr>
            </w:pPr>
            <w:r w:rsidRPr="00B13CE3">
              <w:t>$</w:t>
            </w:r>
            <w:r w:rsidR="006340CE" w:rsidRPr="006340CE">
              <w:rPr>
                <w:sz w:val="2"/>
                <w:highlight w:val="black"/>
              </w:rPr>
              <w:t>redacted content</w:t>
            </w:r>
            <w:r w:rsidR="001C3C37">
              <w:rPr>
                <w:vertAlign w:val="superscript"/>
              </w:rPr>
              <w:t>1</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55C6F6DF" w14:textId="5AEB666A" w:rsidR="00A5722E" w:rsidRPr="001C3C37" w:rsidRDefault="00A5722E" w:rsidP="008241B5">
            <w:pPr>
              <w:pStyle w:val="TableText0"/>
              <w:jc w:val="center"/>
              <w:rPr>
                <w:vertAlign w:val="superscript"/>
              </w:rPr>
            </w:pPr>
            <w:r w:rsidRPr="00B13CE3">
              <w:t>$</w:t>
            </w:r>
            <w:r w:rsidR="006340CE" w:rsidRPr="006340CE">
              <w:rPr>
                <w:sz w:val="2"/>
                <w:highlight w:val="black"/>
              </w:rPr>
              <w:t>redacted content</w:t>
            </w:r>
            <w:r w:rsidR="001C3C37">
              <w:rPr>
                <w:vertAlign w:val="superscript"/>
              </w:rPr>
              <w:t>2</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4CF99AE8" w14:textId="02C6C526" w:rsidR="00A5722E" w:rsidRPr="001C3C37" w:rsidRDefault="00A5722E" w:rsidP="008241B5">
            <w:pPr>
              <w:pStyle w:val="TableText0"/>
              <w:jc w:val="center"/>
              <w:rPr>
                <w:vertAlign w:val="superscript"/>
              </w:rPr>
            </w:pPr>
            <w:r w:rsidRPr="00B13CE3">
              <w:t>$</w:t>
            </w:r>
            <w:r w:rsidR="006340CE" w:rsidRPr="006340CE">
              <w:rPr>
                <w:sz w:val="2"/>
                <w:highlight w:val="black"/>
              </w:rPr>
              <w:t>redacted content</w:t>
            </w:r>
            <w:r w:rsidR="001C3C37">
              <w:rPr>
                <w:vertAlign w:val="superscript"/>
              </w:rPr>
              <w:t>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1EB8A494" w14:textId="166B0122" w:rsidR="00A5722E" w:rsidRPr="001C3C37" w:rsidRDefault="00A5722E" w:rsidP="008241B5">
            <w:pPr>
              <w:pStyle w:val="TableText0"/>
              <w:jc w:val="center"/>
              <w:rPr>
                <w:vertAlign w:val="superscript"/>
              </w:rPr>
            </w:pPr>
            <w:r w:rsidRPr="00B13CE3">
              <w:t>$</w:t>
            </w:r>
            <w:r w:rsidR="006340CE" w:rsidRPr="006340CE">
              <w:rPr>
                <w:sz w:val="2"/>
                <w:highlight w:val="black"/>
              </w:rPr>
              <w:t>redacted content</w:t>
            </w:r>
            <w:r w:rsidR="001C3C37">
              <w:rPr>
                <w:vertAlign w:val="superscript"/>
              </w:rPr>
              <w:t>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2C8E83A1" w14:textId="6DED9A07" w:rsidR="00A5722E" w:rsidRPr="00B13CE3" w:rsidRDefault="00A5722E" w:rsidP="008241B5">
            <w:pPr>
              <w:pStyle w:val="TableText0"/>
              <w:jc w:val="center"/>
            </w:pPr>
            <w:r w:rsidRPr="00B13CE3">
              <w:t>$</w:t>
            </w:r>
            <w:r w:rsidR="006340CE" w:rsidRPr="006340CE">
              <w:rPr>
                <w:sz w:val="2"/>
                <w:highlight w:val="black"/>
              </w:rPr>
              <w:t>redacted content</w:t>
            </w:r>
            <w:r w:rsidR="001C3C37">
              <w:rPr>
                <w:vertAlign w:val="superscript"/>
              </w:rPr>
              <w:t>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725C845D" w14:textId="25FDEF1E" w:rsidR="00A5722E" w:rsidRPr="00B13CE3" w:rsidRDefault="00A5722E" w:rsidP="008241B5">
            <w:pPr>
              <w:pStyle w:val="TableText0"/>
              <w:jc w:val="center"/>
            </w:pPr>
            <w:r w:rsidRPr="00B13CE3">
              <w:t>$</w:t>
            </w:r>
            <w:r w:rsidR="006340CE" w:rsidRPr="006340CE">
              <w:rPr>
                <w:sz w:val="2"/>
                <w:highlight w:val="black"/>
              </w:rPr>
              <w:t>redacted content</w:t>
            </w:r>
            <w:r w:rsidR="001C3C37">
              <w:rPr>
                <w:vertAlign w:val="superscript"/>
              </w:rPr>
              <w:t>3</w:t>
            </w:r>
          </w:p>
        </w:tc>
      </w:tr>
      <w:tr w:rsidR="006D421D" w:rsidRPr="00B13CE3" w14:paraId="1885208C" w14:textId="77777777" w:rsidTr="00B16611">
        <w:tc>
          <w:tcPr>
            <w:tcW w:w="824"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28F1AD95" w14:textId="33C6026E" w:rsidR="00ED5B6A" w:rsidRPr="00B13CE3" w:rsidRDefault="00A5722E" w:rsidP="008241B5">
            <w:pPr>
              <w:pStyle w:val="TableText0"/>
              <w:rPr>
                <w:lang w:val="en-US"/>
              </w:rPr>
            </w:pPr>
            <w:r w:rsidRPr="00B13CE3">
              <w:rPr>
                <w:lang w:val="en-US"/>
              </w:rPr>
              <w:t>NET COST TO PBS/RPBS</w:t>
            </w:r>
          </w:p>
        </w:tc>
        <w:tc>
          <w:tcPr>
            <w:tcW w:w="696"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5A9D005F" w14:textId="1F8843CC" w:rsidR="00ED5B6A" w:rsidRPr="001C3C37" w:rsidRDefault="00ED5B6A" w:rsidP="008241B5">
            <w:pPr>
              <w:pStyle w:val="TableText0"/>
              <w:jc w:val="center"/>
              <w:rPr>
                <w:vertAlign w:val="superscript"/>
              </w:rPr>
            </w:pPr>
            <w:r w:rsidRPr="00B13CE3">
              <w:t>$</w:t>
            </w:r>
            <w:r w:rsidR="006340CE" w:rsidRPr="006340CE">
              <w:rPr>
                <w:sz w:val="2"/>
                <w:highlight w:val="black"/>
              </w:rPr>
              <w:t>redacted content</w:t>
            </w:r>
            <w:r w:rsidR="001C3C37">
              <w:rPr>
                <w:vertAlign w:val="superscript"/>
              </w:rPr>
              <w:t>4</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54243525" w14:textId="3E451B66" w:rsidR="00ED5B6A" w:rsidRPr="001C3C37" w:rsidRDefault="00ED5B6A" w:rsidP="008241B5">
            <w:pPr>
              <w:pStyle w:val="TableText0"/>
              <w:jc w:val="center"/>
              <w:rPr>
                <w:vertAlign w:val="superscript"/>
              </w:rPr>
            </w:pPr>
            <w:r w:rsidRPr="00B13CE3">
              <w:t>$</w:t>
            </w:r>
            <w:r w:rsidR="006340CE" w:rsidRPr="006340CE">
              <w:rPr>
                <w:sz w:val="2"/>
                <w:highlight w:val="black"/>
              </w:rPr>
              <w:t>redacted content</w:t>
            </w:r>
            <w:r w:rsidR="001C3C37">
              <w:rPr>
                <w:vertAlign w:val="superscript"/>
              </w:rPr>
              <w:t>5</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0C17B738" w14:textId="2DC4A576" w:rsidR="00ED5B6A" w:rsidRPr="001C3C37" w:rsidRDefault="00ED5B6A" w:rsidP="008241B5">
            <w:pPr>
              <w:pStyle w:val="TableText0"/>
              <w:jc w:val="center"/>
              <w:rPr>
                <w:vertAlign w:val="superscript"/>
              </w:rPr>
            </w:pPr>
            <w:r w:rsidRPr="00B13CE3">
              <w:t>$</w:t>
            </w:r>
            <w:r w:rsidR="006340CE" w:rsidRPr="006340CE">
              <w:rPr>
                <w:sz w:val="2"/>
                <w:highlight w:val="black"/>
              </w:rPr>
              <w:t>redacted content</w:t>
            </w:r>
            <w:r w:rsidR="001C3C37">
              <w:rPr>
                <w:vertAlign w:val="superscript"/>
              </w:rPr>
              <w:t>6</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04DC8C9B" w14:textId="353E6B15" w:rsidR="00ED5B6A" w:rsidRPr="00B13CE3" w:rsidRDefault="00ED5B6A" w:rsidP="008241B5">
            <w:pPr>
              <w:pStyle w:val="TableText0"/>
              <w:jc w:val="center"/>
            </w:pPr>
            <w:r w:rsidRPr="00B13CE3">
              <w:t>$</w:t>
            </w:r>
            <w:r w:rsidR="006340CE" w:rsidRPr="006340CE">
              <w:rPr>
                <w:sz w:val="2"/>
                <w:highlight w:val="black"/>
              </w:rPr>
              <w:t>redacted content</w:t>
            </w:r>
            <w:r w:rsidR="001C3C37">
              <w:rPr>
                <w:vertAlign w:val="superscript"/>
              </w:rPr>
              <w:t>6</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1C0ABEB3" w14:textId="06FA7C95" w:rsidR="00ED5B6A" w:rsidRPr="00B13CE3" w:rsidRDefault="00ED5B6A" w:rsidP="008241B5">
            <w:pPr>
              <w:pStyle w:val="TableText0"/>
              <w:jc w:val="center"/>
            </w:pPr>
            <w:r w:rsidRPr="00B13CE3">
              <w:t>$</w:t>
            </w:r>
            <w:r w:rsidR="006340CE" w:rsidRPr="006340CE">
              <w:rPr>
                <w:sz w:val="2"/>
                <w:highlight w:val="black"/>
              </w:rPr>
              <w:t>redacted content</w:t>
            </w:r>
            <w:r w:rsidR="001C3C37">
              <w:rPr>
                <w:vertAlign w:val="superscript"/>
              </w:rPr>
              <w:t>6</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634288D4" w14:textId="1486C559" w:rsidR="00ED5B6A" w:rsidRPr="00B13CE3" w:rsidRDefault="00ED5B6A" w:rsidP="008241B5">
            <w:pPr>
              <w:pStyle w:val="TableText0"/>
              <w:jc w:val="center"/>
            </w:pPr>
            <w:r w:rsidRPr="00B13CE3">
              <w:t>$</w:t>
            </w:r>
            <w:r w:rsidR="006340CE" w:rsidRPr="006340CE">
              <w:rPr>
                <w:sz w:val="2"/>
                <w:highlight w:val="black"/>
              </w:rPr>
              <w:t>redacted content</w:t>
            </w:r>
            <w:r w:rsidR="001C3C37">
              <w:rPr>
                <w:vertAlign w:val="superscript"/>
              </w:rPr>
              <w:t>6</w:t>
            </w:r>
          </w:p>
        </w:tc>
      </w:tr>
      <w:tr w:rsidR="00B87E5B" w:rsidRPr="00B13CE3" w14:paraId="1171554E" w14:textId="77777777" w:rsidTr="006D421D">
        <w:tc>
          <w:tcPr>
            <w:tcW w:w="0" w:type="auto"/>
            <w:gridSpan w:val="7"/>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7CBDA971" w14:textId="3E2E985C" w:rsidR="00A5722E" w:rsidRPr="00B13CE3" w:rsidRDefault="00A5722E" w:rsidP="008241B5">
            <w:pPr>
              <w:pStyle w:val="TableText0"/>
              <w:rPr>
                <w:b/>
              </w:rPr>
            </w:pPr>
            <w:r w:rsidRPr="00B13CE3">
              <w:rPr>
                <w:b/>
                <w:lang w:val="en-US"/>
              </w:rPr>
              <w:t>Scenario analysis: assuming 50% capecitabine use replaced</w:t>
            </w:r>
          </w:p>
        </w:tc>
      </w:tr>
      <w:tr w:rsidR="006D421D" w:rsidRPr="00B13CE3" w14:paraId="3D6488DF" w14:textId="77777777" w:rsidTr="00B16611">
        <w:tc>
          <w:tcPr>
            <w:tcW w:w="824"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hideMark/>
          </w:tcPr>
          <w:p w14:paraId="5DD61970" w14:textId="1C97CB14" w:rsidR="00A5722E" w:rsidRPr="00B13CE3" w:rsidRDefault="00A5722E" w:rsidP="008241B5">
            <w:pPr>
              <w:pStyle w:val="TableText0"/>
            </w:pPr>
            <w:r w:rsidRPr="00B13CE3">
              <w:rPr>
                <w:lang w:val="en-US"/>
              </w:rPr>
              <w:t>Increase in cost to PBS/RPBS (2L T-</w:t>
            </w:r>
            <w:proofErr w:type="spellStart"/>
            <w:r w:rsidRPr="00B13CE3">
              <w:rPr>
                <w:lang w:val="en-US"/>
              </w:rPr>
              <w:t>DXd</w:t>
            </w:r>
            <w:proofErr w:type="spellEnd"/>
            <w:r w:rsidRPr="00B13CE3">
              <w:rPr>
                <w:lang w:val="en-US"/>
              </w:rPr>
              <w:t>)</w:t>
            </w:r>
          </w:p>
        </w:tc>
        <w:tc>
          <w:tcPr>
            <w:tcW w:w="696"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799ABB1F" w14:textId="6A9D38D5" w:rsidR="00A5722E" w:rsidRPr="004E5E99" w:rsidRDefault="00C24CCA" w:rsidP="008241B5">
            <w:pPr>
              <w:pStyle w:val="TableText0"/>
              <w:jc w:val="center"/>
              <w:rPr>
                <w:vertAlign w:val="superscript"/>
              </w:rPr>
            </w:pPr>
            <w:r w:rsidRPr="00B13CE3">
              <w:t>$</w:t>
            </w:r>
            <w:r w:rsidR="006340CE" w:rsidRPr="006340CE">
              <w:rPr>
                <w:sz w:val="2"/>
                <w:highlight w:val="black"/>
              </w:rPr>
              <w:t>redacted content</w:t>
            </w:r>
            <w:r w:rsidR="004E5E99">
              <w:rPr>
                <w:vertAlign w:val="superscript"/>
              </w:rPr>
              <w:t>7</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40098182" w14:textId="3336D2CA" w:rsidR="00A5722E" w:rsidRPr="00B13CE3" w:rsidRDefault="00C24CCA" w:rsidP="008241B5">
            <w:pPr>
              <w:pStyle w:val="TableText0"/>
              <w:jc w:val="center"/>
            </w:pPr>
            <w:r w:rsidRPr="00B13CE3">
              <w:t>$</w:t>
            </w:r>
            <w:r w:rsidR="006340CE" w:rsidRPr="006340CE">
              <w:rPr>
                <w:sz w:val="2"/>
                <w:highlight w:val="black"/>
              </w:rPr>
              <w:t>redacted content</w:t>
            </w:r>
            <w:r w:rsidR="004E5E99">
              <w:rPr>
                <w:vertAlign w:val="superscript"/>
              </w:rPr>
              <w:t>7</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47BA2BC5" w14:textId="391EB30A" w:rsidR="00A5722E" w:rsidRPr="00B13CE3" w:rsidRDefault="00C24CCA" w:rsidP="008241B5">
            <w:pPr>
              <w:pStyle w:val="TableText0"/>
              <w:jc w:val="center"/>
            </w:pPr>
            <w:r w:rsidRPr="00B13CE3">
              <w:t>$</w:t>
            </w:r>
            <w:r w:rsidR="006340CE" w:rsidRPr="006340CE">
              <w:rPr>
                <w:sz w:val="2"/>
                <w:highlight w:val="black"/>
              </w:rPr>
              <w:t>redacted content</w:t>
            </w:r>
            <w:r w:rsidR="004E5E99">
              <w:rPr>
                <w:vertAlign w:val="superscript"/>
              </w:rPr>
              <w:t>7</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4C2E12B6" w14:textId="222B83DA" w:rsidR="00A5722E" w:rsidRPr="00B13CE3" w:rsidRDefault="00C24CCA" w:rsidP="008241B5">
            <w:pPr>
              <w:pStyle w:val="TableText0"/>
              <w:jc w:val="center"/>
            </w:pPr>
            <w:r w:rsidRPr="00B13CE3">
              <w:t>$</w:t>
            </w:r>
            <w:r w:rsidR="006340CE" w:rsidRPr="006340CE">
              <w:rPr>
                <w:sz w:val="2"/>
                <w:highlight w:val="black"/>
              </w:rPr>
              <w:t>redacted content</w:t>
            </w:r>
            <w:r w:rsidR="004E5E99">
              <w:rPr>
                <w:vertAlign w:val="superscript"/>
              </w:rPr>
              <w:t>7</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1E90AA68" w14:textId="6C89DEB3" w:rsidR="00A5722E" w:rsidRPr="00B13CE3" w:rsidRDefault="00C24CCA" w:rsidP="008241B5">
            <w:pPr>
              <w:pStyle w:val="TableText0"/>
              <w:jc w:val="center"/>
            </w:pPr>
            <w:r w:rsidRPr="00B13CE3">
              <w:t>$</w:t>
            </w:r>
            <w:r w:rsidR="006340CE" w:rsidRPr="006340CE">
              <w:rPr>
                <w:sz w:val="2"/>
                <w:highlight w:val="black"/>
              </w:rPr>
              <w:t>redacted content</w:t>
            </w:r>
            <w:r w:rsidR="004E5E99">
              <w:rPr>
                <w:vertAlign w:val="superscript"/>
              </w:rPr>
              <w:t>7</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2EE62CE7" w14:textId="01C8C36E" w:rsidR="00A5722E" w:rsidRPr="00B13CE3" w:rsidRDefault="00C24CCA" w:rsidP="008241B5">
            <w:pPr>
              <w:pStyle w:val="TableText0"/>
              <w:jc w:val="center"/>
            </w:pPr>
            <w:r w:rsidRPr="00B13CE3">
              <w:t>$</w:t>
            </w:r>
            <w:r w:rsidR="006340CE" w:rsidRPr="006340CE">
              <w:rPr>
                <w:sz w:val="2"/>
                <w:highlight w:val="black"/>
              </w:rPr>
              <w:t>redacted content</w:t>
            </w:r>
            <w:r w:rsidR="004E5E99">
              <w:rPr>
                <w:vertAlign w:val="superscript"/>
              </w:rPr>
              <w:t>7</w:t>
            </w:r>
          </w:p>
        </w:tc>
      </w:tr>
      <w:tr w:rsidR="006D421D" w:rsidRPr="00B13CE3" w14:paraId="7493E666" w14:textId="77777777" w:rsidTr="00B16611">
        <w:tc>
          <w:tcPr>
            <w:tcW w:w="824"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63E5F128" w14:textId="74BA92AB" w:rsidR="00A5722E" w:rsidRPr="00B13CE3" w:rsidRDefault="00A5722E" w:rsidP="008241B5">
            <w:pPr>
              <w:pStyle w:val="TableText0"/>
            </w:pPr>
            <w:r w:rsidRPr="00B13CE3">
              <w:rPr>
                <w:lang w:val="en-US"/>
              </w:rPr>
              <w:t>NET COST TO PBS/RPBS</w:t>
            </w:r>
          </w:p>
        </w:tc>
        <w:tc>
          <w:tcPr>
            <w:tcW w:w="696" w:type="pct"/>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07617F73" w14:textId="65E7EF9E" w:rsidR="00A5722E" w:rsidRPr="00B13CE3" w:rsidRDefault="00A07BA0" w:rsidP="008241B5">
            <w:pPr>
              <w:pStyle w:val="TableText0"/>
              <w:jc w:val="center"/>
            </w:pPr>
            <w:r w:rsidRPr="00B13CE3">
              <w:t>$</w:t>
            </w:r>
            <w:r w:rsidR="006340CE" w:rsidRPr="006340CE">
              <w:rPr>
                <w:sz w:val="2"/>
                <w:highlight w:val="black"/>
              </w:rPr>
              <w:t>redacted content</w:t>
            </w:r>
            <w:r w:rsidR="004E5E99">
              <w:rPr>
                <w:vertAlign w:val="superscript"/>
              </w:rPr>
              <w:t>8</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4263122E" w14:textId="7874985B" w:rsidR="00A5722E" w:rsidRPr="00B13CE3" w:rsidRDefault="00A07BA0" w:rsidP="008241B5">
            <w:pPr>
              <w:pStyle w:val="TableText0"/>
              <w:jc w:val="center"/>
            </w:pPr>
            <w:r w:rsidRPr="00B13CE3">
              <w:t>$</w:t>
            </w:r>
            <w:r w:rsidR="006340CE" w:rsidRPr="006340CE">
              <w:rPr>
                <w:sz w:val="2"/>
                <w:highlight w:val="black"/>
              </w:rPr>
              <w:t>redacted content</w:t>
            </w:r>
            <w:r w:rsidR="004E5E99">
              <w:rPr>
                <w:vertAlign w:val="superscript"/>
              </w:rPr>
              <w:t>7</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6DBD3969" w14:textId="78EA1D60" w:rsidR="00A5722E" w:rsidRPr="004C345E" w:rsidRDefault="00A07BA0" w:rsidP="008241B5">
            <w:pPr>
              <w:pStyle w:val="TableText0"/>
              <w:jc w:val="center"/>
              <w:rPr>
                <w:vertAlign w:val="superscript"/>
              </w:rPr>
            </w:pPr>
            <w:r w:rsidRPr="00B13CE3">
              <w:t>$</w:t>
            </w:r>
            <w:r w:rsidR="006340CE" w:rsidRPr="006340CE">
              <w:rPr>
                <w:sz w:val="2"/>
                <w:highlight w:val="black"/>
              </w:rPr>
              <w:t>redacted content</w:t>
            </w:r>
            <w:r w:rsidR="004C345E">
              <w:rPr>
                <w:vertAlign w:val="superscript"/>
              </w:rPr>
              <w:t>1</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0F507506" w14:textId="6DAF7B4A" w:rsidR="00A5722E" w:rsidRPr="004C345E" w:rsidRDefault="00A07BA0" w:rsidP="008241B5">
            <w:pPr>
              <w:pStyle w:val="TableText0"/>
              <w:jc w:val="center"/>
              <w:rPr>
                <w:vertAlign w:val="superscript"/>
              </w:rPr>
            </w:pPr>
            <w:r w:rsidRPr="00B13CE3">
              <w:t>$</w:t>
            </w:r>
            <w:r w:rsidR="006340CE" w:rsidRPr="006340CE">
              <w:rPr>
                <w:sz w:val="2"/>
                <w:highlight w:val="black"/>
              </w:rPr>
              <w:t>redacted content</w:t>
            </w:r>
            <w:r w:rsidR="004C345E">
              <w:rPr>
                <w:vertAlign w:val="superscript"/>
              </w:rPr>
              <w:t>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1CA60EAB" w14:textId="774FB1A1" w:rsidR="00A5722E" w:rsidRPr="004C345E" w:rsidRDefault="00A07BA0" w:rsidP="008241B5">
            <w:pPr>
              <w:pStyle w:val="TableText0"/>
              <w:jc w:val="center"/>
              <w:rPr>
                <w:vertAlign w:val="superscript"/>
              </w:rPr>
            </w:pPr>
            <w:r w:rsidRPr="00B13CE3">
              <w:t>$</w:t>
            </w:r>
            <w:r w:rsidR="006340CE" w:rsidRPr="006340CE">
              <w:rPr>
                <w:sz w:val="2"/>
                <w:highlight w:val="black"/>
              </w:rPr>
              <w:t>redacted content</w:t>
            </w:r>
            <w:r w:rsidR="004C345E">
              <w:rPr>
                <w:vertAlign w:val="superscript"/>
              </w:rPr>
              <w:t>1</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0" w:type="dxa"/>
              <w:right w:w="28" w:type="dxa"/>
            </w:tcMar>
            <w:vAlign w:val="center"/>
          </w:tcPr>
          <w:p w14:paraId="298D8566" w14:textId="0DB4127A" w:rsidR="00A5722E" w:rsidRPr="00B13CE3" w:rsidRDefault="00A07BA0" w:rsidP="008241B5">
            <w:pPr>
              <w:pStyle w:val="TableText0"/>
              <w:jc w:val="center"/>
            </w:pPr>
            <w:r w:rsidRPr="00B13CE3">
              <w:t>$</w:t>
            </w:r>
            <w:r w:rsidR="006340CE" w:rsidRPr="006340CE">
              <w:rPr>
                <w:sz w:val="2"/>
                <w:highlight w:val="black"/>
              </w:rPr>
              <w:t>redacted content</w:t>
            </w:r>
            <w:r w:rsidR="004C345E">
              <w:rPr>
                <w:vertAlign w:val="superscript"/>
              </w:rPr>
              <w:t>1</w:t>
            </w:r>
          </w:p>
        </w:tc>
      </w:tr>
    </w:tbl>
    <w:p w14:paraId="3270F3EF" w14:textId="5832E6F1" w:rsidR="00C07760" w:rsidRPr="00B13CE3" w:rsidRDefault="00C07760" w:rsidP="008241B5">
      <w:pPr>
        <w:pStyle w:val="TableFooter"/>
        <w:rPr>
          <w:rFonts w:eastAsiaTheme="minorHAnsi"/>
        </w:rPr>
      </w:pPr>
      <w:r w:rsidRPr="00B13CE3">
        <w:rPr>
          <w:rFonts w:eastAsiaTheme="minorHAnsi"/>
        </w:rPr>
        <w:t xml:space="preserve">Source: </w:t>
      </w:r>
      <w:r w:rsidR="00B454A1" w:rsidRPr="00B13CE3">
        <w:rPr>
          <w:rFonts w:eastAsiaTheme="minorHAnsi"/>
        </w:rPr>
        <w:t xml:space="preserve">constructed for </w:t>
      </w:r>
      <w:r w:rsidR="007473DD" w:rsidRPr="00B13CE3">
        <w:rPr>
          <w:rFonts w:eastAsiaTheme="minorHAnsi"/>
        </w:rPr>
        <w:t>ESC/DUSC</w:t>
      </w:r>
      <w:r w:rsidR="00E728FB" w:rsidRPr="00B13CE3">
        <w:rPr>
          <w:rFonts w:eastAsiaTheme="minorHAnsi"/>
          <w:iCs/>
        </w:rPr>
        <w:t xml:space="preserve"> </w:t>
      </w:r>
    </w:p>
    <w:p w14:paraId="469ACF01" w14:textId="093DACEE" w:rsidR="00FA06E6" w:rsidRDefault="00FA06E6" w:rsidP="008241B5">
      <w:pPr>
        <w:pStyle w:val="TableFooter"/>
        <w:rPr>
          <w:rFonts w:eastAsiaTheme="minorHAnsi"/>
        </w:rPr>
      </w:pPr>
      <w:r w:rsidRPr="00B13CE3">
        <w:rPr>
          <w:rFonts w:eastAsiaTheme="minorHAnsi"/>
        </w:rPr>
        <w:t xml:space="preserve">The </w:t>
      </w:r>
      <w:r w:rsidR="00925743" w:rsidRPr="00B13CE3">
        <w:rPr>
          <w:rFonts w:eastAsiaTheme="minorHAnsi"/>
        </w:rPr>
        <w:t>analysis</w:t>
      </w:r>
      <w:r w:rsidRPr="00B13CE3">
        <w:rPr>
          <w:rFonts w:eastAsiaTheme="minorHAnsi"/>
        </w:rPr>
        <w:t xml:space="preserve"> </w:t>
      </w:r>
      <w:r w:rsidR="00925743" w:rsidRPr="00B13CE3">
        <w:rPr>
          <w:rFonts w:eastAsiaTheme="minorHAnsi"/>
        </w:rPr>
        <w:t>assumes</w:t>
      </w:r>
      <w:r w:rsidRPr="00B13CE3">
        <w:rPr>
          <w:rFonts w:eastAsiaTheme="minorHAnsi"/>
        </w:rPr>
        <w:t xml:space="preserve"> 28.9% of </w:t>
      </w:r>
      <w:r w:rsidR="00925743" w:rsidRPr="00B13CE3">
        <w:rPr>
          <w:rFonts w:eastAsiaTheme="minorHAnsi"/>
        </w:rPr>
        <w:t xml:space="preserve">mBC </w:t>
      </w:r>
      <w:r w:rsidRPr="00B13CE3">
        <w:rPr>
          <w:rFonts w:eastAsiaTheme="minorHAnsi"/>
        </w:rPr>
        <w:t>patients treated with IV chemotherapy, 71.1% treated with capecitabine.</w:t>
      </w:r>
    </w:p>
    <w:p w14:paraId="6F7BE84D" w14:textId="3B847163" w:rsidR="004C345E" w:rsidRDefault="004C345E" w:rsidP="008241B5">
      <w:pPr>
        <w:pStyle w:val="TableFooter"/>
        <w:rPr>
          <w:rFonts w:eastAsiaTheme="minorHAnsi"/>
          <w:i/>
          <w:iCs/>
        </w:rPr>
      </w:pPr>
      <w:r>
        <w:rPr>
          <w:rFonts w:eastAsiaTheme="minorHAnsi"/>
          <w:i/>
          <w:iCs/>
        </w:rPr>
        <w:t>The redacted values correspond to the following ranges:</w:t>
      </w:r>
    </w:p>
    <w:p w14:paraId="4FDB1865" w14:textId="07609354" w:rsidR="004C345E" w:rsidRDefault="004C345E" w:rsidP="008241B5">
      <w:pPr>
        <w:pStyle w:val="TableFooter"/>
        <w:rPr>
          <w:rFonts w:eastAsiaTheme="minorHAnsi"/>
          <w:i/>
          <w:iCs/>
        </w:rPr>
      </w:pPr>
      <w:r>
        <w:rPr>
          <w:rFonts w:eastAsiaTheme="minorHAnsi"/>
          <w:i/>
          <w:iCs/>
          <w:vertAlign w:val="superscript"/>
        </w:rPr>
        <w:t>1</w:t>
      </w:r>
      <w:r>
        <w:rPr>
          <w:rFonts w:eastAsiaTheme="minorHAnsi"/>
          <w:i/>
          <w:iCs/>
        </w:rPr>
        <w:t xml:space="preserve"> $70 million to </w:t>
      </w:r>
      <w:r w:rsidR="009B23C2">
        <w:rPr>
          <w:rFonts w:eastAsiaTheme="minorHAnsi"/>
          <w:i/>
          <w:iCs/>
        </w:rPr>
        <w:t xml:space="preserve">&lt; </w:t>
      </w:r>
      <w:r>
        <w:rPr>
          <w:rFonts w:eastAsiaTheme="minorHAnsi"/>
          <w:i/>
          <w:iCs/>
        </w:rPr>
        <w:t>$80 million</w:t>
      </w:r>
    </w:p>
    <w:p w14:paraId="08861493" w14:textId="7D4A216D" w:rsidR="004C345E" w:rsidRDefault="009B23C2" w:rsidP="008241B5">
      <w:pPr>
        <w:pStyle w:val="TableFooter"/>
        <w:rPr>
          <w:rFonts w:eastAsiaTheme="minorHAnsi"/>
          <w:i/>
          <w:iCs/>
        </w:rPr>
      </w:pPr>
      <w:r>
        <w:rPr>
          <w:rFonts w:eastAsiaTheme="minorHAnsi"/>
          <w:i/>
          <w:iCs/>
          <w:vertAlign w:val="superscript"/>
        </w:rPr>
        <w:t>2</w:t>
      </w:r>
      <w:r>
        <w:rPr>
          <w:rFonts w:eastAsiaTheme="minorHAnsi"/>
          <w:i/>
          <w:iCs/>
        </w:rPr>
        <w:t xml:space="preserve"> $90 million to &lt; $100 million</w:t>
      </w:r>
    </w:p>
    <w:p w14:paraId="43021B3A" w14:textId="09E5F767" w:rsidR="009B23C2" w:rsidRDefault="009B23C2" w:rsidP="008241B5">
      <w:pPr>
        <w:pStyle w:val="TableFooter"/>
        <w:rPr>
          <w:rFonts w:eastAsiaTheme="minorHAnsi"/>
          <w:i/>
          <w:iCs/>
        </w:rPr>
      </w:pPr>
      <w:r>
        <w:rPr>
          <w:rFonts w:eastAsiaTheme="minorHAnsi"/>
          <w:i/>
          <w:iCs/>
          <w:vertAlign w:val="superscript"/>
        </w:rPr>
        <w:t>3</w:t>
      </w:r>
      <w:r>
        <w:rPr>
          <w:rFonts w:eastAsiaTheme="minorHAnsi"/>
          <w:i/>
          <w:iCs/>
        </w:rPr>
        <w:t xml:space="preserve"> $60 million to &lt; $70 million</w:t>
      </w:r>
    </w:p>
    <w:p w14:paraId="23ADB633" w14:textId="042AF050" w:rsidR="009B23C2" w:rsidRDefault="009B23C2" w:rsidP="008241B5">
      <w:pPr>
        <w:pStyle w:val="TableFooter"/>
        <w:rPr>
          <w:rFonts w:eastAsiaTheme="minorHAnsi"/>
          <w:i/>
          <w:iCs/>
        </w:rPr>
      </w:pPr>
      <w:r>
        <w:rPr>
          <w:rFonts w:eastAsiaTheme="minorHAnsi"/>
          <w:i/>
          <w:iCs/>
          <w:vertAlign w:val="superscript"/>
        </w:rPr>
        <w:t>4</w:t>
      </w:r>
      <w:r>
        <w:rPr>
          <w:rFonts w:eastAsiaTheme="minorHAnsi"/>
          <w:i/>
          <w:iCs/>
        </w:rPr>
        <w:t xml:space="preserve"> $</w:t>
      </w:r>
      <w:r w:rsidR="008E1602">
        <w:rPr>
          <w:rFonts w:eastAsiaTheme="minorHAnsi"/>
          <w:i/>
          <w:iCs/>
        </w:rPr>
        <w:t>40 million to &lt; $50 million</w:t>
      </w:r>
    </w:p>
    <w:p w14:paraId="08D1E800" w14:textId="597927A1" w:rsidR="008E1602" w:rsidRDefault="008E1602" w:rsidP="008241B5">
      <w:pPr>
        <w:pStyle w:val="TableFooter"/>
        <w:rPr>
          <w:rFonts w:eastAsiaTheme="minorHAnsi"/>
          <w:i/>
          <w:iCs/>
        </w:rPr>
      </w:pPr>
      <w:r>
        <w:rPr>
          <w:rFonts w:eastAsiaTheme="minorHAnsi"/>
          <w:i/>
          <w:iCs/>
          <w:vertAlign w:val="superscript"/>
        </w:rPr>
        <w:t>5</w:t>
      </w:r>
      <w:r>
        <w:rPr>
          <w:rFonts w:eastAsiaTheme="minorHAnsi"/>
          <w:i/>
          <w:iCs/>
        </w:rPr>
        <w:t xml:space="preserve"> $50 million to &lt; $60 million</w:t>
      </w:r>
    </w:p>
    <w:p w14:paraId="7CBEB529" w14:textId="4946ED7D" w:rsidR="008E1602" w:rsidRDefault="008E1602" w:rsidP="008241B5">
      <w:pPr>
        <w:pStyle w:val="TableFooter"/>
        <w:rPr>
          <w:rFonts w:eastAsiaTheme="minorHAnsi"/>
          <w:i/>
          <w:iCs/>
        </w:rPr>
      </w:pPr>
      <w:r>
        <w:rPr>
          <w:rFonts w:eastAsiaTheme="minorHAnsi"/>
          <w:i/>
          <w:iCs/>
          <w:vertAlign w:val="superscript"/>
        </w:rPr>
        <w:t>6</w:t>
      </w:r>
      <w:r w:rsidR="006340CE">
        <w:rPr>
          <w:rFonts w:eastAsiaTheme="minorHAnsi"/>
          <w:i/>
          <w:iCs/>
          <w:vertAlign w:val="superscript"/>
        </w:rPr>
        <w:t xml:space="preserve"> </w:t>
      </w:r>
      <w:r>
        <w:rPr>
          <w:rFonts w:eastAsiaTheme="minorHAnsi"/>
          <w:i/>
          <w:iCs/>
        </w:rPr>
        <w:t>$30 million to &lt; $</w:t>
      </w:r>
      <w:r w:rsidR="0081033B">
        <w:rPr>
          <w:rFonts w:eastAsiaTheme="minorHAnsi"/>
          <w:i/>
          <w:iCs/>
        </w:rPr>
        <w:t>40 million</w:t>
      </w:r>
    </w:p>
    <w:p w14:paraId="3EDF3EE1" w14:textId="5EE59335" w:rsidR="0081033B" w:rsidRDefault="0081033B" w:rsidP="008241B5">
      <w:pPr>
        <w:pStyle w:val="TableFooter"/>
        <w:rPr>
          <w:rFonts w:eastAsiaTheme="minorHAnsi"/>
          <w:i/>
          <w:iCs/>
        </w:rPr>
      </w:pPr>
      <w:r>
        <w:rPr>
          <w:rFonts w:eastAsiaTheme="minorHAnsi"/>
          <w:i/>
          <w:iCs/>
          <w:vertAlign w:val="superscript"/>
        </w:rPr>
        <w:t>7</w:t>
      </w:r>
      <w:r>
        <w:rPr>
          <w:rFonts w:eastAsiaTheme="minorHAnsi"/>
          <w:i/>
          <w:iCs/>
        </w:rPr>
        <w:t xml:space="preserve"> $100 million to &lt; $200 million</w:t>
      </w:r>
    </w:p>
    <w:p w14:paraId="77B77C50" w14:textId="6FBD0535" w:rsidR="0081033B" w:rsidRPr="0081033B" w:rsidRDefault="0081033B" w:rsidP="008241B5">
      <w:pPr>
        <w:pStyle w:val="TableFooter"/>
        <w:rPr>
          <w:rFonts w:eastAsiaTheme="minorHAnsi"/>
          <w:i/>
          <w:iCs/>
        </w:rPr>
      </w:pPr>
      <w:r>
        <w:rPr>
          <w:rFonts w:eastAsiaTheme="minorHAnsi"/>
          <w:i/>
          <w:iCs/>
          <w:vertAlign w:val="superscript"/>
        </w:rPr>
        <w:t>8</w:t>
      </w:r>
      <w:r>
        <w:rPr>
          <w:rFonts w:eastAsiaTheme="minorHAnsi"/>
          <w:i/>
          <w:iCs/>
        </w:rPr>
        <w:t xml:space="preserve"> $</w:t>
      </w:r>
      <w:r w:rsidR="00373432">
        <w:rPr>
          <w:rFonts w:eastAsiaTheme="minorHAnsi"/>
          <w:i/>
          <w:iCs/>
        </w:rPr>
        <w:t>80 million to &lt; $90 million</w:t>
      </w:r>
    </w:p>
    <w:p w14:paraId="008303F9" w14:textId="77777777" w:rsidR="00EE7FE2" w:rsidRPr="001946BC" w:rsidRDefault="00EE7FE2" w:rsidP="008241B5">
      <w:pPr>
        <w:pStyle w:val="4-SubsectionHeading"/>
      </w:pPr>
      <w:bookmarkStart w:id="92" w:name="_Toc217785074"/>
      <w:bookmarkStart w:id="93" w:name="_Toc219893559"/>
      <w:r w:rsidRPr="00F936B6">
        <w:t>Quality Use of Medicines</w:t>
      </w:r>
      <w:bookmarkEnd w:id="88"/>
      <w:bookmarkEnd w:id="92"/>
      <w:bookmarkEnd w:id="93"/>
    </w:p>
    <w:p w14:paraId="2C291940" w14:textId="77777777" w:rsidR="001F4474" w:rsidRDefault="00EE7FE2" w:rsidP="008241B5">
      <w:pPr>
        <w:numPr>
          <w:ilvl w:val="1"/>
          <w:numId w:val="7"/>
        </w:numPr>
        <w:spacing w:before="60" w:after="60"/>
        <w:rPr>
          <w:rFonts w:asciiTheme="minorHAnsi" w:eastAsiaTheme="minorHAnsi" w:hAnsiTheme="minorHAnsi" w:cstheme="minorBidi"/>
          <w:szCs w:val="22"/>
        </w:rPr>
      </w:pPr>
      <w:r w:rsidRPr="00085018">
        <w:rPr>
          <w:rFonts w:asciiTheme="minorHAnsi" w:eastAsiaTheme="minorHAnsi" w:hAnsiTheme="minorHAnsi" w:cstheme="minorBidi"/>
          <w:szCs w:val="22"/>
        </w:rPr>
        <w:t>The Sponsor noted that following the registration of T-</w:t>
      </w:r>
      <w:proofErr w:type="spellStart"/>
      <w:r w:rsidRPr="00085018">
        <w:rPr>
          <w:rFonts w:asciiTheme="minorHAnsi" w:eastAsiaTheme="minorHAnsi" w:hAnsiTheme="minorHAnsi" w:cstheme="minorBidi"/>
          <w:szCs w:val="22"/>
        </w:rPr>
        <w:t>DXd</w:t>
      </w:r>
      <w:proofErr w:type="spellEnd"/>
      <w:r w:rsidRPr="00085018">
        <w:rPr>
          <w:rFonts w:asciiTheme="minorHAnsi" w:eastAsiaTheme="minorHAnsi" w:hAnsiTheme="minorHAnsi" w:cstheme="minorBidi"/>
          <w:szCs w:val="22"/>
        </w:rPr>
        <w:t xml:space="preserve"> in the United States and Europe, testing guidelines were updated to improve accurate reporting and understanding of HER2 expression which is used for determining eligibility for treatment with T-</w:t>
      </w:r>
      <w:proofErr w:type="spellStart"/>
      <w:r w:rsidRPr="00085018">
        <w:rPr>
          <w:rFonts w:asciiTheme="minorHAnsi" w:eastAsiaTheme="minorHAnsi" w:hAnsiTheme="minorHAnsi" w:cstheme="minorBidi"/>
          <w:szCs w:val="22"/>
        </w:rPr>
        <w:t>DXd</w:t>
      </w:r>
      <w:proofErr w:type="spellEnd"/>
      <w:r w:rsidRPr="00085018">
        <w:rPr>
          <w:rFonts w:asciiTheme="minorHAnsi" w:eastAsiaTheme="minorHAnsi" w:hAnsiTheme="minorHAnsi" w:cstheme="minorBidi"/>
          <w:szCs w:val="22"/>
        </w:rPr>
        <w:t xml:space="preserve">. To aid pathologists with the new testing recommendations, training modules were developed that provided information of clinical context and background requirements for testing </w:t>
      </w:r>
      <w:proofErr w:type="gramStart"/>
      <w:r w:rsidRPr="00085018">
        <w:rPr>
          <w:rFonts w:asciiTheme="minorHAnsi" w:eastAsiaTheme="minorHAnsi" w:hAnsiTheme="minorHAnsi" w:cstheme="minorBidi"/>
          <w:szCs w:val="22"/>
        </w:rPr>
        <w:t>and also</w:t>
      </w:r>
      <w:proofErr w:type="gramEnd"/>
      <w:r w:rsidRPr="00085018">
        <w:rPr>
          <w:rFonts w:asciiTheme="minorHAnsi" w:eastAsiaTheme="minorHAnsi" w:hAnsiTheme="minorHAnsi" w:cstheme="minorBidi"/>
          <w:szCs w:val="22"/>
        </w:rPr>
        <w:t xml:space="preserve"> included guided case reviews. No additional QUM issues were identified. </w:t>
      </w:r>
    </w:p>
    <w:p w14:paraId="3D3C25B9" w14:textId="0AAC6741" w:rsidR="00EE7FE2" w:rsidRPr="00B13CE3" w:rsidRDefault="00C20B45" w:rsidP="008241B5">
      <w:pPr>
        <w:numPr>
          <w:ilvl w:val="1"/>
          <w:numId w:val="7"/>
        </w:numPr>
        <w:spacing w:before="60" w:after="60"/>
        <w:rPr>
          <w:rFonts w:asciiTheme="minorHAnsi" w:eastAsiaTheme="minorHAnsi" w:hAnsiTheme="minorHAnsi" w:cstheme="minorBidi"/>
          <w:szCs w:val="22"/>
        </w:rPr>
      </w:pPr>
      <w:r w:rsidRPr="00B13CE3">
        <w:rPr>
          <w:rFonts w:asciiTheme="minorHAnsi" w:eastAsiaTheme="minorHAnsi" w:hAnsiTheme="minorHAnsi" w:cstheme="minorBidi"/>
          <w:szCs w:val="22"/>
        </w:rPr>
        <w:t xml:space="preserve">The </w:t>
      </w:r>
      <w:r w:rsidR="00D85B8B" w:rsidRPr="00B13CE3">
        <w:rPr>
          <w:rFonts w:asciiTheme="minorHAnsi" w:eastAsiaTheme="minorHAnsi" w:hAnsiTheme="minorHAnsi" w:cstheme="minorBidi"/>
          <w:iCs/>
          <w:szCs w:val="22"/>
        </w:rPr>
        <w:t>Sub-Committees</w:t>
      </w:r>
      <w:r w:rsidR="006E34F6" w:rsidRPr="00B13CE3">
        <w:rPr>
          <w:rFonts w:asciiTheme="minorHAnsi" w:eastAsiaTheme="minorHAnsi" w:hAnsiTheme="minorHAnsi" w:cstheme="minorBidi"/>
          <w:iCs/>
          <w:szCs w:val="22"/>
        </w:rPr>
        <w:t xml:space="preserve"> </w:t>
      </w:r>
      <w:r w:rsidRPr="00B13CE3">
        <w:rPr>
          <w:rFonts w:asciiTheme="minorHAnsi" w:eastAsiaTheme="minorHAnsi" w:hAnsiTheme="minorHAnsi" w:cstheme="minorBidi"/>
          <w:iCs/>
          <w:szCs w:val="22"/>
        </w:rPr>
        <w:t>noted</w:t>
      </w:r>
      <w:r w:rsidRPr="00B13CE3">
        <w:rPr>
          <w:rFonts w:asciiTheme="minorHAnsi" w:eastAsiaTheme="minorHAnsi" w:hAnsiTheme="minorHAnsi" w:cstheme="minorBidi"/>
          <w:szCs w:val="22"/>
        </w:rPr>
        <w:t xml:space="preserve"> that </w:t>
      </w:r>
      <w:r w:rsidR="008240E0" w:rsidRPr="00B13CE3">
        <w:rPr>
          <w:rFonts w:asciiTheme="minorHAnsi" w:eastAsiaTheme="minorHAnsi" w:hAnsiTheme="minorHAnsi" w:cstheme="minorBidi"/>
          <w:szCs w:val="22"/>
        </w:rPr>
        <w:t>clinicians are familiar with the use of T-</w:t>
      </w:r>
      <w:proofErr w:type="spellStart"/>
      <w:r w:rsidR="008240E0" w:rsidRPr="00B13CE3">
        <w:rPr>
          <w:rFonts w:asciiTheme="minorHAnsi" w:eastAsiaTheme="minorHAnsi" w:hAnsiTheme="minorHAnsi" w:cstheme="minorBidi"/>
          <w:szCs w:val="22"/>
        </w:rPr>
        <w:t>DXd</w:t>
      </w:r>
      <w:proofErr w:type="spellEnd"/>
      <w:r w:rsidR="008240E0" w:rsidRPr="00B13CE3">
        <w:rPr>
          <w:rFonts w:asciiTheme="minorHAnsi" w:eastAsiaTheme="minorHAnsi" w:hAnsiTheme="minorHAnsi" w:cstheme="minorBidi"/>
          <w:szCs w:val="22"/>
        </w:rPr>
        <w:t xml:space="preserve"> and </w:t>
      </w:r>
      <w:r w:rsidR="00B227D3" w:rsidRPr="00B13CE3">
        <w:rPr>
          <w:rFonts w:asciiTheme="minorHAnsi" w:eastAsiaTheme="minorHAnsi" w:hAnsiTheme="minorHAnsi" w:cstheme="minorBidi"/>
          <w:szCs w:val="22"/>
        </w:rPr>
        <w:t>management of ILD</w:t>
      </w:r>
      <w:r w:rsidR="00ED6CB4" w:rsidRPr="00B13CE3">
        <w:rPr>
          <w:rFonts w:asciiTheme="minorHAnsi" w:eastAsiaTheme="minorHAnsi" w:hAnsiTheme="minorHAnsi" w:cstheme="minorBidi"/>
          <w:szCs w:val="22"/>
        </w:rPr>
        <w:t xml:space="preserve"> and other </w:t>
      </w:r>
      <w:r w:rsidR="002F51E1" w:rsidRPr="00B13CE3">
        <w:rPr>
          <w:rFonts w:asciiTheme="minorHAnsi" w:eastAsiaTheme="minorHAnsi" w:hAnsiTheme="minorHAnsi" w:cstheme="minorBidi"/>
          <w:iCs/>
          <w:szCs w:val="22"/>
        </w:rPr>
        <w:t>potential toxicities</w:t>
      </w:r>
      <w:r w:rsidR="00ED6CB4" w:rsidRPr="00B13CE3">
        <w:rPr>
          <w:rFonts w:asciiTheme="minorHAnsi" w:eastAsiaTheme="minorHAnsi" w:hAnsiTheme="minorHAnsi" w:cstheme="minorBidi"/>
          <w:szCs w:val="22"/>
        </w:rPr>
        <w:t>.</w:t>
      </w:r>
    </w:p>
    <w:p w14:paraId="478001E0" w14:textId="77777777" w:rsidR="00EE7FE2" w:rsidRPr="001946BC" w:rsidRDefault="00EE7FE2" w:rsidP="008241B5">
      <w:pPr>
        <w:pStyle w:val="4-SubsectionHeading"/>
      </w:pPr>
      <w:bookmarkStart w:id="94" w:name="_Toc217785075"/>
      <w:bookmarkStart w:id="95" w:name="_Toc219893560"/>
      <w:r w:rsidRPr="00F936B6">
        <w:t>Financial Management – Risk Sharing Arrangements</w:t>
      </w:r>
      <w:bookmarkEnd w:id="79"/>
      <w:bookmarkEnd w:id="94"/>
      <w:bookmarkEnd w:id="95"/>
    </w:p>
    <w:p w14:paraId="14D4C140" w14:textId="5C3A5214" w:rsidR="00EE7FE2" w:rsidRPr="00085018" w:rsidRDefault="00EE7FE2" w:rsidP="008241B5">
      <w:pPr>
        <w:numPr>
          <w:ilvl w:val="1"/>
          <w:numId w:val="7"/>
        </w:numPr>
        <w:spacing w:before="60" w:after="60"/>
        <w:rPr>
          <w:rFonts w:asciiTheme="minorHAnsi" w:eastAsiaTheme="minorHAnsi" w:hAnsiTheme="minorHAnsi" w:cstheme="minorBidi"/>
          <w:szCs w:val="22"/>
        </w:rPr>
      </w:pPr>
      <w:r w:rsidRPr="00085018">
        <w:rPr>
          <w:rFonts w:asciiTheme="minorHAnsi" w:eastAsiaTheme="minorHAnsi" w:hAnsiTheme="minorHAnsi" w:cstheme="minorBidi"/>
          <w:szCs w:val="22"/>
        </w:rPr>
        <w:t xml:space="preserve">The sponsor noted that there is </w:t>
      </w:r>
      <w:r w:rsidR="000643C2" w:rsidRPr="00085018">
        <w:rPr>
          <w:rFonts w:asciiTheme="minorHAnsi" w:eastAsiaTheme="minorHAnsi" w:hAnsiTheme="minorHAnsi" w:cstheme="minorBidi"/>
          <w:szCs w:val="22"/>
        </w:rPr>
        <w:t>an</w:t>
      </w:r>
      <w:r w:rsidRPr="00085018">
        <w:rPr>
          <w:rFonts w:asciiTheme="minorHAnsi" w:eastAsiaTheme="minorHAnsi" w:hAnsiTheme="minorHAnsi" w:cstheme="minorBidi"/>
          <w:szCs w:val="22"/>
        </w:rPr>
        <w:t xml:space="preserve"> RSA in place for the current </w:t>
      </w:r>
      <w:r w:rsidR="004767DD">
        <w:rPr>
          <w:rFonts w:asciiTheme="minorHAnsi" w:eastAsiaTheme="minorHAnsi" w:hAnsiTheme="minorHAnsi" w:cstheme="minorBidi"/>
          <w:szCs w:val="22"/>
        </w:rPr>
        <w:t>HER</w:t>
      </w:r>
      <w:r w:rsidR="00443C71">
        <w:rPr>
          <w:rFonts w:asciiTheme="minorHAnsi" w:eastAsiaTheme="minorHAnsi" w:hAnsiTheme="minorHAnsi" w:cstheme="minorBidi"/>
          <w:szCs w:val="22"/>
        </w:rPr>
        <w:t xml:space="preserve">2-low </w:t>
      </w:r>
      <w:r w:rsidRPr="00085018">
        <w:rPr>
          <w:rFonts w:asciiTheme="minorHAnsi" w:eastAsiaTheme="minorHAnsi" w:hAnsiTheme="minorHAnsi" w:cstheme="minorBidi"/>
          <w:szCs w:val="22"/>
        </w:rPr>
        <w:t>listing of T-</w:t>
      </w:r>
      <w:proofErr w:type="spellStart"/>
      <w:r w:rsidRPr="00085018">
        <w:rPr>
          <w:rFonts w:asciiTheme="minorHAnsi" w:eastAsiaTheme="minorHAnsi" w:hAnsiTheme="minorHAnsi" w:cstheme="minorBidi"/>
          <w:szCs w:val="22"/>
        </w:rPr>
        <w:t>DXd</w:t>
      </w:r>
      <w:proofErr w:type="spellEnd"/>
      <w:r w:rsidRPr="00085018">
        <w:rPr>
          <w:rFonts w:asciiTheme="minorHAnsi" w:eastAsiaTheme="minorHAnsi" w:hAnsiTheme="minorHAnsi" w:cstheme="minorBidi"/>
          <w:szCs w:val="22"/>
        </w:rPr>
        <w:t xml:space="preserve"> and expects</w:t>
      </w:r>
      <w:r w:rsidR="00F0376A" w:rsidRPr="00085018">
        <w:rPr>
          <w:rFonts w:asciiTheme="minorHAnsi" w:eastAsiaTheme="minorHAnsi" w:hAnsiTheme="minorHAnsi" w:cstheme="minorBidi"/>
          <w:szCs w:val="22"/>
        </w:rPr>
        <w:t xml:space="preserve"> the additional listing for T-</w:t>
      </w:r>
      <w:proofErr w:type="spellStart"/>
      <w:r w:rsidR="00F0376A" w:rsidRPr="00085018">
        <w:rPr>
          <w:rFonts w:asciiTheme="minorHAnsi" w:eastAsiaTheme="minorHAnsi" w:hAnsiTheme="minorHAnsi" w:cstheme="minorBidi"/>
          <w:szCs w:val="22"/>
        </w:rPr>
        <w:t>DXd</w:t>
      </w:r>
      <w:proofErr w:type="spellEnd"/>
      <w:r w:rsidRPr="00085018">
        <w:rPr>
          <w:rFonts w:asciiTheme="minorHAnsi" w:eastAsiaTheme="minorHAnsi" w:hAnsiTheme="minorHAnsi" w:cstheme="minorBidi"/>
          <w:szCs w:val="22"/>
        </w:rPr>
        <w:t xml:space="preserve"> to join the RSA </w:t>
      </w:r>
      <w:r w:rsidR="00133AAE">
        <w:rPr>
          <w:rFonts w:asciiTheme="minorHAnsi" w:eastAsiaTheme="minorHAnsi" w:hAnsiTheme="minorHAnsi" w:cstheme="minorBidi"/>
          <w:szCs w:val="22"/>
        </w:rPr>
        <w:t xml:space="preserve">with </w:t>
      </w:r>
      <w:r w:rsidR="00133AAE" w:rsidRPr="00133AAE">
        <w:rPr>
          <w:rFonts w:asciiTheme="minorHAnsi" w:eastAsiaTheme="minorHAnsi" w:hAnsiTheme="minorHAnsi" w:cstheme="minorBidi"/>
          <w:szCs w:val="22"/>
        </w:rPr>
        <w:t xml:space="preserve">no adjustment to the caps for the HER2-low population and </w:t>
      </w:r>
      <w:r w:rsidRPr="00085018">
        <w:rPr>
          <w:rFonts w:asciiTheme="minorHAnsi" w:eastAsiaTheme="minorHAnsi" w:hAnsiTheme="minorHAnsi" w:cstheme="minorBidi"/>
          <w:szCs w:val="22"/>
        </w:rPr>
        <w:t>an increase in the caps to allow for the provision of T-</w:t>
      </w:r>
      <w:proofErr w:type="spellStart"/>
      <w:r w:rsidRPr="00085018">
        <w:rPr>
          <w:rFonts w:asciiTheme="minorHAnsi" w:eastAsiaTheme="minorHAnsi" w:hAnsiTheme="minorHAnsi" w:cstheme="minorBidi"/>
          <w:szCs w:val="22"/>
        </w:rPr>
        <w:t>DXd</w:t>
      </w:r>
      <w:proofErr w:type="spellEnd"/>
      <w:r w:rsidRPr="00085018">
        <w:rPr>
          <w:rFonts w:asciiTheme="minorHAnsi" w:eastAsiaTheme="minorHAnsi" w:hAnsiTheme="minorHAnsi" w:cstheme="minorBidi"/>
          <w:szCs w:val="22"/>
        </w:rPr>
        <w:t xml:space="preserve"> in the HR-positive, HER2-ultralow population. </w:t>
      </w:r>
    </w:p>
    <w:p w14:paraId="410663AE" w14:textId="27E60262" w:rsidR="00EE7FE2" w:rsidRPr="00F936B6" w:rsidRDefault="00EE7FE2" w:rsidP="008241B5">
      <w:pPr>
        <w:keepNext/>
        <w:keepLines/>
        <w:rPr>
          <w:rFonts w:ascii="Arial Narrow" w:hAnsi="Arial Narrow"/>
          <w:b/>
          <w:bCs/>
          <w:sz w:val="20"/>
          <w:szCs w:val="18"/>
        </w:rPr>
      </w:pPr>
      <w:r w:rsidRPr="00F936B6">
        <w:rPr>
          <w:rFonts w:ascii="Arial Narrow" w:hAnsi="Arial Narrow"/>
          <w:b/>
          <w:bCs/>
          <w:sz w:val="20"/>
          <w:szCs w:val="18"/>
        </w:rPr>
        <w:lastRenderedPageBreak/>
        <w:t xml:space="preserve">Table </w:t>
      </w:r>
      <w:r w:rsidRPr="00F936B6">
        <w:rPr>
          <w:rFonts w:ascii="Arial Narrow" w:hAnsi="Arial Narrow"/>
          <w:b/>
          <w:bCs/>
          <w:sz w:val="20"/>
          <w:szCs w:val="18"/>
        </w:rPr>
        <w:fldChar w:fldCharType="begin"/>
      </w:r>
      <w:r w:rsidRPr="00F936B6">
        <w:rPr>
          <w:rFonts w:ascii="Arial Narrow" w:hAnsi="Arial Narrow"/>
          <w:b/>
          <w:bCs/>
          <w:sz w:val="20"/>
          <w:szCs w:val="18"/>
        </w:rPr>
        <w:instrText xml:space="preserve"> SEQ Table \* ARABIC </w:instrText>
      </w:r>
      <w:r w:rsidRPr="00F936B6">
        <w:rPr>
          <w:rFonts w:ascii="Arial Narrow" w:hAnsi="Arial Narrow"/>
          <w:b/>
          <w:bCs/>
          <w:sz w:val="20"/>
          <w:szCs w:val="18"/>
        </w:rPr>
        <w:fldChar w:fldCharType="separate"/>
      </w:r>
      <w:r w:rsidR="005D3E29">
        <w:rPr>
          <w:rFonts w:ascii="Arial Narrow" w:hAnsi="Arial Narrow"/>
          <w:b/>
          <w:bCs/>
          <w:noProof/>
          <w:sz w:val="20"/>
          <w:szCs w:val="18"/>
        </w:rPr>
        <w:t>22</w:t>
      </w:r>
      <w:r w:rsidRPr="00F936B6">
        <w:rPr>
          <w:rFonts w:ascii="Arial Narrow" w:hAnsi="Arial Narrow"/>
          <w:b/>
          <w:bCs/>
          <w:noProof/>
          <w:sz w:val="20"/>
          <w:szCs w:val="18"/>
        </w:rPr>
        <w:fldChar w:fldCharType="end"/>
      </w:r>
      <w:r w:rsidRPr="00F936B6">
        <w:rPr>
          <w:rFonts w:ascii="Arial Narrow" w:hAnsi="Arial Narrow"/>
          <w:b/>
          <w:bCs/>
          <w:sz w:val="20"/>
          <w:szCs w:val="18"/>
        </w:rPr>
        <w:t>: Existing and proposed subsidisation caps for T-</w:t>
      </w:r>
      <w:proofErr w:type="spellStart"/>
      <w:r w:rsidRPr="00F936B6">
        <w:rPr>
          <w:rFonts w:ascii="Arial Narrow" w:hAnsi="Arial Narrow"/>
          <w:b/>
          <w:bCs/>
          <w:sz w:val="20"/>
          <w:szCs w:val="18"/>
        </w:rPr>
        <w:t>DXd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Existing and proposed subsidisation caps for T-DXd"/>
      </w:tblPr>
      <w:tblGrid>
        <w:gridCol w:w="2543"/>
        <w:gridCol w:w="1501"/>
        <w:gridCol w:w="1241"/>
        <w:gridCol w:w="1241"/>
        <w:gridCol w:w="1247"/>
        <w:gridCol w:w="1244"/>
      </w:tblGrid>
      <w:tr w:rsidR="00EE7FE2" w:rsidRPr="00F936B6" w14:paraId="7B2A9BD0" w14:textId="77777777" w:rsidTr="00EE7FE2">
        <w:tc>
          <w:tcPr>
            <w:tcW w:w="2547" w:type="dxa"/>
            <w:vAlign w:val="center"/>
            <w:hideMark/>
          </w:tcPr>
          <w:p w14:paraId="2D2AE33A" w14:textId="77777777" w:rsidR="00EE7FE2" w:rsidRPr="00F936B6" w:rsidRDefault="00EE7FE2" w:rsidP="008241B5">
            <w:pPr>
              <w:keepNext/>
              <w:ind w:left="720"/>
              <w:rPr>
                <w:rFonts w:asciiTheme="minorHAnsi" w:eastAsiaTheme="minorHAnsi" w:hAnsiTheme="minorHAnsi" w:cstheme="minorBidi"/>
                <w:szCs w:val="22"/>
              </w:rPr>
            </w:pPr>
          </w:p>
        </w:tc>
        <w:tc>
          <w:tcPr>
            <w:tcW w:w="1501" w:type="dxa"/>
            <w:noWrap/>
            <w:vAlign w:val="center"/>
            <w:hideMark/>
          </w:tcPr>
          <w:p w14:paraId="615BF9D1"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1</w:t>
            </w:r>
          </w:p>
        </w:tc>
        <w:tc>
          <w:tcPr>
            <w:tcW w:w="1241" w:type="dxa"/>
            <w:noWrap/>
            <w:vAlign w:val="center"/>
            <w:hideMark/>
          </w:tcPr>
          <w:p w14:paraId="208BA749"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2</w:t>
            </w:r>
          </w:p>
        </w:tc>
        <w:tc>
          <w:tcPr>
            <w:tcW w:w="1241" w:type="dxa"/>
            <w:noWrap/>
            <w:vAlign w:val="center"/>
            <w:hideMark/>
          </w:tcPr>
          <w:p w14:paraId="289D65A0"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3</w:t>
            </w:r>
          </w:p>
        </w:tc>
        <w:tc>
          <w:tcPr>
            <w:tcW w:w="1247" w:type="dxa"/>
            <w:noWrap/>
            <w:vAlign w:val="center"/>
            <w:hideMark/>
          </w:tcPr>
          <w:p w14:paraId="39507741"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4</w:t>
            </w:r>
          </w:p>
        </w:tc>
        <w:tc>
          <w:tcPr>
            <w:tcW w:w="1244" w:type="dxa"/>
            <w:noWrap/>
            <w:vAlign w:val="center"/>
            <w:hideMark/>
          </w:tcPr>
          <w:p w14:paraId="5EFBC111" w14:textId="77777777" w:rsidR="00EE7FE2" w:rsidRPr="00F936B6" w:rsidRDefault="00EE7FE2" w:rsidP="008241B5">
            <w:pPr>
              <w:keepNext/>
              <w:jc w:val="left"/>
              <w:rPr>
                <w:rFonts w:ascii="Arial Narrow" w:eastAsiaTheme="majorEastAsia" w:hAnsi="Arial Narrow" w:cs="Times New Roman"/>
                <w:b/>
                <w:i/>
                <w:iCs/>
                <w:sz w:val="20"/>
              </w:rPr>
            </w:pPr>
            <w:r w:rsidRPr="00F936B6">
              <w:rPr>
                <w:rFonts w:ascii="Arial Narrow" w:eastAsiaTheme="majorEastAsia" w:hAnsi="Arial Narrow" w:cs="Times New Roman"/>
                <w:b/>
                <w:sz w:val="20"/>
              </w:rPr>
              <w:t>Year 5</w:t>
            </w:r>
          </w:p>
        </w:tc>
      </w:tr>
      <w:tr w:rsidR="00EE7FE2" w:rsidRPr="00F936B6" w14:paraId="0E860131" w14:textId="77777777" w:rsidTr="00EE7FE2">
        <w:tc>
          <w:tcPr>
            <w:tcW w:w="2547" w:type="dxa"/>
            <w:shd w:val="clear" w:color="000000" w:fill="FFFFFF"/>
            <w:vAlign w:val="center"/>
          </w:tcPr>
          <w:p w14:paraId="2CA87752" w14:textId="77777777"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 xml:space="preserve">Existing subsidisation caps </w:t>
            </w:r>
            <w:r w:rsidRPr="00F936B6">
              <w:rPr>
                <w:rFonts w:ascii="Arial Narrow" w:eastAsiaTheme="majorEastAsia" w:hAnsi="Arial Narrow" w:cstheme="majorBidi"/>
                <w:bCs/>
                <w:sz w:val="20"/>
                <w:vertAlign w:val="superscript"/>
              </w:rPr>
              <w:t>a</w:t>
            </w:r>
          </w:p>
        </w:tc>
        <w:tc>
          <w:tcPr>
            <w:tcW w:w="1501" w:type="dxa"/>
            <w:tcBorders>
              <w:top w:val="single" w:sz="4" w:space="0" w:color="auto"/>
              <w:left w:val="single" w:sz="4" w:space="0" w:color="auto"/>
              <w:bottom w:val="single" w:sz="4" w:space="0" w:color="auto"/>
              <w:right w:val="single" w:sz="4" w:space="0" w:color="auto"/>
            </w:tcBorders>
            <w:noWrap/>
            <w:vAlign w:val="center"/>
          </w:tcPr>
          <w:p w14:paraId="55F648E6" w14:textId="31888734"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c>
          <w:tcPr>
            <w:tcW w:w="1241" w:type="dxa"/>
            <w:tcBorders>
              <w:top w:val="single" w:sz="4" w:space="0" w:color="auto"/>
              <w:left w:val="nil"/>
              <w:bottom w:val="single" w:sz="4" w:space="0" w:color="auto"/>
              <w:right w:val="single" w:sz="4" w:space="0" w:color="auto"/>
            </w:tcBorders>
            <w:noWrap/>
            <w:vAlign w:val="center"/>
          </w:tcPr>
          <w:p w14:paraId="64577DAA" w14:textId="69311DDF"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c>
          <w:tcPr>
            <w:tcW w:w="1241" w:type="dxa"/>
            <w:tcBorders>
              <w:top w:val="single" w:sz="4" w:space="0" w:color="auto"/>
              <w:left w:val="nil"/>
              <w:bottom w:val="single" w:sz="4" w:space="0" w:color="auto"/>
              <w:right w:val="single" w:sz="4" w:space="0" w:color="auto"/>
            </w:tcBorders>
            <w:noWrap/>
            <w:vAlign w:val="center"/>
          </w:tcPr>
          <w:p w14:paraId="0B7CC1FF" w14:textId="5BC4140A"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c>
          <w:tcPr>
            <w:tcW w:w="1247" w:type="dxa"/>
            <w:tcBorders>
              <w:top w:val="single" w:sz="4" w:space="0" w:color="auto"/>
              <w:left w:val="nil"/>
              <w:bottom w:val="single" w:sz="4" w:space="0" w:color="auto"/>
              <w:right w:val="single" w:sz="4" w:space="0" w:color="auto"/>
            </w:tcBorders>
            <w:noWrap/>
            <w:vAlign w:val="center"/>
          </w:tcPr>
          <w:p w14:paraId="4C2B01F1" w14:textId="4E0C0811"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c>
          <w:tcPr>
            <w:tcW w:w="1244" w:type="dxa"/>
            <w:tcBorders>
              <w:top w:val="single" w:sz="4" w:space="0" w:color="auto"/>
              <w:left w:val="nil"/>
              <w:bottom w:val="single" w:sz="4" w:space="0" w:color="auto"/>
              <w:right w:val="single" w:sz="4" w:space="0" w:color="auto"/>
            </w:tcBorders>
            <w:noWrap/>
            <w:vAlign w:val="center"/>
          </w:tcPr>
          <w:p w14:paraId="28F65E22" w14:textId="599CA734"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r>
      <w:tr w:rsidR="00EE7FE2" w:rsidRPr="00F936B6" w14:paraId="402A3122" w14:textId="77777777" w:rsidTr="00EE7FE2">
        <w:tc>
          <w:tcPr>
            <w:tcW w:w="2547" w:type="dxa"/>
            <w:shd w:val="clear" w:color="000000" w:fill="FFFFFF"/>
            <w:vAlign w:val="center"/>
          </w:tcPr>
          <w:p w14:paraId="45E8692D" w14:textId="77777777"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 xml:space="preserve">Estimated impact of HER2-ultralow population </w:t>
            </w:r>
            <w:r w:rsidRPr="00F936B6">
              <w:rPr>
                <w:rFonts w:ascii="Arial Narrow" w:eastAsiaTheme="majorEastAsia" w:hAnsi="Arial Narrow" w:cstheme="majorBidi"/>
                <w:bCs/>
                <w:sz w:val="20"/>
                <w:vertAlign w:val="superscript"/>
              </w:rPr>
              <w:t>b</w:t>
            </w:r>
          </w:p>
        </w:tc>
        <w:tc>
          <w:tcPr>
            <w:tcW w:w="1501" w:type="dxa"/>
            <w:tcBorders>
              <w:top w:val="single" w:sz="4" w:space="0" w:color="auto"/>
              <w:left w:val="single" w:sz="4" w:space="0" w:color="auto"/>
              <w:bottom w:val="single" w:sz="4" w:space="0" w:color="auto"/>
              <w:right w:val="single" w:sz="4" w:space="0" w:color="auto"/>
            </w:tcBorders>
            <w:noWrap/>
            <w:vAlign w:val="center"/>
          </w:tcPr>
          <w:p w14:paraId="0017BBEB" w14:textId="77777777"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p>
        </w:tc>
        <w:tc>
          <w:tcPr>
            <w:tcW w:w="1241" w:type="dxa"/>
            <w:tcBorders>
              <w:top w:val="single" w:sz="4" w:space="0" w:color="auto"/>
              <w:left w:val="single" w:sz="4" w:space="0" w:color="auto"/>
              <w:bottom w:val="single" w:sz="4" w:space="0" w:color="auto"/>
              <w:right w:val="single" w:sz="4" w:space="0" w:color="auto"/>
            </w:tcBorders>
            <w:noWrap/>
            <w:vAlign w:val="center"/>
          </w:tcPr>
          <w:p w14:paraId="2990CE4F" w14:textId="1E812827"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c>
          <w:tcPr>
            <w:tcW w:w="1241" w:type="dxa"/>
            <w:tcBorders>
              <w:top w:val="single" w:sz="4" w:space="0" w:color="auto"/>
              <w:left w:val="nil"/>
              <w:bottom w:val="single" w:sz="4" w:space="0" w:color="auto"/>
              <w:right w:val="single" w:sz="4" w:space="0" w:color="auto"/>
            </w:tcBorders>
            <w:noWrap/>
            <w:vAlign w:val="center"/>
          </w:tcPr>
          <w:p w14:paraId="33477F6C" w14:textId="5726D61B"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c>
          <w:tcPr>
            <w:tcW w:w="1247" w:type="dxa"/>
            <w:tcBorders>
              <w:top w:val="single" w:sz="4" w:space="0" w:color="auto"/>
              <w:left w:val="nil"/>
              <w:bottom w:val="single" w:sz="4" w:space="0" w:color="auto"/>
              <w:right w:val="single" w:sz="4" w:space="0" w:color="auto"/>
            </w:tcBorders>
            <w:noWrap/>
            <w:vAlign w:val="center"/>
          </w:tcPr>
          <w:p w14:paraId="58F027BA" w14:textId="351F1059"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c>
          <w:tcPr>
            <w:tcW w:w="1244" w:type="dxa"/>
            <w:tcBorders>
              <w:top w:val="single" w:sz="4" w:space="0" w:color="auto"/>
              <w:left w:val="nil"/>
              <w:bottom w:val="single" w:sz="4" w:space="0" w:color="auto"/>
              <w:right w:val="single" w:sz="4" w:space="0" w:color="auto"/>
            </w:tcBorders>
            <w:noWrap/>
            <w:vAlign w:val="center"/>
          </w:tcPr>
          <w:p w14:paraId="1030EE14" w14:textId="6B8E4248" w:rsidR="00EE7FE2" w:rsidRPr="00F936B6" w:rsidRDefault="00EE7FE2" w:rsidP="008241B5">
            <w:pPr>
              <w:keepNext/>
              <w:keepLines/>
              <w:jc w:val="left"/>
              <w:rPr>
                <w:rFonts w:ascii="Arial Narrow" w:eastAsiaTheme="majorEastAsia" w:hAnsi="Arial Narrow" w:cstheme="majorBidi"/>
                <w:bCs/>
                <w:sz w:val="20"/>
              </w:rPr>
            </w:pPr>
            <w:r w:rsidRPr="00F936B6">
              <w:rPr>
                <w:rFonts w:ascii="Arial Narrow" w:eastAsiaTheme="majorEastAsia" w:hAnsi="Arial Narrow" w:cstheme="majorBidi"/>
                <w:bCs/>
                <w:sz w:val="20"/>
              </w:rPr>
              <w:t>$</w:t>
            </w:r>
            <w:r w:rsidR="006340CE" w:rsidRPr="006340CE">
              <w:rPr>
                <w:rFonts w:ascii="Arial Narrow" w:eastAsiaTheme="majorEastAsia" w:hAnsi="Arial Narrow" w:cstheme="majorBidi"/>
                <w:bCs/>
                <w:sz w:val="2"/>
                <w:highlight w:val="black"/>
              </w:rPr>
              <w:t>redacted content</w:t>
            </w:r>
          </w:p>
        </w:tc>
      </w:tr>
      <w:tr w:rsidR="00EE7FE2" w:rsidRPr="00F936B6" w14:paraId="321A3845" w14:textId="77777777" w:rsidTr="00EE7FE2">
        <w:tc>
          <w:tcPr>
            <w:tcW w:w="2547" w:type="dxa"/>
            <w:shd w:val="clear" w:color="000000" w:fill="FFFFFF"/>
            <w:vAlign w:val="center"/>
          </w:tcPr>
          <w:p w14:paraId="2DABC436" w14:textId="77777777" w:rsidR="00EE7FE2" w:rsidRPr="00F936B6" w:rsidRDefault="00EE7FE2" w:rsidP="008241B5">
            <w:pPr>
              <w:keepNext/>
              <w:keepLines/>
              <w:jc w:val="left"/>
              <w:rPr>
                <w:rFonts w:ascii="Arial Narrow" w:eastAsiaTheme="majorEastAsia" w:hAnsi="Arial Narrow" w:cstheme="majorBidi"/>
                <w:b/>
                <w:sz w:val="20"/>
              </w:rPr>
            </w:pPr>
            <w:r w:rsidRPr="00F936B6">
              <w:rPr>
                <w:rFonts w:ascii="Arial Narrow" w:eastAsiaTheme="majorEastAsia" w:hAnsi="Arial Narrow" w:cstheme="majorBidi"/>
                <w:b/>
                <w:sz w:val="20"/>
              </w:rPr>
              <w:t>Proposed subsidisation caps</w:t>
            </w:r>
          </w:p>
        </w:tc>
        <w:tc>
          <w:tcPr>
            <w:tcW w:w="1501" w:type="dxa"/>
            <w:tcBorders>
              <w:top w:val="single" w:sz="4" w:space="0" w:color="auto"/>
              <w:left w:val="single" w:sz="4" w:space="0" w:color="auto"/>
              <w:bottom w:val="single" w:sz="4" w:space="0" w:color="auto"/>
              <w:right w:val="single" w:sz="4" w:space="0" w:color="auto"/>
            </w:tcBorders>
            <w:noWrap/>
            <w:vAlign w:val="center"/>
          </w:tcPr>
          <w:p w14:paraId="319323CF" w14:textId="3160782B" w:rsidR="00EE7FE2" w:rsidRPr="00F936B6" w:rsidRDefault="00EE7FE2" w:rsidP="008241B5">
            <w:pPr>
              <w:keepNext/>
              <w:keepLines/>
              <w:jc w:val="left"/>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p>
        </w:tc>
        <w:tc>
          <w:tcPr>
            <w:tcW w:w="1241" w:type="dxa"/>
            <w:tcBorders>
              <w:top w:val="single" w:sz="4" w:space="0" w:color="auto"/>
              <w:left w:val="single" w:sz="4" w:space="0" w:color="auto"/>
              <w:bottom w:val="single" w:sz="4" w:space="0" w:color="auto"/>
              <w:right w:val="single" w:sz="4" w:space="0" w:color="auto"/>
            </w:tcBorders>
            <w:noWrap/>
            <w:vAlign w:val="center"/>
          </w:tcPr>
          <w:p w14:paraId="74D18E05" w14:textId="523D2730" w:rsidR="00EE7FE2" w:rsidRPr="00F936B6" w:rsidRDefault="00EE7FE2" w:rsidP="008241B5">
            <w:pPr>
              <w:keepNext/>
              <w:keepLines/>
              <w:jc w:val="left"/>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p>
        </w:tc>
        <w:tc>
          <w:tcPr>
            <w:tcW w:w="1241" w:type="dxa"/>
            <w:tcBorders>
              <w:top w:val="single" w:sz="4" w:space="0" w:color="auto"/>
              <w:left w:val="nil"/>
              <w:bottom w:val="single" w:sz="4" w:space="0" w:color="auto"/>
              <w:right w:val="single" w:sz="4" w:space="0" w:color="auto"/>
            </w:tcBorders>
            <w:noWrap/>
            <w:vAlign w:val="center"/>
          </w:tcPr>
          <w:p w14:paraId="26423D25" w14:textId="3BBBF45F" w:rsidR="00EE7FE2" w:rsidRPr="00F936B6" w:rsidRDefault="00EE7FE2" w:rsidP="008241B5">
            <w:pPr>
              <w:keepNext/>
              <w:keepLines/>
              <w:jc w:val="left"/>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p>
        </w:tc>
        <w:tc>
          <w:tcPr>
            <w:tcW w:w="1247" w:type="dxa"/>
            <w:tcBorders>
              <w:top w:val="single" w:sz="4" w:space="0" w:color="auto"/>
              <w:left w:val="nil"/>
              <w:bottom w:val="single" w:sz="4" w:space="0" w:color="auto"/>
              <w:right w:val="single" w:sz="4" w:space="0" w:color="auto"/>
            </w:tcBorders>
            <w:noWrap/>
            <w:vAlign w:val="center"/>
          </w:tcPr>
          <w:p w14:paraId="56307A80" w14:textId="2D6D9192" w:rsidR="00EE7FE2" w:rsidRPr="00F936B6" w:rsidRDefault="00EE7FE2" w:rsidP="008241B5">
            <w:pPr>
              <w:keepNext/>
              <w:keepLines/>
              <w:jc w:val="left"/>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p>
        </w:tc>
        <w:tc>
          <w:tcPr>
            <w:tcW w:w="1244" w:type="dxa"/>
            <w:tcBorders>
              <w:top w:val="single" w:sz="4" w:space="0" w:color="auto"/>
              <w:left w:val="nil"/>
              <w:bottom w:val="single" w:sz="4" w:space="0" w:color="auto"/>
              <w:right w:val="single" w:sz="4" w:space="0" w:color="auto"/>
            </w:tcBorders>
            <w:noWrap/>
            <w:vAlign w:val="center"/>
          </w:tcPr>
          <w:p w14:paraId="1CD853F9" w14:textId="58518464" w:rsidR="00EE7FE2" w:rsidRPr="00F936B6" w:rsidRDefault="00EE7FE2" w:rsidP="008241B5">
            <w:pPr>
              <w:keepNext/>
              <w:keepLines/>
              <w:jc w:val="left"/>
              <w:rPr>
                <w:rFonts w:ascii="Arial Narrow" w:eastAsiaTheme="majorEastAsia" w:hAnsi="Arial Narrow" w:cstheme="majorBidi"/>
                <w:b/>
                <w:sz w:val="20"/>
              </w:rPr>
            </w:pPr>
            <w:r w:rsidRPr="00F936B6">
              <w:rPr>
                <w:rFonts w:ascii="Arial Narrow" w:eastAsiaTheme="majorEastAsia" w:hAnsi="Arial Narrow" w:cstheme="majorBidi"/>
                <w:b/>
                <w:sz w:val="20"/>
              </w:rPr>
              <w:t>$</w:t>
            </w:r>
            <w:r w:rsidR="006340CE" w:rsidRPr="006340CE">
              <w:rPr>
                <w:rFonts w:ascii="Arial Narrow" w:eastAsiaTheme="majorEastAsia" w:hAnsi="Arial Narrow" w:cstheme="majorBidi"/>
                <w:b/>
                <w:sz w:val="2"/>
                <w:highlight w:val="black"/>
              </w:rPr>
              <w:t>redacted content</w:t>
            </w:r>
          </w:p>
        </w:tc>
      </w:tr>
    </w:tbl>
    <w:p w14:paraId="32ED8D7A" w14:textId="77777777" w:rsidR="00EE7FE2" w:rsidRPr="00EE7FE2" w:rsidRDefault="00EE7FE2" w:rsidP="009C2B6F">
      <w:pPr>
        <w:pStyle w:val="TableFigureFooter"/>
      </w:pPr>
      <w:r w:rsidRPr="00EE7FE2">
        <w:t>Source: Table 4.28, p197 of the submission.</w:t>
      </w:r>
    </w:p>
    <w:p w14:paraId="5E595610" w14:textId="77777777" w:rsidR="00EE7FE2" w:rsidRPr="00EE7FE2" w:rsidRDefault="00EE7FE2" w:rsidP="009C2B6F">
      <w:pPr>
        <w:pStyle w:val="TableFigureFooter"/>
      </w:pPr>
      <w:r w:rsidRPr="00EE7FE2">
        <w:t>HER2 = human epidermal growth factor receptor 2; T-</w:t>
      </w:r>
      <w:proofErr w:type="spellStart"/>
      <w:r w:rsidRPr="00EE7FE2">
        <w:t>DXd</w:t>
      </w:r>
      <w:proofErr w:type="spellEnd"/>
      <w:r w:rsidRPr="00EE7FE2">
        <w:t xml:space="preserve"> = trastuzumab deruxtecan.</w:t>
      </w:r>
    </w:p>
    <w:p w14:paraId="24478E5D" w14:textId="177FCFC5" w:rsidR="00EE7FE2" w:rsidRPr="00EE7FE2" w:rsidRDefault="00EE7FE2" w:rsidP="009C2B6F">
      <w:pPr>
        <w:pStyle w:val="TableFigureFooter"/>
      </w:pPr>
      <w:r w:rsidRPr="00EE7FE2">
        <w:rPr>
          <w:vertAlign w:val="superscript"/>
        </w:rPr>
        <w:t xml:space="preserve">a </w:t>
      </w:r>
      <w:r w:rsidRPr="00EE7FE2">
        <w:t>AEMP for T-</w:t>
      </w:r>
      <w:proofErr w:type="spellStart"/>
      <w:r w:rsidRPr="00EE7FE2">
        <w:t>DXd</w:t>
      </w:r>
      <w:proofErr w:type="spellEnd"/>
      <w:r w:rsidRPr="00EE7FE2">
        <w:t xml:space="preserve"> </w:t>
      </w:r>
      <w:r w:rsidRPr="00FE33BF">
        <w:t>was $</w:t>
      </w:r>
      <w:r w:rsidR="006340CE" w:rsidRPr="006340CE">
        <w:rPr>
          <w:sz w:val="2"/>
          <w:highlight w:val="black"/>
        </w:rPr>
        <w:t>redacted content</w:t>
      </w:r>
      <w:r w:rsidRPr="00EE7FE2">
        <w:t xml:space="preserve"> per vial</w:t>
      </w:r>
    </w:p>
    <w:p w14:paraId="57A5110E" w14:textId="01FE6605" w:rsidR="00ED4724" w:rsidRPr="001720A5" w:rsidRDefault="00EE7FE2" w:rsidP="009C2B6F">
      <w:pPr>
        <w:pStyle w:val="TableFigureFooter"/>
      </w:pPr>
      <w:r w:rsidRPr="00EE7FE2">
        <w:rPr>
          <w:vertAlign w:val="superscript"/>
        </w:rPr>
        <w:t xml:space="preserve">b </w:t>
      </w:r>
      <w:r w:rsidRPr="00EE7FE2">
        <w:t>AEMP for T-</w:t>
      </w:r>
      <w:proofErr w:type="spellStart"/>
      <w:r w:rsidRPr="00EE7FE2">
        <w:t>DXd</w:t>
      </w:r>
      <w:proofErr w:type="spellEnd"/>
      <w:r w:rsidRPr="00EE7FE2">
        <w:t xml:space="preserve"> is $</w:t>
      </w:r>
      <w:r w:rsidR="006340CE" w:rsidRPr="006340CE">
        <w:rPr>
          <w:sz w:val="2"/>
          <w:highlight w:val="black"/>
        </w:rPr>
        <w:t>redacted content</w:t>
      </w:r>
      <w:r w:rsidRPr="00EE7FE2">
        <w:t xml:space="preserve"> per vial </w:t>
      </w:r>
      <w:bookmarkEnd w:id="80"/>
    </w:p>
    <w:p w14:paraId="59DC7A20" w14:textId="25E1FC08" w:rsidR="00D858CA" w:rsidRPr="007D017C" w:rsidRDefault="00D858CA" w:rsidP="008241B5">
      <w:pPr>
        <w:numPr>
          <w:ilvl w:val="1"/>
          <w:numId w:val="7"/>
        </w:numPr>
        <w:spacing w:before="60" w:after="60"/>
        <w:rPr>
          <w:rFonts w:asciiTheme="minorHAnsi" w:hAnsiTheme="minorHAnsi"/>
          <w:iCs/>
        </w:rPr>
      </w:pPr>
      <w:r w:rsidRPr="007D017C">
        <w:rPr>
          <w:rFonts w:asciiTheme="minorHAnsi" w:hAnsiTheme="minorHAnsi"/>
          <w:iCs/>
        </w:rPr>
        <w:t>The</w:t>
      </w:r>
      <w:r w:rsidR="000559F1" w:rsidRPr="007D017C">
        <w:rPr>
          <w:rFonts w:asciiTheme="minorHAnsi" w:hAnsiTheme="minorHAnsi"/>
          <w:iCs/>
        </w:rPr>
        <w:t xml:space="preserve"> current HER2-low </w:t>
      </w:r>
      <w:r w:rsidR="00E87A2F" w:rsidRPr="007D017C">
        <w:rPr>
          <w:rFonts w:asciiTheme="minorHAnsi" w:hAnsiTheme="minorHAnsi"/>
          <w:iCs/>
        </w:rPr>
        <w:t xml:space="preserve">RSA caps </w:t>
      </w:r>
      <w:r w:rsidR="002A7006">
        <w:rPr>
          <w:rFonts w:asciiTheme="minorHAnsi" w:hAnsiTheme="minorHAnsi"/>
          <w:iCs/>
        </w:rPr>
        <w:t>were</w:t>
      </w:r>
      <w:r w:rsidR="00835DB2" w:rsidRPr="007D017C">
        <w:rPr>
          <w:rFonts w:asciiTheme="minorHAnsi" w:hAnsiTheme="minorHAnsi"/>
          <w:iCs/>
        </w:rPr>
        <w:t xml:space="preserve"> </w:t>
      </w:r>
      <w:r w:rsidR="002A7006">
        <w:rPr>
          <w:rFonts w:asciiTheme="minorHAnsi" w:hAnsiTheme="minorHAnsi"/>
          <w:iCs/>
        </w:rPr>
        <w:t>expected</w:t>
      </w:r>
      <w:r w:rsidR="00835DB2" w:rsidRPr="007D017C">
        <w:rPr>
          <w:rFonts w:asciiTheme="minorHAnsi" w:hAnsiTheme="minorHAnsi"/>
          <w:iCs/>
        </w:rPr>
        <w:t xml:space="preserve"> to be exceeded to achieve a </w:t>
      </w:r>
      <w:r w:rsidR="00391F28">
        <w:rPr>
          <w:rFonts w:asciiTheme="minorHAnsi" w:hAnsiTheme="minorHAnsi"/>
          <w:iCs/>
        </w:rPr>
        <w:t xml:space="preserve">cost-effective price. </w:t>
      </w:r>
    </w:p>
    <w:p w14:paraId="6A0F1B31" w14:textId="20EFD9D8" w:rsidR="00ED4724" w:rsidRPr="00453A02" w:rsidRDefault="00ED4724" w:rsidP="006B3820">
      <w:pPr>
        <w:ind w:firstLine="720"/>
        <w:rPr>
          <w:rFonts w:asciiTheme="minorHAnsi" w:hAnsiTheme="minorHAnsi"/>
          <w:i/>
        </w:rPr>
      </w:pPr>
      <w:r w:rsidRPr="00C33D30">
        <w:rPr>
          <w:rFonts w:asciiTheme="minorHAnsi" w:hAnsiTheme="minorHAnsi"/>
          <w:i/>
        </w:rPr>
        <w:t>For more detail on PBAC’s view, see section 7 PBAC outcome.</w:t>
      </w:r>
    </w:p>
    <w:p w14:paraId="1DBA75C4" w14:textId="77777777" w:rsidR="00A35878" w:rsidRPr="0090150D" w:rsidRDefault="00A35878" w:rsidP="008241B5">
      <w:pPr>
        <w:pStyle w:val="2-SectionHeading"/>
        <w:numPr>
          <w:ilvl w:val="0"/>
          <w:numId w:val="1"/>
        </w:numPr>
      </w:pPr>
      <w:bookmarkStart w:id="96" w:name="_Hlk76381249"/>
      <w:bookmarkStart w:id="97" w:name="_Hlk76377955"/>
      <w:r w:rsidRPr="0090150D">
        <w:t>PBAC Outcome</w:t>
      </w:r>
    </w:p>
    <w:p w14:paraId="57C2A253" w14:textId="089BC69E" w:rsidR="00145D76" w:rsidRPr="00777D96" w:rsidRDefault="00A35878" w:rsidP="008241B5">
      <w:pPr>
        <w:numPr>
          <w:ilvl w:val="1"/>
          <w:numId w:val="1"/>
        </w:numPr>
        <w:spacing w:after="120"/>
        <w:rPr>
          <w:rFonts w:asciiTheme="minorHAnsi" w:hAnsiTheme="minorHAnsi"/>
          <w:snapToGrid w:val="0"/>
        </w:rPr>
      </w:pPr>
      <w:r w:rsidRPr="00777D96">
        <w:rPr>
          <w:rFonts w:asciiTheme="minorHAnsi" w:hAnsiTheme="minorHAnsi"/>
          <w:snapToGrid w:val="0"/>
          <w:lang w:val="en-GB"/>
        </w:rPr>
        <w:t>The PBAC did not recommend</w:t>
      </w:r>
      <w:r w:rsidR="00A4763E" w:rsidRPr="00777D96">
        <w:rPr>
          <w:rFonts w:asciiTheme="minorHAnsi" w:hAnsiTheme="minorHAnsi"/>
          <w:snapToGrid w:val="0"/>
          <w:lang w:val="en-GB"/>
        </w:rPr>
        <w:t xml:space="preserve"> </w:t>
      </w:r>
      <w:r w:rsidR="006F746A" w:rsidRPr="00777D96">
        <w:rPr>
          <w:rFonts w:asciiTheme="minorHAnsi" w:hAnsiTheme="minorHAnsi"/>
          <w:snapToGrid w:val="0"/>
          <w:lang w:val="en-GB"/>
        </w:rPr>
        <w:t>trastuzumab deruxtecan</w:t>
      </w:r>
      <w:r w:rsidR="00363EE2" w:rsidRPr="00777D96">
        <w:rPr>
          <w:rFonts w:asciiTheme="minorHAnsi" w:hAnsiTheme="minorHAnsi"/>
          <w:snapToGrid w:val="0"/>
          <w:lang w:val="en-GB"/>
        </w:rPr>
        <w:t xml:space="preserve"> (</w:t>
      </w:r>
      <w:r w:rsidR="00864725" w:rsidRPr="00777D96">
        <w:rPr>
          <w:rFonts w:asciiTheme="minorHAnsi" w:hAnsiTheme="minorHAnsi"/>
          <w:snapToGrid w:val="0"/>
          <w:lang w:val="en-GB"/>
        </w:rPr>
        <w:t>T-</w:t>
      </w:r>
      <w:proofErr w:type="spellStart"/>
      <w:r w:rsidR="00864725" w:rsidRPr="00777D96">
        <w:rPr>
          <w:rFonts w:asciiTheme="minorHAnsi" w:hAnsiTheme="minorHAnsi"/>
          <w:snapToGrid w:val="0"/>
          <w:lang w:val="en-GB"/>
        </w:rPr>
        <w:t>DXd</w:t>
      </w:r>
      <w:proofErr w:type="spellEnd"/>
      <w:r w:rsidR="00363EE2" w:rsidRPr="00777D96">
        <w:rPr>
          <w:rFonts w:asciiTheme="minorHAnsi" w:hAnsiTheme="minorHAnsi"/>
          <w:snapToGrid w:val="0"/>
          <w:lang w:val="en-GB"/>
        </w:rPr>
        <w:t>)</w:t>
      </w:r>
      <w:r w:rsidR="006F746A" w:rsidRPr="00777D96">
        <w:rPr>
          <w:rFonts w:asciiTheme="minorHAnsi" w:hAnsiTheme="minorHAnsi"/>
          <w:snapToGrid w:val="0"/>
          <w:lang w:val="en-GB"/>
        </w:rPr>
        <w:t xml:space="preserve"> for</w:t>
      </w:r>
      <w:r w:rsidR="00706D49" w:rsidRPr="0098262F">
        <w:t xml:space="preserve"> the treatment of </w:t>
      </w:r>
      <w:r w:rsidR="00706D49" w:rsidRPr="00CA2B57">
        <w:t>adult patients with hormone receptor positive (HR-positive) human epidermal growth factor receptor 2 (HER2)-low or HER2-ultralow unresectable and/or metastatic breast cancer</w:t>
      </w:r>
      <w:r w:rsidR="00FF2229">
        <w:t xml:space="preserve"> (mBC)</w:t>
      </w:r>
      <w:r w:rsidR="00706D49" w:rsidRPr="00CA2B57">
        <w:t xml:space="preserve"> who have received at least one prior line of endocrine therapy </w:t>
      </w:r>
      <w:r w:rsidR="00706D49">
        <w:t xml:space="preserve">(ET) </w:t>
      </w:r>
      <w:r w:rsidR="00706D49" w:rsidRPr="00CA2B57">
        <w:t xml:space="preserve">in the metastatic setting and are no longer suitable for further </w:t>
      </w:r>
      <w:r w:rsidR="00706D49">
        <w:t>ET</w:t>
      </w:r>
      <w:r w:rsidR="00706D49" w:rsidRPr="00CA2B57">
        <w:t>.</w:t>
      </w:r>
      <w:r w:rsidR="003A3C9E">
        <w:t xml:space="preserve"> </w:t>
      </w:r>
      <w:r w:rsidR="000813FF">
        <w:t xml:space="preserve">The PBAC noted the modest </w:t>
      </w:r>
      <w:r w:rsidR="004D4EAA">
        <w:t>progression free survival benefit and increased toxicity demonstrated in the key trial</w:t>
      </w:r>
      <w:r w:rsidR="00501417">
        <w:t>, compared to</w:t>
      </w:r>
      <w:r w:rsidR="00C02E6E">
        <w:t xml:space="preserve"> the</w:t>
      </w:r>
      <w:r w:rsidR="00501417">
        <w:t xml:space="preserve"> </w:t>
      </w:r>
      <w:r w:rsidR="00C02E6E" w:rsidRPr="00777D96">
        <w:rPr>
          <w:bCs/>
        </w:rPr>
        <w:t>investigator’s choice of chemotherapy (ICC).</w:t>
      </w:r>
      <w:r w:rsidR="002F5E42" w:rsidRPr="00777D96">
        <w:rPr>
          <w:rFonts w:asciiTheme="minorHAnsi" w:hAnsiTheme="minorHAnsi"/>
          <w:snapToGrid w:val="0"/>
          <w:lang w:val="en-GB"/>
        </w:rPr>
        <w:t xml:space="preserve"> </w:t>
      </w:r>
      <w:r w:rsidR="002057D2" w:rsidRPr="00777D96">
        <w:rPr>
          <w:rFonts w:asciiTheme="minorHAnsi" w:hAnsiTheme="minorHAnsi"/>
          <w:snapToGrid w:val="0"/>
          <w:lang w:val="en-GB"/>
        </w:rPr>
        <w:t xml:space="preserve">The PBAC also noted that </w:t>
      </w:r>
      <w:r w:rsidR="00A00DCB" w:rsidRPr="00777D96">
        <w:rPr>
          <w:rFonts w:asciiTheme="minorHAnsi" w:hAnsiTheme="minorHAnsi"/>
          <w:snapToGrid w:val="0"/>
          <w:lang w:val="en-GB"/>
        </w:rPr>
        <w:t xml:space="preserve">evidence in the HER2-ultralow population was limited and the magnitude of benefit highly uncertain. </w:t>
      </w:r>
      <w:r w:rsidR="00E7007A" w:rsidRPr="00777D96">
        <w:rPr>
          <w:rFonts w:asciiTheme="minorHAnsi" w:hAnsiTheme="minorHAnsi"/>
          <w:snapToGrid w:val="0"/>
          <w:lang w:val="en-GB"/>
        </w:rPr>
        <w:t xml:space="preserve">The PBAC considered that the </w:t>
      </w:r>
      <w:r w:rsidR="00E7007A" w:rsidRPr="00777D96">
        <w:rPr>
          <w:rFonts w:asciiTheme="minorHAnsi" w:hAnsiTheme="minorHAnsi"/>
          <w:snapToGrid w:val="0"/>
        </w:rPr>
        <w:t>incremental cost</w:t>
      </w:r>
      <w:r w:rsidR="00777D96" w:rsidRPr="00777D96">
        <w:rPr>
          <w:rFonts w:asciiTheme="minorHAnsi" w:hAnsiTheme="minorHAnsi"/>
          <w:snapToGrid w:val="0"/>
        </w:rPr>
        <w:t xml:space="preserve">-effectiveness ratio </w:t>
      </w:r>
      <w:r w:rsidR="00E7007A" w:rsidRPr="00777D96">
        <w:rPr>
          <w:rFonts w:asciiTheme="minorHAnsi" w:hAnsiTheme="minorHAnsi"/>
          <w:snapToGrid w:val="0"/>
        </w:rPr>
        <w:t xml:space="preserve">presented in the submission was uncertain and likely underestimated. </w:t>
      </w:r>
      <w:r w:rsidR="00B911AA" w:rsidRPr="00777D96">
        <w:rPr>
          <w:rFonts w:asciiTheme="minorHAnsi" w:hAnsiTheme="minorHAnsi"/>
          <w:snapToGrid w:val="0"/>
          <w:lang w:val="en-GB"/>
        </w:rPr>
        <w:t xml:space="preserve">The PBAC </w:t>
      </w:r>
      <w:r w:rsidR="004E51DE" w:rsidRPr="00777D96">
        <w:rPr>
          <w:rFonts w:asciiTheme="minorHAnsi" w:hAnsiTheme="minorHAnsi"/>
          <w:snapToGrid w:val="0"/>
          <w:lang w:val="en-GB"/>
        </w:rPr>
        <w:t>considered that the financial estimates</w:t>
      </w:r>
      <w:r w:rsidR="004506A4" w:rsidRPr="00777D96">
        <w:rPr>
          <w:rFonts w:asciiTheme="minorHAnsi" w:hAnsiTheme="minorHAnsi"/>
          <w:snapToGrid w:val="0"/>
          <w:lang w:val="en-GB"/>
        </w:rPr>
        <w:t xml:space="preserve"> were </w:t>
      </w:r>
      <w:r w:rsidR="00C07678">
        <w:rPr>
          <w:rFonts w:asciiTheme="minorHAnsi" w:hAnsiTheme="minorHAnsi"/>
          <w:snapToGrid w:val="0"/>
          <w:lang w:val="en-GB"/>
        </w:rPr>
        <w:t xml:space="preserve">highly </w:t>
      </w:r>
      <w:r w:rsidR="004506A4" w:rsidRPr="00777D96">
        <w:rPr>
          <w:rFonts w:asciiTheme="minorHAnsi" w:hAnsiTheme="minorHAnsi"/>
          <w:snapToGrid w:val="0"/>
          <w:lang w:val="en-GB"/>
        </w:rPr>
        <w:t xml:space="preserve">uncertain due to the </w:t>
      </w:r>
      <w:r w:rsidR="00424C11" w:rsidRPr="00777D96">
        <w:rPr>
          <w:rFonts w:asciiTheme="minorHAnsi" w:hAnsiTheme="minorHAnsi"/>
          <w:snapToGrid w:val="0"/>
          <w:lang w:val="en-GB"/>
        </w:rPr>
        <w:t>potential for uptake in patients otherwise treated with oral cap</w:t>
      </w:r>
      <w:r w:rsidR="00454E7B">
        <w:rPr>
          <w:rFonts w:asciiTheme="minorHAnsi" w:hAnsiTheme="minorHAnsi"/>
          <w:snapToGrid w:val="0"/>
          <w:lang w:val="en-GB"/>
        </w:rPr>
        <w:t>e</w:t>
      </w:r>
      <w:r w:rsidR="00424C11" w:rsidRPr="00777D96">
        <w:rPr>
          <w:rFonts w:asciiTheme="minorHAnsi" w:hAnsiTheme="minorHAnsi"/>
          <w:snapToGrid w:val="0"/>
          <w:lang w:val="en-GB"/>
        </w:rPr>
        <w:t xml:space="preserve">citabine and because offsets from </w:t>
      </w:r>
      <w:r w:rsidR="004D627C" w:rsidRPr="00777D96">
        <w:rPr>
          <w:rFonts w:asciiTheme="minorHAnsi" w:hAnsiTheme="minorHAnsi"/>
          <w:snapToGrid w:val="0"/>
          <w:lang w:val="en-GB"/>
        </w:rPr>
        <w:t>later-line T-</w:t>
      </w:r>
      <w:proofErr w:type="spellStart"/>
      <w:r w:rsidR="004D627C" w:rsidRPr="00777D96">
        <w:rPr>
          <w:rFonts w:asciiTheme="minorHAnsi" w:hAnsiTheme="minorHAnsi"/>
          <w:snapToGrid w:val="0"/>
          <w:lang w:val="en-GB"/>
        </w:rPr>
        <w:t>DXd</w:t>
      </w:r>
      <w:proofErr w:type="spellEnd"/>
      <w:r w:rsidR="004D627C" w:rsidRPr="00777D96">
        <w:rPr>
          <w:rFonts w:asciiTheme="minorHAnsi" w:hAnsiTheme="minorHAnsi"/>
          <w:snapToGrid w:val="0"/>
          <w:lang w:val="en-GB"/>
        </w:rPr>
        <w:t xml:space="preserve"> did not appear plausible.</w:t>
      </w:r>
      <w:r w:rsidR="008241B5">
        <w:rPr>
          <w:rFonts w:asciiTheme="minorHAnsi" w:hAnsiTheme="minorHAnsi"/>
          <w:snapToGrid w:val="0"/>
          <w:lang w:val="en-GB"/>
        </w:rPr>
        <w:t xml:space="preserve"> </w:t>
      </w:r>
    </w:p>
    <w:p w14:paraId="6A10A59A" w14:textId="5A8C3FC5" w:rsidR="00D6746F" w:rsidRPr="006867FC" w:rsidRDefault="00D6746F" w:rsidP="008241B5">
      <w:pPr>
        <w:numPr>
          <w:ilvl w:val="1"/>
          <w:numId w:val="1"/>
        </w:numPr>
        <w:spacing w:after="120"/>
        <w:rPr>
          <w:rFonts w:asciiTheme="minorHAnsi" w:hAnsiTheme="minorHAnsi"/>
          <w:snapToGrid w:val="0"/>
          <w:lang w:val="en-GB"/>
        </w:rPr>
      </w:pPr>
      <w:bookmarkStart w:id="98" w:name="_Hlk216251321"/>
      <w:r w:rsidRPr="00623A83">
        <w:rPr>
          <w:rFonts w:asciiTheme="minorHAnsi" w:hAnsiTheme="minorHAnsi"/>
          <w:snapToGrid w:val="0"/>
          <w:lang w:val="en-GB"/>
        </w:rPr>
        <w:t xml:space="preserve">The PBAC considered that the primary reason for this outcome was the </w:t>
      </w:r>
      <w:r>
        <w:rPr>
          <w:rFonts w:asciiTheme="minorHAnsi" w:hAnsiTheme="minorHAnsi"/>
          <w:snapToGrid w:val="0"/>
          <w:lang w:val="en-GB"/>
        </w:rPr>
        <w:t>economic evaluation</w:t>
      </w:r>
      <w:r w:rsidRPr="00623A83">
        <w:rPr>
          <w:rFonts w:asciiTheme="minorHAnsi" w:hAnsiTheme="minorHAnsi"/>
          <w:snapToGrid w:val="0"/>
          <w:lang w:val="en-GB"/>
        </w:rPr>
        <w:t>.</w:t>
      </w:r>
      <w:r w:rsidR="008241B5">
        <w:rPr>
          <w:rFonts w:asciiTheme="minorHAnsi" w:hAnsiTheme="minorHAnsi"/>
          <w:snapToGrid w:val="0"/>
        </w:rPr>
        <w:t xml:space="preserve"> </w:t>
      </w:r>
    </w:p>
    <w:p w14:paraId="045A7F4F" w14:textId="6BF9F252" w:rsidR="006867FC" w:rsidRPr="006867FC" w:rsidRDefault="006867FC" w:rsidP="008241B5">
      <w:pPr>
        <w:numPr>
          <w:ilvl w:val="1"/>
          <w:numId w:val="1"/>
        </w:numPr>
        <w:spacing w:after="120"/>
        <w:rPr>
          <w:rFonts w:asciiTheme="minorHAnsi" w:hAnsiTheme="minorHAnsi"/>
          <w:snapToGrid w:val="0"/>
          <w:lang w:val="en-GB"/>
        </w:rPr>
      </w:pPr>
      <w:r>
        <w:rPr>
          <w:rFonts w:asciiTheme="minorHAnsi" w:hAnsiTheme="minorHAnsi"/>
          <w:snapToGrid w:val="0"/>
        </w:rPr>
        <w:t xml:space="preserve">The PBAC acknowledged the consumer comments from health professionals and professional organisations which were supportive of the submission and highlighted the burden that </w:t>
      </w:r>
      <w:r w:rsidR="003E16B9">
        <w:rPr>
          <w:rFonts w:asciiTheme="minorHAnsi" w:hAnsiTheme="minorHAnsi"/>
          <w:snapToGrid w:val="0"/>
        </w:rPr>
        <w:t>m</w:t>
      </w:r>
      <w:r>
        <w:rPr>
          <w:rFonts w:asciiTheme="minorHAnsi" w:hAnsiTheme="minorHAnsi"/>
          <w:snapToGrid w:val="0"/>
        </w:rPr>
        <w:t xml:space="preserve">BC and its treatments put on patients and the important clinical need for </w:t>
      </w:r>
      <w:r w:rsidR="00C07678">
        <w:rPr>
          <w:rFonts w:asciiTheme="minorHAnsi" w:hAnsiTheme="minorHAnsi"/>
          <w:snapToGrid w:val="0"/>
        </w:rPr>
        <w:t xml:space="preserve">choice to enable </w:t>
      </w:r>
      <w:r>
        <w:rPr>
          <w:rFonts w:asciiTheme="minorHAnsi" w:hAnsiTheme="minorHAnsi"/>
          <w:snapToGrid w:val="0"/>
        </w:rPr>
        <w:t xml:space="preserve">earlier and broader access to </w:t>
      </w:r>
      <w:r w:rsidR="00864725">
        <w:rPr>
          <w:rFonts w:asciiTheme="minorHAnsi" w:hAnsiTheme="minorHAnsi"/>
          <w:snapToGrid w:val="0"/>
        </w:rPr>
        <w:t>T-</w:t>
      </w:r>
      <w:proofErr w:type="spellStart"/>
      <w:r w:rsidR="00864725">
        <w:rPr>
          <w:rFonts w:asciiTheme="minorHAnsi" w:hAnsiTheme="minorHAnsi"/>
          <w:snapToGrid w:val="0"/>
        </w:rPr>
        <w:t>DXd</w:t>
      </w:r>
      <w:proofErr w:type="spellEnd"/>
      <w:r w:rsidR="00C07678">
        <w:rPr>
          <w:rFonts w:asciiTheme="minorHAnsi" w:hAnsiTheme="minorHAnsi"/>
          <w:snapToGrid w:val="0"/>
        </w:rPr>
        <w:t xml:space="preserve"> in select patients</w:t>
      </w:r>
      <w:r>
        <w:rPr>
          <w:rFonts w:asciiTheme="minorHAnsi" w:hAnsiTheme="minorHAnsi"/>
          <w:snapToGrid w:val="0"/>
        </w:rPr>
        <w:t>, accepting the risk of significant toxicity.</w:t>
      </w:r>
      <w:r w:rsidR="000D6C49">
        <w:rPr>
          <w:rFonts w:asciiTheme="minorHAnsi" w:hAnsiTheme="minorHAnsi"/>
          <w:snapToGrid w:val="0"/>
        </w:rPr>
        <w:t xml:space="preserve"> </w:t>
      </w:r>
    </w:p>
    <w:bookmarkEnd w:id="98"/>
    <w:p w14:paraId="331C09D7" w14:textId="36F217E4" w:rsidR="00D009BF" w:rsidRDefault="00B26FB0" w:rsidP="008241B5">
      <w:pPr>
        <w:pStyle w:val="3-BodyText"/>
        <w:rPr>
          <w:snapToGrid w:val="0"/>
        </w:rPr>
      </w:pPr>
      <w:r>
        <w:t xml:space="preserve">The </w:t>
      </w:r>
      <w:r w:rsidR="0029786D">
        <w:t>PBAC considered</w:t>
      </w:r>
      <w:r w:rsidR="007A158B">
        <w:t xml:space="preserve"> </w:t>
      </w:r>
      <w:r w:rsidR="00C41542">
        <w:t xml:space="preserve">the clinical need for </w:t>
      </w:r>
      <w:r w:rsidR="007C085E">
        <w:t xml:space="preserve">earlier and broader access to </w:t>
      </w:r>
      <w:r w:rsidR="00864725">
        <w:t>T-</w:t>
      </w:r>
      <w:proofErr w:type="spellStart"/>
      <w:r w:rsidR="00864725">
        <w:t>DXd</w:t>
      </w:r>
      <w:proofErr w:type="spellEnd"/>
      <w:r w:rsidR="007A158B">
        <w:t xml:space="preserve"> </w:t>
      </w:r>
      <w:r w:rsidR="007C085E">
        <w:t>was low</w:t>
      </w:r>
      <w:r w:rsidR="00904620">
        <w:t xml:space="preserve">, as many treatment options are currently available </w:t>
      </w:r>
      <w:r w:rsidR="009B3AF4">
        <w:t xml:space="preserve">for </w:t>
      </w:r>
      <w:r w:rsidR="00A7374E">
        <w:t xml:space="preserve">HR-positive </w:t>
      </w:r>
      <w:r w:rsidR="003E16B9">
        <w:t>m</w:t>
      </w:r>
      <w:r w:rsidR="00904620">
        <w:t>BC</w:t>
      </w:r>
      <w:r w:rsidR="00DE171E">
        <w:t xml:space="preserve"> (e.g. hormone therapy, CKD4/6i, chemotherapy, T</w:t>
      </w:r>
      <w:r w:rsidR="00DE171E">
        <w:noBreakHyphen/>
      </w:r>
      <w:proofErr w:type="spellStart"/>
      <w:r w:rsidR="00DE171E">
        <w:t>DXd</w:t>
      </w:r>
      <w:proofErr w:type="spellEnd"/>
      <w:r w:rsidR="00DE171E">
        <w:t xml:space="preserve"> as 3L for HER2 low)</w:t>
      </w:r>
      <w:r w:rsidR="00904620">
        <w:t>.</w:t>
      </w:r>
      <w:r w:rsidR="002E22C7">
        <w:t xml:space="preserve"> </w:t>
      </w:r>
      <w:r w:rsidR="00757519" w:rsidRPr="00D50915">
        <w:rPr>
          <w:snapToGrid w:val="0"/>
        </w:rPr>
        <w:t>The PBAC</w:t>
      </w:r>
      <w:r w:rsidR="00F853B1">
        <w:rPr>
          <w:snapToGrid w:val="0"/>
        </w:rPr>
        <w:t xml:space="preserve"> </w:t>
      </w:r>
      <w:r w:rsidR="00757519" w:rsidRPr="00D50915">
        <w:rPr>
          <w:snapToGrid w:val="0"/>
        </w:rPr>
        <w:t xml:space="preserve">noted that </w:t>
      </w:r>
      <w:r w:rsidR="00864725">
        <w:rPr>
          <w:snapToGrid w:val="0"/>
        </w:rPr>
        <w:t>T-</w:t>
      </w:r>
      <w:proofErr w:type="spellStart"/>
      <w:r w:rsidR="00864725">
        <w:rPr>
          <w:snapToGrid w:val="0"/>
        </w:rPr>
        <w:t>DXd</w:t>
      </w:r>
      <w:proofErr w:type="spellEnd"/>
      <w:r w:rsidR="00757519" w:rsidRPr="00D50915">
        <w:rPr>
          <w:snapToGrid w:val="0"/>
        </w:rPr>
        <w:t xml:space="preserve"> would not </w:t>
      </w:r>
      <w:r w:rsidR="0029786D" w:rsidRPr="00D50915">
        <w:rPr>
          <w:snapToGrid w:val="0"/>
        </w:rPr>
        <w:t xml:space="preserve">decrease the </w:t>
      </w:r>
      <w:r w:rsidR="00110A42">
        <w:rPr>
          <w:snapToGrid w:val="0"/>
        </w:rPr>
        <w:t xml:space="preserve">treatment </w:t>
      </w:r>
      <w:r w:rsidR="0029786D" w:rsidRPr="00D50915">
        <w:rPr>
          <w:snapToGrid w:val="0"/>
        </w:rPr>
        <w:t xml:space="preserve">burden </w:t>
      </w:r>
      <w:r w:rsidR="00FD0D05">
        <w:rPr>
          <w:snapToGrid w:val="0"/>
        </w:rPr>
        <w:t xml:space="preserve">compared with chemotherapy </w:t>
      </w:r>
      <w:r w:rsidR="005C4D1B" w:rsidRPr="00D50915">
        <w:rPr>
          <w:snapToGrid w:val="0"/>
        </w:rPr>
        <w:t xml:space="preserve">due to </w:t>
      </w:r>
      <w:r w:rsidR="00F80038" w:rsidRPr="00D50915">
        <w:rPr>
          <w:snapToGrid w:val="0"/>
        </w:rPr>
        <w:t xml:space="preserve">the </w:t>
      </w:r>
      <w:r w:rsidR="00966554">
        <w:rPr>
          <w:snapToGrid w:val="0"/>
        </w:rPr>
        <w:t xml:space="preserve">requirement for </w:t>
      </w:r>
      <w:r w:rsidR="00F80038" w:rsidRPr="00D50915">
        <w:rPr>
          <w:snapToGrid w:val="0"/>
        </w:rPr>
        <w:t xml:space="preserve">IV </w:t>
      </w:r>
      <w:r w:rsidR="00110A42">
        <w:rPr>
          <w:snapToGrid w:val="0"/>
        </w:rPr>
        <w:t>administration</w:t>
      </w:r>
      <w:r w:rsidR="00110A42" w:rsidRPr="00D50915">
        <w:rPr>
          <w:snapToGrid w:val="0"/>
        </w:rPr>
        <w:t xml:space="preserve"> </w:t>
      </w:r>
      <w:r w:rsidR="003D1EB2" w:rsidRPr="00D50915">
        <w:rPr>
          <w:snapToGrid w:val="0"/>
        </w:rPr>
        <w:t>every three weeks</w:t>
      </w:r>
      <w:r w:rsidR="00592DD1" w:rsidRPr="00D50915">
        <w:rPr>
          <w:snapToGrid w:val="0"/>
        </w:rPr>
        <w:t xml:space="preserve">. </w:t>
      </w:r>
      <w:r w:rsidR="00B613A3" w:rsidRPr="004C015B">
        <w:rPr>
          <w:snapToGrid w:val="0"/>
        </w:rPr>
        <w:t>The PBAC noted that guidelines such as NC</w:t>
      </w:r>
      <w:r w:rsidR="00B80EF2">
        <w:rPr>
          <w:snapToGrid w:val="0"/>
        </w:rPr>
        <w:t>C</w:t>
      </w:r>
      <w:r w:rsidR="00B613A3" w:rsidRPr="004C015B">
        <w:rPr>
          <w:snapToGrid w:val="0"/>
        </w:rPr>
        <w:t xml:space="preserve">N, ESMO, and UpToDate variably recommend </w:t>
      </w:r>
      <w:r w:rsidR="00F853B1" w:rsidRPr="004C015B">
        <w:rPr>
          <w:snapToGrid w:val="0"/>
        </w:rPr>
        <w:t>T-</w:t>
      </w:r>
      <w:proofErr w:type="spellStart"/>
      <w:r w:rsidR="00F853B1" w:rsidRPr="004C015B">
        <w:rPr>
          <w:snapToGrid w:val="0"/>
        </w:rPr>
        <w:t>DXd</w:t>
      </w:r>
      <w:proofErr w:type="spellEnd"/>
      <w:r w:rsidR="00F853B1" w:rsidRPr="004C015B">
        <w:rPr>
          <w:snapToGrid w:val="0"/>
        </w:rPr>
        <w:t xml:space="preserve"> as 2L treatment </w:t>
      </w:r>
      <w:r w:rsidR="00B613A3" w:rsidRPr="004C015B">
        <w:rPr>
          <w:snapToGrid w:val="0"/>
        </w:rPr>
        <w:t xml:space="preserve">in certain circumstances such as rapidly progressive or </w:t>
      </w:r>
      <w:r w:rsidR="00B613A3" w:rsidRPr="004C015B">
        <w:rPr>
          <w:snapToGrid w:val="0"/>
        </w:rPr>
        <w:lastRenderedPageBreak/>
        <w:t>symptomatic disease or classif</w:t>
      </w:r>
      <w:r w:rsidR="00061D7B">
        <w:rPr>
          <w:snapToGrid w:val="0"/>
        </w:rPr>
        <w:t>y</w:t>
      </w:r>
      <w:r w:rsidR="00B613A3" w:rsidRPr="004C015B">
        <w:rPr>
          <w:snapToGrid w:val="0"/>
        </w:rPr>
        <w:t xml:space="preserve"> </w:t>
      </w:r>
      <w:r w:rsidR="00585DF9">
        <w:rPr>
          <w:snapToGrid w:val="0"/>
        </w:rPr>
        <w:t xml:space="preserve">it </w:t>
      </w:r>
      <w:r w:rsidR="00B613A3" w:rsidRPr="004C015B">
        <w:rPr>
          <w:snapToGrid w:val="0"/>
        </w:rPr>
        <w:t xml:space="preserve">under ‘other recommended’ </w:t>
      </w:r>
      <w:r w:rsidR="00327249">
        <w:rPr>
          <w:snapToGrid w:val="0"/>
        </w:rPr>
        <w:t>treatments</w:t>
      </w:r>
      <w:r w:rsidR="00B613A3" w:rsidRPr="004C015B">
        <w:rPr>
          <w:snapToGrid w:val="0"/>
        </w:rPr>
        <w:t xml:space="preserve">. </w:t>
      </w:r>
      <w:r w:rsidR="00BD365D">
        <w:rPr>
          <w:snapToGrid w:val="0"/>
        </w:rPr>
        <w:t>The PBAC considered that there may be some benefit in allowing earlier treatment with T</w:t>
      </w:r>
      <w:r w:rsidR="00E64630">
        <w:rPr>
          <w:snapToGrid w:val="0"/>
          <w:vertAlign w:val="subscript"/>
        </w:rPr>
        <w:softHyphen/>
      </w:r>
      <w:r w:rsidR="00407A15">
        <w:t>-</w:t>
      </w:r>
      <w:proofErr w:type="spellStart"/>
      <w:r w:rsidR="00BD365D">
        <w:rPr>
          <w:snapToGrid w:val="0"/>
        </w:rPr>
        <w:t>DXd</w:t>
      </w:r>
      <w:proofErr w:type="spellEnd"/>
      <w:r w:rsidR="00BD365D">
        <w:rPr>
          <w:snapToGrid w:val="0"/>
        </w:rPr>
        <w:t xml:space="preserve"> for some patients, </w:t>
      </w:r>
      <w:r w:rsidR="003A465C">
        <w:rPr>
          <w:snapToGrid w:val="0"/>
        </w:rPr>
        <w:t xml:space="preserve">and </w:t>
      </w:r>
      <w:r w:rsidR="00E71ECF">
        <w:rPr>
          <w:snapToGrid w:val="0"/>
        </w:rPr>
        <w:t xml:space="preserve">in </w:t>
      </w:r>
      <w:r w:rsidR="003A465C">
        <w:rPr>
          <w:snapToGrid w:val="0"/>
        </w:rPr>
        <w:t>increasing clinician and patient choice</w:t>
      </w:r>
      <w:r w:rsidR="001914B3">
        <w:rPr>
          <w:snapToGrid w:val="0"/>
        </w:rPr>
        <w:t>. H</w:t>
      </w:r>
      <w:r w:rsidR="00BD365D">
        <w:rPr>
          <w:snapToGrid w:val="0"/>
        </w:rPr>
        <w:t>owever</w:t>
      </w:r>
      <w:r w:rsidR="00AE1E96">
        <w:rPr>
          <w:snapToGrid w:val="0"/>
        </w:rPr>
        <w:t>,</w:t>
      </w:r>
      <w:r w:rsidR="00BD365D">
        <w:rPr>
          <w:snapToGrid w:val="0"/>
        </w:rPr>
        <w:t xml:space="preserve"> </w:t>
      </w:r>
      <w:r w:rsidR="00AE1E96">
        <w:rPr>
          <w:snapToGrid w:val="0"/>
        </w:rPr>
        <w:t xml:space="preserve">the PBAC considered </w:t>
      </w:r>
      <w:r w:rsidR="003E4F38">
        <w:rPr>
          <w:snapToGrid w:val="0"/>
        </w:rPr>
        <w:t>there is a lack of robust evidence</w:t>
      </w:r>
      <w:r w:rsidR="001974B0">
        <w:rPr>
          <w:snapToGrid w:val="0"/>
        </w:rPr>
        <w:t xml:space="preserve"> supporting the proposed clinical place</w:t>
      </w:r>
      <w:r w:rsidR="001914B3">
        <w:rPr>
          <w:snapToGrid w:val="0"/>
        </w:rPr>
        <w:t xml:space="preserve">, particularly in the HER2 ultralow population, and </w:t>
      </w:r>
      <w:r w:rsidR="00BD365D">
        <w:rPr>
          <w:snapToGrid w:val="0"/>
        </w:rPr>
        <w:t xml:space="preserve">the </w:t>
      </w:r>
      <w:r w:rsidR="00EB56BA">
        <w:rPr>
          <w:snapToGrid w:val="0"/>
        </w:rPr>
        <w:t xml:space="preserve">additional cost </w:t>
      </w:r>
      <w:r w:rsidR="00BC3440">
        <w:rPr>
          <w:snapToGrid w:val="0"/>
        </w:rPr>
        <w:t xml:space="preserve">associated with </w:t>
      </w:r>
      <w:r w:rsidR="003A465C">
        <w:rPr>
          <w:snapToGrid w:val="0"/>
        </w:rPr>
        <w:t xml:space="preserve">this </w:t>
      </w:r>
      <w:r w:rsidR="00AC3253">
        <w:rPr>
          <w:snapToGrid w:val="0"/>
        </w:rPr>
        <w:t xml:space="preserve">change </w:t>
      </w:r>
      <w:r w:rsidR="003A465C">
        <w:rPr>
          <w:snapToGrid w:val="0"/>
        </w:rPr>
        <w:t>was not sufficiently justified in the submission.</w:t>
      </w:r>
    </w:p>
    <w:p w14:paraId="00394A04" w14:textId="46A0D3F8" w:rsidR="00A35878" w:rsidRPr="00942A0C" w:rsidRDefault="0065382D" w:rsidP="008241B5">
      <w:pPr>
        <w:numPr>
          <w:ilvl w:val="1"/>
          <w:numId w:val="1"/>
        </w:numPr>
        <w:spacing w:after="120"/>
        <w:rPr>
          <w:snapToGrid w:val="0"/>
          <w:lang w:val="en-GB"/>
        </w:rPr>
      </w:pPr>
      <w:r w:rsidRPr="0065382D">
        <w:rPr>
          <w:snapToGrid w:val="0"/>
          <w:lang w:val="en-GB"/>
        </w:rPr>
        <w:t xml:space="preserve">The PBAC considered that the proposed comparator of single-agent chemotherapy </w:t>
      </w:r>
      <w:r w:rsidR="00F508B8">
        <w:rPr>
          <w:snapToGrid w:val="0"/>
          <w:lang w:val="en-GB"/>
        </w:rPr>
        <w:t xml:space="preserve">was </w:t>
      </w:r>
      <w:r w:rsidR="007438A1">
        <w:rPr>
          <w:snapToGrid w:val="0"/>
          <w:lang w:val="en-GB"/>
        </w:rPr>
        <w:t>appropriate as</w:t>
      </w:r>
      <w:r w:rsidRPr="0065382D">
        <w:rPr>
          <w:snapToGrid w:val="0"/>
          <w:lang w:val="en-GB"/>
        </w:rPr>
        <w:t xml:space="preserve"> </w:t>
      </w:r>
      <w:r w:rsidR="00697D8F">
        <w:rPr>
          <w:snapToGrid w:val="0"/>
          <w:lang w:val="en-GB"/>
        </w:rPr>
        <w:t>T-</w:t>
      </w:r>
      <w:proofErr w:type="spellStart"/>
      <w:r w:rsidR="00697D8F">
        <w:rPr>
          <w:snapToGrid w:val="0"/>
          <w:lang w:val="en-GB"/>
        </w:rPr>
        <w:t>DXd</w:t>
      </w:r>
      <w:proofErr w:type="spellEnd"/>
      <w:r w:rsidR="00697D8F">
        <w:rPr>
          <w:snapToGrid w:val="0"/>
          <w:lang w:val="en-GB"/>
        </w:rPr>
        <w:t xml:space="preserve"> is likely to replace </w:t>
      </w:r>
      <w:r w:rsidRPr="0065382D">
        <w:rPr>
          <w:snapToGrid w:val="0"/>
          <w:lang w:val="en-GB"/>
        </w:rPr>
        <w:t xml:space="preserve">IV chemotherapy (paclitaxel, nab-paclitaxel) </w:t>
      </w:r>
      <w:r w:rsidR="00717B0B">
        <w:rPr>
          <w:snapToGrid w:val="0"/>
          <w:lang w:val="en-GB"/>
        </w:rPr>
        <w:t>a</w:t>
      </w:r>
      <w:r w:rsidR="00697D8F">
        <w:rPr>
          <w:snapToGrid w:val="0"/>
          <w:lang w:val="en-GB"/>
        </w:rPr>
        <w:t>nd</w:t>
      </w:r>
      <w:r w:rsidR="009E4C0E">
        <w:rPr>
          <w:snapToGrid w:val="0"/>
          <w:lang w:val="en-GB"/>
        </w:rPr>
        <w:t>, for some patients,</w:t>
      </w:r>
      <w:r w:rsidR="00697D8F">
        <w:rPr>
          <w:snapToGrid w:val="0"/>
          <w:lang w:val="en-GB"/>
        </w:rPr>
        <w:t xml:space="preserve"> </w:t>
      </w:r>
      <w:r w:rsidR="00730385">
        <w:rPr>
          <w:snapToGrid w:val="0"/>
          <w:lang w:val="en-GB"/>
        </w:rPr>
        <w:t>oral capecitabine</w:t>
      </w:r>
      <w:r w:rsidR="007438A1">
        <w:rPr>
          <w:snapToGrid w:val="0"/>
          <w:lang w:val="en-GB"/>
        </w:rPr>
        <w:t>.</w:t>
      </w:r>
      <w:r>
        <w:rPr>
          <w:snapToGrid w:val="0"/>
          <w:lang w:val="en-GB"/>
        </w:rPr>
        <w:t xml:space="preserve"> </w:t>
      </w:r>
      <w:r w:rsidR="00DC6ACD">
        <w:rPr>
          <w:snapToGrid w:val="0"/>
          <w:lang w:val="en-GB"/>
        </w:rPr>
        <w:t xml:space="preserve">The PBAC noted that </w:t>
      </w:r>
      <w:r w:rsidR="00126A49">
        <w:rPr>
          <w:snapToGrid w:val="0"/>
          <w:lang w:val="en-GB"/>
        </w:rPr>
        <w:t xml:space="preserve">this was consistent with the </w:t>
      </w:r>
      <w:r w:rsidR="00A8413B">
        <w:rPr>
          <w:snapToGrid w:val="0"/>
          <w:lang w:val="en-GB"/>
        </w:rPr>
        <w:t xml:space="preserve">clinical </w:t>
      </w:r>
      <w:r w:rsidR="00126A49">
        <w:rPr>
          <w:snapToGrid w:val="0"/>
          <w:lang w:val="en-GB"/>
        </w:rPr>
        <w:t xml:space="preserve">evidence presented </w:t>
      </w:r>
      <w:r w:rsidR="00A8413B">
        <w:rPr>
          <w:snapToGrid w:val="0"/>
          <w:lang w:val="en-GB"/>
        </w:rPr>
        <w:t xml:space="preserve">and </w:t>
      </w:r>
      <w:r w:rsidR="003D7D6A">
        <w:rPr>
          <w:snapToGrid w:val="0"/>
          <w:lang w:val="en-GB"/>
        </w:rPr>
        <w:t xml:space="preserve">with </w:t>
      </w:r>
      <w:r w:rsidR="00126A49">
        <w:rPr>
          <w:snapToGrid w:val="0"/>
          <w:lang w:val="en-GB"/>
        </w:rPr>
        <w:t xml:space="preserve">the </w:t>
      </w:r>
      <w:r w:rsidR="00A8413B">
        <w:rPr>
          <w:snapToGrid w:val="0"/>
          <w:lang w:val="en-GB"/>
        </w:rPr>
        <w:t>economic</w:t>
      </w:r>
      <w:r w:rsidR="00126A49">
        <w:rPr>
          <w:snapToGrid w:val="0"/>
          <w:lang w:val="en-GB"/>
        </w:rPr>
        <w:t xml:space="preserve"> model, but the financial estimates assumed that only IV chemotherapy would be replaced by T-</w:t>
      </w:r>
      <w:proofErr w:type="spellStart"/>
      <w:r w:rsidR="00126A49">
        <w:rPr>
          <w:snapToGrid w:val="0"/>
          <w:lang w:val="en-GB"/>
        </w:rPr>
        <w:t>DXd</w:t>
      </w:r>
      <w:proofErr w:type="spellEnd"/>
      <w:r w:rsidR="00126A49">
        <w:rPr>
          <w:snapToGrid w:val="0"/>
          <w:lang w:val="en-GB"/>
        </w:rPr>
        <w:t>.</w:t>
      </w:r>
    </w:p>
    <w:p w14:paraId="776ED36F" w14:textId="04D87E58" w:rsidR="006B779E" w:rsidRPr="00904162" w:rsidRDefault="00D745A8" w:rsidP="008241B5">
      <w:pPr>
        <w:pStyle w:val="3-BodyText"/>
        <w:rPr>
          <w:color w:val="000000" w:themeColor="text1"/>
        </w:rPr>
      </w:pPr>
      <w:r w:rsidRPr="00722708">
        <w:rPr>
          <w:snapToGrid w:val="0"/>
          <w:lang w:val="en-GB"/>
        </w:rPr>
        <w:t>The PBAC noted that the submission was based on the results of</w:t>
      </w:r>
      <w:r w:rsidR="005D4DDD" w:rsidRPr="00722708">
        <w:rPr>
          <w:snapToGrid w:val="0"/>
          <w:lang w:val="en-GB"/>
        </w:rPr>
        <w:t xml:space="preserve"> the DB-06 trial, which was an open-label </w:t>
      </w:r>
      <w:r w:rsidR="0038358F" w:rsidRPr="00722708">
        <w:rPr>
          <w:snapToGrid w:val="0"/>
          <w:lang w:val="en-GB"/>
        </w:rPr>
        <w:t xml:space="preserve">trial that compared </w:t>
      </w:r>
      <w:r w:rsidR="00864725" w:rsidRPr="00722708">
        <w:rPr>
          <w:snapToGrid w:val="0"/>
          <w:lang w:val="en-GB"/>
        </w:rPr>
        <w:t>T-</w:t>
      </w:r>
      <w:proofErr w:type="spellStart"/>
      <w:r w:rsidR="00864725" w:rsidRPr="00722708">
        <w:rPr>
          <w:snapToGrid w:val="0"/>
          <w:lang w:val="en-GB"/>
        </w:rPr>
        <w:t>DXd</w:t>
      </w:r>
      <w:proofErr w:type="spellEnd"/>
      <w:r w:rsidR="0038358F" w:rsidRPr="00722708">
        <w:rPr>
          <w:snapToGrid w:val="0"/>
          <w:lang w:val="en-GB"/>
        </w:rPr>
        <w:t xml:space="preserve"> to ICC</w:t>
      </w:r>
      <w:r w:rsidR="00632EB8" w:rsidRPr="00722708">
        <w:rPr>
          <w:snapToGrid w:val="0"/>
          <w:lang w:val="en-GB"/>
        </w:rPr>
        <w:t xml:space="preserve"> monotherapy</w:t>
      </w:r>
      <w:r w:rsidR="0038358F" w:rsidRPr="00722708">
        <w:rPr>
          <w:snapToGrid w:val="0"/>
          <w:lang w:val="en-GB"/>
        </w:rPr>
        <w:t xml:space="preserve"> (</w:t>
      </w:r>
      <w:r w:rsidR="00123615" w:rsidRPr="000A5490">
        <w:t>either capecitabine, nab-paclitaxel, or paclitaxel</w:t>
      </w:r>
      <w:r w:rsidR="00123615">
        <w:t>)</w:t>
      </w:r>
      <w:r w:rsidR="004E0844">
        <w:t xml:space="preserve"> with </w:t>
      </w:r>
      <w:r w:rsidR="00420B45">
        <w:t>results available for two interim</w:t>
      </w:r>
      <w:r w:rsidR="000B7C45">
        <w:t xml:space="preserve"> analyses</w:t>
      </w:r>
      <w:r w:rsidR="00EA741A">
        <w:t xml:space="preserve"> (IA1 and IA2)</w:t>
      </w:r>
      <w:r w:rsidR="003B6680">
        <w:t>.</w:t>
      </w:r>
      <w:r w:rsidR="00BD4C43">
        <w:t xml:space="preserve"> The PBAC considered that there was a high </w:t>
      </w:r>
      <w:r w:rsidR="00BD4C43" w:rsidRPr="00722708">
        <w:rPr>
          <w:rFonts w:ascii="Calibri" w:eastAsia="Times New Roman" w:hAnsi="Calibri" w:cs="Arial"/>
          <w:szCs w:val="24"/>
        </w:rPr>
        <w:t xml:space="preserve">risk of bias for </w:t>
      </w:r>
      <w:r w:rsidR="00BD4C43">
        <w:t>PFS, QoL and safety</w:t>
      </w:r>
      <w:r w:rsidR="00BD4C43" w:rsidRPr="00722708">
        <w:rPr>
          <w:rFonts w:ascii="Calibri" w:eastAsia="Times New Roman" w:hAnsi="Calibri" w:cs="Arial"/>
          <w:szCs w:val="24"/>
        </w:rPr>
        <w:t xml:space="preserve"> due to </w:t>
      </w:r>
      <w:r w:rsidR="00BD4C43">
        <w:rPr>
          <w:rFonts w:ascii="Calibri" w:eastAsia="Times New Roman" w:hAnsi="Calibri" w:cs="Arial"/>
          <w:szCs w:val="24"/>
        </w:rPr>
        <w:t xml:space="preserve">the </w:t>
      </w:r>
      <w:r w:rsidR="00BD4C43" w:rsidRPr="00722708">
        <w:rPr>
          <w:rFonts w:ascii="Calibri" w:eastAsia="Times New Roman" w:hAnsi="Calibri" w:cs="Arial"/>
          <w:szCs w:val="24"/>
        </w:rPr>
        <w:t>open-label design</w:t>
      </w:r>
      <w:r w:rsidR="00BD4C43">
        <w:t xml:space="preserve">. </w:t>
      </w:r>
      <w:r w:rsidR="00901C49">
        <w:t xml:space="preserve">The PBAC noted that the trial included patients with both HER2 low and HER2 ultralow </w:t>
      </w:r>
      <w:proofErr w:type="gramStart"/>
      <w:r w:rsidR="00901C49">
        <w:t>mBC</w:t>
      </w:r>
      <w:r w:rsidR="000221F2">
        <w:t>, but</w:t>
      </w:r>
      <w:proofErr w:type="gramEnd"/>
      <w:r w:rsidR="000221F2">
        <w:t xml:space="preserve"> considered that the HER2 ultralow population appeared under-represented in the trial</w:t>
      </w:r>
      <w:r w:rsidR="00704C2D">
        <w:t xml:space="preserve"> as less than 20% of patients in DB-06 were</w:t>
      </w:r>
      <w:r w:rsidR="00A73AE0">
        <w:t xml:space="preserve"> classified as</w:t>
      </w:r>
      <w:r w:rsidR="00704C2D">
        <w:t xml:space="preserve"> HER2 ultralow, compared with </w:t>
      </w:r>
      <w:r w:rsidR="00CF554B">
        <w:t xml:space="preserve">~29-40% of </w:t>
      </w:r>
      <w:r w:rsidR="006B779E">
        <w:t xml:space="preserve">HER2 negative </w:t>
      </w:r>
      <w:r w:rsidR="00CF554B">
        <w:t>breast cancer</w:t>
      </w:r>
      <w:r w:rsidR="003301A9">
        <w:t xml:space="preserve"> (see paragraph </w:t>
      </w:r>
      <w:r w:rsidR="003301A9">
        <w:fldChar w:fldCharType="begin"/>
      </w:r>
      <w:r w:rsidR="003301A9">
        <w:instrText xml:space="preserve"> REF _Ref226458624 \r \h </w:instrText>
      </w:r>
      <w:r w:rsidR="003301A9">
        <w:fldChar w:fldCharType="separate"/>
      </w:r>
      <w:r w:rsidR="00453A02">
        <w:t>4.3</w:t>
      </w:r>
      <w:r w:rsidR="003301A9">
        <w:fldChar w:fldCharType="end"/>
      </w:r>
      <w:r w:rsidR="003301A9">
        <w:t>)</w:t>
      </w:r>
      <w:r w:rsidR="006B779E" w:rsidRPr="00904162">
        <w:rPr>
          <w:color w:val="000000" w:themeColor="text1"/>
        </w:rPr>
        <w:t>.</w:t>
      </w:r>
      <w:r w:rsidR="00D4537E">
        <w:rPr>
          <w:color w:val="000000" w:themeColor="text1"/>
        </w:rPr>
        <w:t xml:space="preserve"> The PBAC also noted </w:t>
      </w:r>
      <w:r w:rsidR="00D4537E" w:rsidRPr="00D4537E">
        <w:rPr>
          <w:color w:val="000000" w:themeColor="text1"/>
        </w:rPr>
        <w:t>that only 34% of patients in the ICC comparator arm who received subsequent anti-cancer therapies went on to receive T-</w:t>
      </w:r>
      <w:proofErr w:type="spellStart"/>
      <w:r w:rsidR="00D4537E" w:rsidRPr="00D4537E">
        <w:rPr>
          <w:color w:val="000000" w:themeColor="text1"/>
        </w:rPr>
        <w:t>DXd</w:t>
      </w:r>
      <w:proofErr w:type="spellEnd"/>
      <w:r w:rsidR="00D4537E">
        <w:rPr>
          <w:color w:val="000000" w:themeColor="text1"/>
        </w:rPr>
        <w:t>, whereas it would be expected that</w:t>
      </w:r>
      <w:r w:rsidR="007053F5">
        <w:rPr>
          <w:color w:val="000000" w:themeColor="text1"/>
        </w:rPr>
        <w:t xml:space="preserve"> in Australian clinical practice</w:t>
      </w:r>
      <w:r w:rsidR="00D4537E">
        <w:rPr>
          <w:color w:val="000000" w:themeColor="text1"/>
        </w:rPr>
        <w:t xml:space="preserve"> </w:t>
      </w:r>
      <w:r w:rsidR="00726F1E">
        <w:rPr>
          <w:color w:val="000000" w:themeColor="text1"/>
        </w:rPr>
        <w:t xml:space="preserve">most </w:t>
      </w:r>
      <w:r w:rsidR="007053F5">
        <w:rPr>
          <w:color w:val="000000" w:themeColor="text1"/>
        </w:rPr>
        <w:t>HER2</w:t>
      </w:r>
      <w:r w:rsidR="00D55CAB">
        <w:rPr>
          <w:color w:val="000000" w:themeColor="text1"/>
        </w:rPr>
        <w:t xml:space="preserve"> low </w:t>
      </w:r>
      <w:r w:rsidR="00726F1E">
        <w:rPr>
          <w:color w:val="000000" w:themeColor="text1"/>
        </w:rPr>
        <w:t xml:space="preserve">patients would receive </w:t>
      </w:r>
      <w:r w:rsidR="007053F5">
        <w:rPr>
          <w:color w:val="000000" w:themeColor="text1"/>
        </w:rPr>
        <w:t xml:space="preserve">3L </w:t>
      </w:r>
      <w:r w:rsidR="00D55CAB">
        <w:rPr>
          <w:color w:val="000000" w:themeColor="text1"/>
        </w:rPr>
        <w:t>T-</w:t>
      </w:r>
      <w:proofErr w:type="spellStart"/>
      <w:r w:rsidR="00D55CAB">
        <w:rPr>
          <w:color w:val="000000" w:themeColor="text1"/>
        </w:rPr>
        <w:t>DXd</w:t>
      </w:r>
      <w:proofErr w:type="spellEnd"/>
      <w:r w:rsidR="00D4537E" w:rsidRPr="00D4537E">
        <w:rPr>
          <w:color w:val="000000" w:themeColor="text1"/>
        </w:rPr>
        <w:t>.</w:t>
      </w:r>
      <w:r w:rsidR="00A02350">
        <w:rPr>
          <w:color w:val="000000" w:themeColor="text1"/>
        </w:rPr>
        <w:t xml:space="preserve"> </w:t>
      </w:r>
    </w:p>
    <w:p w14:paraId="28F84787" w14:textId="27025DA4" w:rsidR="00F45445" w:rsidRDefault="00961D16" w:rsidP="008241B5">
      <w:pPr>
        <w:pStyle w:val="3-BodyText"/>
      </w:pPr>
      <w:r>
        <w:t>T</w:t>
      </w:r>
      <w:r w:rsidR="003C7D2A">
        <w:t xml:space="preserve">he PBAC noted </w:t>
      </w:r>
      <w:r w:rsidR="00864725">
        <w:t>T-</w:t>
      </w:r>
      <w:proofErr w:type="spellStart"/>
      <w:r w:rsidR="00864725">
        <w:t>DXd</w:t>
      </w:r>
      <w:proofErr w:type="spellEnd"/>
      <w:r w:rsidR="003C7D2A">
        <w:t xml:space="preserve"> demonstrated a </w:t>
      </w:r>
      <w:r w:rsidR="00D51B75">
        <w:t xml:space="preserve">modest but </w:t>
      </w:r>
      <w:r w:rsidR="00F62A4C">
        <w:t xml:space="preserve">statistically significant </w:t>
      </w:r>
      <w:r w:rsidR="00710339">
        <w:t>increase</w:t>
      </w:r>
      <w:r w:rsidR="003C7D2A">
        <w:t xml:space="preserve"> </w:t>
      </w:r>
      <w:r w:rsidR="00710339">
        <w:t>in</w:t>
      </w:r>
      <w:r w:rsidR="003C7D2A">
        <w:t xml:space="preserve"> </w:t>
      </w:r>
      <w:r w:rsidR="00C75486">
        <w:t>PFS</w:t>
      </w:r>
      <w:r w:rsidR="003C7D2A">
        <w:t xml:space="preserve"> </w:t>
      </w:r>
      <w:r w:rsidR="00F62A4C">
        <w:t>over ICC</w:t>
      </w:r>
      <w:r w:rsidR="001F0F8A">
        <w:t xml:space="preserve"> </w:t>
      </w:r>
      <w:r w:rsidR="007F6140">
        <w:t xml:space="preserve">in the ITT population </w:t>
      </w:r>
      <w:r w:rsidR="001F0F8A">
        <w:t>(</w:t>
      </w:r>
      <w:r w:rsidR="007F6140">
        <w:t>IA1</w:t>
      </w:r>
      <w:r w:rsidR="00D40932">
        <w:t xml:space="preserve"> [primary PFS analysis]</w:t>
      </w:r>
      <w:r w:rsidR="00182184">
        <w:t xml:space="preserve">: </w:t>
      </w:r>
      <w:r w:rsidR="002A0CD6">
        <w:t xml:space="preserve">13.2 months vs </w:t>
      </w:r>
      <w:r w:rsidR="003D4DF1">
        <w:t xml:space="preserve">8.1 months; </w:t>
      </w:r>
      <w:r w:rsidR="003D4DF1" w:rsidRPr="00F92AC3">
        <w:t xml:space="preserve">HR </w:t>
      </w:r>
      <w:r w:rsidR="003D4DF1">
        <w:t>= 0.64</w:t>
      </w:r>
      <w:r w:rsidR="003D4DF1" w:rsidRPr="00F92AC3">
        <w:t>; 95% CI:</w:t>
      </w:r>
      <w:r w:rsidR="003D4DF1">
        <w:t xml:space="preserve"> </w:t>
      </w:r>
      <w:proofErr w:type="gramStart"/>
      <w:r w:rsidR="003D4DF1">
        <w:t xml:space="preserve">0.54 </w:t>
      </w:r>
      <w:r w:rsidR="003D4DF1" w:rsidRPr="00722708">
        <w:rPr>
          <w:rFonts w:cs="Calibri"/>
        </w:rPr>
        <w:t>,</w:t>
      </w:r>
      <w:proofErr w:type="gramEnd"/>
      <w:r w:rsidR="003D4DF1" w:rsidRPr="00722708">
        <w:rPr>
          <w:rFonts w:cs="Calibri"/>
        </w:rPr>
        <w:t xml:space="preserve"> 0.76)</w:t>
      </w:r>
      <w:r w:rsidR="00182184">
        <w:rPr>
          <w:rFonts w:cs="Calibri"/>
        </w:rPr>
        <w:t xml:space="preserve">. The PBAC noted that in the HER2 ultralow subgroup </w:t>
      </w:r>
      <w:r w:rsidR="00557EBD" w:rsidRPr="00D1525A">
        <w:rPr>
          <w:rFonts w:cs="Calibri"/>
        </w:rPr>
        <w:t>(N=76)</w:t>
      </w:r>
      <w:r w:rsidR="00557EBD">
        <w:rPr>
          <w:rFonts w:cs="Calibri"/>
        </w:rPr>
        <w:t xml:space="preserve"> </w:t>
      </w:r>
      <w:r w:rsidR="00F74C49">
        <w:rPr>
          <w:rFonts w:cs="Calibri"/>
        </w:rPr>
        <w:t xml:space="preserve">the </w:t>
      </w:r>
      <w:r w:rsidR="00D1525A" w:rsidRPr="00D1525A">
        <w:rPr>
          <w:rFonts w:cs="Calibri"/>
        </w:rPr>
        <w:t xml:space="preserve">median PFS duration </w:t>
      </w:r>
      <w:r w:rsidR="00557EBD">
        <w:rPr>
          <w:rFonts w:cs="Calibri"/>
        </w:rPr>
        <w:t xml:space="preserve">was similar, </w:t>
      </w:r>
      <w:r w:rsidR="0062138B">
        <w:rPr>
          <w:rFonts w:cs="Calibri"/>
        </w:rPr>
        <w:t xml:space="preserve">but the difference </w:t>
      </w:r>
      <w:r w:rsidR="00D1525A" w:rsidRPr="00D1525A">
        <w:rPr>
          <w:rFonts w:cs="Calibri"/>
        </w:rPr>
        <w:t>was not statistically significant (</w:t>
      </w:r>
      <w:r w:rsidR="006711B5">
        <w:rPr>
          <w:rFonts w:cs="Calibri"/>
        </w:rPr>
        <w:t>HR</w:t>
      </w:r>
      <w:r w:rsidR="00D1525A" w:rsidRPr="00D1525A">
        <w:rPr>
          <w:rFonts w:cs="Calibri"/>
        </w:rPr>
        <w:t>: 0.78; 95%</w:t>
      </w:r>
      <w:r w:rsidR="0067048C">
        <w:rPr>
          <w:rFonts w:cs="Calibri"/>
        </w:rPr>
        <w:t xml:space="preserve"> </w:t>
      </w:r>
      <w:r w:rsidR="00D1525A" w:rsidRPr="00D1525A">
        <w:rPr>
          <w:rFonts w:cs="Calibri"/>
        </w:rPr>
        <w:t xml:space="preserve">CI: 0.50, 1.21). </w:t>
      </w:r>
      <w:r w:rsidR="00AF5D83">
        <w:t>A</w:t>
      </w:r>
      <w:r w:rsidR="00BD4070">
        <w:t>t IA2</w:t>
      </w:r>
      <w:r w:rsidR="007B1330">
        <w:t xml:space="preserve"> OS data were also available</w:t>
      </w:r>
      <w:r w:rsidR="00BD4070">
        <w:t xml:space="preserve">, with </w:t>
      </w:r>
      <w:r w:rsidR="005F04FB">
        <w:t xml:space="preserve">median </w:t>
      </w:r>
      <w:r w:rsidR="00BD4070">
        <w:t>follow up of 27.6 months for the T-</w:t>
      </w:r>
      <w:proofErr w:type="spellStart"/>
      <w:r w:rsidR="00BD4070">
        <w:t>DXd</w:t>
      </w:r>
      <w:proofErr w:type="spellEnd"/>
      <w:r w:rsidR="00BD4070">
        <w:t xml:space="preserve"> arm and 25.0 months for the ICC arm, </w:t>
      </w:r>
      <w:r w:rsidR="007B1330">
        <w:t xml:space="preserve">however </w:t>
      </w:r>
      <w:r w:rsidR="00BD4070">
        <w:t>OS data were immature</w:t>
      </w:r>
      <w:r w:rsidR="00E3021B" w:rsidRPr="00E3021B">
        <w:rPr>
          <w:iCs/>
        </w:rPr>
        <w:t xml:space="preserve"> </w:t>
      </w:r>
      <w:r w:rsidR="00E3021B">
        <w:rPr>
          <w:iCs/>
        </w:rPr>
        <w:t>and</w:t>
      </w:r>
      <w:r w:rsidR="00E3021B" w:rsidRPr="00E3021B">
        <w:rPr>
          <w:iCs/>
        </w:rPr>
        <w:t xml:space="preserve"> the OS hypothesis in the ITT population was not formally tested for statistical significance</w:t>
      </w:r>
      <w:r w:rsidR="002D59DF">
        <w:rPr>
          <w:iCs/>
        </w:rPr>
        <w:t xml:space="preserve"> as per the </w:t>
      </w:r>
      <w:r w:rsidR="00D4537E">
        <w:rPr>
          <w:iCs/>
        </w:rPr>
        <w:t>multiple testing procedure</w:t>
      </w:r>
      <w:r w:rsidR="00E3021B" w:rsidRPr="00E3021B">
        <w:rPr>
          <w:iCs/>
        </w:rPr>
        <w:t xml:space="preserve">. </w:t>
      </w:r>
      <w:r w:rsidR="00D4537E">
        <w:rPr>
          <w:iCs/>
        </w:rPr>
        <w:t>The PBAC noted that s</w:t>
      </w:r>
      <w:r w:rsidR="00E3021B" w:rsidRPr="00E3021B">
        <w:rPr>
          <w:iCs/>
        </w:rPr>
        <w:t>eparation between the OS KM curves appeared modest,</w:t>
      </w:r>
      <w:r w:rsidR="00E3021B" w:rsidRPr="00E3021B">
        <w:t xml:space="preserve"> despite a lower-than-expected percentage of patients </w:t>
      </w:r>
      <w:r w:rsidR="00D80BBF">
        <w:t>in the ICC</w:t>
      </w:r>
      <w:r w:rsidR="00E3021B" w:rsidRPr="00E3021B">
        <w:t xml:space="preserve"> arm receiv</w:t>
      </w:r>
      <w:r w:rsidR="00020997">
        <w:t>ing</w:t>
      </w:r>
      <w:r w:rsidR="00E3021B" w:rsidRPr="00E3021B">
        <w:t xml:space="preserve"> subsequent therapy with T-</w:t>
      </w:r>
      <w:proofErr w:type="spellStart"/>
      <w:r w:rsidR="00E3021B" w:rsidRPr="00E3021B">
        <w:t>DXd</w:t>
      </w:r>
      <w:proofErr w:type="spellEnd"/>
      <w:r w:rsidR="00BD4070">
        <w:t>.</w:t>
      </w:r>
      <w:r w:rsidR="00EF0D71">
        <w:t xml:space="preserve"> </w:t>
      </w:r>
      <w:r w:rsidR="003E2628">
        <w:t xml:space="preserve">Estimates of OS for the </w:t>
      </w:r>
      <w:r w:rsidR="00C41D58">
        <w:t xml:space="preserve">HER2 ultralow subgroup were also imprecise given the </w:t>
      </w:r>
      <w:r w:rsidR="009306A6">
        <w:t>small</w:t>
      </w:r>
      <w:r w:rsidR="00C41D58">
        <w:t xml:space="preserve"> number of patients in the analysis</w:t>
      </w:r>
      <w:r w:rsidR="00F45445">
        <w:t>. The PBAC also noted that, overall, there was no clear improvement in QoL with T-</w:t>
      </w:r>
      <w:proofErr w:type="spellStart"/>
      <w:r w:rsidR="00F45445">
        <w:t>DXd</w:t>
      </w:r>
      <w:proofErr w:type="spellEnd"/>
      <w:r w:rsidR="00F45445">
        <w:t xml:space="preserve"> over ICC.</w:t>
      </w:r>
    </w:p>
    <w:p w14:paraId="040E10E1" w14:textId="4DF968D6" w:rsidR="005E5E6C" w:rsidRPr="00722708" w:rsidRDefault="00722708" w:rsidP="008241B5">
      <w:pPr>
        <w:numPr>
          <w:ilvl w:val="1"/>
          <w:numId w:val="1"/>
        </w:numPr>
        <w:spacing w:after="120"/>
      </w:pPr>
      <w:r>
        <w:t>The PBAC considered that the claim of superior comparative effectiveness</w:t>
      </w:r>
      <w:r w:rsidR="004C55DF">
        <w:t xml:space="preserve"> of T-</w:t>
      </w:r>
      <w:proofErr w:type="spellStart"/>
      <w:r w:rsidR="004C55DF">
        <w:t>DXd</w:t>
      </w:r>
      <w:proofErr w:type="spellEnd"/>
      <w:r w:rsidR="004C55DF">
        <w:t xml:space="preserve"> over ICC</w:t>
      </w:r>
      <w:r>
        <w:t xml:space="preserve"> in</w:t>
      </w:r>
      <w:r w:rsidR="00F72B5E">
        <w:t xml:space="preserve"> the</w:t>
      </w:r>
      <w:r>
        <w:t xml:space="preserve"> HER2 low population was supported by the </w:t>
      </w:r>
      <w:r w:rsidR="00386628">
        <w:t>PFS data</w:t>
      </w:r>
      <w:r>
        <w:t xml:space="preserve"> from the DB-06 trial. </w:t>
      </w:r>
      <w:r w:rsidR="0031093A">
        <w:t xml:space="preserve">The PBAC </w:t>
      </w:r>
      <w:r w:rsidR="00C94E5C">
        <w:t xml:space="preserve">stated that </w:t>
      </w:r>
      <w:r w:rsidR="001F5C7F">
        <w:t>there was a</w:t>
      </w:r>
      <w:r w:rsidR="00C94E5C">
        <w:t xml:space="preserve"> </w:t>
      </w:r>
      <w:r w:rsidR="0031093A" w:rsidRPr="00722708">
        <w:t xml:space="preserve">high degree of uncertainty regarding </w:t>
      </w:r>
      <w:r w:rsidR="005453CB">
        <w:t>the magni</w:t>
      </w:r>
      <w:r w:rsidR="00A81008">
        <w:t xml:space="preserve">tude of </w:t>
      </w:r>
      <w:r w:rsidR="0031093A" w:rsidRPr="00722708">
        <w:t>benefit</w:t>
      </w:r>
      <w:r w:rsidR="005F4FB8">
        <w:t>,</w:t>
      </w:r>
      <w:r w:rsidR="001F5C7F">
        <w:t xml:space="preserve"> due to</w:t>
      </w:r>
      <w:r w:rsidR="005F4FB8">
        <w:t xml:space="preserve"> </w:t>
      </w:r>
      <w:r w:rsidR="002530E5">
        <w:t>the</w:t>
      </w:r>
      <w:r w:rsidR="005F4FB8">
        <w:t xml:space="preserve"> high </w:t>
      </w:r>
      <w:r w:rsidR="0031093A" w:rsidRPr="00722708">
        <w:t xml:space="preserve">risk of bias for </w:t>
      </w:r>
      <w:r w:rsidR="003C4249">
        <w:t>investi</w:t>
      </w:r>
      <w:r w:rsidR="00AB1514">
        <w:t xml:space="preserve">gator assessed </w:t>
      </w:r>
      <w:r w:rsidR="002530E5">
        <w:t>PFS</w:t>
      </w:r>
      <w:r w:rsidR="00AB1514">
        <w:t xml:space="preserve"> used in </w:t>
      </w:r>
      <w:r w:rsidR="00AB1514">
        <w:lastRenderedPageBreak/>
        <w:t>the model</w:t>
      </w:r>
      <w:r w:rsidR="005453CB">
        <w:t xml:space="preserve">. </w:t>
      </w:r>
      <w:r w:rsidR="00F46258">
        <w:t xml:space="preserve">Furthermore, the PBAC considered that the </w:t>
      </w:r>
      <w:r w:rsidR="00A81008">
        <w:t>OS</w:t>
      </w:r>
      <w:r w:rsidR="00173376">
        <w:t xml:space="preserve"> benefit</w:t>
      </w:r>
      <w:r w:rsidR="00F46258">
        <w:t xml:space="preserve"> </w:t>
      </w:r>
      <w:r w:rsidR="00B36189">
        <w:t xml:space="preserve">may be overestimated, as </w:t>
      </w:r>
      <w:r w:rsidR="00C61138">
        <w:t xml:space="preserve">fewer patients received </w:t>
      </w:r>
      <w:r w:rsidR="0031093A" w:rsidRPr="00722708">
        <w:t xml:space="preserve">subsequent </w:t>
      </w:r>
      <w:r w:rsidR="00864725" w:rsidRPr="00722708">
        <w:t>T-</w:t>
      </w:r>
      <w:proofErr w:type="spellStart"/>
      <w:r w:rsidR="00864725" w:rsidRPr="00722708">
        <w:t>DXd</w:t>
      </w:r>
      <w:proofErr w:type="spellEnd"/>
      <w:r w:rsidR="00C61138">
        <w:t xml:space="preserve"> than would be expected in Australian clinical practice</w:t>
      </w:r>
      <w:r w:rsidR="00B36189">
        <w:t>.</w:t>
      </w:r>
    </w:p>
    <w:p w14:paraId="1B309759" w14:textId="2B0312EA" w:rsidR="00B35ECB" w:rsidRPr="006634F9" w:rsidRDefault="00A94C61" w:rsidP="008241B5">
      <w:pPr>
        <w:pStyle w:val="3-BodyText"/>
        <w:rPr>
          <w:snapToGrid w:val="0"/>
          <w:lang w:val="en-GB"/>
        </w:rPr>
      </w:pPr>
      <w:r>
        <w:t xml:space="preserve">The PBAC considered that the claim of superior comparative effectiveness </w:t>
      </w:r>
      <w:r w:rsidR="007B6A1E">
        <w:t>of T-</w:t>
      </w:r>
      <w:proofErr w:type="spellStart"/>
      <w:r w:rsidR="007B6A1E">
        <w:t>DXd</w:t>
      </w:r>
      <w:proofErr w:type="spellEnd"/>
      <w:r w:rsidR="00F72B5E">
        <w:t xml:space="preserve"> over ICC </w:t>
      </w:r>
      <w:r>
        <w:t>in</w:t>
      </w:r>
      <w:r w:rsidR="00F72B5E">
        <w:t xml:space="preserve"> the</w:t>
      </w:r>
      <w:r>
        <w:t xml:space="preserve"> HER2 ultralow population</w:t>
      </w:r>
      <w:r w:rsidR="00F72B5E">
        <w:t xml:space="preserve"> </w:t>
      </w:r>
      <w:r>
        <w:t xml:space="preserve">was </w:t>
      </w:r>
      <w:r w:rsidR="008E1349">
        <w:t xml:space="preserve">uncertain </w:t>
      </w:r>
      <w:r w:rsidR="00BF502B">
        <w:t xml:space="preserve">due to the limited </w:t>
      </w:r>
      <w:r>
        <w:t>data</w:t>
      </w:r>
      <w:r w:rsidR="00BF502B">
        <w:t xml:space="preserve"> available for this population</w:t>
      </w:r>
      <w:r>
        <w:t xml:space="preserve">. </w:t>
      </w:r>
      <w:r w:rsidR="00BF502B">
        <w:t>In addition, t</w:t>
      </w:r>
      <w:r w:rsidR="00B35ECB" w:rsidRPr="006634F9">
        <w:rPr>
          <w:snapToGrid w:val="0"/>
        </w:rPr>
        <w:t xml:space="preserve">he PBAC considered that limitations in HER2 testing in scoring IHC patterns at the low end of the protein expression </w:t>
      </w:r>
      <w:r w:rsidR="00B35ECB">
        <w:t xml:space="preserve">make it problematic to consistently identify the </w:t>
      </w:r>
      <w:r w:rsidR="00B35ECB" w:rsidRPr="006634F9">
        <w:rPr>
          <w:snapToGrid w:val="0"/>
        </w:rPr>
        <w:t>HER2</w:t>
      </w:r>
      <w:r w:rsidR="00B35ECB">
        <w:t xml:space="preserve"> ultralow population.</w:t>
      </w:r>
      <w:r w:rsidR="00B35ECB" w:rsidRPr="006634F9">
        <w:rPr>
          <w:snapToGrid w:val="0"/>
        </w:rPr>
        <w:t xml:space="preserve"> The PBAC considered that this reduces the likelihood that the benefit demonstrated in the trial would be realised in the PBS population. </w:t>
      </w:r>
    </w:p>
    <w:p w14:paraId="5531D8B3" w14:textId="5DB1D151" w:rsidR="005925E9" w:rsidRPr="00705846" w:rsidRDefault="003A6A05" w:rsidP="008241B5">
      <w:pPr>
        <w:pStyle w:val="3-BodyText"/>
        <w:rPr>
          <w:snapToGrid w:val="0"/>
          <w:lang w:val="en-GB"/>
        </w:rPr>
      </w:pPr>
      <w:r w:rsidRPr="003A6A05">
        <w:t xml:space="preserve">The </w:t>
      </w:r>
      <w:r>
        <w:t xml:space="preserve">PBAC noted that in DB-06 the </w:t>
      </w:r>
      <w:r w:rsidRPr="003A6A05">
        <w:t xml:space="preserve">risk of AEs </w:t>
      </w:r>
      <w:r w:rsidR="006634F9">
        <w:t>was</w:t>
      </w:r>
      <w:r w:rsidRPr="003A6A05">
        <w:t xml:space="preserve"> higher in the T-</w:t>
      </w:r>
      <w:proofErr w:type="spellStart"/>
      <w:r w:rsidRPr="003A6A05">
        <w:t>DXd</w:t>
      </w:r>
      <w:proofErr w:type="spellEnd"/>
      <w:r w:rsidRPr="003A6A05">
        <w:t xml:space="preserve"> arm</w:t>
      </w:r>
      <w:r>
        <w:t xml:space="preserve">. </w:t>
      </w:r>
      <w:r w:rsidR="00872880">
        <w:t>Patients treated with T-</w:t>
      </w:r>
      <w:proofErr w:type="spellStart"/>
      <w:r w:rsidR="00872880">
        <w:t>DXd</w:t>
      </w:r>
      <w:proofErr w:type="spellEnd"/>
      <w:r w:rsidR="00872880">
        <w:t xml:space="preserve"> experienced higher rates of ILD than the ICC arm (</w:t>
      </w:r>
      <w:r w:rsidR="00785085">
        <w:t>19% vs 1%)</w:t>
      </w:r>
      <w:r w:rsidR="00FA7FB9">
        <w:t xml:space="preserve"> and GI events (66% vs 24%).</w:t>
      </w:r>
      <w:r w:rsidR="006364F3" w:rsidRPr="006364F3">
        <w:t xml:space="preserve"> The frequency of any serious adverse events (SAEs) including death that was possibly related to treatment was </w:t>
      </w:r>
      <w:r w:rsidR="00872880">
        <w:t>higher</w:t>
      </w:r>
      <w:r w:rsidR="006364F3" w:rsidRPr="006364F3">
        <w:t xml:space="preserve"> in the T-</w:t>
      </w:r>
      <w:proofErr w:type="spellStart"/>
      <w:r w:rsidR="006364F3" w:rsidRPr="006364F3">
        <w:t>DXd</w:t>
      </w:r>
      <w:proofErr w:type="spellEnd"/>
      <w:r w:rsidR="006364F3" w:rsidRPr="006364F3">
        <w:t xml:space="preserve"> arm compared with the ICC arm (1</w:t>
      </w:r>
      <w:r w:rsidR="00785085">
        <w:t>1</w:t>
      </w:r>
      <w:r w:rsidR="006364F3" w:rsidRPr="006364F3">
        <w:t xml:space="preserve">% vs. </w:t>
      </w:r>
      <w:r w:rsidR="00785085">
        <w:t>6</w:t>
      </w:r>
      <w:r w:rsidR="006364F3" w:rsidRPr="006364F3">
        <w:t>%)</w:t>
      </w:r>
      <w:r w:rsidR="00EC308E">
        <w:t xml:space="preserve"> a</w:t>
      </w:r>
      <w:r w:rsidR="002E1C47">
        <w:t>s was</w:t>
      </w:r>
      <w:r w:rsidR="00EC308E">
        <w:t xml:space="preserve"> the frequency of deaths</w:t>
      </w:r>
      <w:r w:rsidR="002E1C47">
        <w:t xml:space="preserve"> possibly related to treatment (</w:t>
      </w:r>
      <w:r w:rsidR="00872880">
        <w:t>2.5% vs 1.6%)</w:t>
      </w:r>
      <w:r w:rsidR="006364F3" w:rsidRPr="006364F3">
        <w:t xml:space="preserve">. </w:t>
      </w:r>
      <w:r w:rsidR="009A1120">
        <w:t xml:space="preserve">The PBAC considered that the claim of inferior comparative safety </w:t>
      </w:r>
      <w:r w:rsidR="005D1A9D">
        <w:t>for T-</w:t>
      </w:r>
      <w:proofErr w:type="spellStart"/>
      <w:r w:rsidR="005D1A9D">
        <w:t>DXd</w:t>
      </w:r>
      <w:proofErr w:type="spellEnd"/>
      <w:r w:rsidR="005D1A9D">
        <w:t xml:space="preserve"> </w:t>
      </w:r>
      <w:r w:rsidR="00883906">
        <w:t xml:space="preserve">compared with ICC </w:t>
      </w:r>
      <w:r w:rsidR="009A1120">
        <w:t xml:space="preserve">was reasonable </w:t>
      </w:r>
      <w:r w:rsidR="00883906">
        <w:t>for the overall population (HER2 low and HER2 ultralow)</w:t>
      </w:r>
      <w:r w:rsidR="00310039">
        <w:t xml:space="preserve">. </w:t>
      </w:r>
      <w:r w:rsidR="00310039" w:rsidRPr="00D50915">
        <w:rPr>
          <w:snapToGrid w:val="0"/>
          <w:lang w:val="en-GB"/>
        </w:rPr>
        <w:t xml:space="preserve">The PBAC acknowledged the real-world studies presented in the pre-PBAC response which outlined lower rates of </w:t>
      </w:r>
      <w:r w:rsidR="00723583">
        <w:rPr>
          <w:snapToGrid w:val="0"/>
          <w:lang w:val="en-GB"/>
        </w:rPr>
        <w:t xml:space="preserve">ILD </w:t>
      </w:r>
      <w:r w:rsidR="00310039">
        <w:rPr>
          <w:snapToGrid w:val="0"/>
          <w:lang w:val="en-GB"/>
        </w:rPr>
        <w:t>than observed in DB</w:t>
      </w:r>
      <w:r w:rsidR="00310039">
        <w:rPr>
          <w:snapToGrid w:val="0"/>
          <w:lang w:val="en-GB"/>
        </w:rPr>
        <w:noBreakHyphen/>
        <w:t>06</w:t>
      </w:r>
      <w:r w:rsidR="00310039" w:rsidRPr="00D50915">
        <w:rPr>
          <w:snapToGrid w:val="0"/>
          <w:lang w:val="en-GB"/>
        </w:rPr>
        <w:t xml:space="preserve"> (3% vs 12%</w:t>
      </w:r>
      <w:proofErr w:type="gramStart"/>
      <w:r w:rsidR="00310039" w:rsidRPr="00D50915">
        <w:rPr>
          <w:snapToGrid w:val="0"/>
          <w:lang w:val="en-GB"/>
        </w:rPr>
        <w:t>)</w:t>
      </w:r>
      <w:r w:rsidR="00883906">
        <w:t xml:space="preserve">, </w:t>
      </w:r>
      <w:r w:rsidR="00310039">
        <w:t>but</w:t>
      </w:r>
      <w:proofErr w:type="gramEnd"/>
      <w:r w:rsidR="00310039">
        <w:t xml:space="preserve"> maintained that there was a</w:t>
      </w:r>
      <w:r w:rsidR="009A1120">
        <w:t xml:space="preserve"> clear increase in harms</w:t>
      </w:r>
      <w:r w:rsidR="00F2556B">
        <w:t xml:space="preserve"> for T-</w:t>
      </w:r>
      <w:proofErr w:type="spellStart"/>
      <w:r w:rsidR="00F2556B">
        <w:t>DXd</w:t>
      </w:r>
      <w:proofErr w:type="spellEnd"/>
      <w:r w:rsidR="00F2556B">
        <w:t xml:space="preserve"> compared with ICC</w:t>
      </w:r>
      <w:r w:rsidR="009A1120">
        <w:t xml:space="preserve">, including life-threatening </w:t>
      </w:r>
      <w:r w:rsidR="00F2556B">
        <w:t>AEs</w:t>
      </w:r>
      <w:r w:rsidR="00AA2119">
        <w:t xml:space="preserve">. </w:t>
      </w:r>
    </w:p>
    <w:p w14:paraId="6C4E932A" w14:textId="6E9C7054" w:rsidR="001C0A77" w:rsidRPr="003762C6" w:rsidRDefault="009F566A" w:rsidP="008241B5">
      <w:pPr>
        <w:pStyle w:val="3-BodyText"/>
        <w:rPr>
          <w:snapToGrid w:val="0"/>
        </w:rPr>
      </w:pPr>
      <w:r w:rsidRPr="006819DF">
        <w:rPr>
          <w:rFonts w:eastAsia="Times New Roman" w:cs="Arial"/>
          <w:snapToGrid w:val="0"/>
          <w:szCs w:val="24"/>
        </w:rPr>
        <w:t>The submission presented a modelled economic evaluation based on the DB</w:t>
      </w:r>
      <w:r w:rsidRPr="006819DF">
        <w:rPr>
          <w:rFonts w:eastAsia="Times New Roman" w:cs="Arial"/>
          <w:snapToGrid w:val="0"/>
          <w:szCs w:val="24"/>
        </w:rPr>
        <w:noBreakHyphen/>
        <w:t xml:space="preserve">06 trial, </w:t>
      </w:r>
      <w:r w:rsidR="00CA4465" w:rsidRPr="006819DF">
        <w:rPr>
          <w:rFonts w:eastAsia="Times New Roman" w:cs="Arial"/>
          <w:snapToGrid w:val="0"/>
          <w:szCs w:val="24"/>
        </w:rPr>
        <w:t xml:space="preserve">with adjustment </w:t>
      </w:r>
      <w:r w:rsidR="00913217" w:rsidRPr="006819DF">
        <w:rPr>
          <w:rFonts w:eastAsia="Times New Roman" w:cs="Arial"/>
          <w:snapToGrid w:val="0"/>
          <w:szCs w:val="24"/>
        </w:rPr>
        <w:t xml:space="preserve">to outcomes and costs </w:t>
      </w:r>
      <w:r w:rsidR="001042C0" w:rsidRPr="006819DF">
        <w:rPr>
          <w:rFonts w:eastAsia="Times New Roman" w:cs="Arial"/>
          <w:snapToGrid w:val="0"/>
          <w:szCs w:val="24"/>
        </w:rPr>
        <w:t xml:space="preserve">to account </w:t>
      </w:r>
      <w:r w:rsidR="00CA4465" w:rsidRPr="006819DF">
        <w:rPr>
          <w:rFonts w:eastAsia="Times New Roman" w:cs="Arial"/>
          <w:snapToGrid w:val="0"/>
          <w:szCs w:val="24"/>
        </w:rPr>
        <w:t>for the</w:t>
      </w:r>
      <w:r w:rsidR="001042C0" w:rsidRPr="006819DF">
        <w:rPr>
          <w:rFonts w:eastAsia="Times New Roman" w:cs="Arial"/>
          <w:snapToGrid w:val="0"/>
          <w:szCs w:val="24"/>
        </w:rPr>
        <w:t xml:space="preserve"> expected</w:t>
      </w:r>
      <w:r w:rsidR="00CA4465" w:rsidRPr="006819DF">
        <w:rPr>
          <w:rFonts w:eastAsia="Times New Roman" w:cs="Arial"/>
          <w:snapToGrid w:val="0"/>
          <w:szCs w:val="24"/>
        </w:rPr>
        <w:t xml:space="preserve"> </w:t>
      </w:r>
      <w:r w:rsidR="00AF341F" w:rsidRPr="006819DF">
        <w:rPr>
          <w:rFonts w:eastAsia="Times New Roman" w:cs="Arial"/>
          <w:snapToGrid w:val="0"/>
          <w:szCs w:val="24"/>
        </w:rPr>
        <w:t xml:space="preserve">proportion of </w:t>
      </w:r>
      <w:r w:rsidR="001042C0" w:rsidRPr="006819DF">
        <w:rPr>
          <w:rFonts w:eastAsia="Times New Roman" w:cs="Arial"/>
          <w:snapToGrid w:val="0"/>
          <w:szCs w:val="24"/>
        </w:rPr>
        <w:t xml:space="preserve">HER2-low </w:t>
      </w:r>
      <w:r w:rsidR="00AF341F" w:rsidRPr="006819DF">
        <w:rPr>
          <w:rFonts w:eastAsia="Times New Roman" w:cs="Arial"/>
          <w:snapToGrid w:val="0"/>
          <w:szCs w:val="24"/>
        </w:rPr>
        <w:t>patients treated with 3L T-</w:t>
      </w:r>
      <w:proofErr w:type="spellStart"/>
      <w:r w:rsidR="00AF341F" w:rsidRPr="006819DF">
        <w:rPr>
          <w:rFonts w:eastAsia="Times New Roman" w:cs="Arial"/>
          <w:snapToGrid w:val="0"/>
          <w:szCs w:val="24"/>
        </w:rPr>
        <w:t>DXd</w:t>
      </w:r>
      <w:proofErr w:type="spellEnd"/>
      <w:r w:rsidR="00AF341F" w:rsidRPr="006819DF">
        <w:rPr>
          <w:rFonts w:eastAsia="Times New Roman" w:cs="Arial"/>
          <w:snapToGrid w:val="0"/>
          <w:szCs w:val="24"/>
        </w:rPr>
        <w:t xml:space="preserve"> in the comparator arm. </w:t>
      </w:r>
      <w:r w:rsidR="00D715E4" w:rsidRPr="006819DF">
        <w:rPr>
          <w:rFonts w:eastAsia="Times New Roman" w:cs="Arial"/>
          <w:bCs/>
          <w:snapToGrid w:val="0"/>
          <w:szCs w:val="24"/>
        </w:rPr>
        <w:t>T</w:t>
      </w:r>
      <w:r w:rsidR="005248F2" w:rsidRPr="006819DF">
        <w:rPr>
          <w:rFonts w:eastAsia="Times New Roman" w:cs="Arial"/>
          <w:bCs/>
          <w:snapToGrid w:val="0"/>
          <w:szCs w:val="24"/>
        </w:rPr>
        <w:t xml:space="preserve">he PBAC </w:t>
      </w:r>
      <w:r w:rsidR="00D715E4" w:rsidRPr="006819DF">
        <w:rPr>
          <w:rFonts w:eastAsia="Times New Roman" w:cs="Arial"/>
          <w:bCs/>
          <w:snapToGrid w:val="0"/>
          <w:szCs w:val="24"/>
        </w:rPr>
        <w:t>noted</w:t>
      </w:r>
      <w:r w:rsidR="005248F2" w:rsidRPr="006819DF">
        <w:rPr>
          <w:rFonts w:eastAsia="Times New Roman" w:cs="Arial"/>
          <w:bCs/>
          <w:snapToGrid w:val="0"/>
          <w:szCs w:val="24"/>
        </w:rPr>
        <w:t xml:space="preserve"> that the</w:t>
      </w:r>
      <w:r w:rsidR="0039193B" w:rsidRPr="006819DF">
        <w:rPr>
          <w:rFonts w:eastAsia="Times New Roman" w:cs="Arial"/>
          <w:bCs/>
          <w:snapToGrid w:val="0"/>
          <w:szCs w:val="24"/>
        </w:rPr>
        <w:t xml:space="preserve"> adjustment substantially favoured T</w:t>
      </w:r>
      <w:r w:rsidR="00D715E4" w:rsidRPr="006819DF">
        <w:rPr>
          <w:rFonts w:eastAsia="Times New Roman" w:cs="Arial"/>
          <w:bCs/>
          <w:snapToGrid w:val="0"/>
          <w:szCs w:val="24"/>
        </w:rPr>
        <w:noBreakHyphen/>
      </w:r>
      <w:proofErr w:type="spellStart"/>
      <w:r w:rsidR="0039193B" w:rsidRPr="006819DF">
        <w:rPr>
          <w:rFonts w:eastAsia="Times New Roman" w:cs="Arial"/>
          <w:bCs/>
          <w:snapToGrid w:val="0"/>
          <w:szCs w:val="24"/>
        </w:rPr>
        <w:t>DXd</w:t>
      </w:r>
      <w:proofErr w:type="spellEnd"/>
      <w:r w:rsidR="00D715E4" w:rsidRPr="006819DF">
        <w:rPr>
          <w:rFonts w:eastAsia="Times New Roman" w:cs="Arial"/>
          <w:bCs/>
          <w:snapToGrid w:val="0"/>
          <w:szCs w:val="24"/>
        </w:rPr>
        <w:t xml:space="preserve"> </w:t>
      </w:r>
      <w:r w:rsidR="00BA0BBF">
        <w:rPr>
          <w:rFonts w:eastAsia="Times New Roman" w:cs="Arial"/>
          <w:bCs/>
          <w:snapToGrid w:val="0"/>
          <w:szCs w:val="24"/>
        </w:rPr>
        <w:t xml:space="preserve">due to </w:t>
      </w:r>
      <w:r w:rsidR="00550FEB">
        <w:rPr>
          <w:rFonts w:eastAsia="Times New Roman" w:cs="Arial"/>
          <w:bCs/>
          <w:snapToGrid w:val="0"/>
          <w:szCs w:val="24"/>
        </w:rPr>
        <w:t>assumption</w:t>
      </w:r>
      <w:r w:rsidR="00B1409C">
        <w:rPr>
          <w:rFonts w:eastAsia="Times New Roman" w:cs="Arial"/>
          <w:bCs/>
          <w:snapToGrid w:val="0"/>
          <w:szCs w:val="24"/>
        </w:rPr>
        <w:t>s</w:t>
      </w:r>
      <w:r w:rsidR="00550FEB">
        <w:rPr>
          <w:rFonts w:eastAsia="Times New Roman" w:cs="Arial"/>
          <w:bCs/>
          <w:snapToGrid w:val="0"/>
          <w:szCs w:val="24"/>
        </w:rPr>
        <w:t xml:space="preserve"> w</w:t>
      </w:r>
      <w:r w:rsidR="00E57235">
        <w:rPr>
          <w:rFonts w:eastAsia="Times New Roman" w:cs="Arial"/>
          <w:bCs/>
          <w:snapToGrid w:val="0"/>
          <w:szCs w:val="24"/>
        </w:rPr>
        <w:t>hich resulted in</w:t>
      </w:r>
      <w:r w:rsidR="000E3820">
        <w:rPr>
          <w:rFonts w:eastAsia="Times New Roman" w:cs="Arial"/>
          <w:bCs/>
          <w:snapToGrid w:val="0"/>
          <w:szCs w:val="24"/>
        </w:rPr>
        <w:t xml:space="preserve"> the benefits </w:t>
      </w:r>
      <w:r w:rsidR="00EC46F7">
        <w:rPr>
          <w:rFonts w:eastAsia="Times New Roman" w:cs="Arial"/>
          <w:bCs/>
          <w:snapToGrid w:val="0"/>
          <w:szCs w:val="24"/>
        </w:rPr>
        <w:t>of</w:t>
      </w:r>
      <w:r w:rsidR="00E57235">
        <w:rPr>
          <w:rFonts w:eastAsia="Times New Roman" w:cs="Arial"/>
          <w:bCs/>
          <w:snapToGrid w:val="0"/>
          <w:szCs w:val="24"/>
        </w:rPr>
        <w:t xml:space="preserve"> 3L T-</w:t>
      </w:r>
      <w:proofErr w:type="spellStart"/>
      <w:r w:rsidR="00E57235">
        <w:rPr>
          <w:rFonts w:eastAsia="Times New Roman" w:cs="Arial"/>
          <w:bCs/>
          <w:snapToGrid w:val="0"/>
          <w:szCs w:val="24"/>
        </w:rPr>
        <w:t>DXd</w:t>
      </w:r>
      <w:proofErr w:type="spellEnd"/>
      <w:r w:rsidR="00747B73">
        <w:rPr>
          <w:rFonts w:eastAsia="Times New Roman" w:cs="Arial"/>
          <w:bCs/>
          <w:snapToGrid w:val="0"/>
          <w:szCs w:val="24"/>
        </w:rPr>
        <w:t xml:space="preserve"> </w:t>
      </w:r>
      <w:r w:rsidR="00EC46F7">
        <w:rPr>
          <w:rFonts w:eastAsia="Times New Roman" w:cs="Arial"/>
          <w:bCs/>
          <w:snapToGrid w:val="0"/>
          <w:szCs w:val="24"/>
        </w:rPr>
        <w:t xml:space="preserve">being underestimated and/or its costs being </w:t>
      </w:r>
      <w:proofErr w:type="gramStart"/>
      <w:r w:rsidR="00EC46F7">
        <w:rPr>
          <w:rFonts w:eastAsia="Times New Roman" w:cs="Arial"/>
          <w:bCs/>
          <w:snapToGrid w:val="0"/>
          <w:szCs w:val="24"/>
        </w:rPr>
        <w:t>overestimate</w:t>
      </w:r>
      <w:r w:rsidR="009C34BE">
        <w:rPr>
          <w:rFonts w:eastAsia="Times New Roman" w:cs="Arial"/>
          <w:bCs/>
          <w:snapToGrid w:val="0"/>
          <w:szCs w:val="24"/>
        </w:rPr>
        <w:t>d</w:t>
      </w:r>
      <w:r w:rsidR="00EC46F7">
        <w:rPr>
          <w:rFonts w:eastAsia="Times New Roman" w:cs="Arial"/>
          <w:bCs/>
          <w:snapToGrid w:val="0"/>
          <w:szCs w:val="24"/>
        </w:rPr>
        <w:t>,</w:t>
      </w:r>
      <w:r w:rsidR="00E57235">
        <w:rPr>
          <w:rFonts w:eastAsia="Times New Roman" w:cs="Arial"/>
          <w:bCs/>
          <w:snapToGrid w:val="0"/>
          <w:szCs w:val="24"/>
        </w:rPr>
        <w:t xml:space="preserve"> </w:t>
      </w:r>
      <w:r w:rsidR="00D715E4" w:rsidRPr="006819DF">
        <w:rPr>
          <w:rFonts w:eastAsia="Times New Roman" w:cs="Arial"/>
          <w:bCs/>
          <w:snapToGrid w:val="0"/>
          <w:szCs w:val="24"/>
        </w:rPr>
        <w:t>and</w:t>
      </w:r>
      <w:proofErr w:type="gramEnd"/>
      <w:r w:rsidR="00D715E4" w:rsidRPr="006819DF">
        <w:rPr>
          <w:rFonts w:eastAsia="Times New Roman" w:cs="Arial"/>
          <w:bCs/>
          <w:snapToGrid w:val="0"/>
          <w:szCs w:val="24"/>
        </w:rPr>
        <w:t xml:space="preserve"> </w:t>
      </w:r>
      <w:r w:rsidR="00333BD5">
        <w:rPr>
          <w:rFonts w:eastAsia="Times New Roman" w:cs="Arial"/>
          <w:bCs/>
          <w:snapToGrid w:val="0"/>
          <w:szCs w:val="24"/>
        </w:rPr>
        <w:t xml:space="preserve">considered that </w:t>
      </w:r>
      <w:r w:rsidR="00B81B5E">
        <w:rPr>
          <w:rFonts w:eastAsia="Times New Roman" w:cs="Arial"/>
          <w:bCs/>
          <w:snapToGrid w:val="0"/>
          <w:szCs w:val="24"/>
        </w:rPr>
        <w:t>the base case model</w:t>
      </w:r>
      <w:r w:rsidR="00333BD5">
        <w:rPr>
          <w:rFonts w:eastAsia="Times New Roman" w:cs="Arial"/>
          <w:bCs/>
          <w:snapToGrid w:val="0"/>
          <w:szCs w:val="24"/>
        </w:rPr>
        <w:t xml:space="preserve"> </w:t>
      </w:r>
      <w:r w:rsidR="00D715E4" w:rsidRPr="006819DF">
        <w:rPr>
          <w:rFonts w:eastAsia="Times New Roman" w:cs="Arial"/>
          <w:bCs/>
          <w:snapToGrid w:val="0"/>
          <w:szCs w:val="24"/>
        </w:rPr>
        <w:t>lacked face value</w:t>
      </w:r>
      <w:r w:rsidR="0039193B" w:rsidRPr="006819DF">
        <w:rPr>
          <w:rFonts w:eastAsia="Times New Roman" w:cs="Arial"/>
          <w:bCs/>
          <w:snapToGrid w:val="0"/>
          <w:szCs w:val="24"/>
        </w:rPr>
        <w:t xml:space="preserve">. The PBAC noted that the </w:t>
      </w:r>
      <w:r w:rsidR="003D1A79" w:rsidRPr="006819DF">
        <w:rPr>
          <w:rFonts w:eastAsia="Times New Roman" w:cs="Arial"/>
          <w:bCs/>
          <w:snapToGrid w:val="0"/>
          <w:szCs w:val="24"/>
        </w:rPr>
        <w:t xml:space="preserve">evaluation provided a revised approach </w:t>
      </w:r>
      <w:r w:rsidR="00CA0CBD" w:rsidRPr="006819DF">
        <w:rPr>
          <w:rFonts w:eastAsia="Times New Roman" w:cs="Arial"/>
          <w:bCs/>
          <w:snapToGrid w:val="0"/>
          <w:szCs w:val="24"/>
        </w:rPr>
        <w:t>to address this issue</w:t>
      </w:r>
      <w:r w:rsidR="009012FF">
        <w:rPr>
          <w:rFonts w:eastAsia="Times New Roman" w:cs="Arial"/>
          <w:bCs/>
          <w:snapToGrid w:val="0"/>
          <w:szCs w:val="24"/>
        </w:rPr>
        <w:t xml:space="preserve"> and the </w:t>
      </w:r>
      <w:r w:rsidR="00E1072A">
        <w:rPr>
          <w:rFonts w:eastAsia="Times New Roman" w:cs="Arial"/>
          <w:bCs/>
          <w:snapToGrid w:val="0"/>
          <w:szCs w:val="24"/>
        </w:rPr>
        <w:t xml:space="preserve">resulting ICER was </w:t>
      </w:r>
      <w:r w:rsidR="00E1072A" w:rsidRPr="006819DF">
        <w:rPr>
          <w:rFonts w:eastAsia="Times New Roman" w:cs="Arial"/>
          <w:bCs/>
          <w:snapToGrid w:val="0"/>
          <w:szCs w:val="24"/>
        </w:rPr>
        <w:t>$</w:t>
      </w:r>
      <w:r w:rsidR="008125A8">
        <w:rPr>
          <w:rFonts w:eastAsia="Times New Roman" w:cs="Arial"/>
          <w:bCs/>
          <w:snapToGrid w:val="0"/>
          <w:szCs w:val="24"/>
        </w:rPr>
        <w:t xml:space="preserve">115,000 to &lt;$135,000 </w:t>
      </w:r>
      <w:r w:rsidR="00E1072A" w:rsidRPr="006819DF">
        <w:rPr>
          <w:rFonts w:eastAsia="Times New Roman" w:cs="Arial"/>
          <w:bCs/>
          <w:snapToGrid w:val="0"/>
          <w:szCs w:val="24"/>
        </w:rPr>
        <w:t xml:space="preserve">per </w:t>
      </w:r>
      <w:proofErr w:type="gramStart"/>
      <w:r w:rsidR="00E1072A" w:rsidRPr="006819DF">
        <w:rPr>
          <w:rFonts w:eastAsia="Times New Roman" w:cs="Arial"/>
          <w:bCs/>
          <w:snapToGrid w:val="0"/>
          <w:szCs w:val="24"/>
        </w:rPr>
        <w:t>QALY</w:t>
      </w:r>
      <w:r w:rsidR="00CA0CBD" w:rsidRPr="006819DF">
        <w:rPr>
          <w:rFonts w:eastAsia="Times New Roman" w:cs="Arial"/>
          <w:bCs/>
          <w:snapToGrid w:val="0"/>
          <w:szCs w:val="24"/>
        </w:rPr>
        <w:t>, but</w:t>
      </w:r>
      <w:proofErr w:type="gramEnd"/>
      <w:r w:rsidR="00CA0CBD" w:rsidRPr="006819DF">
        <w:rPr>
          <w:rFonts w:eastAsia="Times New Roman" w:cs="Arial"/>
          <w:bCs/>
          <w:snapToGrid w:val="0"/>
          <w:szCs w:val="24"/>
        </w:rPr>
        <w:t xml:space="preserve"> acknowledged that </w:t>
      </w:r>
      <w:r w:rsidR="004D6AEE" w:rsidRPr="006819DF">
        <w:rPr>
          <w:rFonts w:eastAsia="Times New Roman" w:cs="Arial"/>
          <w:bCs/>
          <w:snapToGrid w:val="0"/>
          <w:szCs w:val="24"/>
        </w:rPr>
        <w:t>there were limitations and possible flaws in the revised approach.</w:t>
      </w:r>
      <w:r w:rsidR="006819DF" w:rsidRPr="006819DF">
        <w:rPr>
          <w:rFonts w:eastAsia="Times New Roman" w:cs="Arial"/>
          <w:bCs/>
          <w:snapToGrid w:val="0"/>
          <w:szCs w:val="24"/>
        </w:rPr>
        <w:t xml:space="preserve"> </w:t>
      </w:r>
      <w:r w:rsidR="00502CB6">
        <w:rPr>
          <w:rFonts w:eastAsia="Times New Roman" w:cs="Arial"/>
          <w:bCs/>
          <w:snapToGrid w:val="0"/>
          <w:szCs w:val="24"/>
        </w:rPr>
        <w:t>The PBAC considered that the minor changes to the model proposed in the PSCR</w:t>
      </w:r>
      <w:r w:rsidR="00371053">
        <w:rPr>
          <w:rFonts w:eastAsia="Times New Roman" w:cs="Arial"/>
          <w:bCs/>
          <w:snapToGrid w:val="0"/>
          <w:szCs w:val="24"/>
        </w:rPr>
        <w:t xml:space="preserve"> analysis</w:t>
      </w:r>
      <w:r w:rsidR="00502CB6">
        <w:rPr>
          <w:rFonts w:eastAsia="Times New Roman" w:cs="Arial"/>
          <w:bCs/>
          <w:snapToGrid w:val="0"/>
          <w:szCs w:val="24"/>
        </w:rPr>
        <w:t xml:space="preserve"> </w:t>
      </w:r>
      <w:r w:rsidR="00CF1DC1">
        <w:rPr>
          <w:rFonts w:eastAsia="Times New Roman" w:cs="Arial"/>
          <w:bCs/>
          <w:snapToGrid w:val="0"/>
          <w:szCs w:val="24"/>
        </w:rPr>
        <w:t>(see paragraph</w:t>
      </w:r>
      <w:r w:rsidR="007671CF">
        <w:rPr>
          <w:rFonts w:eastAsia="Times New Roman" w:cs="Arial"/>
          <w:bCs/>
          <w:snapToGrid w:val="0"/>
          <w:szCs w:val="24"/>
        </w:rPr>
        <w:t xml:space="preserve"> </w:t>
      </w:r>
      <w:r w:rsidR="007671CF">
        <w:rPr>
          <w:bCs/>
          <w:snapToGrid w:val="0"/>
        </w:rPr>
        <w:fldChar w:fldCharType="begin"/>
      </w:r>
      <w:r w:rsidR="007671CF">
        <w:rPr>
          <w:rFonts w:eastAsia="Times New Roman" w:cs="Arial"/>
          <w:bCs/>
          <w:snapToGrid w:val="0"/>
          <w:szCs w:val="24"/>
        </w:rPr>
        <w:instrText xml:space="preserve"> REF _Ref226474303 \r \h </w:instrText>
      </w:r>
      <w:r w:rsidR="007671CF">
        <w:rPr>
          <w:bCs/>
          <w:snapToGrid w:val="0"/>
        </w:rPr>
      </w:r>
      <w:r w:rsidR="007671CF">
        <w:rPr>
          <w:bCs/>
          <w:snapToGrid w:val="0"/>
        </w:rPr>
        <w:fldChar w:fldCharType="separate"/>
      </w:r>
      <w:r w:rsidR="00453A02">
        <w:rPr>
          <w:rFonts w:eastAsia="Times New Roman" w:cs="Arial"/>
          <w:bCs/>
          <w:snapToGrid w:val="0"/>
          <w:szCs w:val="24"/>
        </w:rPr>
        <w:t>6.81</w:t>
      </w:r>
      <w:r w:rsidR="007671CF">
        <w:rPr>
          <w:bCs/>
          <w:snapToGrid w:val="0"/>
        </w:rPr>
        <w:fldChar w:fldCharType="end"/>
      </w:r>
      <w:r w:rsidR="00593C1A">
        <w:rPr>
          <w:rFonts w:eastAsia="Times New Roman" w:cs="Arial"/>
          <w:bCs/>
          <w:snapToGrid w:val="0"/>
          <w:szCs w:val="24"/>
        </w:rPr>
        <w:t xml:space="preserve">) </w:t>
      </w:r>
      <w:r w:rsidR="00502CB6">
        <w:rPr>
          <w:rFonts w:eastAsia="Times New Roman" w:cs="Arial"/>
          <w:bCs/>
          <w:snapToGrid w:val="0"/>
          <w:szCs w:val="24"/>
        </w:rPr>
        <w:t>did not a</w:t>
      </w:r>
      <w:r w:rsidR="00CF1DC1">
        <w:rPr>
          <w:rFonts w:eastAsia="Times New Roman" w:cs="Arial"/>
          <w:bCs/>
          <w:snapToGrid w:val="0"/>
          <w:szCs w:val="24"/>
        </w:rPr>
        <w:t>ddress the issues with the adjustment for subsequent T-</w:t>
      </w:r>
      <w:proofErr w:type="spellStart"/>
      <w:r w:rsidR="00CF1DC1">
        <w:rPr>
          <w:rFonts w:eastAsia="Times New Roman" w:cs="Arial"/>
          <w:bCs/>
          <w:snapToGrid w:val="0"/>
          <w:szCs w:val="24"/>
        </w:rPr>
        <w:t>DXd</w:t>
      </w:r>
      <w:proofErr w:type="spellEnd"/>
      <w:r w:rsidR="00CF1DC1">
        <w:rPr>
          <w:rFonts w:eastAsia="Times New Roman" w:cs="Arial"/>
          <w:bCs/>
          <w:snapToGrid w:val="0"/>
          <w:szCs w:val="24"/>
        </w:rPr>
        <w:t xml:space="preserve">. </w:t>
      </w:r>
      <w:r w:rsidR="006819DF">
        <w:rPr>
          <w:rFonts w:eastAsia="Times New Roman" w:cs="Arial"/>
          <w:bCs/>
          <w:snapToGrid w:val="0"/>
          <w:szCs w:val="24"/>
        </w:rPr>
        <w:t>T</w:t>
      </w:r>
      <w:r w:rsidR="00C77453" w:rsidRPr="006819DF">
        <w:rPr>
          <w:rFonts w:eastAsia="Times New Roman" w:cs="Arial"/>
          <w:snapToGrid w:val="0"/>
          <w:szCs w:val="24"/>
          <w:lang w:val="en-GB"/>
        </w:rPr>
        <w:t xml:space="preserve">he </w:t>
      </w:r>
      <w:r w:rsidR="006819DF">
        <w:rPr>
          <w:rFonts w:eastAsia="Times New Roman" w:cs="Arial"/>
          <w:snapToGrid w:val="0"/>
          <w:szCs w:val="24"/>
          <w:lang w:val="en-GB"/>
        </w:rPr>
        <w:t xml:space="preserve">PBAC noted that other </w:t>
      </w:r>
      <w:r w:rsidR="00C77453" w:rsidRPr="006819DF">
        <w:rPr>
          <w:rFonts w:eastAsia="Times New Roman" w:cs="Arial"/>
          <w:snapToGrid w:val="0"/>
          <w:szCs w:val="24"/>
          <w:lang w:val="en-GB"/>
        </w:rPr>
        <w:t xml:space="preserve">key drivers of the model were the </w:t>
      </w:r>
      <w:r w:rsidR="00F10D84" w:rsidRPr="006819DF">
        <w:rPr>
          <w:rFonts w:eastAsia="Times New Roman" w:cs="Arial"/>
          <w:snapToGrid w:val="0"/>
          <w:szCs w:val="24"/>
          <w:lang w:val="en-GB"/>
        </w:rPr>
        <w:t xml:space="preserve">time horizon, </w:t>
      </w:r>
      <w:r w:rsidR="00464060">
        <w:rPr>
          <w:rFonts w:eastAsia="Times New Roman" w:cs="Arial"/>
          <w:snapToGrid w:val="0"/>
          <w:szCs w:val="24"/>
          <w:lang w:val="en-GB"/>
        </w:rPr>
        <w:t xml:space="preserve">extrapolation functions, and </w:t>
      </w:r>
      <w:r w:rsidR="001E29F0">
        <w:rPr>
          <w:rFonts w:eastAsia="Times New Roman" w:cs="Arial"/>
          <w:snapToGrid w:val="0"/>
          <w:szCs w:val="24"/>
          <w:lang w:val="en-GB"/>
        </w:rPr>
        <w:t xml:space="preserve">the treatment-specific utility values for the PF health state. </w:t>
      </w:r>
      <w:r w:rsidR="00A73B64">
        <w:rPr>
          <w:rFonts w:eastAsia="Times New Roman" w:cs="Arial"/>
          <w:snapToGrid w:val="0"/>
          <w:szCs w:val="24"/>
          <w:lang w:val="en-GB"/>
        </w:rPr>
        <w:t xml:space="preserve">The PBAC </w:t>
      </w:r>
      <w:r w:rsidR="006B5C74">
        <w:rPr>
          <w:rFonts w:eastAsia="Times New Roman" w:cs="Arial"/>
          <w:snapToGrid w:val="0"/>
          <w:szCs w:val="24"/>
          <w:lang w:val="en-GB"/>
        </w:rPr>
        <w:t>noted</w:t>
      </w:r>
      <w:r w:rsidR="00A73B64">
        <w:rPr>
          <w:rFonts w:eastAsia="Times New Roman" w:cs="Arial"/>
          <w:snapToGrid w:val="0"/>
          <w:szCs w:val="24"/>
          <w:lang w:val="en-GB"/>
        </w:rPr>
        <w:t xml:space="preserve"> that </w:t>
      </w:r>
      <w:r w:rsidR="006B5C74">
        <w:rPr>
          <w:rFonts w:eastAsia="Times New Roman" w:cs="Arial"/>
          <w:snapToGrid w:val="0"/>
          <w:szCs w:val="24"/>
          <w:lang w:val="en-GB"/>
        </w:rPr>
        <w:t xml:space="preserve">more conservative assumptions for these inputs resulted in an ICER of </w:t>
      </w:r>
      <w:r w:rsidR="00AB43A5">
        <w:rPr>
          <w:rFonts w:eastAsia="Times New Roman" w:cs="Arial"/>
          <w:snapToGrid w:val="0"/>
          <w:szCs w:val="24"/>
          <w:lang w:val="en-GB"/>
        </w:rPr>
        <w:t>$</w:t>
      </w:r>
      <w:r w:rsidR="00A648A6">
        <w:rPr>
          <w:rFonts w:eastAsia="Times New Roman" w:cs="Arial"/>
          <w:snapToGrid w:val="0"/>
          <w:szCs w:val="24"/>
          <w:lang w:val="en-GB"/>
        </w:rPr>
        <w:t xml:space="preserve">155,000 to </w:t>
      </w:r>
      <w:r w:rsidR="00A648A6">
        <w:rPr>
          <w:rFonts w:eastAsia="Times New Roman" w:cs="Arial"/>
          <w:snapToGrid w:val="0"/>
          <w:szCs w:val="24"/>
          <w:lang w:val="en-GB"/>
        </w:rPr>
        <w:br/>
        <w:t>&lt; $255,000</w:t>
      </w:r>
      <w:r w:rsidR="00AB43A5">
        <w:rPr>
          <w:rFonts w:eastAsia="Times New Roman" w:cs="Arial"/>
          <w:snapToGrid w:val="0"/>
          <w:szCs w:val="24"/>
          <w:lang w:val="en-GB"/>
        </w:rPr>
        <w:t xml:space="preserve"> per QALY using the e</w:t>
      </w:r>
      <w:r w:rsidR="00A92FF1">
        <w:rPr>
          <w:rFonts w:eastAsia="Times New Roman" w:cs="Arial"/>
          <w:snapToGrid w:val="0"/>
          <w:szCs w:val="24"/>
          <w:lang w:val="en-GB"/>
        </w:rPr>
        <w:t xml:space="preserve">valuator’s revised model, which the PBAC considered was high and associated with </w:t>
      </w:r>
      <w:r w:rsidR="00502CB6">
        <w:rPr>
          <w:rFonts w:eastAsia="Times New Roman" w:cs="Arial"/>
          <w:snapToGrid w:val="0"/>
          <w:szCs w:val="24"/>
          <w:lang w:val="en-GB"/>
        </w:rPr>
        <w:t>substantial uncertainty.</w:t>
      </w:r>
    </w:p>
    <w:p w14:paraId="09C6906E" w14:textId="2053CF66" w:rsidR="00DA29D8" w:rsidRDefault="00A05789" w:rsidP="008241B5">
      <w:pPr>
        <w:numPr>
          <w:ilvl w:val="1"/>
          <w:numId w:val="1"/>
        </w:numPr>
        <w:spacing w:after="120"/>
        <w:rPr>
          <w:rFonts w:asciiTheme="minorHAnsi" w:hAnsiTheme="minorHAnsi"/>
          <w:snapToGrid w:val="0"/>
          <w:lang w:val="en-GB"/>
        </w:rPr>
      </w:pPr>
      <w:bookmarkStart w:id="99" w:name="_Ref226987795"/>
      <w:bookmarkStart w:id="100" w:name="_Ref226545507"/>
      <w:r>
        <w:rPr>
          <w:rFonts w:asciiTheme="minorHAnsi" w:hAnsiTheme="minorHAnsi"/>
          <w:snapToGrid w:val="0"/>
          <w:lang w:val="en-GB"/>
        </w:rPr>
        <w:t>The PBAC consider</w:t>
      </w:r>
      <w:r w:rsidR="00176341">
        <w:rPr>
          <w:rFonts w:asciiTheme="minorHAnsi" w:hAnsiTheme="minorHAnsi"/>
          <w:snapToGrid w:val="0"/>
          <w:lang w:val="en-GB"/>
        </w:rPr>
        <w:t>ed</w:t>
      </w:r>
      <w:r>
        <w:rPr>
          <w:rFonts w:asciiTheme="minorHAnsi" w:hAnsiTheme="minorHAnsi"/>
          <w:snapToGrid w:val="0"/>
          <w:lang w:val="en-GB"/>
        </w:rPr>
        <w:t xml:space="preserve"> the financial estimates to be </w:t>
      </w:r>
      <w:r w:rsidR="00907B16">
        <w:rPr>
          <w:rFonts w:asciiTheme="minorHAnsi" w:hAnsiTheme="minorHAnsi"/>
          <w:snapToGrid w:val="0"/>
          <w:lang w:val="en-GB"/>
        </w:rPr>
        <w:t xml:space="preserve">uncertain and </w:t>
      </w:r>
      <w:r w:rsidR="0090170E">
        <w:rPr>
          <w:rFonts w:asciiTheme="minorHAnsi" w:hAnsiTheme="minorHAnsi"/>
          <w:snapToGrid w:val="0"/>
          <w:lang w:val="en-GB"/>
        </w:rPr>
        <w:t>the cost of 2L T-</w:t>
      </w:r>
      <w:proofErr w:type="spellStart"/>
      <w:r w:rsidR="0090170E">
        <w:rPr>
          <w:rFonts w:asciiTheme="minorHAnsi" w:hAnsiTheme="minorHAnsi"/>
          <w:snapToGrid w:val="0"/>
          <w:lang w:val="en-GB"/>
        </w:rPr>
        <w:t>DXd</w:t>
      </w:r>
      <w:proofErr w:type="spellEnd"/>
      <w:r w:rsidR="0090170E">
        <w:rPr>
          <w:rFonts w:asciiTheme="minorHAnsi" w:hAnsiTheme="minorHAnsi"/>
          <w:snapToGrid w:val="0"/>
          <w:lang w:val="en-GB"/>
        </w:rPr>
        <w:t xml:space="preserve"> </w:t>
      </w:r>
      <w:r w:rsidR="00D35981">
        <w:rPr>
          <w:rFonts w:asciiTheme="minorHAnsi" w:hAnsiTheme="minorHAnsi"/>
          <w:snapToGrid w:val="0"/>
          <w:lang w:val="en-GB"/>
        </w:rPr>
        <w:t xml:space="preserve">to be </w:t>
      </w:r>
      <w:r>
        <w:rPr>
          <w:rFonts w:asciiTheme="minorHAnsi" w:hAnsiTheme="minorHAnsi"/>
          <w:snapToGrid w:val="0"/>
          <w:lang w:val="en-GB"/>
        </w:rPr>
        <w:t>underestimated</w:t>
      </w:r>
      <w:r w:rsidR="00176341">
        <w:rPr>
          <w:rFonts w:asciiTheme="minorHAnsi" w:hAnsiTheme="minorHAnsi"/>
          <w:snapToGrid w:val="0"/>
          <w:lang w:val="en-GB"/>
        </w:rPr>
        <w:t>.</w:t>
      </w:r>
      <w:r w:rsidR="00907B16">
        <w:rPr>
          <w:rFonts w:asciiTheme="minorHAnsi" w:hAnsiTheme="minorHAnsi"/>
          <w:snapToGrid w:val="0"/>
          <w:lang w:val="en-GB"/>
        </w:rPr>
        <w:t xml:space="preserve"> </w:t>
      </w:r>
      <w:r w:rsidR="00415B7F">
        <w:rPr>
          <w:rFonts w:asciiTheme="minorHAnsi" w:hAnsiTheme="minorHAnsi"/>
          <w:snapToGrid w:val="0"/>
          <w:lang w:val="en-GB"/>
        </w:rPr>
        <w:t>T</w:t>
      </w:r>
      <w:r w:rsidR="006365CA">
        <w:rPr>
          <w:rFonts w:asciiTheme="minorHAnsi" w:hAnsiTheme="minorHAnsi"/>
          <w:snapToGrid w:val="0"/>
          <w:lang w:val="en-GB"/>
        </w:rPr>
        <w:t xml:space="preserve">he PBAC </w:t>
      </w:r>
      <w:r w:rsidR="00AC2BA6">
        <w:rPr>
          <w:rFonts w:asciiTheme="minorHAnsi" w:hAnsiTheme="minorHAnsi"/>
          <w:snapToGrid w:val="0"/>
          <w:lang w:val="en-GB"/>
        </w:rPr>
        <w:t xml:space="preserve">considered that </w:t>
      </w:r>
      <w:r w:rsidR="00864725">
        <w:rPr>
          <w:rFonts w:asciiTheme="minorHAnsi" w:hAnsiTheme="minorHAnsi"/>
          <w:snapToGrid w:val="0"/>
          <w:lang w:val="en-GB"/>
        </w:rPr>
        <w:t>T-</w:t>
      </w:r>
      <w:proofErr w:type="spellStart"/>
      <w:r w:rsidR="00864725">
        <w:rPr>
          <w:rFonts w:asciiTheme="minorHAnsi" w:hAnsiTheme="minorHAnsi"/>
          <w:snapToGrid w:val="0"/>
          <w:lang w:val="en-GB"/>
        </w:rPr>
        <w:t>DXd</w:t>
      </w:r>
      <w:proofErr w:type="spellEnd"/>
      <w:r w:rsidR="00AC2BA6">
        <w:rPr>
          <w:rFonts w:asciiTheme="minorHAnsi" w:hAnsiTheme="minorHAnsi"/>
          <w:snapToGrid w:val="0"/>
          <w:lang w:val="en-GB"/>
        </w:rPr>
        <w:t xml:space="preserve"> would likely replace </w:t>
      </w:r>
      <w:r w:rsidR="00C15FF3">
        <w:rPr>
          <w:rFonts w:asciiTheme="minorHAnsi" w:hAnsiTheme="minorHAnsi"/>
          <w:snapToGrid w:val="0"/>
          <w:lang w:val="en-GB"/>
        </w:rPr>
        <w:t xml:space="preserve">a proportion of </w:t>
      </w:r>
      <w:r w:rsidR="0040559B">
        <w:rPr>
          <w:rFonts w:asciiTheme="minorHAnsi" w:hAnsiTheme="minorHAnsi"/>
          <w:snapToGrid w:val="0"/>
          <w:lang w:val="en-GB"/>
        </w:rPr>
        <w:t>both</w:t>
      </w:r>
      <w:r w:rsidR="00C15FF3">
        <w:rPr>
          <w:rFonts w:asciiTheme="minorHAnsi" w:hAnsiTheme="minorHAnsi"/>
          <w:snapToGrid w:val="0"/>
          <w:lang w:val="en-GB"/>
        </w:rPr>
        <w:t xml:space="preserve"> oral </w:t>
      </w:r>
      <w:r w:rsidR="0040559B">
        <w:rPr>
          <w:rFonts w:asciiTheme="minorHAnsi" w:hAnsiTheme="minorHAnsi"/>
          <w:snapToGrid w:val="0"/>
          <w:lang w:val="en-GB"/>
        </w:rPr>
        <w:t xml:space="preserve">and IV </w:t>
      </w:r>
      <w:r w:rsidR="00C15FF3">
        <w:rPr>
          <w:rFonts w:asciiTheme="minorHAnsi" w:hAnsiTheme="minorHAnsi"/>
          <w:snapToGrid w:val="0"/>
          <w:lang w:val="en-GB"/>
        </w:rPr>
        <w:t>chemotherapy</w:t>
      </w:r>
      <w:r w:rsidR="00620EC0">
        <w:rPr>
          <w:rFonts w:asciiTheme="minorHAnsi" w:hAnsiTheme="minorHAnsi"/>
          <w:snapToGrid w:val="0"/>
          <w:lang w:val="en-GB"/>
        </w:rPr>
        <w:t xml:space="preserve">. The PBAC noted that assuming some replacement of oral chemotherapy resulted in </w:t>
      </w:r>
      <w:r w:rsidR="00415B7F">
        <w:rPr>
          <w:rFonts w:asciiTheme="minorHAnsi" w:hAnsiTheme="minorHAnsi"/>
          <w:snapToGrid w:val="0"/>
          <w:lang w:val="en-GB"/>
        </w:rPr>
        <w:t xml:space="preserve">very substantial increases in the </w:t>
      </w:r>
      <w:r w:rsidR="00415B7F">
        <w:rPr>
          <w:rFonts w:asciiTheme="minorHAnsi" w:hAnsiTheme="minorHAnsi"/>
          <w:snapToGrid w:val="0"/>
          <w:lang w:val="en-GB"/>
        </w:rPr>
        <w:lastRenderedPageBreak/>
        <w:t>financial estimates</w:t>
      </w:r>
      <w:r w:rsidR="0031183D">
        <w:rPr>
          <w:rFonts w:asciiTheme="minorHAnsi" w:hAnsiTheme="minorHAnsi"/>
          <w:snapToGrid w:val="0"/>
          <w:lang w:val="en-GB"/>
        </w:rPr>
        <w:t xml:space="preserve">. </w:t>
      </w:r>
      <w:r w:rsidR="00B80347">
        <w:rPr>
          <w:rFonts w:asciiTheme="minorHAnsi" w:hAnsiTheme="minorHAnsi"/>
          <w:snapToGrid w:val="0"/>
          <w:lang w:val="en-GB"/>
        </w:rPr>
        <w:t>The PBAC considered</w:t>
      </w:r>
      <w:r w:rsidR="003B3B44">
        <w:rPr>
          <w:rFonts w:asciiTheme="minorHAnsi" w:hAnsiTheme="minorHAnsi"/>
          <w:snapToGrid w:val="0"/>
          <w:lang w:val="en-GB"/>
        </w:rPr>
        <w:t xml:space="preserve"> it would be reasonable </w:t>
      </w:r>
      <w:r w:rsidR="00EA6C28">
        <w:rPr>
          <w:rFonts w:asciiTheme="minorHAnsi" w:hAnsiTheme="minorHAnsi"/>
          <w:snapToGrid w:val="0"/>
          <w:lang w:val="en-GB"/>
        </w:rPr>
        <w:t>for calculation of eligible patients to</w:t>
      </w:r>
      <w:r w:rsidR="00B80347">
        <w:rPr>
          <w:rFonts w:asciiTheme="minorHAnsi" w:hAnsiTheme="minorHAnsi"/>
          <w:snapToGrid w:val="0"/>
          <w:lang w:val="en-GB"/>
        </w:rPr>
        <w:t xml:space="preserve"> assume </w:t>
      </w:r>
      <w:r w:rsidR="004E4C8D">
        <w:rPr>
          <w:rFonts w:asciiTheme="minorHAnsi" w:hAnsiTheme="minorHAnsi"/>
          <w:snapToGrid w:val="0"/>
          <w:lang w:val="en-GB"/>
        </w:rPr>
        <w:t>T-</w:t>
      </w:r>
      <w:proofErr w:type="spellStart"/>
      <w:r w:rsidR="004E4C8D">
        <w:rPr>
          <w:rFonts w:asciiTheme="minorHAnsi" w:hAnsiTheme="minorHAnsi"/>
          <w:snapToGrid w:val="0"/>
          <w:lang w:val="en-GB"/>
        </w:rPr>
        <w:t>DXd</w:t>
      </w:r>
      <w:proofErr w:type="spellEnd"/>
      <w:r w:rsidR="004E4C8D">
        <w:rPr>
          <w:rFonts w:asciiTheme="minorHAnsi" w:hAnsiTheme="minorHAnsi"/>
          <w:snapToGrid w:val="0"/>
          <w:lang w:val="en-GB"/>
        </w:rPr>
        <w:t xml:space="preserve"> would </w:t>
      </w:r>
      <w:r w:rsidR="00DA0545">
        <w:rPr>
          <w:rFonts w:asciiTheme="minorHAnsi" w:hAnsiTheme="minorHAnsi"/>
          <w:snapToGrid w:val="0"/>
          <w:lang w:val="en-GB"/>
        </w:rPr>
        <w:t xml:space="preserve">replace </w:t>
      </w:r>
      <w:r w:rsidR="0073232E">
        <w:rPr>
          <w:rFonts w:asciiTheme="minorHAnsi" w:hAnsiTheme="minorHAnsi"/>
          <w:snapToGrid w:val="0"/>
          <w:lang w:val="en-GB"/>
        </w:rPr>
        <w:t>chemotherapy for</w:t>
      </w:r>
      <w:r w:rsidR="00F226A1">
        <w:rPr>
          <w:rFonts w:asciiTheme="minorHAnsi" w:hAnsiTheme="minorHAnsi"/>
          <w:snapToGrid w:val="0"/>
          <w:lang w:val="en-GB"/>
        </w:rPr>
        <w:t xml:space="preserve"> patients</w:t>
      </w:r>
      <w:r w:rsidR="0073232E">
        <w:rPr>
          <w:rFonts w:asciiTheme="minorHAnsi" w:hAnsiTheme="minorHAnsi"/>
          <w:snapToGrid w:val="0"/>
          <w:lang w:val="en-GB"/>
        </w:rPr>
        <w:t xml:space="preserve"> who would otherwise receive IV chemotherapy (29% of the total patients) and in </w:t>
      </w:r>
      <w:r w:rsidR="004E4C8D">
        <w:rPr>
          <w:rFonts w:asciiTheme="minorHAnsi" w:hAnsiTheme="minorHAnsi"/>
          <w:snapToGrid w:val="0"/>
          <w:lang w:val="en-GB"/>
        </w:rPr>
        <w:t xml:space="preserve">50% of patients </w:t>
      </w:r>
      <w:r w:rsidR="004B299B">
        <w:rPr>
          <w:rFonts w:asciiTheme="minorHAnsi" w:hAnsiTheme="minorHAnsi"/>
          <w:snapToGrid w:val="0"/>
          <w:lang w:val="en-GB"/>
        </w:rPr>
        <w:t xml:space="preserve">who would otherwise be </w:t>
      </w:r>
      <w:r w:rsidR="004E4C8D">
        <w:rPr>
          <w:rFonts w:asciiTheme="minorHAnsi" w:hAnsiTheme="minorHAnsi"/>
          <w:snapToGrid w:val="0"/>
          <w:lang w:val="en-GB"/>
        </w:rPr>
        <w:t xml:space="preserve">treated with </w:t>
      </w:r>
      <w:r w:rsidR="0073232E">
        <w:rPr>
          <w:rFonts w:asciiTheme="minorHAnsi" w:hAnsiTheme="minorHAnsi"/>
          <w:snapToGrid w:val="0"/>
          <w:lang w:val="en-GB"/>
        </w:rPr>
        <w:t>oral chemotherapy (</w:t>
      </w:r>
      <w:r w:rsidR="004B299B">
        <w:rPr>
          <w:rFonts w:asciiTheme="minorHAnsi" w:hAnsiTheme="minorHAnsi"/>
          <w:snapToGrid w:val="0"/>
          <w:lang w:val="en-GB"/>
        </w:rPr>
        <w:t>50% of the remaining 71% of patients</w:t>
      </w:r>
      <w:r w:rsidR="0073232E">
        <w:rPr>
          <w:rFonts w:asciiTheme="minorHAnsi" w:hAnsiTheme="minorHAnsi"/>
          <w:snapToGrid w:val="0"/>
          <w:lang w:val="en-GB"/>
        </w:rPr>
        <w:t>)</w:t>
      </w:r>
      <w:r w:rsidR="004B299B">
        <w:rPr>
          <w:rFonts w:asciiTheme="minorHAnsi" w:hAnsiTheme="minorHAnsi"/>
          <w:snapToGrid w:val="0"/>
          <w:lang w:val="en-GB"/>
        </w:rPr>
        <w:t xml:space="preserve">. </w:t>
      </w:r>
      <w:r w:rsidR="00897BBE">
        <w:rPr>
          <w:rFonts w:asciiTheme="minorHAnsi" w:hAnsiTheme="minorHAnsi"/>
          <w:snapToGrid w:val="0"/>
          <w:lang w:val="en-GB"/>
        </w:rPr>
        <w:t>The PBAC advised that T</w:t>
      </w:r>
      <w:r w:rsidR="00897BBE">
        <w:rPr>
          <w:rFonts w:asciiTheme="minorHAnsi" w:hAnsiTheme="minorHAnsi"/>
          <w:snapToGrid w:val="0"/>
          <w:lang w:val="en-GB"/>
        </w:rPr>
        <w:noBreakHyphen/>
      </w:r>
      <w:proofErr w:type="spellStart"/>
      <w:r w:rsidR="00897BBE">
        <w:rPr>
          <w:rFonts w:asciiTheme="minorHAnsi" w:hAnsiTheme="minorHAnsi"/>
          <w:snapToGrid w:val="0"/>
          <w:lang w:val="en-GB"/>
        </w:rPr>
        <w:t>DXd</w:t>
      </w:r>
      <w:proofErr w:type="spellEnd"/>
      <w:r w:rsidR="00897BBE">
        <w:rPr>
          <w:rFonts w:asciiTheme="minorHAnsi" w:hAnsiTheme="minorHAnsi"/>
          <w:snapToGrid w:val="0"/>
          <w:lang w:val="en-GB"/>
        </w:rPr>
        <w:t xml:space="preserve"> uptake rates should be no </w:t>
      </w:r>
      <w:r w:rsidR="00897BBE" w:rsidRPr="00EE436A">
        <w:rPr>
          <w:rFonts w:asciiTheme="minorHAnsi" w:hAnsiTheme="minorHAnsi"/>
          <w:snapToGrid w:val="0"/>
          <w:lang w:val="en-GB"/>
        </w:rPr>
        <w:t xml:space="preserve">higher than </w:t>
      </w:r>
      <w:r w:rsidR="006340CE" w:rsidRPr="006340CE">
        <w:rPr>
          <w:rFonts w:asciiTheme="minorHAnsi" w:hAnsiTheme="minorHAnsi"/>
          <w:snapToGrid w:val="0"/>
          <w:sz w:val="2"/>
          <w:highlight w:val="black"/>
          <w:lang w:val="en-GB"/>
        </w:rPr>
        <w:t>redacted content</w:t>
      </w:r>
      <w:r w:rsidR="00897BBE" w:rsidRPr="00EE436A">
        <w:rPr>
          <w:rFonts w:asciiTheme="minorHAnsi" w:hAnsiTheme="minorHAnsi"/>
          <w:snapToGrid w:val="0"/>
          <w:lang w:val="en-GB"/>
        </w:rPr>
        <w:t>%, given the additional</w:t>
      </w:r>
      <w:r w:rsidR="00897BBE">
        <w:rPr>
          <w:rFonts w:asciiTheme="minorHAnsi" w:hAnsiTheme="minorHAnsi"/>
          <w:snapToGrid w:val="0"/>
          <w:lang w:val="en-GB"/>
        </w:rPr>
        <w:t xml:space="preserve"> adverse events associated with T-</w:t>
      </w:r>
      <w:proofErr w:type="spellStart"/>
      <w:r w:rsidR="00897BBE">
        <w:rPr>
          <w:rFonts w:asciiTheme="minorHAnsi" w:hAnsiTheme="minorHAnsi"/>
          <w:snapToGrid w:val="0"/>
          <w:lang w:val="en-GB"/>
        </w:rPr>
        <w:t>DXd</w:t>
      </w:r>
      <w:proofErr w:type="spellEnd"/>
      <w:r w:rsidR="00897BBE">
        <w:rPr>
          <w:rFonts w:asciiTheme="minorHAnsi" w:hAnsiTheme="minorHAnsi"/>
          <w:snapToGrid w:val="0"/>
          <w:lang w:val="en-GB"/>
        </w:rPr>
        <w:t xml:space="preserve"> compared with chemotherapy. </w:t>
      </w:r>
      <w:r w:rsidR="00D66454">
        <w:rPr>
          <w:rFonts w:asciiTheme="minorHAnsi" w:hAnsiTheme="minorHAnsi"/>
          <w:snapToGrid w:val="0"/>
          <w:lang w:val="en-GB"/>
        </w:rPr>
        <w:t>T</w:t>
      </w:r>
      <w:r w:rsidR="00333318">
        <w:rPr>
          <w:rFonts w:asciiTheme="minorHAnsi" w:hAnsiTheme="minorHAnsi"/>
          <w:snapToGrid w:val="0"/>
          <w:lang w:val="en-GB"/>
        </w:rPr>
        <w:t xml:space="preserve">he PBAC </w:t>
      </w:r>
      <w:r w:rsidR="00D66454">
        <w:rPr>
          <w:rFonts w:asciiTheme="minorHAnsi" w:hAnsiTheme="minorHAnsi"/>
          <w:snapToGrid w:val="0"/>
          <w:lang w:val="en-GB"/>
        </w:rPr>
        <w:t xml:space="preserve">also </w:t>
      </w:r>
      <w:r w:rsidR="00333318">
        <w:rPr>
          <w:rFonts w:asciiTheme="minorHAnsi" w:hAnsiTheme="minorHAnsi"/>
          <w:snapToGrid w:val="0"/>
          <w:lang w:val="en-GB"/>
        </w:rPr>
        <w:t>noted that the</w:t>
      </w:r>
      <w:r w:rsidR="002021AF">
        <w:rPr>
          <w:rFonts w:asciiTheme="minorHAnsi" w:hAnsiTheme="minorHAnsi"/>
          <w:snapToGrid w:val="0"/>
          <w:lang w:val="en-GB"/>
        </w:rPr>
        <w:t xml:space="preserve"> offsets for reduced use of 3L </w:t>
      </w:r>
      <w:r w:rsidR="00864725">
        <w:rPr>
          <w:rFonts w:asciiTheme="minorHAnsi" w:hAnsiTheme="minorHAnsi"/>
          <w:snapToGrid w:val="0"/>
          <w:lang w:val="en-GB"/>
        </w:rPr>
        <w:t>T-</w:t>
      </w:r>
      <w:proofErr w:type="spellStart"/>
      <w:r w:rsidR="00864725">
        <w:rPr>
          <w:rFonts w:asciiTheme="minorHAnsi" w:hAnsiTheme="minorHAnsi"/>
          <w:snapToGrid w:val="0"/>
          <w:lang w:val="en-GB"/>
        </w:rPr>
        <w:t>DXd</w:t>
      </w:r>
      <w:proofErr w:type="spellEnd"/>
      <w:r w:rsidR="00CC1D02">
        <w:rPr>
          <w:rFonts w:asciiTheme="minorHAnsi" w:hAnsiTheme="minorHAnsi"/>
          <w:snapToGrid w:val="0"/>
          <w:lang w:val="en-GB"/>
        </w:rPr>
        <w:t xml:space="preserve">, which were based on a proportion of </w:t>
      </w:r>
      <w:r w:rsidR="0064316D" w:rsidRPr="00B13CE3">
        <w:rPr>
          <w:rFonts w:asciiTheme="minorHAnsi" w:eastAsiaTheme="minorHAnsi" w:hAnsiTheme="minorHAnsi" w:cstheme="minorBidi"/>
          <w:iCs/>
          <w:szCs w:val="22"/>
        </w:rPr>
        <w:t>the agreed patient numbers from the 3L setting (DB-04)</w:t>
      </w:r>
      <w:r w:rsidR="00AD2034">
        <w:rPr>
          <w:rFonts w:asciiTheme="minorHAnsi" w:eastAsiaTheme="minorHAnsi" w:hAnsiTheme="minorHAnsi" w:cstheme="minorBidi"/>
          <w:iCs/>
          <w:szCs w:val="22"/>
        </w:rPr>
        <w:t>,</w:t>
      </w:r>
      <w:r w:rsidR="0064316D" w:rsidRPr="00B13CE3">
        <w:rPr>
          <w:rFonts w:asciiTheme="minorHAnsi" w:eastAsiaTheme="minorHAnsi" w:hAnsiTheme="minorHAnsi" w:cstheme="minorBidi"/>
          <w:iCs/>
          <w:szCs w:val="22"/>
        </w:rPr>
        <w:t xml:space="preserve"> </w:t>
      </w:r>
      <w:r w:rsidR="002021AF">
        <w:rPr>
          <w:rFonts w:asciiTheme="minorHAnsi" w:hAnsiTheme="minorHAnsi"/>
          <w:snapToGrid w:val="0"/>
          <w:lang w:val="en-GB"/>
        </w:rPr>
        <w:t xml:space="preserve">were </w:t>
      </w:r>
      <w:r w:rsidR="00AD2034">
        <w:rPr>
          <w:rFonts w:asciiTheme="minorHAnsi" w:hAnsiTheme="minorHAnsi"/>
          <w:snapToGrid w:val="0"/>
          <w:lang w:val="en-GB"/>
        </w:rPr>
        <w:t xml:space="preserve">substantially </w:t>
      </w:r>
      <w:r w:rsidR="000D2586">
        <w:rPr>
          <w:rFonts w:asciiTheme="minorHAnsi" w:hAnsiTheme="minorHAnsi"/>
          <w:snapToGrid w:val="0"/>
          <w:lang w:val="en-GB"/>
        </w:rPr>
        <w:t>underestimated,</w:t>
      </w:r>
      <w:r w:rsidR="00CC1D02">
        <w:rPr>
          <w:rFonts w:asciiTheme="minorHAnsi" w:hAnsiTheme="minorHAnsi"/>
          <w:snapToGrid w:val="0"/>
        </w:rPr>
        <w:t xml:space="preserve"> </w:t>
      </w:r>
      <w:r w:rsidR="002C02EE" w:rsidRPr="002C02EE">
        <w:rPr>
          <w:rFonts w:asciiTheme="minorHAnsi" w:hAnsiTheme="minorHAnsi"/>
          <w:snapToGrid w:val="0"/>
        </w:rPr>
        <w:t>and inconsistent with the assumption in the economic model that 82.2% of progressed patients (100% of HER2-low patients) in the comparator arm would receive 3L T-</w:t>
      </w:r>
      <w:proofErr w:type="spellStart"/>
      <w:r w:rsidR="002C02EE" w:rsidRPr="002C02EE">
        <w:rPr>
          <w:rFonts w:asciiTheme="minorHAnsi" w:hAnsiTheme="minorHAnsi"/>
          <w:snapToGrid w:val="0"/>
        </w:rPr>
        <w:t>DXd</w:t>
      </w:r>
      <w:proofErr w:type="spellEnd"/>
      <w:r w:rsidR="002C02EE" w:rsidRPr="002C02EE">
        <w:rPr>
          <w:rFonts w:asciiTheme="minorHAnsi" w:hAnsiTheme="minorHAnsi"/>
          <w:snapToGrid w:val="0"/>
        </w:rPr>
        <w:t xml:space="preserve">. </w:t>
      </w:r>
      <w:r w:rsidR="002255DC">
        <w:rPr>
          <w:rFonts w:asciiTheme="minorHAnsi" w:hAnsiTheme="minorHAnsi"/>
          <w:snapToGrid w:val="0"/>
        </w:rPr>
        <w:t xml:space="preserve">The PBAC considered that offsets should be revised to </w:t>
      </w:r>
      <w:r w:rsidR="00D76EF8">
        <w:rPr>
          <w:rFonts w:asciiTheme="minorHAnsi" w:hAnsiTheme="minorHAnsi"/>
          <w:snapToGrid w:val="0"/>
        </w:rPr>
        <w:t xml:space="preserve">be consistent with the 2L </w:t>
      </w:r>
      <w:r w:rsidR="00D426CC">
        <w:rPr>
          <w:rFonts w:asciiTheme="minorHAnsi" w:hAnsiTheme="minorHAnsi"/>
          <w:snapToGrid w:val="0"/>
        </w:rPr>
        <w:t>T-</w:t>
      </w:r>
      <w:proofErr w:type="spellStart"/>
      <w:r w:rsidR="00D426CC">
        <w:rPr>
          <w:rFonts w:asciiTheme="minorHAnsi" w:hAnsiTheme="minorHAnsi"/>
          <w:snapToGrid w:val="0"/>
        </w:rPr>
        <w:t>DXd</w:t>
      </w:r>
      <w:proofErr w:type="spellEnd"/>
      <w:r w:rsidR="00D426CC">
        <w:rPr>
          <w:rFonts w:asciiTheme="minorHAnsi" w:hAnsiTheme="minorHAnsi"/>
          <w:snapToGrid w:val="0"/>
        </w:rPr>
        <w:t xml:space="preserve"> estimates</w:t>
      </w:r>
      <w:r w:rsidR="006B09D6">
        <w:rPr>
          <w:rFonts w:asciiTheme="minorHAnsi" w:hAnsiTheme="minorHAnsi"/>
          <w:snapToGrid w:val="0"/>
        </w:rPr>
        <w:t>.</w:t>
      </w:r>
      <w:bookmarkEnd w:id="99"/>
      <w:r w:rsidR="006B09D6">
        <w:rPr>
          <w:rFonts w:asciiTheme="minorHAnsi" w:hAnsiTheme="minorHAnsi"/>
          <w:snapToGrid w:val="0"/>
        </w:rPr>
        <w:t xml:space="preserve"> </w:t>
      </w:r>
      <w:bookmarkEnd w:id="100"/>
    </w:p>
    <w:p w14:paraId="1BD47742" w14:textId="712C9D00" w:rsidR="003A1F9C" w:rsidRPr="006C066B" w:rsidRDefault="00DA29D8" w:rsidP="008241B5">
      <w:pPr>
        <w:numPr>
          <w:ilvl w:val="1"/>
          <w:numId w:val="1"/>
        </w:numPr>
        <w:spacing w:after="120"/>
        <w:rPr>
          <w:snapToGrid w:val="0"/>
          <w:lang w:val="en-GB"/>
        </w:rPr>
      </w:pPr>
      <w:r>
        <w:rPr>
          <w:rFonts w:asciiTheme="minorHAnsi" w:hAnsiTheme="minorHAnsi"/>
          <w:snapToGrid w:val="0"/>
          <w:lang w:val="en-GB"/>
        </w:rPr>
        <w:t>T</w:t>
      </w:r>
      <w:r w:rsidR="00A0261A">
        <w:rPr>
          <w:rFonts w:asciiTheme="minorHAnsi" w:hAnsiTheme="minorHAnsi"/>
          <w:snapToGrid w:val="0"/>
          <w:lang w:val="en-GB"/>
        </w:rPr>
        <w:t>he PBAC noted tha</w:t>
      </w:r>
      <w:r w:rsidR="00E35066">
        <w:rPr>
          <w:rFonts w:asciiTheme="minorHAnsi" w:hAnsiTheme="minorHAnsi"/>
          <w:snapToGrid w:val="0"/>
          <w:lang w:val="en-GB"/>
        </w:rPr>
        <w:t>t</w:t>
      </w:r>
      <w:r w:rsidR="00A0261A">
        <w:rPr>
          <w:rFonts w:asciiTheme="minorHAnsi" w:hAnsiTheme="minorHAnsi"/>
          <w:snapToGrid w:val="0"/>
          <w:lang w:val="en-GB"/>
        </w:rPr>
        <w:t xml:space="preserve"> the </w:t>
      </w:r>
      <w:r>
        <w:rPr>
          <w:rFonts w:asciiTheme="minorHAnsi" w:hAnsiTheme="minorHAnsi"/>
          <w:snapToGrid w:val="0"/>
          <w:lang w:val="en-GB"/>
        </w:rPr>
        <w:t xml:space="preserve">submission proposed an </w:t>
      </w:r>
      <w:r w:rsidR="00A0261A">
        <w:rPr>
          <w:rFonts w:asciiTheme="minorHAnsi" w:hAnsiTheme="minorHAnsi"/>
          <w:snapToGrid w:val="0"/>
          <w:lang w:val="en-GB"/>
        </w:rPr>
        <w:t xml:space="preserve">increase in </w:t>
      </w:r>
      <w:r w:rsidR="00F94B41">
        <w:rPr>
          <w:rFonts w:asciiTheme="minorHAnsi" w:hAnsiTheme="minorHAnsi"/>
          <w:snapToGrid w:val="0"/>
          <w:lang w:val="en-GB"/>
        </w:rPr>
        <w:t xml:space="preserve">the </w:t>
      </w:r>
      <w:r w:rsidR="00074D2D">
        <w:rPr>
          <w:rFonts w:asciiTheme="minorHAnsi" w:hAnsiTheme="minorHAnsi"/>
          <w:snapToGrid w:val="0"/>
          <w:lang w:val="en-GB"/>
        </w:rPr>
        <w:t xml:space="preserve">existing </w:t>
      </w:r>
      <w:r w:rsidR="00D21E5C">
        <w:rPr>
          <w:rFonts w:asciiTheme="minorHAnsi" w:hAnsiTheme="minorHAnsi"/>
          <w:snapToGrid w:val="0"/>
          <w:lang w:val="en-GB"/>
        </w:rPr>
        <w:t xml:space="preserve">3L </w:t>
      </w:r>
      <w:r w:rsidR="00CC7C36">
        <w:rPr>
          <w:rFonts w:asciiTheme="minorHAnsi" w:hAnsiTheme="minorHAnsi"/>
          <w:snapToGrid w:val="0"/>
          <w:lang w:val="en-GB"/>
        </w:rPr>
        <w:t>HER</w:t>
      </w:r>
      <w:r w:rsidR="000B0D0A">
        <w:rPr>
          <w:rFonts w:asciiTheme="minorHAnsi" w:hAnsiTheme="minorHAnsi"/>
          <w:snapToGrid w:val="0"/>
          <w:lang w:val="en-GB"/>
        </w:rPr>
        <w:t>2-</w:t>
      </w:r>
      <w:r w:rsidR="00EE1A39">
        <w:rPr>
          <w:rFonts w:asciiTheme="minorHAnsi" w:hAnsiTheme="minorHAnsi"/>
          <w:snapToGrid w:val="0"/>
          <w:lang w:val="en-GB"/>
        </w:rPr>
        <w:t>low</w:t>
      </w:r>
      <w:r w:rsidR="001C4BC6">
        <w:rPr>
          <w:rFonts w:asciiTheme="minorHAnsi" w:hAnsiTheme="minorHAnsi"/>
          <w:snapToGrid w:val="0"/>
          <w:lang w:val="en-GB"/>
        </w:rPr>
        <w:t xml:space="preserve"> </w:t>
      </w:r>
      <w:r w:rsidR="00D21E5C">
        <w:rPr>
          <w:rFonts w:asciiTheme="minorHAnsi" w:hAnsiTheme="minorHAnsi"/>
          <w:snapToGrid w:val="0"/>
          <w:lang w:val="en-GB"/>
        </w:rPr>
        <w:t>T-</w:t>
      </w:r>
      <w:proofErr w:type="spellStart"/>
      <w:r w:rsidR="00D21E5C">
        <w:rPr>
          <w:rFonts w:asciiTheme="minorHAnsi" w:hAnsiTheme="minorHAnsi"/>
          <w:snapToGrid w:val="0"/>
          <w:lang w:val="en-GB"/>
        </w:rPr>
        <w:t>DXd</w:t>
      </w:r>
      <w:proofErr w:type="spellEnd"/>
      <w:r w:rsidR="00D21E5C">
        <w:rPr>
          <w:rFonts w:asciiTheme="minorHAnsi" w:hAnsiTheme="minorHAnsi"/>
          <w:snapToGrid w:val="0"/>
          <w:lang w:val="en-GB"/>
        </w:rPr>
        <w:t xml:space="preserve"> </w:t>
      </w:r>
      <w:r w:rsidR="00A0261A">
        <w:rPr>
          <w:rFonts w:asciiTheme="minorHAnsi" w:hAnsiTheme="minorHAnsi"/>
          <w:snapToGrid w:val="0"/>
          <w:lang w:val="en-GB"/>
        </w:rPr>
        <w:t xml:space="preserve">RSA </w:t>
      </w:r>
      <w:r w:rsidR="000841E6">
        <w:rPr>
          <w:rFonts w:asciiTheme="minorHAnsi" w:hAnsiTheme="minorHAnsi"/>
          <w:snapToGrid w:val="0"/>
          <w:lang w:val="en-GB"/>
        </w:rPr>
        <w:t xml:space="preserve">financial </w:t>
      </w:r>
      <w:r w:rsidR="00A0261A">
        <w:rPr>
          <w:rFonts w:asciiTheme="minorHAnsi" w:hAnsiTheme="minorHAnsi"/>
          <w:snapToGrid w:val="0"/>
          <w:lang w:val="en-GB"/>
        </w:rPr>
        <w:t>cap</w:t>
      </w:r>
      <w:r>
        <w:rPr>
          <w:rFonts w:asciiTheme="minorHAnsi" w:hAnsiTheme="minorHAnsi"/>
          <w:snapToGrid w:val="0"/>
          <w:lang w:val="en-GB"/>
        </w:rPr>
        <w:t>s</w:t>
      </w:r>
      <w:r w:rsidR="00A0261A">
        <w:rPr>
          <w:rFonts w:asciiTheme="minorHAnsi" w:hAnsiTheme="minorHAnsi"/>
          <w:snapToGrid w:val="0"/>
          <w:lang w:val="en-GB"/>
        </w:rPr>
        <w:t xml:space="preserve"> for </w:t>
      </w:r>
      <w:r w:rsidR="000841E6">
        <w:rPr>
          <w:rFonts w:asciiTheme="minorHAnsi" w:hAnsiTheme="minorHAnsi"/>
          <w:snapToGrid w:val="0"/>
          <w:lang w:val="en-GB"/>
        </w:rPr>
        <w:t xml:space="preserve">the </w:t>
      </w:r>
      <w:r w:rsidR="00A0261A">
        <w:rPr>
          <w:rFonts w:asciiTheme="minorHAnsi" w:hAnsiTheme="minorHAnsi"/>
          <w:snapToGrid w:val="0"/>
          <w:lang w:val="en-GB"/>
        </w:rPr>
        <w:t>addition of HER2</w:t>
      </w:r>
      <w:r w:rsidR="00AC0A6E">
        <w:rPr>
          <w:rFonts w:asciiTheme="minorHAnsi" w:hAnsiTheme="minorHAnsi"/>
          <w:snapToGrid w:val="0"/>
          <w:lang w:val="en-GB"/>
        </w:rPr>
        <w:t>-</w:t>
      </w:r>
      <w:r w:rsidR="00A0261A">
        <w:rPr>
          <w:rFonts w:asciiTheme="minorHAnsi" w:hAnsiTheme="minorHAnsi"/>
          <w:snapToGrid w:val="0"/>
          <w:lang w:val="en-GB"/>
        </w:rPr>
        <w:t>ultralow patients</w:t>
      </w:r>
      <w:r w:rsidR="00E35066">
        <w:rPr>
          <w:rFonts w:asciiTheme="minorHAnsi" w:hAnsiTheme="minorHAnsi"/>
          <w:snapToGrid w:val="0"/>
          <w:lang w:val="en-GB"/>
        </w:rPr>
        <w:t xml:space="preserve">, </w:t>
      </w:r>
      <w:r w:rsidR="00BF51C8">
        <w:rPr>
          <w:rFonts w:asciiTheme="minorHAnsi" w:hAnsiTheme="minorHAnsi"/>
          <w:snapToGrid w:val="0"/>
          <w:lang w:val="en-GB"/>
        </w:rPr>
        <w:t xml:space="preserve">with no increase proposed to account for additional </w:t>
      </w:r>
      <w:r w:rsidR="003A1F9C">
        <w:rPr>
          <w:rFonts w:asciiTheme="minorHAnsi" w:hAnsiTheme="minorHAnsi"/>
          <w:snapToGrid w:val="0"/>
          <w:lang w:val="en-GB"/>
        </w:rPr>
        <w:t xml:space="preserve">2L </w:t>
      </w:r>
      <w:r w:rsidR="00BF51C8">
        <w:rPr>
          <w:rFonts w:asciiTheme="minorHAnsi" w:hAnsiTheme="minorHAnsi"/>
          <w:snapToGrid w:val="0"/>
          <w:lang w:val="en-GB"/>
        </w:rPr>
        <w:t>HER2</w:t>
      </w:r>
      <w:r w:rsidR="00AC0A6E">
        <w:rPr>
          <w:rFonts w:asciiTheme="minorHAnsi" w:hAnsiTheme="minorHAnsi"/>
          <w:snapToGrid w:val="0"/>
          <w:lang w:val="en-GB"/>
        </w:rPr>
        <w:t xml:space="preserve">-low </w:t>
      </w:r>
      <w:r w:rsidR="003A1F9C">
        <w:rPr>
          <w:rFonts w:asciiTheme="minorHAnsi" w:hAnsiTheme="minorHAnsi"/>
          <w:snapToGrid w:val="0"/>
          <w:lang w:val="en-GB"/>
        </w:rPr>
        <w:t xml:space="preserve">patients. </w:t>
      </w:r>
      <w:r w:rsidR="0065683F">
        <w:rPr>
          <w:rFonts w:asciiTheme="minorHAnsi" w:hAnsiTheme="minorHAnsi"/>
          <w:snapToGrid w:val="0"/>
          <w:lang w:val="en-GB"/>
        </w:rPr>
        <w:t xml:space="preserve">The PBAC </w:t>
      </w:r>
      <w:r w:rsidR="00C02F64">
        <w:rPr>
          <w:rFonts w:asciiTheme="minorHAnsi" w:hAnsiTheme="minorHAnsi"/>
          <w:snapToGrid w:val="0"/>
          <w:lang w:val="en-GB"/>
        </w:rPr>
        <w:t xml:space="preserve">further </w:t>
      </w:r>
      <w:r w:rsidR="0065683F">
        <w:rPr>
          <w:rFonts w:asciiTheme="minorHAnsi" w:hAnsiTheme="minorHAnsi"/>
          <w:snapToGrid w:val="0"/>
          <w:lang w:val="en-GB"/>
        </w:rPr>
        <w:t>noted that</w:t>
      </w:r>
      <w:r w:rsidR="00A4149E">
        <w:rPr>
          <w:rFonts w:asciiTheme="minorHAnsi" w:hAnsiTheme="minorHAnsi"/>
          <w:snapToGrid w:val="0"/>
          <w:lang w:val="en-GB"/>
        </w:rPr>
        <w:t xml:space="preserve"> </w:t>
      </w:r>
      <w:r w:rsidR="007A018B">
        <w:rPr>
          <w:rFonts w:asciiTheme="minorHAnsi" w:hAnsiTheme="minorHAnsi"/>
          <w:snapToGrid w:val="0"/>
          <w:lang w:val="en-GB"/>
        </w:rPr>
        <w:t>expendi</w:t>
      </w:r>
      <w:r w:rsidR="009B7C20">
        <w:rPr>
          <w:rFonts w:asciiTheme="minorHAnsi" w:hAnsiTheme="minorHAnsi"/>
          <w:snapToGrid w:val="0"/>
          <w:lang w:val="en-GB"/>
        </w:rPr>
        <w:t>ture</w:t>
      </w:r>
      <w:r w:rsidR="000841E6">
        <w:rPr>
          <w:rFonts w:asciiTheme="minorHAnsi" w:hAnsiTheme="minorHAnsi"/>
          <w:snapToGrid w:val="0"/>
          <w:lang w:val="en-GB"/>
        </w:rPr>
        <w:t xml:space="preserve"> for</w:t>
      </w:r>
      <w:r w:rsidR="000F555A">
        <w:rPr>
          <w:rFonts w:asciiTheme="minorHAnsi" w:hAnsiTheme="minorHAnsi"/>
          <w:snapToGrid w:val="0"/>
          <w:lang w:val="en-GB"/>
        </w:rPr>
        <w:t xml:space="preserve"> T-</w:t>
      </w:r>
      <w:proofErr w:type="spellStart"/>
      <w:r w:rsidR="000F555A">
        <w:rPr>
          <w:rFonts w:asciiTheme="minorHAnsi" w:hAnsiTheme="minorHAnsi"/>
          <w:snapToGrid w:val="0"/>
          <w:lang w:val="en-GB"/>
        </w:rPr>
        <w:t>DXd</w:t>
      </w:r>
      <w:proofErr w:type="spellEnd"/>
      <w:r w:rsidR="000F555A">
        <w:rPr>
          <w:rFonts w:asciiTheme="minorHAnsi" w:hAnsiTheme="minorHAnsi"/>
          <w:snapToGrid w:val="0"/>
          <w:lang w:val="en-GB"/>
        </w:rPr>
        <w:t xml:space="preserve"> as a 3L treatment </w:t>
      </w:r>
      <w:r w:rsidR="00EF2E73">
        <w:rPr>
          <w:rFonts w:asciiTheme="minorHAnsi" w:hAnsiTheme="minorHAnsi"/>
          <w:snapToGrid w:val="0"/>
          <w:lang w:val="en-GB"/>
        </w:rPr>
        <w:t>has been</w:t>
      </w:r>
      <w:r w:rsidR="000F555A">
        <w:rPr>
          <w:rFonts w:asciiTheme="minorHAnsi" w:hAnsiTheme="minorHAnsi"/>
          <w:snapToGrid w:val="0"/>
          <w:lang w:val="en-GB"/>
        </w:rPr>
        <w:t xml:space="preserve"> substantially </w:t>
      </w:r>
      <w:r w:rsidR="00261548">
        <w:rPr>
          <w:rFonts w:asciiTheme="minorHAnsi" w:hAnsiTheme="minorHAnsi"/>
          <w:snapToGrid w:val="0"/>
          <w:lang w:val="en-GB"/>
        </w:rPr>
        <w:t xml:space="preserve">less than </w:t>
      </w:r>
      <w:r w:rsidR="00EF2E73">
        <w:rPr>
          <w:rFonts w:asciiTheme="minorHAnsi" w:hAnsiTheme="minorHAnsi"/>
          <w:snapToGrid w:val="0"/>
          <w:lang w:val="en-GB"/>
        </w:rPr>
        <w:t>predicted</w:t>
      </w:r>
      <w:r w:rsidR="00154F29">
        <w:rPr>
          <w:rFonts w:asciiTheme="minorHAnsi" w:hAnsiTheme="minorHAnsi"/>
          <w:snapToGrid w:val="0"/>
          <w:lang w:val="en-GB"/>
        </w:rPr>
        <w:t xml:space="preserve"> and </w:t>
      </w:r>
      <w:r w:rsidR="00C01120">
        <w:rPr>
          <w:rFonts w:asciiTheme="minorHAnsi" w:hAnsiTheme="minorHAnsi"/>
          <w:snapToGrid w:val="0"/>
          <w:lang w:val="en-GB"/>
        </w:rPr>
        <w:t xml:space="preserve">the current RSA caps </w:t>
      </w:r>
      <w:r w:rsidR="00154F29">
        <w:rPr>
          <w:rFonts w:asciiTheme="minorHAnsi" w:hAnsiTheme="minorHAnsi"/>
          <w:snapToGrid w:val="0"/>
          <w:lang w:val="en-GB"/>
        </w:rPr>
        <w:t>were likely inflated</w:t>
      </w:r>
      <w:r w:rsidR="008928CB">
        <w:rPr>
          <w:rFonts w:asciiTheme="minorHAnsi" w:hAnsiTheme="minorHAnsi"/>
          <w:snapToGrid w:val="0"/>
          <w:lang w:val="en-GB"/>
        </w:rPr>
        <w:t xml:space="preserve"> even </w:t>
      </w:r>
      <w:r w:rsidR="006E1CEA">
        <w:rPr>
          <w:rFonts w:asciiTheme="minorHAnsi" w:hAnsiTheme="minorHAnsi"/>
          <w:snapToGrid w:val="0"/>
          <w:lang w:val="en-GB"/>
        </w:rPr>
        <w:t>if</w:t>
      </w:r>
      <w:r w:rsidR="008928CB">
        <w:rPr>
          <w:rFonts w:asciiTheme="minorHAnsi" w:hAnsiTheme="minorHAnsi"/>
          <w:snapToGrid w:val="0"/>
          <w:lang w:val="en-GB"/>
        </w:rPr>
        <w:t xml:space="preserve"> </w:t>
      </w:r>
      <w:r w:rsidR="001B3E2A">
        <w:rPr>
          <w:rFonts w:asciiTheme="minorHAnsi" w:hAnsiTheme="minorHAnsi"/>
          <w:snapToGrid w:val="0"/>
          <w:lang w:val="en-GB"/>
        </w:rPr>
        <w:t>additional 2L HER2-low patients were included within</w:t>
      </w:r>
      <w:r w:rsidR="006E1CEA">
        <w:rPr>
          <w:rFonts w:asciiTheme="minorHAnsi" w:hAnsiTheme="minorHAnsi"/>
          <w:snapToGrid w:val="0"/>
          <w:lang w:val="en-GB"/>
        </w:rPr>
        <w:t xml:space="preserve"> the existing thresholds</w:t>
      </w:r>
      <w:r w:rsidR="00261548">
        <w:rPr>
          <w:rFonts w:asciiTheme="minorHAnsi" w:hAnsiTheme="minorHAnsi"/>
          <w:snapToGrid w:val="0"/>
          <w:lang w:val="en-GB"/>
        </w:rPr>
        <w:t>.</w:t>
      </w:r>
      <w:r w:rsidR="009B7C20">
        <w:rPr>
          <w:rFonts w:asciiTheme="minorHAnsi" w:hAnsiTheme="minorHAnsi"/>
          <w:snapToGrid w:val="0"/>
          <w:lang w:val="en-GB"/>
        </w:rPr>
        <w:t xml:space="preserve"> </w:t>
      </w:r>
      <w:r w:rsidR="00FA59F7">
        <w:rPr>
          <w:rFonts w:asciiTheme="minorHAnsi" w:hAnsiTheme="minorHAnsi"/>
          <w:snapToGrid w:val="0"/>
          <w:lang w:val="en-GB"/>
        </w:rPr>
        <w:t>The PBAC considered that an RSA proposal</w:t>
      </w:r>
      <w:r w:rsidR="0010374E">
        <w:rPr>
          <w:rFonts w:asciiTheme="minorHAnsi" w:hAnsiTheme="minorHAnsi"/>
          <w:snapToGrid w:val="0"/>
          <w:lang w:val="en-GB"/>
        </w:rPr>
        <w:t xml:space="preserve"> should </w:t>
      </w:r>
      <w:r w:rsidR="00ED1266">
        <w:rPr>
          <w:rFonts w:asciiTheme="minorHAnsi" w:hAnsiTheme="minorHAnsi"/>
          <w:snapToGrid w:val="0"/>
          <w:lang w:val="en-GB"/>
        </w:rPr>
        <w:t xml:space="preserve">account for the revised </w:t>
      </w:r>
      <w:r w:rsidR="00C43FD5">
        <w:rPr>
          <w:rFonts w:asciiTheme="minorHAnsi" w:hAnsiTheme="minorHAnsi"/>
          <w:snapToGrid w:val="0"/>
          <w:lang w:val="en-GB"/>
        </w:rPr>
        <w:t xml:space="preserve">estimates per </w:t>
      </w:r>
      <w:r w:rsidR="00453A02">
        <w:rPr>
          <w:rFonts w:asciiTheme="minorHAnsi" w:hAnsiTheme="minorHAnsi"/>
          <w:snapToGrid w:val="0"/>
          <w:lang w:val="en-GB"/>
        </w:rPr>
        <w:t xml:space="preserve">paragraph </w:t>
      </w:r>
      <w:r w:rsidR="00C43FD5">
        <w:rPr>
          <w:rFonts w:asciiTheme="minorHAnsi" w:hAnsiTheme="minorHAnsi"/>
          <w:snapToGrid w:val="0"/>
          <w:lang w:val="en-GB"/>
        </w:rPr>
        <w:fldChar w:fldCharType="begin"/>
      </w:r>
      <w:r w:rsidR="00C43FD5">
        <w:rPr>
          <w:rFonts w:asciiTheme="minorHAnsi" w:hAnsiTheme="minorHAnsi"/>
          <w:snapToGrid w:val="0"/>
          <w:lang w:val="en-GB"/>
        </w:rPr>
        <w:instrText xml:space="preserve"> REF _Ref226987795 \r \h </w:instrText>
      </w:r>
      <w:r w:rsidR="00C43FD5">
        <w:rPr>
          <w:rFonts w:asciiTheme="minorHAnsi" w:hAnsiTheme="minorHAnsi"/>
          <w:snapToGrid w:val="0"/>
          <w:lang w:val="en-GB"/>
        </w:rPr>
      </w:r>
      <w:r w:rsidR="00C43FD5">
        <w:rPr>
          <w:rFonts w:asciiTheme="minorHAnsi" w:hAnsiTheme="minorHAnsi"/>
          <w:snapToGrid w:val="0"/>
          <w:lang w:val="en-GB"/>
        </w:rPr>
        <w:fldChar w:fldCharType="separate"/>
      </w:r>
      <w:r w:rsidR="00453A02">
        <w:rPr>
          <w:rFonts w:asciiTheme="minorHAnsi" w:hAnsiTheme="minorHAnsi"/>
          <w:snapToGrid w:val="0"/>
          <w:lang w:val="en-GB"/>
        </w:rPr>
        <w:t>7.12</w:t>
      </w:r>
      <w:r w:rsidR="00C43FD5">
        <w:rPr>
          <w:rFonts w:asciiTheme="minorHAnsi" w:hAnsiTheme="minorHAnsi"/>
          <w:snapToGrid w:val="0"/>
          <w:lang w:val="en-GB"/>
        </w:rPr>
        <w:fldChar w:fldCharType="end"/>
      </w:r>
      <w:r w:rsidR="00E61410">
        <w:rPr>
          <w:rFonts w:asciiTheme="minorHAnsi" w:hAnsiTheme="minorHAnsi"/>
          <w:snapToGrid w:val="0"/>
          <w:lang w:val="en-GB"/>
        </w:rPr>
        <w:t xml:space="preserve">, and </w:t>
      </w:r>
      <w:r w:rsidR="001B1C39">
        <w:rPr>
          <w:rFonts w:asciiTheme="minorHAnsi" w:hAnsiTheme="minorHAnsi"/>
          <w:snapToGrid w:val="0"/>
          <w:lang w:val="en-GB"/>
        </w:rPr>
        <w:t xml:space="preserve">adjust the current </w:t>
      </w:r>
      <w:r w:rsidR="004F690B">
        <w:rPr>
          <w:rFonts w:asciiTheme="minorHAnsi" w:hAnsiTheme="minorHAnsi"/>
          <w:snapToGrid w:val="0"/>
          <w:lang w:val="en-GB"/>
        </w:rPr>
        <w:t xml:space="preserve">3L caps to reflect actual </w:t>
      </w:r>
      <w:r w:rsidR="00904512">
        <w:rPr>
          <w:rFonts w:asciiTheme="minorHAnsi" w:hAnsiTheme="minorHAnsi"/>
          <w:snapToGrid w:val="0"/>
          <w:lang w:val="en-GB"/>
        </w:rPr>
        <w:t xml:space="preserve">PBS </w:t>
      </w:r>
      <w:r w:rsidR="004F690B">
        <w:rPr>
          <w:rFonts w:asciiTheme="minorHAnsi" w:hAnsiTheme="minorHAnsi"/>
          <w:snapToGrid w:val="0"/>
          <w:lang w:val="en-GB"/>
        </w:rPr>
        <w:t xml:space="preserve">utilisation and </w:t>
      </w:r>
      <w:r w:rsidR="0045656E">
        <w:rPr>
          <w:rFonts w:asciiTheme="minorHAnsi" w:hAnsiTheme="minorHAnsi"/>
          <w:snapToGrid w:val="0"/>
          <w:lang w:val="en-GB"/>
        </w:rPr>
        <w:t>intended</w:t>
      </w:r>
      <w:r w:rsidR="00651161">
        <w:rPr>
          <w:rFonts w:asciiTheme="minorHAnsi" w:hAnsiTheme="minorHAnsi"/>
          <w:snapToGrid w:val="0"/>
          <w:lang w:val="en-GB"/>
        </w:rPr>
        <w:t xml:space="preserve"> reduction</w:t>
      </w:r>
      <w:r w:rsidR="001C3534">
        <w:rPr>
          <w:rFonts w:asciiTheme="minorHAnsi" w:hAnsiTheme="minorHAnsi"/>
          <w:snapToGrid w:val="0"/>
          <w:lang w:val="en-GB"/>
        </w:rPr>
        <w:t xml:space="preserve"> in cost per patient to be achieved through the </w:t>
      </w:r>
      <w:r w:rsidR="00883BCC">
        <w:rPr>
          <w:rFonts w:asciiTheme="minorHAnsi" w:hAnsiTheme="minorHAnsi"/>
          <w:snapToGrid w:val="0"/>
          <w:lang w:val="en-GB"/>
        </w:rPr>
        <w:t>caps</w:t>
      </w:r>
      <w:r w:rsidR="00651161">
        <w:rPr>
          <w:rFonts w:asciiTheme="minorHAnsi" w:hAnsiTheme="minorHAnsi"/>
          <w:snapToGrid w:val="0"/>
          <w:lang w:val="en-GB"/>
        </w:rPr>
        <w:t xml:space="preserve">. </w:t>
      </w:r>
    </w:p>
    <w:p w14:paraId="29B1EC70" w14:textId="42C95A82" w:rsidR="00A35878" w:rsidRPr="00E81E76" w:rsidRDefault="00422DA8" w:rsidP="008241B5">
      <w:pPr>
        <w:pStyle w:val="3-BodyText"/>
        <w:rPr>
          <w:bCs/>
          <w:snapToGrid w:val="0"/>
          <w:lang w:val="en-GB"/>
        </w:rPr>
      </w:pPr>
      <w:r w:rsidRPr="00E81E76">
        <w:rPr>
          <w:rStyle w:val="cf01"/>
          <w:rFonts w:asciiTheme="minorHAnsi" w:hAnsiTheme="minorHAnsi" w:cstheme="minorBidi"/>
          <w:sz w:val="24"/>
          <w:szCs w:val="22"/>
        </w:rPr>
        <w:t>The PBAC considered any resubmission should provide additional follow-up data from DB-06 if available, and if proposing a listing in the HER2</w:t>
      </w:r>
      <w:r w:rsidR="00E81E76" w:rsidRPr="00E81E76">
        <w:rPr>
          <w:rStyle w:val="cf01"/>
          <w:rFonts w:asciiTheme="minorHAnsi" w:hAnsiTheme="minorHAnsi" w:cstheme="minorBidi"/>
          <w:sz w:val="24"/>
          <w:szCs w:val="22"/>
        </w:rPr>
        <w:t>-</w:t>
      </w:r>
      <w:r w:rsidRPr="00E81E76">
        <w:rPr>
          <w:rStyle w:val="cf01"/>
          <w:rFonts w:asciiTheme="minorHAnsi" w:hAnsiTheme="minorHAnsi" w:cstheme="minorBidi"/>
          <w:sz w:val="24"/>
          <w:szCs w:val="22"/>
        </w:rPr>
        <w:t xml:space="preserve">ultralow population, clinical data beyond the subgroup of patients in DB-06 should be provided. The PBAC considered the issues outlined in </w:t>
      </w:r>
      <w:r w:rsidR="00373415">
        <w:rPr>
          <w:rStyle w:val="cf01"/>
          <w:rFonts w:asciiTheme="minorHAnsi" w:hAnsiTheme="minorHAnsi" w:cstheme="minorBidi"/>
          <w:sz w:val="24"/>
          <w:szCs w:val="22"/>
        </w:rPr>
        <w:t>this PSD</w:t>
      </w:r>
      <w:r w:rsidRPr="00E81E76">
        <w:rPr>
          <w:rStyle w:val="cf01"/>
          <w:rFonts w:asciiTheme="minorHAnsi" w:hAnsiTheme="minorHAnsi" w:cstheme="minorBidi"/>
          <w:sz w:val="24"/>
          <w:szCs w:val="22"/>
        </w:rPr>
        <w:t xml:space="preserve"> regarding the economic evaluation and financial estimates should also be addressed.</w:t>
      </w:r>
      <w:r w:rsidR="00E81E76">
        <w:rPr>
          <w:rStyle w:val="cf01"/>
          <w:rFonts w:asciiTheme="minorHAnsi" w:hAnsiTheme="minorHAnsi" w:cstheme="minorBidi"/>
          <w:sz w:val="24"/>
          <w:szCs w:val="22"/>
        </w:rPr>
        <w:t xml:space="preserve"> </w:t>
      </w:r>
      <w:r w:rsidR="00A35878" w:rsidRPr="00E81E76">
        <w:rPr>
          <w:bCs/>
          <w:snapToGrid w:val="0"/>
          <w:lang w:val="en-GB"/>
        </w:rPr>
        <w:t>The resubmission may be lodged at any future standard due date for PBAC submissions using the standard re-entry pathway.</w:t>
      </w:r>
    </w:p>
    <w:p w14:paraId="1B7C9E4F" w14:textId="5A3D94C6" w:rsidR="008544F3" w:rsidRPr="00C6512B" w:rsidRDefault="008544F3" w:rsidP="008241B5">
      <w:pPr>
        <w:pStyle w:val="3-BodyText"/>
        <w:rPr>
          <w:snapToGrid w:val="0"/>
          <w:lang w:val="en-GB"/>
        </w:rPr>
      </w:pPr>
      <w:r w:rsidRPr="00D8553E">
        <w:rPr>
          <w:rFonts w:cs="Arial"/>
          <w:bCs/>
          <w:snapToGrid w:val="0"/>
          <w:lang w:val="en-GB"/>
        </w:rPr>
        <w:t>The PBAC noted that this submission is eligible for an Independent Review.</w:t>
      </w:r>
    </w:p>
    <w:p w14:paraId="144E4959" w14:textId="77777777" w:rsidR="00A35878" w:rsidRPr="00525B39" w:rsidRDefault="00A35878" w:rsidP="008241B5">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A6089DD" w14:textId="2EC00EC0" w:rsidR="00A35878" w:rsidRPr="00525B39" w:rsidRDefault="00A35878" w:rsidP="008241B5">
      <w:pPr>
        <w:rPr>
          <w:rFonts w:asciiTheme="minorHAnsi" w:hAnsiTheme="minorHAnsi"/>
          <w:bCs/>
          <w:snapToGrid w:val="0"/>
          <w:lang w:val="en-GB"/>
        </w:rPr>
      </w:pPr>
      <w:r>
        <w:rPr>
          <w:rFonts w:asciiTheme="minorHAnsi" w:hAnsiTheme="minorHAnsi"/>
          <w:bCs/>
          <w:snapToGrid w:val="0"/>
          <w:lang w:val="en-GB"/>
        </w:rPr>
        <w:t>Not recommended</w:t>
      </w:r>
    </w:p>
    <w:bookmarkEnd w:id="96"/>
    <w:bookmarkEnd w:id="97"/>
    <w:p w14:paraId="7E5D339D" w14:textId="5E173FEC" w:rsidR="00A35878" w:rsidRDefault="00A35878" w:rsidP="008241B5">
      <w:pPr>
        <w:rPr>
          <w:rFonts w:asciiTheme="minorHAnsi" w:hAnsiTheme="minorHAnsi"/>
          <w:b/>
          <w:bCs/>
          <w:snapToGrid w:val="0"/>
        </w:rPr>
      </w:pPr>
    </w:p>
    <w:p w14:paraId="4E0F3B93" w14:textId="334D68B3" w:rsidR="00197715" w:rsidRDefault="00197715">
      <w:pPr>
        <w:jc w:val="left"/>
        <w:rPr>
          <w:rFonts w:asciiTheme="minorHAnsi" w:hAnsiTheme="minorHAnsi"/>
          <w:b/>
          <w:bCs/>
          <w:snapToGrid w:val="0"/>
        </w:rPr>
      </w:pPr>
      <w:r>
        <w:rPr>
          <w:rFonts w:asciiTheme="minorHAnsi" w:hAnsiTheme="minorHAnsi"/>
          <w:b/>
          <w:bCs/>
          <w:snapToGrid w:val="0"/>
        </w:rPr>
        <w:br w:type="page"/>
      </w:r>
    </w:p>
    <w:p w14:paraId="4E8996DC" w14:textId="042F0040" w:rsidR="003B04DD" w:rsidRPr="003B04DD" w:rsidRDefault="003B04DD" w:rsidP="003B04DD">
      <w:pPr>
        <w:pStyle w:val="2-SectionHeading"/>
        <w:numPr>
          <w:ilvl w:val="0"/>
          <w:numId w:val="1"/>
        </w:numPr>
        <w:ind w:left="567" w:hanging="567"/>
      </w:pPr>
      <w:r w:rsidRPr="003B04DD">
        <w:lastRenderedPageBreak/>
        <w:t>Context for Decision</w:t>
      </w:r>
    </w:p>
    <w:p w14:paraId="0F6D4A85" w14:textId="77777777" w:rsidR="003B04DD" w:rsidRPr="003B04DD" w:rsidRDefault="003B04DD" w:rsidP="003B04DD">
      <w:pPr>
        <w:spacing w:after="120"/>
        <w:ind w:left="540"/>
        <w:jc w:val="left"/>
        <w:rPr>
          <w:rFonts w:cs="Calibri"/>
          <w:lang w:val="en-GB"/>
        </w:rPr>
      </w:pPr>
      <w:r w:rsidRPr="003B04DD">
        <w:rPr>
          <w:rFonts w:cs="Calibr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ED08690" w14:textId="7AB8B897" w:rsidR="003B04DD" w:rsidRPr="003B04DD" w:rsidRDefault="003B04DD" w:rsidP="003B04DD">
      <w:pPr>
        <w:pStyle w:val="2-SectionHeading"/>
        <w:numPr>
          <w:ilvl w:val="0"/>
          <w:numId w:val="1"/>
        </w:numPr>
        <w:ind w:left="567" w:hanging="567"/>
        <w:rPr>
          <w:rFonts w:cs="Calibri"/>
        </w:rPr>
      </w:pPr>
      <w:r w:rsidRPr="003B04DD">
        <w:rPr>
          <w:rFonts w:cs="Calibri"/>
          <w:bCs/>
        </w:rPr>
        <w:t>Sponsor’s Comment</w:t>
      </w:r>
    </w:p>
    <w:p w14:paraId="047B344B" w14:textId="77777777" w:rsidR="003B04DD" w:rsidRPr="003B04DD" w:rsidRDefault="003B04DD" w:rsidP="003B04DD">
      <w:pPr>
        <w:spacing w:after="120"/>
        <w:ind w:left="540"/>
        <w:jc w:val="left"/>
        <w:rPr>
          <w:rFonts w:cs="Calibri"/>
        </w:rPr>
      </w:pPr>
      <w:r w:rsidRPr="003B04DD">
        <w:rPr>
          <w:rFonts w:cs="Calibri"/>
        </w:rPr>
        <w:t>The sponsor had no comment.</w:t>
      </w:r>
    </w:p>
    <w:p w14:paraId="3BB66249" w14:textId="77777777" w:rsidR="00197715" w:rsidRDefault="00197715" w:rsidP="008241B5">
      <w:pPr>
        <w:rPr>
          <w:rFonts w:asciiTheme="minorHAnsi" w:hAnsiTheme="minorHAnsi"/>
          <w:b/>
          <w:bCs/>
          <w:snapToGrid w:val="0"/>
        </w:rPr>
      </w:pPr>
    </w:p>
    <w:sectPr w:rsidR="00197715" w:rsidSect="0042594A">
      <w:headerReference w:type="even" r:id="rId19"/>
      <w:headerReference w:type="default" r:id="rId20"/>
      <w:footerReference w:type="even" r:id="rId21"/>
      <w:footerReference w:type="default" r:id="rId22"/>
      <w:headerReference w:type="first" r:id="rId23"/>
      <w:footerReference w:type="first" r:id="rId24"/>
      <w:footnotePr>
        <w:numFmt w:val="lowerRoman"/>
        <w:numRestart w:val="eachSect"/>
      </w:footnotePr>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F104" w14:textId="77777777" w:rsidR="0037072C" w:rsidRDefault="0037072C" w:rsidP="00124A51">
      <w:r>
        <w:separator/>
      </w:r>
    </w:p>
    <w:p w14:paraId="27B0EDDD" w14:textId="77777777" w:rsidR="0037072C" w:rsidRDefault="0037072C"/>
  </w:endnote>
  <w:endnote w:type="continuationSeparator" w:id="0">
    <w:p w14:paraId="645065A8" w14:textId="77777777" w:rsidR="0037072C" w:rsidRDefault="0037072C" w:rsidP="00124A51">
      <w:r>
        <w:continuationSeparator/>
      </w:r>
    </w:p>
    <w:p w14:paraId="7B58C32E" w14:textId="77777777" w:rsidR="0037072C" w:rsidRDefault="00370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FC87" w14:textId="01381C3D" w:rsidR="00661770" w:rsidRDefault="00264565">
    <w:pPr>
      <w:pStyle w:val="Footer"/>
    </w:pPr>
    <w:r>
      <w:rPr>
        <w:noProof/>
      </w:rPr>
      <mc:AlternateContent>
        <mc:Choice Requires="wps">
          <w:drawing>
            <wp:anchor distT="0" distB="0" distL="0" distR="0" simplePos="0" relativeHeight="251658244" behindDoc="0" locked="0" layoutInCell="1" allowOverlap="1" wp14:anchorId="609FFEB0" wp14:editId="295D8546">
              <wp:simplePos x="635" y="635"/>
              <wp:positionH relativeFrom="page">
                <wp:align>center</wp:align>
              </wp:positionH>
              <wp:positionV relativeFrom="page">
                <wp:align>bottom</wp:align>
              </wp:positionV>
              <wp:extent cx="622300" cy="376555"/>
              <wp:effectExtent l="0" t="0" r="6350" b="0"/>
              <wp:wrapNone/>
              <wp:docPr id="14922473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9C7D89" w14:textId="0788C49E"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FFEB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D9C7D89" w14:textId="0788C49E"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B25DE91" w14:paraId="71AD44B0" w14:textId="77777777" w:rsidTr="7B25DE91">
      <w:trPr>
        <w:trHeight w:val="300"/>
      </w:trPr>
      <w:tc>
        <w:tcPr>
          <w:tcW w:w="3005" w:type="dxa"/>
        </w:tcPr>
        <w:p w14:paraId="64023DC0" w14:textId="4EF5D34F" w:rsidR="7B25DE91" w:rsidRDefault="7B25DE91" w:rsidP="7B25DE91">
          <w:pPr>
            <w:ind w:left="-115"/>
            <w:jc w:val="left"/>
          </w:pPr>
        </w:p>
      </w:tc>
      <w:tc>
        <w:tcPr>
          <w:tcW w:w="3005" w:type="dxa"/>
        </w:tcPr>
        <w:p w14:paraId="0A7AD9E4" w14:textId="06B087A3" w:rsidR="7B25DE91" w:rsidRDefault="7B25DE91" w:rsidP="7B25DE91">
          <w:pPr>
            <w:jc w:val="center"/>
          </w:pPr>
        </w:p>
      </w:tc>
      <w:tc>
        <w:tcPr>
          <w:tcW w:w="3005" w:type="dxa"/>
        </w:tcPr>
        <w:p w14:paraId="3D157E09" w14:textId="0A7EEFDD" w:rsidR="7B25DE91" w:rsidRDefault="7B25DE91" w:rsidP="7B25DE91">
          <w:pPr>
            <w:ind w:right="-115"/>
            <w:jc w:val="right"/>
          </w:pPr>
        </w:p>
      </w:tc>
    </w:tr>
  </w:tbl>
  <w:p w14:paraId="705B1FB7" w14:textId="079403D4" w:rsidR="00AB1542" w:rsidRDefault="00AB1542" w:rsidP="00AB1542">
    <w:pPr>
      <w:pStyle w:val="Footer"/>
      <w:ind w:left="360"/>
      <w:jc w:val="center"/>
      <w:rPr>
        <w:rFonts w:asciiTheme="minorHAnsi" w:hAnsiTheme="minorHAnsi"/>
        <w:noProof/>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p>
  <w:p w14:paraId="53FF9C22" w14:textId="47B8554A" w:rsidR="7B25DE91" w:rsidRDefault="00B86E4F" w:rsidP="7B25DE91">
    <w:pPr>
      <w:pStyle w:val="Footer"/>
    </w:pPr>
    <w:r>
      <w:rPr>
        <w:noProof/>
      </w:rPr>
      <mc:AlternateContent>
        <mc:Choice Requires="wps">
          <w:drawing>
            <wp:anchor distT="0" distB="0" distL="0" distR="0" simplePos="0" relativeHeight="251658245" behindDoc="0" locked="0" layoutInCell="1" allowOverlap="1" wp14:anchorId="3A19071D" wp14:editId="3EAC3115">
              <wp:simplePos x="0" y="0"/>
              <wp:positionH relativeFrom="page">
                <wp:posOffset>3608363</wp:posOffset>
              </wp:positionH>
              <wp:positionV relativeFrom="page">
                <wp:posOffset>9636369</wp:posOffset>
              </wp:positionV>
              <wp:extent cx="647114" cy="341386"/>
              <wp:effectExtent l="0" t="0" r="635" b="0"/>
              <wp:wrapNone/>
              <wp:docPr id="17906835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7114" cy="341386"/>
                      </a:xfrm>
                      <a:prstGeom prst="rect">
                        <a:avLst/>
                      </a:prstGeom>
                      <a:noFill/>
                      <a:ln>
                        <a:noFill/>
                      </a:ln>
                    </wps:spPr>
                    <wps:txbx>
                      <w:txbxContent>
                        <w:p w14:paraId="1FF71795" w14:textId="65506287"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9071D" id="_x0000_t202" coordsize="21600,21600" o:spt="202" path="m,l,21600r21600,l21600,xe">
              <v:stroke joinstyle="miter"/>
              <v:path gradientshapeok="t" o:connecttype="rect"/>
            </v:shapetype>
            <v:shape id="Text Box 6" o:spid="_x0000_s1029" type="#_x0000_t202" alt="OFFICIAL" style="position:absolute;left:0;text-align:left;margin-left:284.1pt;margin-top:758.75pt;width:50.95pt;height:26.9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" filled="f" stroked="f">
              <v:textbox inset="0,0,0,15pt">
                <w:txbxContent>
                  <w:p w14:paraId="1FF71795" w14:textId="65506287"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75A3" w14:textId="292D5E95" w:rsidR="00661770" w:rsidRDefault="00264565">
    <w:pPr>
      <w:pStyle w:val="Footer"/>
    </w:pPr>
    <w:r>
      <w:rPr>
        <w:noProof/>
      </w:rPr>
      <mc:AlternateContent>
        <mc:Choice Requires="wps">
          <w:drawing>
            <wp:anchor distT="0" distB="0" distL="0" distR="0" simplePos="0" relativeHeight="251658243" behindDoc="0" locked="0" layoutInCell="1" allowOverlap="1" wp14:anchorId="4C9249DA" wp14:editId="582BC097">
              <wp:simplePos x="635" y="635"/>
              <wp:positionH relativeFrom="page">
                <wp:align>center</wp:align>
              </wp:positionH>
              <wp:positionV relativeFrom="page">
                <wp:align>bottom</wp:align>
              </wp:positionV>
              <wp:extent cx="622300" cy="376555"/>
              <wp:effectExtent l="0" t="0" r="6350" b="0"/>
              <wp:wrapNone/>
              <wp:docPr id="10873663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9CBB5A" w14:textId="3ECC5412"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249D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39CBB5A" w14:textId="3ECC5412"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DB34" w14:textId="77777777" w:rsidR="0037072C" w:rsidRDefault="0037072C">
      <w:r>
        <w:separator/>
      </w:r>
    </w:p>
  </w:footnote>
  <w:footnote w:type="continuationSeparator" w:id="0">
    <w:p w14:paraId="79E009A7" w14:textId="77777777" w:rsidR="0037072C" w:rsidRDefault="0037072C" w:rsidP="00124A51">
      <w:r>
        <w:continuationSeparator/>
      </w:r>
    </w:p>
    <w:p w14:paraId="22DF3BFD" w14:textId="77777777" w:rsidR="0037072C" w:rsidRDefault="0037072C"/>
  </w:footnote>
  <w:footnote w:id="1">
    <w:p w14:paraId="4E3DCDF9" w14:textId="77777777" w:rsidR="00557F54" w:rsidRDefault="00557F54" w:rsidP="00557F54">
      <w:pPr>
        <w:pStyle w:val="FootnoteText"/>
      </w:pPr>
      <w:r>
        <w:rPr>
          <w:rStyle w:val="FootnoteReference"/>
        </w:rPr>
        <w:footnoteRef/>
      </w:r>
      <w:r>
        <w:t xml:space="preserve"> In DB-06, 89.3% of the intent-to-treat (ITT) population had had at least one prior line of CDK4/6i + ET in the metastatic setting.</w:t>
      </w:r>
    </w:p>
  </w:footnote>
  <w:footnote w:id="2">
    <w:p w14:paraId="3413AC70" w14:textId="77777777" w:rsidR="00557F54" w:rsidRDefault="00557F54" w:rsidP="00557F54">
      <w:pPr>
        <w:pStyle w:val="FootnoteText"/>
      </w:pPr>
      <w:r>
        <w:rPr>
          <w:rStyle w:val="FootnoteReference"/>
        </w:rPr>
        <w:footnoteRef/>
      </w:r>
      <w:r>
        <w:t xml:space="preserve"> In DB-06, 67.6% of the ITT population had had 2 prior lines of ET, and 15.4% had had </w:t>
      </w:r>
      <w:r>
        <w:rPr>
          <w:rFonts w:cs="Calibri"/>
        </w:rPr>
        <w:t>≥</w:t>
      </w:r>
      <w:r>
        <w:t xml:space="preserve"> 3 prior lines of ET in the metastatic setting.</w:t>
      </w:r>
    </w:p>
  </w:footnote>
  <w:footnote w:id="3">
    <w:p w14:paraId="79B2B4E7" w14:textId="77777777" w:rsidR="00F96DB0" w:rsidRDefault="00F96DB0" w:rsidP="00F96DB0">
      <w:pPr>
        <w:pStyle w:val="FootnoteText"/>
      </w:pPr>
      <w:r>
        <w:rPr>
          <w:rStyle w:val="FootnoteReference"/>
        </w:rPr>
        <w:footnoteRef/>
      </w:r>
      <w:r>
        <w:t xml:space="preserve"> Cancer Australia. Breast cancer in Australia statistics. URL: </w:t>
      </w:r>
      <w:hyperlink r:id="rId1" w:history="1">
        <w:r w:rsidRPr="0069409A">
          <w:rPr>
            <w:rStyle w:val="Hyperlink"/>
          </w:rPr>
          <w:t>https://www.canceraustralia.gov.au/cancer-types/breast-cancer/breast-cancer-australia-statistics</w:t>
        </w:r>
      </w:hyperlink>
      <w:r>
        <w:t xml:space="preserve"> </w:t>
      </w:r>
    </w:p>
  </w:footnote>
  <w:footnote w:id="4">
    <w:p w14:paraId="57D307BD" w14:textId="77777777" w:rsidR="00F96DB0" w:rsidRDefault="00F96DB0" w:rsidP="00F96DB0">
      <w:pPr>
        <w:pStyle w:val="FootnoteText"/>
      </w:pPr>
      <w:r>
        <w:rPr>
          <w:rStyle w:val="FootnoteReference"/>
        </w:rPr>
        <w:footnoteRef/>
      </w:r>
      <w:r>
        <w:t xml:space="preserve"> Australian Institute of Health and Welfare. Cancer data in Australia. URL: </w:t>
      </w:r>
      <w:hyperlink r:id="rId2" w:history="1">
        <w:r w:rsidRPr="0069409A">
          <w:rPr>
            <w:rStyle w:val="Hyperlink"/>
          </w:rPr>
          <w:t>https://www.aihw.gov.au/getmedia/ea870f59-a9e4-4772-8fa8-e1206b56a552/cancer-data-in-australia.pdf?v=20250120122647&amp;inline=true</w:t>
        </w:r>
      </w:hyperlink>
      <w:r>
        <w:t xml:space="preserve"> </w:t>
      </w:r>
    </w:p>
  </w:footnote>
  <w:footnote w:id="5">
    <w:p w14:paraId="0B966132" w14:textId="5DC1C12A" w:rsidR="00987826" w:rsidRDefault="00987826">
      <w:pPr>
        <w:pStyle w:val="FootnoteText"/>
      </w:pPr>
      <w:r>
        <w:rPr>
          <w:rStyle w:val="FootnoteReference"/>
        </w:rPr>
        <w:footnoteRef/>
      </w:r>
      <w:r>
        <w:t xml:space="preserve"> </w:t>
      </w:r>
      <w:r w:rsidRPr="00987826">
        <w:t>Bergin ART</w:t>
      </w:r>
      <w:r w:rsidR="00EA225A">
        <w:t xml:space="preserve">, </w:t>
      </w:r>
      <w:proofErr w:type="spellStart"/>
      <w:r w:rsidR="00EA225A">
        <w:t>Marvelde</w:t>
      </w:r>
      <w:proofErr w:type="spellEnd"/>
      <w:r w:rsidR="00EA225A">
        <w:t>, LT,</w:t>
      </w:r>
      <w:r w:rsidRPr="00987826">
        <w:t xml:space="preserve"> </w:t>
      </w:r>
      <w:r w:rsidRPr="00EA225A">
        <w:rPr>
          <w:i/>
          <w:iCs/>
        </w:rPr>
        <w:t>et al</w:t>
      </w:r>
      <w:r w:rsidRPr="00987826">
        <w:t xml:space="preserve">. Aboriginal and Torres Strait Islander females and survival from breast cancer. </w:t>
      </w:r>
      <w:r w:rsidRPr="00987826">
        <w:rPr>
          <w:i/>
          <w:iCs/>
        </w:rPr>
        <w:t>Cancer Epidemiol Biomarkers Prev</w:t>
      </w:r>
      <w:r w:rsidRPr="00987826">
        <w:t xml:space="preserve"> 2025; 34(7):1167-1176</w:t>
      </w:r>
      <w:r w:rsidR="00EA225A">
        <w:t>.</w:t>
      </w:r>
    </w:p>
  </w:footnote>
  <w:footnote w:id="6">
    <w:p w14:paraId="49E6C1E1" w14:textId="0CC90015" w:rsidR="00987826" w:rsidRDefault="00987826">
      <w:pPr>
        <w:pStyle w:val="FootnoteText"/>
      </w:pPr>
      <w:r>
        <w:rPr>
          <w:rStyle w:val="FootnoteReference"/>
        </w:rPr>
        <w:footnoteRef/>
      </w:r>
      <w:r>
        <w:t xml:space="preserve"> </w:t>
      </w:r>
      <w:r w:rsidRPr="00987826">
        <w:t xml:space="preserve">Australian Institute of Health and Welfare. </w:t>
      </w:r>
      <w:proofErr w:type="spellStart"/>
      <w:r w:rsidRPr="00987826">
        <w:t>BreastScreen</w:t>
      </w:r>
      <w:proofErr w:type="spellEnd"/>
      <w:r w:rsidRPr="00987826">
        <w:t xml:space="preserve"> Australia monitoring report 2025: Mortality from breast cancer for Aboriginal and Torres Strait Islander women. URL: </w:t>
      </w:r>
      <w:hyperlink r:id="rId3" w:history="1">
        <w:r w:rsidRPr="003A4730">
          <w:rPr>
            <w:rStyle w:val="Hyperlink"/>
          </w:rPr>
          <w:t>https://www.aihw.gov.au/reports/cancer-screening/breastscreen-australia-monitoring-report-2025/contents/outcomes-aboriginal-torres-strait-islander-women/mortality-from-breast-cancer</w:t>
        </w:r>
      </w:hyperlink>
      <w:r>
        <w:t xml:space="preserve"> </w:t>
      </w:r>
    </w:p>
  </w:footnote>
  <w:footnote w:id="7">
    <w:p w14:paraId="55DCC762" w14:textId="77777777" w:rsidR="00F96DB0" w:rsidRPr="00BF1B2C" w:rsidRDefault="00F96DB0" w:rsidP="00F96DB0">
      <w:pPr>
        <w:pStyle w:val="FootnoteText"/>
      </w:pPr>
      <w:r>
        <w:rPr>
          <w:rStyle w:val="FootnoteReference"/>
        </w:rPr>
        <w:footnoteRef/>
      </w:r>
      <w:r>
        <w:t xml:space="preserve"> </w:t>
      </w:r>
      <w:proofErr w:type="spellStart"/>
      <w:r>
        <w:t>Pourzand</w:t>
      </w:r>
      <w:proofErr w:type="spellEnd"/>
      <w:r>
        <w:t xml:space="preserve"> et al. </w:t>
      </w:r>
      <w:r w:rsidRPr="00BF1B2C">
        <w:t>Hormone receptor status in breast cancer and its relation to age and other prognostic factors</w:t>
      </w:r>
      <w:r>
        <w:t xml:space="preserve">. </w:t>
      </w:r>
      <w:r>
        <w:rPr>
          <w:i/>
          <w:iCs/>
        </w:rPr>
        <w:t>Breast Cancer (</w:t>
      </w:r>
      <w:proofErr w:type="spellStart"/>
      <w:r>
        <w:rPr>
          <w:i/>
          <w:iCs/>
        </w:rPr>
        <w:t>Auckl</w:t>
      </w:r>
      <w:proofErr w:type="spellEnd"/>
      <w:r>
        <w:rPr>
          <w:i/>
          <w:iCs/>
        </w:rPr>
        <w:t>)</w:t>
      </w:r>
      <w:r>
        <w:t xml:space="preserve"> </w:t>
      </w:r>
      <w:proofErr w:type="gramStart"/>
      <w:r>
        <w:t>2011;5:87</w:t>
      </w:r>
      <w:proofErr w:type="gramEnd"/>
      <w:r>
        <w:t>-92.</w:t>
      </w:r>
    </w:p>
  </w:footnote>
  <w:footnote w:id="8">
    <w:p w14:paraId="11D9DFC2" w14:textId="77777777" w:rsidR="00F96DB0" w:rsidRPr="001830F0" w:rsidRDefault="00F96DB0" w:rsidP="00F96DB0">
      <w:pPr>
        <w:pStyle w:val="FootnoteText"/>
      </w:pPr>
      <w:r>
        <w:rPr>
          <w:rStyle w:val="FootnoteReference"/>
        </w:rPr>
        <w:footnoteRef/>
      </w:r>
      <w:r>
        <w:t xml:space="preserve"> Wen et al. E</w:t>
      </w:r>
      <w:r w:rsidRPr="001830F0">
        <w:t xml:space="preserve">ffect of </w:t>
      </w:r>
      <w:r>
        <w:t>c</w:t>
      </w:r>
      <w:r w:rsidRPr="001830F0">
        <w:t xml:space="preserve">linical and </w:t>
      </w:r>
      <w:r>
        <w:t>t</w:t>
      </w:r>
      <w:r w:rsidRPr="001830F0">
        <w:t xml:space="preserve">reatment </w:t>
      </w:r>
      <w:r>
        <w:t>f</w:t>
      </w:r>
      <w:r w:rsidRPr="001830F0">
        <w:t xml:space="preserve">actors on </w:t>
      </w:r>
      <w:r>
        <w:t>s</w:t>
      </w:r>
      <w:r w:rsidRPr="001830F0">
        <w:t xml:space="preserve">urvival </w:t>
      </w:r>
      <w:r>
        <w:t>o</w:t>
      </w:r>
      <w:r w:rsidRPr="001830F0">
        <w:t xml:space="preserve">utcomes of </w:t>
      </w:r>
      <w:r>
        <w:t>t</w:t>
      </w:r>
      <w:r w:rsidRPr="001830F0">
        <w:t xml:space="preserve">riple </w:t>
      </w:r>
      <w:r>
        <w:t>n</w:t>
      </w:r>
      <w:r w:rsidRPr="001830F0">
        <w:t xml:space="preserve">egative </w:t>
      </w:r>
      <w:r>
        <w:t>b</w:t>
      </w:r>
      <w:r w:rsidRPr="001830F0">
        <w:t xml:space="preserve">reast </w:t>
      </w:r>
      <w:r>
        <w:t>c</w:t>
      </w:r>
      <w:r w:rsidRPr="001830F0">
        <w:t xml:space="preserve">ancer </w:t>
      </w:r>
      <w:r>
        <w:t>p</w:t>
      </w:r>
      <w:r w:rsidRPr="001830F0">
        <w:t>atients</w:t>
      </w:r>
      <w:r>
        <w:t xml:space="preserve">. </w:t>
      </w:r>
      <w:r>
        <w:rPr>
          <w:i/>
          <w:iCs/>
        </w:rPr>
        <w:t xml:space="preserve">Breast Cancer (Dove Med Press) </w:t>
      </w:r>
      <w:proofErr w:type="gramStart"/>
      <w:r>
        <w:t>2020;12:27</w:t>
      </w:r>
      <w:proofErr w:type="gramEnd"/>
      <w:r>
        <w:t>-35.</w:t>
      </w:r>
    </w:p>
  </w:footnote>
  <w:footnote w:id="9">
    <w:p w14:paraId="6E69D131" w14:textId="77777777" w:rsidR="00F96DB0" w:rsidRPr="004615FE" w:rsidRDefault="00F96DB0" w:rsidP="00F96DB0">
      <w:pPr>
        <w:pStyle w:val="FootnoteText"/>
      </w:pPr>
      <w:r>
        <w:rPr>
          <w:rStyle w:val="FootnoteReference"/>
        </w:rPr>
        <w:footnoteRef/>
      </w:r>
      <w:r>
        <w:t xml:space="preserve"> Praise et al. </w:t>
      </w:r>
      <w:r w:rsidRPr="004615FE">
        <w:t>Breast cancer subtypes as defined by the estrogen receptor (ER), progesterone receptor (PR), and the human epidermal growth factor receptor 2 (HER2) among women with invasive breast cancer in California, 1999-2004</w:t>
      </w:r>
      <w:r>
        <w:t xml:space="preserve">. </w:t>
      </w:r>
      <w:r>
        <w:rPr>
          <w:i/>
          <w:iCs/>
        </w:rPr>
        <w:t xml:space="preserve">Breast J </w:t>
      </w:r>
      <w:r>
        <w:t>2009;15(6):593-602.</w:t>
      </w:r>
    </w:p>
  </w:footnote>
  <w:footnote w:id="10">
    <w:p w14:paraId="6C8B3C16" w14:textId="77777777" w:rsidR="00F96DB0" w:rsidRPr="004615FE" w:rsidRDefault="00F96DB0" w:rsidP="00F96DB0">
      <w:pPr>
        <w:pStyle w:val="FootnoteText"/>
      </w:pPr>
      <w:r>
        <w:rPr>
          <w:rStyle w:val="FootnoteReference"/>
        </w:rPr>
        <w:footnoteRef/>
      </w:r>
      <w:r>
        <w:t xml:space="preserve"> Wolff et al. Human epidermal growth factor receptor 2 testing in breast cancer: American Society of Clinical Oncology/College of American Pathologists clinical practice guideline focused update. </w:t>
      </w:r>
      <w:r>
        <w:rPr>
          <w:i/>
          <w:iCs/>
        </w:rPr>
        <w:t xml:space="preserve">J Clin Oncol </w:t>
      </w:r>
      <w:r>
        <w:t>2018;36(20):2105-2122.</w:t>
      </w:r>
    </w:p>
  </w:footnote>
  <w:footnote w:id="11">
    <w:p w14:paraId="348CF86D" w14:textId="77777777" w:rsidR="00F96DB0" w:rsidRPr="004615FE" w:rsidRDefault="00F96DB0" w:rsidP="00F96DB0">
      <w:pPr>
        <w:pStyle w:val="FootnoteText"/>
        <w:rPr>
          <w:b/>
        </w:rPr>
      </w:pPr>
      <w:r>
        <w:rPr>
          <w:rStyle w:val="FootnoteReference"/>
        </w:rPr>
        <w:footnoteRef/>
      </w:r>
      <w:r>
        <w:t xml:space="preserve"> Orrantia-Borunda et al. Subtypes of breast cancer. </w:t>
      </w:r>
      <w:r>
        <w:rPr>
          <w:i/>
          <w:iCs/>
        </w:rPr>
        <w:t xml:space="preserve">Breast Cancer. </w:t>
      </w:r>
      <w:r>
        <w:t xml:space="preserve">Brisbane (AU) 2022. ISBN </w:t>
      </w:r>
      <w:r w:rsidRPr="004615FE">
        <w:t>978-0-6453320-3-2</w:t>
      </w:r>
      <w:r>
        <w:t xml:space="preserve">. </w:t>
      </w:r>
    </w:p>
  </w:footnote>
  <w:footnote w:id="12">
    <w:p w14:paraId="1F233EBF" w14:textId="55F807D3" w:rsidR="00F96DB0" w:rsidRPr="004615FE" w:rsidRDefault="00F96DB0" w:rsidP="00F96DB0">
      <w:pPr>
        <w:pStyle w:val="FootnoteText"/>
      </w:pPr>
      <w:r>
        <w:rPr>
          <w:rStyle w:val="FootnoteReference"/>
        </w:rPr>
        <w:footnoteRef/>
      </w:r>
      <w:r>
        <w:t xml:space="preserve"> Slamon et al. </w:t>
      </w:r>
      <w:r w:rsidRPr="004615FE">
        <w:t>Human breast cancer: correlation of relapse and survival with amplification of the HER2/neu oncogene</w:t>
      </w:r>
      <w:r>
        <w:t xml:space="preserve">. </w:t>
      </w:r>
      <w:r>
        <w:rPr>
          <w:i/>
          <w:iCs/>
        </w:rPr>
        <w:t>Science</w:t>
      </w:r>
      <w:r>
        <w:t xml:space="preserve"> 1987;235(4785):177-182.</w:t>
      </w:r>
    </w:p>
  </w:footnote>
  <w:footnote w:id="13">
    <w:p w14:paraId="262AF45D" w14:textId="77777777" w:rsidR="00F96DB0" w:rsidRPr="00400B8A" w:rsidRDefault="00F96DB0" w:rsidP="00F96DB0">
      <w:pPr>
        <w:pStyle w:val="FootnoteText"/>
      </w:pPr>
      <w:r>
        <w:rPr>
          <w:rStyle w:val="FootnoteReference"/>
        </w:rPr>
        <w:footnoteRef/>
      </w:r>
      <w:r>
        <w:t xml:space="preserve"> Schettini et al. </w:t>
      </w:r>
      <w:r w:rsidRPr="00400B8A">
        <w:t>Clinical, pathological, and PAM50 gene expression features of HER2-low breast cancer</w:t>
      </w:r>
      <w:r>
        <w:t xml:space="preserve">. </w:t>
      </w:r>
      <w:r>
        <w:rPr>
          <w:i/>
          <w:iCs/>
        </w:rPr>
        <w:t>NPJ Breast Cancer</w:t>
      </w:r>
      <w:r>
        <w:t xml:space="preserve"> 2021;7(1). DOI </w:t>
      </w:r>
      <w:r w:rsidRPr="00400B8A">
        <w:t>10.1038/s41523-020-00208-2</w:t>
      </w:r>
    </w:p>
  </w:footnote>
  <w:footnote w:id="14">
    <w:p w14:paraId="58ED587E" w14:textId="77777777" w:rsidR="00F96DB0" w:rsidRPr="00400B8A" w:rsidRDefault="00F96DB0" w:rsidP="00F96DB0">
      <w:pPr>
        <w:pStyle w:val="FootnoteText"/>
      </w:pPr>
      <w:r>
        <w:rPr>
          <w:rStyle w:val="FootnoteReference"/>
        </w:rPr>
        <w:footnoteRef/>
      </w:r>
      <w:r>
        <w:t xml:space="preserve"> Tarantino et al. HER2-low breast cancer: Pathological and clinical landscape. </w:t>
      </w:r>
      <w:r>
        <w:rPr>
          <w:i/>
          <w:iCs/>
        </w:rPr>
        <w:t>J Clin Oncol</w:t>
      </w:r>
      <w:r>
        <w:t xml:space="preserve"> 2020;38(17):1951-1962.</w:t>
      </w:r>
    </w:p>
  </w:footnote>
  <w:footnote w:id="15">
    <w:p w14:paraId="00BFD6B8" w14:textId="77777777" w:rsidR="00557F54" w:rsidRPr="00C43473" w:rsidRDefault="00557F54" w:rsidP="00557F54">
      <w:pPr>
        <w:pStyle w:val="FootnoteText"/>
      </w:pPr>
      <w:r>
        <w:rPr>
          <w:rStyle w:val="FootnoteReference"/>
        </w:rPr>
        <w:footnoteRef/>
      </w:r>
      <w:r>
        <w:t xml:space="preserve"> Nakada et al. The latest research and development into the antibody-drug conjugate, [fam-] trastuzumab deruxtecan (DS-8201a), for HER2 cancer therapy. </w:t>
      </w:r>
      <w:r>
        <w:rPr>
          <w:i/>
          <w:iCs/>
        </w:rPr>
        <w:t xml:space="preserve">Chem Pharm Bull </w:t>
      </w:r>
      <w:proofErr w:type="gramStart"/>
      <w:r>
        <w:t>2019;67:173</w:t>
      </w:r>
      <w:proofErr w:type="gramEnd"/>
      <w:r>
        <w:t>-185.</w:t>
      </w:r>
    </w:p>
  </w:footnote>
  <w:footnote w:id="16">
    <w:p w14:paraId="62FE1A54" w14:textId="77777777" w:rsidR="00F96DB0" w:rsidRPr="00CA7FE0" w:rsidRDefault="00F96DB0" w:rsidP="00F96DB0">
      <w:pPr>
        <w:pStyle w:val="FootnoteText"/>
      </w:pPr>
      <w:r>
        <w:rPr>
          <w:rStyle w:val="FootnoteReference"/>
        </w:rPr>
        <w:footnoteRef/>
      </w:r>
      <w:r>
        <w:t xml:space="preserve"> Chen et al. </w:t>
      </w:r>
      <w:r w:rsidRPr="00CA7FE0">
        <w:t>Is HER2 ultra-low breast cancer different from HER2 null or HER2 low breast cancer? A study of 1363 patients</w:t>
      </w:r>
      <w:r>
        <w:t xml:space="preserve">. </w:t>
      </w:r>
      <w:r>
        <w:rPr>
          <w:i/>
          <w:iCs/>
        </w:rPr>
        <w:t>Breast Cancer Res Treat</w:t>
      </w:r>
      <w:r>
        <w:t xml:space="preserve"> 2023;202(2):313-323.</w:t>
      </w:r>
    </w:p>
  </w:footnote>
  <w:footnote w:id="17">
    <w:p w14:paraId="4945068B" w14:textId="77777777" w:rsidR="00F96DB0" w:rsidRPr="00CA7FE0" w:rsidRDefault="00F96DB0" w:rsidP="00F96DB0">
      <w:pPr>
        <w:pStyle w:val="FootnoteText"/>
      </w:pPr>
      <w:r>
        <w:rPr>
          <w:rStyle w:val="FootnoteReference"/>
        </w:rPr>
        <w:footnoteRef/>
      </w:r>
      <w:r>
        <w:t xml:space="preserve"> Mehta et al. </w:t>
      </w:r>
      <w:r w:rsidRPr="00CA7FE0">
        <w:t>Prevalence of “HER2 ultra-low” among patients with advanced breast cancer with historical IHC0 status</w:t>
      </w:r>
      <w:r>
        <w:t xml:space="preserve">. </w:t>
      </w:r>
      <w:r>
        <w:rPr>
          <w:i/>
          <w:iCs/>
        </w:rPr>
        <w:t>J Clin Oncol</w:t>
      </w:r>
      <w:r>
        <w:t xml:space="preserve"> 2024;42(16_suppl):</w:t>
      </w:r>
      <w:r w:rsidRPr="00CA7FE0">
        <w:t xml:space="preserve"> e13156</w:t>
      </w:r>
      <w:r>
        <w:t>.</w:t>
      </w:r>
    </w:p>
  </w:footnote>
  <w:footnote w:id="18">
    <w:p w14:paraId="7818F043" w14:textId="77777777" w:rsidR="00F96DB0" w:rsidRPr="00973A22" w:rsidRDefault="00F96DB0" w:rsidP="00F96DB0">
      <w:pPr>
        <w:pStyle w:val="FootnoteText"/>
      </w:pPr>
      <w:r>
        <w:rPr>
          <w:rStyle w:val="FootnoteReference"/>
        </w:rPr>
        <w:footnoteRef/>
      </w:r>
      <w:r>
        <w:t xml:space="preserve"> Modi et al. Trastuzumab deruxtecan in previously treated HER2-low advanced breast cancer. </w:t>
      </w:r>
      <w:r>
        <w:rPr>
          <w:i/>
          <w:iCs/>
        </w:rPr>
        <w:t xml:space="preserve">N Engl J Med </w:t>
      </w:r>
      <w:r>
        <w:t>2022;387(1): 9-20.</w:t>
      </w:r>
    </w:p>
  </w:footnote>
  <w:footnote w:id="19">
    <w:p w14:paraId="4F31B728" w14:textId="77777777" w:rsidR="0081525E" w:rsidRDefault="0081525E" w:rsidP="0081525E">
      <w:pPr>
        <w:pStyle w:val="FootnoteText"/>
      </w:pPr>
      <w:r>
        <w:rPr>
          <w:rStyle w:val="FootnoteReference"/>
        </w:rPr>
        <w:footnoteRef/>
      </w:r>
      <w:r>
        <w:t xml:space="preserve"> The DB-06 clinical study report noted that s</w:t>
      </w:r>
      <w:r w:rsidRPr="004E7E70">
        <w:t>ponsor personnel involved in the study did not undertake or have access to efficacy data aggregated by treatment arm prior to final data readout for the primary endpoint.</w:t>
      </w:r>
    </w:p>
  </w:footnote>
  <w:footnote w:id="20">
    <w:p w14:paraId="414C5D7C" w14:textId="77777777" w:rsidR="0081525E" w:rsidRDefault="0081525E" w:rsidP="0081525E">
      <w:pPr>
        <w:pStyle w:val="FootnoteText"/>
      </w:pPr>
      <w:r>
        <w:rPr>
          <w:rStyle w:val="FootnoteReference"/>
        </w:rPr>
        <w:footnoteRef/>
      </w:r>
      <w:r>
        <w:t xml:space="preserve"> T</w:t>
      </w:r>
      <w:r w:rsidRPr="006966D5">
        <w:t>ime from randomisation to second progression or death.</w:t>
      </w:r>
    </w:p>
  </w:footnote>
  <w:footnote w:id="21">
    <w:p w14:paraId="29AB43BA" w14:textId="77777777" w:rsidR="0081525E" w:rsidRDefault="0081525E" w:rsidP="0081525E">
      <w:pPr>
        <w:pStyle w:val="FootnoteText"/>
      </w:pPr>
      <w:r>
        <w:rPr>
          <w:rStyle w:val="FootnoteReference"/>
        </w:rPr>
        <w:footnoteRef/>
      </w:r>
      <w:r>
        <w:t xml:space="preserve"> </w:t>
      </w:r>
      <w:r w:rsidRPr="006966D5">
        <w:t>The percentage of patients who achieve a complete response (CR) or partial response (PR) on their initial scan and maintain that response on a subsequent scan, typically 4 or more weeks later</w:t>
      </w:r>
      <w:r>
        <w:t>.</w:t>
      </w:r>
    </w:p>
  </w:footnote>
  <w:footnote w:id="22">
    <w:p w14:paraId="6E1470AE" w14:textId="77777777" w:rsidR="00074BBC" w:rsidRDefault="00074BBC" w:rsidP="00074BBC">
      <w:pPr>
        <w:pStyle w:val="FootnoteText"/>
      </w:pPr>
      <w:r>
        <w:rPr>
          <w:rStyle w:val="FootnoteReference"/>
        </w:rPr>
        <w:footnoteRef/>
      </w:r>
      <w:r>
        <w:t xml:space="preserve"> </w:t>
      </w:r>
      <w:proofErr w:type="spellStart"/>
      <w:r>
        <w:t>Fountzilas</w:t>
      </w:r>
      <w:proofErr w:type="spellEnd"/>
      <w:r>
        <w:t xml:space="preserve"> et al. 2025 </w:t>
      </w:r>
      <w:hyperlink r:id="rId4" w:history="1">
        <w:r w:rsidRPr="00606F5A">
          <w:rPr>
            <w:rStyle w:val="Hyperlink"/>
          </w:rPr>
          <w:t>https://pmc.ncbi.nlm.nih.gov/articles/PMC12836521/</w:t>
        </w:r>
      </w:hyperlink>
    </w:p>
  </w:footnote>
  <w:footnote w:id="23">
    <w:p w14:paraId="6EC3B24B" w14:textId="77777777" w:rsidR="00412FD8" w:rsidRDefault="00412FD8" w:rsidP="00412FD8">
      <w:pPr>
        <w:pStyle w:val="FootnoteText"/>
      </w:pPr>
      <w:r>
        <w:rPr>
          <w:rStyle w:val="FootnoteReference"/>
        </w:rPr>
        <w:footnoteRef/>
      </w:r>
      <w:r>
        <w:t xml:space="preserve"> </w:t>
      </w:r>
      <w:r w:rsidRPr="000D557C">
        <w:t>PI3K/AKT/mTOR</w:t>
      </w:r>
    </w:p>
  </w:footnote>
  <w:footnote w:id="24">
    <w:p w14:paraId="649BE74C" w14:textId="77777777" w:rsidR="00412FD8" w:rsidRDefault="00412FD8" w:rsidP="00412FD8">
      <w:pPr>
        <w:pStyle w:val="FootnoteText"/>
      </w:pPr>
      <w:r>
        <w:rPr>
          <w:rStyle w:val="FootnoteReference"/>
        </w:rPr>
        <w:footnoteRef/>
      </w:r>
      <w:r>
        <w:t xml:space="preserve"> </w:t>
      </w:r>
      <w:proofErr w:type="spellStart"/>
      <w:r w:rsidRPr="0064205D">
        <w:t>Gebski</w:t>
      </w:r>
      <w:proofErr w:type="spellEnd"/>
      <w:r w:rsidRPr="0064205D">
        <w:t xml:space="preserve"> V, </w:t>
      </w:r>
      <w:proofErr w:type="spellStart"/>
      <w:r w:rsidRPr="0064205D">
        <w:t>Garès</w:t>
      </w:r>
      <w:proofErr w:type="spellEnd"/>
      <w:r w:rsidRPr="0064205D">
        <w:t xml:space="preserve"> V, </w:t>
      </w:r>
      <w:r>
        <w:rPr>
          <w:i/>
          <w:iCs/>
        </w:rPr>
        <w:t>et al.</w:t>
      </w:r>
      <w:r w:rsidRPr="0064205D">
        <w:t xml:space="preserve"> Data maturity and follow-up in time-to-event analyses. </w:t>
      </w:r>
      <w:r w:rsidRPr="008340D1">
        <w:rPr>
          <w:i/>
          <w:iCs/>
        </w:rPr>
        <w:t>Int J Epidemiol</w:t>
      </w:r>
      <w:r w:rsidRPr="0064205D">
        <w:t>. 2018;47(3):850-9.</w:t>
      </w:r>
    </w:p>
  </w:footnote>
  <w:footnote w:id="25">
    <w:p w14:paraId="4A2F4D7D" w14:textId="5469406B" w:rsidR="00706E02" w:rsidRDefault="00706E02">
      <w:pPr>
        <w:pStyle w:val="FootnoteText"/>
      </w:pPr>
      <w:r>
        <w:rPr>
          <w:rStyle w:val="FootnoteReference"/>
        </w:rPr>
        <w:footnoteRef/>
      </w:r>
      <w:r>
        <w:t xml:space="preserve"> = </w:t>
      </w:r>
      <w:r w:rsidRPr="00706E02">
        <w:t>0.69 x 58.7%/82.2% + 1 x 23.5%/82.2%,</w:t>
      </w:r>
    </w:p>
  </w:footnote>
  <w:footnote w:id="26">
    <w:p w14:paraId="4C0538C8" w14:textId="77777777" w:rsidR="00412FD8" w:rsidRDefault="00412FD8" w:rsidP="00412FD8">
      <w:pPr>
        <w:pStyle w:val="FootnoteText"/>
      </w:pPr>
      <w:r>
        <w:rPr>
          <w:rStyle w:val="FootnoteReference"/>
        </w:rPr>
        <w:footnoteRef/>
      </w:r>
      <w:r>
        <w:t xml:space="preserve"> </w:t>
      </w:r>
      <w:r w:rsidRPr="007F70DB">
        <w:t xml:space="preserve">van Hout B, Janssen MF, </w:t>
      </w:r>
      <w:r w:rsidRPr="007F70DB">
        <w:rPr>
          <w:i/>
          <w:iCs/>
        </w:rPr>
        <w:t>et al</w:t>
      </w:r>
      <w:r w:rsidRPr="007F70DB">
        <w:t xml:space="preserve">. Interim scoring for the EQ-5D-5L: mapping the EQ-5D-5L to EQ-5D-3L value sets. </w:t>
      </w:r>
      <w:r w:rsidRPr="007F70DB">
        <w:rPr>
          <w:i/>
          <w:iCs/>
        </w:rPr>
        <w:t>Value Health</w:t>
      </w:r>
      <w:r w:rsidRPr="007F70DB">
        <w:t>. 2012;15(5):708-15.</w:t>
      </w:r>
    </w:p>
  </w:footnote>
  <w:footnote w:id="27">
    <w:p w14:paraId="7F603941" w14:textId="77777777" w:rsidR="00412FD8" w:rsidRDefault="00412FD8" w:rsidP="00412FD8">
      <w:pPr>
        <w:pStyle w:val="FootnoteText"/>
      </w:pPr>
      <w:r>
        <w:rPr>
          <w:rStyle w:val="FootnoteReference"/>
        </w:rPr>
        <w:footnoteRef/>
      </w:r>
      <w:r>
        <w:t xml:space="preserve"> </w:t>
      </w:r>
      <w:r w:rsidRPr="008340D1">
        <w:t xml:space="preserve">Viney R, Norman R, </w:t>
      </w:r>
      <w:r>
        <w:rPr>
          <w:i/>
          <w:iCs/>
        </w:rPr>
        <w:t>et al</w:t>
      </w:r>
      <w:r w:rsidRPr="008340D1">
        <w:t xml:space="preserve">. Time trade-off derived EQ-5D weights for Australia. </w:t>
      </w:r>
      <w:r w:rsidRPr="008340D1">
        <w:rPr>
          <w:i/>
          <w:iCs/>
        </w:rPr>
        <w:t>Value Health</w:t>
      </w:r>
      <w:r w:rsidRPr="008340D1">
        <w:t>. 2011;14(6):928-36.</w:t>
      </w:r>
    </w:p>
  </w:footnote>
  <w:footnote w:id="28">
    <w:p w14:paraId="0B99BA10" w14:textId="0E421CF7" w:rsidR="00C10D64" w:rsidRDefault="00C10D64">
      <w:pPr>
        <w:pStyle w:val="FootnoteText"/>
      </w:pPr>
      <w:r>
        <w:rPr>
          <w:rStyle w:val="FootnoteReference"/>
        </w:rPr>
        <w:footnoteRef/>
      </w:r>
      <w:r>
        <w:t xml:space="preserve"> N</w:t>
      </w:r>
      <w:r w:rsidRPr="00C10D64">
        <w:t xml:space="preserve">orman R, Mulhern B, </w:t>
      </w:r>
      <w:r>
        <w:rPr>
          <w:i/>
          <w:iCs/>
        </w:rPr>
        <w:t>et al</w:t>
      </w:r>
      <w:r w:rsidRPr="00C10D64">
        <w:t xml:space="preserve">. The Use of a </w:t>
      </w:r>
      <w:r>
        <w:t>d</w:t>
      </w:r>
      <w:r w:rsidRPr="00C10D64">
        <w:t xml:space="preserve">iscrete </w:t>
      </w:r>
      <w:r>
        <w:t>c</w:t>
      </w:r>
      <w:r w:rsidRPr="00C10D64">
        <w:t xml:space="preserve">hoice </w:t>
      </w:r>
      <w:r>
        <w:t>e</w:t>
      </w:r>
      <w:r w:rsidRPr="00C10D64">
        <w:t xml:space="preserve">xperiment </w:t>
      </w:r>
      <w:r>
        <w:t>i</w:t>
      </w:r>
      <w:r w:rsidRPr="00C10D64">
        <w:t xml:space="preserve">ncluding </w:t>
      </w:r>
      <w:r>
        <w:t>b</w:t>
      </w:r>
      <w:r w:rsidRPr="00C10D64">
        <w:t xml:space="preserve">oth </w:t>
      </w:r>
      <w:r>
        <w:t>d</w:t>
      </w:r>
      <w:r w:rsidRPr="00C10D64">
        <w:t xml:space="preserve">uration and </w:t>
      </w:r>
      <w:r>
        <w:t>d</w:t>
      </w:r>
      <w:r w:rsidRPr="00C10D64">
        <w:t xml:space="preserve">ead for the </w:t>
      </w:r>
      <w:r>
        <w:t>d</w:t>
      </w:r>
      <w:r w:rsidRPr="00C10D64">
        <w:t xml:space="preserve">evelopment of an EQ-5D-5L </w:t>
      </w:r>
      <w:r>
        <w:t>v</w:t>
      </w:r>
      <w:r w:rsidRPr="00C10D64">
        <w:t xml:space="preserve">alue </w:t>
      </w:r>
      <w:r>
        <w:t>s</w:t>
      </w:r>
      <w:r w:rsidRPr="00C10D64">
        <w:t xml:space="preserve">et for Australia. </w:t>
      </w:r>
      <w:r w:rsidRPr="00C10D64">
        <w:rPr>
          <w:i/>
          <w:iCs/>
        </w:rPr>
        <w:t>Pharmacoeconomics</w:t>
      </w:r>
      <w:r w:rsidRPr="00C10D64">
        <w:t>. 2023;41(4):427-38</w:t>
      </w:r>
    </w:p>
  </w:footnote>
  <w:footnote w:id="29">
    <w:p w14:paraId="29816255" w14:textId="77777777" w:rsidR="00412FD8" w:rsidRDefault="00412FD8" w:rsidP="00412FD8">
      <w:pPr>
        <w:pStyle w:val="FootnoteText"/>
      </w:pPr>
      <w:r>
        <w:rPr>
          <w:rStyle w:val="FootnoteReference"/>
        </w:rPr>
        <w:footnoteRef/>
      </w:r>
      <w:r>
        <w:t xml:space="preserve"> </w:t>
      </w:r>
      <w:r w:rsidRPr="005A2A37">
        <w:t xml:space="preserve">Lloyd A, Nafees B, </w:t>
      </w:r>
      <w:proofErr w:type="spellStart"/>
      <w:r w:rsidRPr="005A2A37">
        <w:t>Narewska</w:t>
      </w:r>
      <w:proofErr w:type="spellEnd"/>
      <w:r w:rsidRPr="005A2A37">
        <w:t xml:space="preserve"> J, Dewilde S, Watkins J. Health state utilities for metastatic breast cancer. Br J Cancer. 2006;95(6):683-90.</w:t>
      </w:r>
    </w:p>
  </w:footnote>
  <w:footnote w:id="30">
    <w:p w14:paraId="32D62F77" w14:textId="14A2611E" w:rsidR="00802231" w:rsidRDefault="00802231">
      <w:pPr>
        <w:pStyle w:val="FootnoteText"/>
      </w:pPr>
      <w:r>
        <w:rPr>
          <w:rStyle w:val="FootnoteReference"/>
        </w:rPr>
        <w:footnoteRef/>
      </w:r>
      <w:r>
        <w:t xml:space="preserve"> </w:t>
      </w:r>
      <w:r w:rsidRPr="00802231">
        <w:t xml:space="preserve">Jourdain H, Di Meglio A, Mansouri I, </w:t>
      </w:r>
      <w:proofErr w:type="spellStart"/>
      <w:r w:rsidRPr="00802231">
        <w:t>Desplas</w:t>
      </w:r>
      <w:proofErr w:type="spellEnd"/>
      <w:r w:rsidRPr="00802231">
        <w:t xml:space="preserve"> D, Zureik M, Haddy N. Real-world efficacy and safety of trastuzumab deruxtecan versus trastuzumab emtansine and tucatinib as second-line and third-line treatments for HER2-positive metastatic breast cancer: two target trial emulation studies. Lancet Reg Health Eur. 2025 Sep </w:t>
      </w:r>
      <w:proofErr w:type="gramStart"/>
      <w:r w:rsidRPr="00802231">
        <w:t>5;58:101455</w:t>
      </w:r>
      <w:proofErr w:type="gramEnd"/>
      <w:r w:rsidRPr="00802231">
        <w:t>. doi: 10.1016/j.lanepe.2025.101455. PMID: 40989560; PMCID: PMC12451362.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011F" w14:textId="1AF411C2" w:rsidR="00661770" w:rsidRDefault="00264565">
    <w:pPr>
      <w:pStyle w:val="Header"/>
    </w:pPr>
    <w:r>
      <w:rPr>
        <w:noProof/>
      </w:rPr>
      <mc:AlternateContent>
        <mc:Choice Requires="wps">
          <w:drawing>
            <wp:anchor distT="0" distB="0" distL="0" distR="0" simplePos="0" relativeHeight="251658241" behindDoc="0" locked="0" layoutInCell="1" allowOverlap="1" wp14:anchorId="2059F6C7" wp14:editId="67529C5B">
              <wp:simplePos x="635" y="635"/>
              <wp:positionH relativeFrom="page">
                <wp:align>center</wp:align>
              </wp:positionH>
              <wp:positionV relativeFrom="page">
                <wp:align>top</wp:align>
              </wp:positionV>
              <wp:extent cx="622300" cy="376555"/>
              <wp:effectExtent l="0" t="0" r="6350" b="4445"/>
              <wp:wrapNone/>
              <wp:docPr id="17586013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9EC707" w14:textId="344612E3"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9F6C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69EC707" w14:textId="344612E3"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2623" w14:textId="7C4A8DDC" w:rsidR="00661770" w:rsidRDefault="00264565" w:rsidP="00661770">
    <w:pPr>
      <w:ind w:left="-141" w:firstLine="141"/>
      <w:jc w:val="center"/>
      <w:rPr>
        <w:i/>
        <w:iCs/>
      </w:rPr>
    </w:pPr>
    <w:r>
      <w:rPr>
        <w:i/>
        <w:iCs/>
        <w:noProof/>
      </w:rPr>
      <mc:AlternateContent>
        <mc:Choice Requires="wps">
          <w:drawing>
            <wp:anchor distT="0" distB="0" distL="0" distR="0" simplePos="0" relativeHeight="251658242" behindDoc="0" locked="0" layoutInCell="1" allowOverlap="1" wp14:anchorId="539684A4" wp14:editId="37E91924">
              <wp:simplePos x="0" y="0"/>
              <wp:positionH relativeFrom="page">
                <wp:posOffset>3571973</wp:posOffset>
              </wp:positionH>
              <wp:positionV relativeFrom="page">
                <wp:align>top</wp:align>
              </wp:positionV>
              <wp:extent cx="622300" cy="376555"/>
              <wp:effectExtent l="0" t="0" r="6350" b="4445"/>
              <wp:wrapNone/>
              <wp:docPr id="17234161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540E3B" w14:textId="0AB2D104"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684A4" id="_x0000_t202" coordsize="21600,21600" o:spt="202" path="m,l,21600r21600,l21600,xe">
              <v:stroke joinstyle="miter"/>
              <v:path gradientshapeok="t" o:connecttype="rect"/>
            </v:shapetype>
            <v:shape id="Text Box 3" o:spid="_x0000_s1027" type="#_x0000_t202" alt="OFFICIAL" style="position:absolute;left:0;text-align:left;margin-left:281.25pt;margin-top:0;width:49pt;height:29.65pt;z-index:251658242;visibility:visible;mso-wrap-style:none;mso-wrap-distance-left:0;mso-wrap-distance-top:0;mso-wrap-distance-right:0;mso-wrap-distance-bottom:0;mso-position-horizontal:absolute;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" filled="f" stroked="f">
              <v:textbox style="mso-fit-shape-to-text:t" inset="0,15pt,0,0">
                <w:txbxContent>
                  <w:p w14:paraId="43540E3B" w14:textId="0AB2D104"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v:textbox>
              <w10:wrap anchorx="page" anchory="page"/>
            </v:shape>
          </w:pict>
        </mc:Fallback>
      </mc:AlternateContent>
    </w:r>
    <w:r w:rsidR="00197715">
      <w:rPr>
        <w:i/>
        <w:iCs/>
      </w:rPr>
      <w:t>Public Summary Document</w:t>
    </w:r>
    <w:r w:rsidR="00661770">
      <w:rPr>
        <w:i/>
        <w:iCs/>
      </w:rPr>
      <w:t xml:space="preserve"> – March 2026 PBAC Meeting</w:t>
    </w:r>
  </w:p>
  <w:p w14:paraId="1BF76338" w14:textId="77777777" w:rsidR="00661770" w:rsidRPr="008C7ECB" w:rsidRDefault="00661770" w:rsidP="0066177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0ACE" w14:textId="04AD23DE" w:rsidR="00661770" w:rsidRDefault="00264565">
    <w:pPr>
      <w:pStyle w:val="Header"/>
    </w:pPr>
    <w:r>
      <w:rPr>
        <w:noProof/>
      </w:rPr>
      <mc:AlternateContent>
        <mc:Choice Requires="wps">
          <w:drawing>
            <wp:anchor distT="0" distB="0" distL="0" distR="0" simplePos="0" relativeHeight="251658240" behindDoc="0" locked="0" layoutInCell="1" allowOverlap="1" wp14:anchorId="0145B07A" wp14:editId="405B0F7E">
              <wp:simplePos x="635" y="635"/>
              <wp:positionH relativeFrom="page">
                <wp:align>center</wp:align>
              </wp:positionH>
              <wp:positionV relativeFrom="page">
                <wp:align>top</wp:align>
              </wp:positionV>
              <wp:extent cx="622300" cy="376555"/>
              <wp:effectExtent l="0" t="0" r="6350" b="4445"/>
              <wp:wrapNone/>
              <wp:docPr id="11945130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A91F08" w14:textId="60185656"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5B07A"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1A91F08" w14:textId="60185656" w:rsidR="00264565" w:rsidRPr="00264565" w:rsidRDefault="00264565" w:rsidP="00264565">
                    <w:pPr>
                      <w:rPr>
                        <w:rFonts w:ascii="Aptos" w:eastAsia="Aptos" w:hAnsi="Aptos" w:cs="Aptos"/>
                        <w:noProof/>
                        <w:color w:val="FF0000"/>
                      </w:rPr>
                    </w:pPr>
                    <w:r w:rsidRPr="0026456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486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AF592E"/>
    <w:multiLevelType w:val="hybridMultilevel"/>
    <w:tmpl w:val="E9C03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0DD4B8C"/>
    <w:multiLevelType w:val="multilevel"/>
    <w:tmpl w:val="361A144C"/>
    <w:lvl w:ilvl="0">
      <w:start w:val="1"/>
      <w:numFmt w:val="bullet"/>
      <w:lvlText w:val=""/>
      <w:lvlJc w:val="left"/>
      <w:pPr>
        <w:ind w:left="144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055E2934"/>
    <w:multiLevelType w:val="multilevel"/>
    <w:tmpl w:val="361A144C"/>
    <w:lvl w:ilvl="0">
      <w:start w:val="1"/>
      <w:numFmt w:val="bullet"/>
      <w:lvlText w:val=""/>
      <w:lvlJc w:val="left"/>
      <w:pPr>
        <w:ind w:left="144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03D85"/>
    <w:multiLevelType w:val="hybridMultilevel"/>
    <w:tmpl w:val="D640FB52"/>
    <w:lvl w:ilvl="0" w:tplc="081C9E4A">
      <w:start w:val="4"/>
      <w:numFmt w:val="bullet"/>
      <w:lvlText w:val="-"/>
      <w:lvlJc w:val="left"/>
      <w:pPr>
        <w:ind w:left="360" w:hanging="360"/>
      </w:pPr>
      <w:rPr>
        <w:rFonts w:ascii="Arial Narrow" w:eastAsiaTheme="majorEastAsia" w:hAnsi="Arial Narrow"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77713E"/>
    <w:multiLevelType w:val="multilevel"/>
    <w:tmpl w:val="6D3AB094"/>
    <w:lvl w:ilvl="0">
      <w:start w:val="1"/>
      <w:numFmt w:val="bullet"/>
      <w:lvlText w:val=""/>
      <w:lvlJc w:val="left"/>
      <w:pPr>
        <w:ind w:left="1440" w:hanging="360"/>
      </w:pPr>
      <w:rPr>
        <w:rFonts w:ascii="Symbol" w:hAnsi="Symbol"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149D0166"/>
    <w:multiLevelType w:val="multilevel"/>
    <w:tmpl w:val="361A144C"/>
    <w:lvl w:ilvl="0">
      <w:start w:val="1"/>
      <w:numFmt w:val="bullet"/>
      <w:lvlText w:val=""/>
      <w:lvlJc w:val="left"/>
      <w:pPr>
        <w:ind w:left="144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15:restartNumberingAfterBreak="0">
    <w:nsid w:val="14A36036"/>
    <w:multiLevelType w:val="hybridMultilevel"/>
    <w:tmpl w:val="695679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C3F430D"/>
    <w:multiLevelType w:val="hybridMultilevel"/>
    <w:tmpl w:val="7FD699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DE17D79"/>
    <w:multiLevelType w:val="hybridMultilevel"/>
    <w:tmpl w:val="34E6AFC8"/>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805358"/>
    <w:multiLevelType w:val="hybridMultilevel"/>
    <w:tmpl w:val="45EAA4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DF0FE7"/>
    <w:multiLevelType w:val="hybridMultilevel"/>
    <w:tmpl w:val="841A740C"/>
    <w:lvl w:ilvl="0" w:tplc="4BE61CF4">
      <w:start w:val="1"/>
      <w:numFmt w:val="bullet"/>
      <w:lvlText w:val="•"/>
      <w:lvlJc w:val="left"/>
      <w:pPr>
        <w:tabs>
          <w:tab w:val="num" w:pos="720"/>
        </w:tabs>
        <w:ind w:left="720" w:hanging="360"/>
      </w:pPr>
      <w:rPr>
        <w:rFonts w:ascii="Arial" w:hAnsi="Arial" w:hint="default"/>
      </w:rPr>
    </w:lvl>
    <w:lvl w:ilvl="1" w:tplc="13DE9C68">
      <w:numFmt w:val="bullet"/>
      <w:lvlText w:val="o"/>
      <w:lvlJc w:val="left"/>
      <w:pPr>
        <w:tabs>
          <w:tab w:val="num" w:pos="1440"/>
        </w:tabs>
        <w:ind w:left="1440" w:hanging="360"/>
      </w:pPr>
      <w:rPr>
        <w:rFonts w:ascii="Courier New" w:hAnsi="Courier New" w:hint="default"/>
      </w:rPr>
    </w:lvl>
    <w:lvl w:ilvl="2" w:tplc="AD70420E" w:tentative="1">
      <w:start w:val="1"/>
      <w:numFmt w:val="bullet"/>
      <w:lvlText w:val="•"/>
      <w:lvlJc w:val="left"/>
      <w:pPr>
        <w:tabs>
          <w:tab w:val="num" w:pos="2160"/>
        </w:tabs>
        <w:ind w:left="2160" w:hanging="360"/>
      </w:pPr>
      <w:rPr>
        <w:rFonts w:ascii="Arial" w:hAnsi="Arial" w:hint="default"/>
      </w:rPr>
    </w:lvl>
    <w:lvl w:ilvl="3" w:tplc="8E302972" w:tentative="1">
      <w:start w:val="1"/>
      <w:numFmt w:val="bullet"/>
      <w:lvlText w:val="•"/>
      <w:lvlJc w:val="left"/>
      <w:pPr>
        <w:tabs>
          <w:tab w:val="num" w:pos="2880"/>
        </w:tabs>
        <w:ind w:left="2880" w:hanging="360"/>
      </w:pPr>
      <w:rPr>
        <w:rFonts w:ascii="Arial" w:hAnsi="Arial" w:hint="default"/>
      </w:rPr>
    </w:lvl>
    <w:lvl w:ilvl="4" w:tplc="6AC8D3EC" w:tentative="1">
      <w:start w:val="1"/>
      <w:numFmt w:val="bullet"/>
      <w:lvlText w:val="•"/>
      <w:lvlJc w:val="left"/>
      <w:pPr>
        <w:tabs>
          <w:tab w:val="num" w:pos="3600"/>
        </w:tabs>
        <w:ind w:left="3600" w:hanging="360"/>
      </w:pPr>
      <w:rPr>
        <w:rFonts w:ascii="Arial" w:hAnsi="Arial" w:hint="default"/>
      </w:rPr>
    </w:lvl>
    <w:lvl w:ilvl="5" w:tplc="98B6F14A" w:tentative="1">
      <w:start w:val="1"/>
      <w:numFmt w:val="bullet"/>
      <w:lvlText w:val="•"/>
      <w:lvlJc w:val="left"/>
      <w:pPr>
        <w:tabs>
          <w:tab w:val="num" w:pos="4320"/>
        </w:tabs>
        <w:ind w:left="4320" w:hanging="360"/>
      </w:pPr>
      <w:rPr>
        <w:rFonts w:ascii="Arial" w:hAnsi="Arial" w:hint="default"/>
      </w:rPr>
    </w:lvl>
    <w:lvl w:ilvl="6" w:tplc="3E0A88F4" w:tentative="1">
      <w:start w:val="1"/>
      <w:numFmt w:val="bullet"/>
      <w:lvlText w:val="•"/>
      <w:lvlJc w:val="left"/>
      <w:pPr>
        <w:tabs>
          <w:tab w:val="num" w:pos="5040"/>
        </w:tabs>
        <w:ind w:left="5040" w:hanging="360"/>
      </w:pPr>
      <w:rPr>
        <w:rFonts w:ascii="Arial" w:hAnsi="Arial" w:hint="default"/>
      </w:rPr>
    </w:lvl>
    <w:lvl w:ilvl="7" w:tplc="9C5857D8" w:tentative="1">
      <w:start w:val="1"/>
      <w:numFmt w:val="bullet"/>
      <w:lvlText w:val="•"/>
      <w:lvlJc w:val="left"/>
      <w:pPr>
        <w:tabs>
          <w:tab w:val="num" w:pos="5760"/>
        </w:tabs>
        <w:ind w:left="5760" w:hanging="360"/>
      </w:pPr>
      <w:rPr>
        <w:rFonts w:ascii="Arial" w:hAnsi="Arial" w:hint="default"/>
      </w:rPr>
    </w:lvl>
    <w:lvl w:ilvl="8" w:tplc="8A16ED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BC02C4"/>
    <w:multiLevelType w:val="hybridMultilevel"/>
    <w:tmpl w:val="A830A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46AD7"/>
    <w:multiLevelType w:val="hybridMultilevel"/>
    <w:tmpl w:val="BC12B112"/>
    <w:lvl w:ilvl="0" w:tplc="782CAE1A">
      <w:start w:val="1"/>
      <w:numFmt w:val="bullet"/>
      <w:pStyle w:val="ListParagraph"/>
      <w:lvlText w:val=""/>
      <w:lvlJc w:val="left"/>
      <w:pPr>
        <w:ind w:left="1440" w:hanging="360"/>
      </w:pPr>
      <w:rPr>
        <w:rFonts w:ascii="Symbol" w:hAnsi="Symbol" w:hint="default"/>
        <w:color w:val="auto"/>
      </w:rPr>
    </w:lvl>
    <w:lvl w:ilvl="1" w:tplc="D6C869E8">
      <w:numFmt w:val="bullet"/>
      <w:lvlText w:val="•"/>
      <w:lvlJc w:val="left"/>
      <w:pPr>
        <w:ind w:left="2520" w:hanging="720"/>
      </w:pPr>
      <w:rPr>
        <w:rFonts w:ascii="Calibri" w:eastAsia="Times New Roman"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0514AB0"/>
    <w:multiLevelType w:val="hybridMultilevel"/>
    <w:tmpl w:val="F4445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CB4623"/>
    <w:multiLevelType w:val="hybridMultilevel"/>
    <w:tmpl w:val="04E63C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E8A74ED"/>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01317"/>
    <w:multiLevelType w:val="hybridMultilevel"/>
    <w:tmpl w:val="FF7A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EE34EB"/>
    <w:multiLevelType w:val="hybridMultilevel"/>
    <w:tmpl w:val="CF36C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483811"/>
    <w:multiLevelType w:val="hybridMultilevel"/>
    <w:tmpl w:val="61C2DBEE"/>
    <w:lvl w:ilvl="0" w:tplc="D2D0119C">
      <w:start w:val="1"/>
      <w:numFmt w:val="bullet"/>
      <w:lvlText w:val="•"/>
      <w:lvlJc w:val="left"/>
      <w:pPr>
        <w:tabs>
          <w:tab w:val="num" w:pos="720"/>
        </w:tabs>
        <w:ind w:left="720" w:hanging="360"/>
      </w:pPr>
      <w:rPr>
        <w:rFonts w:ascii="Arial" w:hAnsi="Arial" w:hint="default"/>
      </w:rPr>
    </w:lvl>
    <w:lvl w:ilvl="1" w:tplc="FF3EAACE">
      <w:numFmt w:val="bullet"/>
      <w:lvlText w:val="o"/>
      <w:lvlJc w:val="left"/>
      <w:pPr>
        <w:tabs>
          <w:tab w:val="num" w:pos="1440"/>
        </w:tabs>
        <w:ind w:left="1440" w:hanging="360"/>
      </w:pPr>
      <w:rPr>
        <w:rFonts w:ascii="Courier New" w:hAnsi="Courier New" w:hint="default"/>
      </w:rPr>
    </w:lvl>
    <w:lvl w:ilvl="2" w:tplc="1D8E4A02" w:tentative="1">
      <w:start w:val="1"/>
      <w:numFmt w:val="bullet"/>
      <w:lvlText w:val="•"/>
      <w:lvlJc w:val="left"/>
      <w:pPr>
        <w:tabs>
          <w:tab w:val="num" w:pos="2160"/>
        </w:tabs>
        <w:ind w:left="2160" w:hanging="360"/>
      </w:pPr>
      <w:rPr>
        <w:rFonts w:ascii="Arial" w:hAnsi="Arial" w:hint="default"/>
      </w:rPr>
    </w:lvl>
    <w:lvl w:ilvl="3" w:tplc="B76E64EA" w:tentative="1">
      <w:start w:val="1"/>
      <w:numFmt w:val="bullet"/>
      <w:lvlText w:val="•"/>
      <w:lvlJc w:val="left"/>
      <w:pPr>
        <w:tabs>
          <w:tab w:val="num" w:pos="2880"/>
        </w:tabs>
        <w:ind w:left="2880" w:hanging="360"/>
      </w:pPr>
      <w:rPr>
        <w:rFonts w:ascii="Arial" w:hAnsi="Arial" w:hint="default"/>
      </w:rPr>
    </w:lvl>
    <w:lvl w:ilvl="4" w:tplc="BA667C0C" w:tentative="1">
      <w:start w:val="1"/>
      <w:numFmt w:val="bullet"/>
      <w:lvlText w:val="•"/>
      <w:lvlJc w:val="left"/>
      <w:pPr>
        <w:tabs>
          <w:tab w:val="num" w:pos="3600"/>
        </w:tabs>
        <w:ind w:left="3600" w:hanging="360"/>
      </w:pPr>
      <w:rPr>
        <w:rFonts w:ascii="Arial" w:hAnsi="Arial" w:hint="default"/>
      </w:rPr>
    </w:lvl>
    <w:lvl w:ilvl="5" w:tplc="75CC76E0" w:tentative="1">
      <w:start w:val="1"/>
      <w:numFmt w:val="bullet"/>
      <w:lvlText w:val="•"/>
      <w:lvlJc w:val="left"/>
      <w:pPr>
        <w:tabs>
          <w:tab w:val="num" w:pos="4320"/>
        </w:tabs>
        <w:ind w:left="4320" w:hanging="360"/>
      </w:pPr>
      <w:rPr>
        <w:rFonts w:ascii="Arial" w:hAnsi="Arial" w:hint="default"/>
      </w:rPr>
    </w:lvl>
    <w:lvl w:ilvl="6" w:tplc="0CB2896C" w:tentative="1">
      <w:start w:val="1"/>
      <w:numFmt w:val="bullet"/>
      <w:lvlText w:val="•"/>
      <w:lvlJc w:val="left"/>
      <w:pPr>
        <w:tabs>
          <w:tab w:val="num" w:pos="5040"/>
        </w:tabs>
        <w:ind w:left="5040" w:hanging="360"/>
      </w:pPr>
      <w:rPr>
        <w:rFonts w:ascii="Arial" w:hAnsi="Arial" w:hint="default"/>
      </w:rPr>
    </w:lvl>
    <w:lvl w:ilvl="7" w:tplc="909E5FAA" w:tentative="1">
      <w:start w:val="1"/>
      <w:numFmt w:val="bullet"/>
      <w:lvlText w:val="•"/>
      <w:lvlJc w:val="left"/>
      <w:pPr>
        <w:tabs>
          <w:tab w:val="num" w:pos="5760"/>
        </w:tabs>
        <w:ind w:left="5760" w:hanging="360"/>
      </w:pPr>
      <w:rPr>
        <w:rFonts w:ascii="Arial" w:hAnsi="Arial" w:hint="default"/>
      </w:rPr>
    </w:lvl>
    <w:lvl w:ilvl="8" w:tplc="7708D6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2B250D"/>
    <w:multiLevelType w:val="hybridMultilevel"/>
    <w:tmpl w:val="4BBCFC30"/>
    <w:lvl w:ilvl="0" w:tplc="74C06604">
      <w:start w:val="1"/>
      <w:numFmt w:val="bullet"/>
      <w:lvlText w:val="o"/>
      <w:lvlJc w:val="left"/>
      <w:pPr>
        <w:tabs>
          <w:tab w:val="num" w:pos="720"/>
        </w:tabs>
        <w:ind w:left="720" w:hanging="360"/>
      </w:pPr>
      <w:rPr>
        <w:rFonts w:ascii="Courier New" w:hAnsi="Courier New" w:hint="default"/>
      </w:rPr>
    </w:lvl>
    <w:lvl w:ilvl="1" w:tplc="FE0A592E">
      <w:start w:val="1"/>
      <w:numFmt w:val="bullet"/>
      <w:lvlText w:val="o"/>
      <w:lvlJc w:val="left"/>
      <w:pPr>
        <w:tabs>
          <w:tab w:val="num" w:pos="1440"/>
        </w:tabs>
        <w:ind w:left="1440" w:hanging="360"/>
      </w:pPr>
      <w:rPr>
        <w:rFonts w:ascii="Courier New" w:hAnsi="Courier New" w:hint="default"/>
      </w:rPr>
    </w:lvl>
    <w:lvl w:ilvl="2" w:tplc="B8788456" w:tentative="1">
      <w:start w:val="1"/>
      <w:numFmt w:val="bullet"/>
      <w:lvlText w:val="o"/>
      <w:lvlJc w:val="left"/>
      <w:pPr>
        <w:tabs>
          <w:tab w:val="num" w:pos="2160"/>
        </w:tabs>
        <w:ind w:left="2160" w:hanging="360"/>
      </w:pPr>
      <w:rPr>
        <w:rFonts w:ascii="Courier New" w:hAnsi="Courier New" w:hint="default"/>
      </w:rPr>
    </w:lvl>
    <w:lvl w:ilvl="3" w:tplc="4E5C96CA" w:tentative="1">
      <w:start w:val="1"/>
      <w:numFmt w:val="bullet"/>
      <w:lvlText w:val="o"/>
      <w:lvlJc w:val="left"/>
      <w:pPr>
        <w:tabs>
          <w:tab w:val="num" w:pos="2880"/>
        </w:tabs>
        <w:ind w:left="2880" w:hanging="360"/>
      </w:pPr>
      <w:rPr>
        <w:rFonts w:ascii="Courier New" w:hAnsi="Courier New" w:hint="default"/>
      </w:rPr>
    </w:lvl>
    <w:lvl w:ilvl="4" w:tplc="3F6A57A8" w:tentative="1">
      <w:start w:val="1"/>
      <w:numFmt w:val="bullet"/>
      <w:lvlText w:val="o"/>
      <w:lvlJc w:val="left"/>
      <w:pPr>
        <w:tabs>
          <w:tab w:val="num" w:pos="3600"/>
        </w:tabs>
        <w:ind w:left="3600" w:hanging="360"/>
      </w:pPr>
      <w:rPr>
        <w:rFonts w:ascii="Courier New" w:hAnsi="Courier New" w:hint="default"/>
      </w:rPr>
    </w:lvl>
    <w:lvl w:ilvl="5" w:tplc="1D70DCB0" w:tentative="1">
      <w:start w:val="1"/>
      <w:numFmt w:val="bullet"/>
      <w:lvlText w:val="o"/>
      <w:lvlJc w:val="left"/>
      <w:pPr>
        <w:tabs>
          <w:tab w:val="num" w:pos="4320"/>
        </w:tabs>
        <w:ind w:left="4320" w:hanging="360"/>
      </w:pPr>
      <w:rPr>
        <w:rFonts w:ascii="Courier New" w:hAnsi="Courier New" w:hint="default"/>
      </w:rPr>
    </w:lvl>
    <w:lvl w:ilvl="6" w:tplc="FFD4EC22" w:tentative="1">
      <w:start w:val="1"/>
      <w:numFmt w:val="bullet"/>
      <w:lvlText w:val="o"/>
      <w:lvlJc w:val="left"/>
      <w:pPr>
        <w:tabs>
          <w:tab w:val="num" w:pos="5040"/>
        </w:tabs>
        <w:ind w:left="5040" w:hanging="360"/>
      </w:pPr>
      <w:rPr>
        <w:rFonts w:ascii="Courier New" w:hAnsi="Courier New" w:hint="default"/>
      </w:rPr>
    </w:lvl>
    <w:lvl w:ilvl="7" w:tplc="72989F68" w:tentative="1">
      <w:start w:val="1"/>
      <w:numFmt w:val="bullet"/>
      <w:lvlText w:val="o"/>
      <w:lvlJc w:val="left"/>
      <w:pPr>
        <w:tabs>
          <w:tab w:val="num" w:pos="5760"/>
        </w:tabs>
        <w:ind w:left="5760" w:hanging="360"/>
      </w:pPr>
      <w:rPr>
        <w:rFonts w:ascii="Courier New" w:hAnsi="Courier New" w:hint="default"/>
      </w:rPr>
    </w:lvl>
    <w:lvl w:ilvl="8" w:tplc="08642A78"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8B82BC3"/>
    <w:multiLevelType w:val="hybridMultilevel"/>
    <w:tmpl w:val="16E8479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4D033C"/>
    <w:multiLevelType w:val="multilevel"/>
    <w:tmpl w:val="B986D57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53672A"/>
    <w:multiLevelType w:val="hybridMultilevel"/>
    <w:tmpl w:val="A4B43658"/>
    <w:lvl w:ilvl="0" w:tplc="1788446E">
      <w:start w:val="1"/>
      <w:numFmt w:val="decimal"/>
      <w:lvlText w:val="%1."/>
      <w:lvlJc w:val="left"/>
      <w:pPr>
        <w:ind w:left="1440" w:hanging="360"/>
      </w:pPr>
      <w:rPr>
        <w:i/>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816186631">
    <w:abstractNumId w:val="34"/>
  </w:num>
  <w:num w:numId="2" w16cid:durableId="917793048">
    <w:abstractNumId w:val="23"/>
  </w:num>
  <w:num w:numId="3" w16cid:durableId="263461728">
    <w:abstractNumId w:val="0"/>
  </w:num>
  <w:num w:numId="4" w16cid:durableId="139346788">
    <w:abstractNumId w:val="35"/>
  </w:num>
  <w:num w:numId="5" w16cid:durableId="220360847">
    <w:abstractNumId w:val="31"/>
  </w:num>
  <w:num w:numId="6" w16cid:durableId="268196418">
    <w:abstractNumId w:val="19"/>
  </w:num>
  <w:num w:numId="7" w16cid:durableId="1048839230">
    <w:abstractNumId w:val="34"/>
  </w:num>
  <w:num w:numId="8" w16cid:durableId="1570725783">
    <w:abstractNumId w:val="7"/>
  </w:num>
  <w:num w:numId="9" w16cid:durableId="1300111269">
    <w:abstractNumId w:val="20"/>
  </w:num>
  <w:num w:numId="10" w16cid:durableId="1507749500">
    <w:abstractNumId w:val="25"/>
  </w:num>
  <w:num w:numId="11" w16cid:durableId="345137846">
    <w:abstractNumId w:val="21"/>
  </w:num>
  <w:num w:numId="12" w16cid:durableId="1028943592">
    <w:abstractNumId w:val="11"/>
  </w:num>
  <w:num w:numId="13" w16cid:durableId="198401109">
    <w:abstractNumId w:val="32"/>
  </w:num>
  <w:num w:numId="14" w16cid:durableId="1528980287">
    <w:abstractNumId w:val="18"/>
  </w:num>
  <w:num w:numId="15" w16cid:durableId="560167184">
    <w:abstractNumId w:val="12"/>
  </w:num>
  <w:num w:numId="16" w16cid:durableId="888690033">
    <w:abstractNumId w:val="36"/>
  </w:num>
  <w:num w:numId="17" w16cid:durableId="1553612852">
    <w:abstractNumId w:val="24"/>
  </w:num>
  <w:num w:numId="18" w16cid:durableId="989216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0116426">
    <w:abstractNumId w:val="5"/>
  </w:num>
  <w:num w:numId="20" w16cid:durableId="1573005167">
    <w:abstractNumId w:val="28"/>
  </w:num>
  <w:num w:numId="21" w16cid:durableId="408699874">
    <w:abstractNumId w:val="29"/>
  </w:num>
  <w:num w:numId="22" w16cid:durableId="1569418770">
    <w:abstractNumId w:val="6"/>
  </w:num>
  <w:num w:numId="23" w16cid:durableId="705176722">
    <w:abstractNumId w:val="1"/>
  </w:num>
  <w:num w:numId="24" w16cid:durableId="1926569401">
    <w:abstractNumId w:val="15"/>
  </w:num>
  <w:num w:numId="25" w16cid:durableId="1979457665">
    <w:abstractNumId w:val="17"/>
  </w:num>
  <w:num w:numId="26" w16cid:durableId="2038313566">
    <w:abstractNumId w:val="14"/>
  </w:num>
  <w:num w:numId="27" w16cid:durableId="12974431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7201">
    <w:abstractNumId w:val="33"/>
  </w:num>
  <w:num w:numId="29" w16cid:durableId="982664273">
    <w:abstractNumId w:val="10"/>
  </w:num>
  <w:num w:numId="30" w16cid:durableId="1648246191">
    <w:abstractNumId w:val="13"/>
  </w:num>
  <w:num w:numId="31" w16cid:durableId="484704940">
    <w:abstractNumId w:val="22"/>
  </w:num>
  <w:num w:numId="32" w16cid:durableId="799347776">
    <w:abstractNumId w:val="2"/>
  </w:num>
  <w:num w:numId="33" w16cid:durableId="1974603750">
    <w:abstractNumId w:val="8"/>
  </w:num>
  <w:num w:numId="34" w16cid:durableId="1435051595">
    <w:abstractNumId w:val="27"/>
  </w:num>
  <w:num w:numId="35" w16cid:durableId="877007222">
    <w:abstractNumId w:val="4"/>
  </w:num>
  <w:num w:numId="36" w16cid:durableId="2033460620">
    <w:abstractNumId w:val="9"/>
  </w:num>
  <w:num w:numId="37" w16cid:durableId="1683777389">
    <w:abstractNumId w:val="3"/>
  </w:num>
  <w:num w:numId="38" w16cid:durableId="232470365">
    <w:abstractNumId w:val="16"/>
  </w:num>
  <w:num w:numId="39" w16cid:durableId="667100585">
    <w:abstractNumId w:val="26"/>
  </w:num>
  <w:num w:numId="40" w16cid:durableId="7282658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69710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7348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numFmt w:val="lowerRoman"/>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5dpff98fzdf0e2zz2x25erzwv2ddrxf9av&quot;&gt;T-DXd COM 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6&lt;/item&gt;&lt;item&gt;37&lt;/item&gt;&lt;item&gt;38&lt;/item&gt;&lt;item&gt;39&lt;/item&gt;&lt;item&gt;40&lt;/item&gt;&lt;/record-ids&gt;&lt;/item&gt;&lt;/Libraries&gt;"/>
    <w:docVar w:name="EN.UseJSCitationFormat" w:val="False"/>
  </w:docVars>
  <w:rsids>
    <w:rsidRoot w:val="00E65E79"/>
    <w:rsid w:val="00000419"/>
    <w:rsid w:val="00000790"/>
    <w:rsid w:val="0000110B"/>
    <w:rsid w:val="00001434"/>
    <w:rsid w:val="00001645"/>
    <w:rsid w:val="000017C4"/>
    <w:rsid w:val="000018D6"/>
    <w:rsid w:val="00001C7D"/>
    <w:rsid w:val="00002184"/>
    <w:rsid w:val="00002282"/>
    <w:rsid w:val="000024C8"/>
    <w:rsid w:val="00002890"/>
    <w:rsid w:val="00003499"/>
    <w:rsid w:val="000039B7"/>
    <w:rsid w:val="00003EB4"/>
    <w:rsid w:val="00004218"/>
    <w:rsid w:val="000048D5"/>
    <w:rsid w:val="00005282"/>
    <w:rsid w:val="0000528F"/>
    <w:rsid w:val="0000539D"/>
    <w:rsid w:val="000053C8"/>
    <w:rsid w:val="000056B9"/>
    <w:rsid w:val="0000588D"/>
    <w:rsid w:val="0000639A"/>
    <w:rsid w:val="00006459"/>
    <w:rsid w:val="000065FC"/>
    <w:rsid w:val="000067E6"/>
    <w:rsid w:val="000069F3"/>
    <w:rsid w:val="00006A97"/>
    <w:rsid w:val="0000757D"/>
    <w:rsid w:val="00007A2E"/>
    <w:rsid w:val="00007AD6"/>
    <w:rsid w:val="00007CD2"/>
    <w:rsid w:val="00010762"/>
    <w:rsid w:val="00010C4F"/>
    <w:rsid w:val="000127A4"/>
    <w:rsid w:val="00012F27"/>
    <w:rsid w:val="00013247"/>
    <w:rsid w:val="000138E1"/>
    <w:rsid w:val="00013A9C"/>
    <w:rsid w:val="00013CC6"/>
    <w:rsid w:val="000147F0"/>
    <w:rsid w:val="00015886"/>
    <w:rsid w:val="000158DE"/>
    <w:rsid w:val="00015926"/>
    <w:rsid w:val="000162EF"/>
    <w:rsid w:val="0001668A"/>
    <w:rsid w:val="00017659"/>
    <w:rsid w:val="000207C9"/>
    <w:rsid w:val="00020997"/>
    <w:rsid w:val="00020BD6"/>
    <w:rsid w:val="00021790"/>
    <w:rsid w:val="000218EA"/>
    <w:rsid w:val="00021CEC"/>
    <w:rsid w:val="00022037"/>
    <w:rsid w:val="000221F2"/>
    <w:rsid w:val="0002225F"/>
    <w:rsid w:val="0002284B"/>
    <w:rsid w:val="0002298E"/>
    <w:rsid w:val="00023244"/>
    <w:rsid w:val="00023763"/>
    <w:rsid w:val="00024EB5"/>
    <w:rsid w:val="00024FF1"/>
    <w:rsid w:val="00025A55"/>
    <w:rsid w:val="00025D5C"/>
    <w:rsid w:val="00026452"/>
    <w:rsid w:val="000265E2"/>
    <w:rsid w:val="00026B85"/>
    <w:rsid w:val="00027111"/>
    <w:rsid w:val="00027144"/>
    <w:rsid w:val="000273C2"/>
    <w:rsid w:val="000274B8"/>
    <w:rsid w:val="00027539"/>
    <w:rsid w:val="00027E06"/>
    <w:rsid w:val="00030087"/>
    <w:rsid w:val="0003042F"/>
    <w:rsid w:val="00030D87"/>
    <w:rsid w:val="00030DDA"/>
    <w:rsid w:val="00031DCB"/>
    <w:rsid w:val="00032055"/>
    <w:rsid w:val="000328CA"/>
    <w:rsid w:val="00032B77"/>
    <w:rsid w:val="00032D13"/>
    <w:rsid w:val="00033497"/>
    <w:rsid w:val="00033863"/>
    <w:rsid w:val="000339B2"/>
    <w:rsid w:val="000339F6"/>
    <w:rsid w:val="00034500"/>
    <w:rsid w:val="0003555F"/>
    <w:rsid w:val="0003572E"/>
    <w:rsid w:val="0003594B"/>
    <w:rsid w:val="00035C6F"/>
    <w:rsid w:val="00035C74"/>
    <w:rsid w:val="00035DC0"/>
    <w:rsid w:val="00035FDE"/>
    <w:rsid w:val="00036829"/>
    <w:rsid w:val="0003701D"/>
    <w:rsid w:val="0003748A"/>
    <w:rsid w:val="00037843"/>
    <w:rsid w:val="00040895"/>
    <w:rsid w:val="000410A0"/>
    <w:rsid w:val="00042791"/>
    <w:rsid w:val="000427BB"/>
    <w:rsid w:val="0004301F"/>
    <w:rsid w:val="000435EE"/>
    <w:rsid w:val="00043AD6"/>
    <w:rsid w:val="00043BD4"/>
    <w:rsid w:val="00043C37"/>
    <w:rsid w:val="0004451B"/>
    <w:rsid w:val="00044B0B"/>
    <w:rsid w:val="00045017"/>
    <w:rsid w:val="000453F8"/>
    <w:rsid w:val="000457C3"/>
    <w:rsid w:val="00045A2B"/>
    <w:rsid w:val="0004698F"/>
    <w:rsid w:val="00046D64"/>
    <w:rsid w:val="000470EB"/>
    <w:rsid w:val="00047261"/>
    <w:rsid w:val="000508C2"/>
    <w:rsid w:val="00050CC3"/>
    <w:rsid w:val="0005112F"/>
    <w:rsid w:val="0005115D"/>
    <w:rsid w:val="00051D70"/>
    <w:rsid w:val="0005239A"/>
    <w:rsid w:val="00052C10"/>
    <w:rsid w:val="00053141"/>
    <w:rsid w:val="000539D0"/>
    <w:rsid w:val="00053AAC"/>
    <w:rsid w:val="00053EF7"/>
    <w:rsid w:val="0005420C"/>
    <w:rsid w:val="00054275"/>
    <w:rsid w:val="00054361"/>
    <w:rsid w:val="00054621"/>
    <w:rsid w:val="000546D7"/>
    <w:rsid w:val="000546DB"/>
    <w:rsid w:val="00054826"/>
    <w:rsid w:val="00054A8D"/>
    <w:rsid w:val="00054B2B"/>
    <w:rsid w:val="00054CAE"/>
    <w:rsid w:val="000551CA"/>
    <w:rsid w:val="0005568F"/>
    <w:rsid w:val="000559F1"/>
    <w:rsid w:val="00056A7A"/>
    <w:rsid w:val="00056ECF"/>
    <w:rsid w:val="00056ED5"/>
    <w:rsid w:val="0005734A"/>
    <w:rsid w:val="00057465"/>
    <w:rsid w:val="00057B16"/>
    <w:rsid w:val="00057C40"/>
    <w:rsid w:val="0006003C"/>
    <w:rsid w:val="000602CC"/>
    <w:rsid w:val="000604DF"/>
    <w:rsid w:val="000606D5"/>
    <w:rsid w:val="00060782"/>
    <w:rsid w:val="000607B7"/>
    <w:rsid w:val="00060892"/>
    <w:rsid w:val="00060AC5"/>
    <w:rsid w:val="00060B4C"/>
    <w:rsid w:val="00061D7B"/>
    <w:rsid w:val="00062324"/>
    <w:rsid w:val="00062743"/>
    <w:rsid w:val="00062D38"/>
    <w:rsid w:val="00062DC6"/>
    <w:rsid w:val="00062E5A"/>
    <w:rsid w:val="00062F58"/>
    <w:rsid w:val="00063136"/>
    <w:rsid w:val="00063851"/>
    <w:rsid w:val="000643C2"/>
    <w:rsid w:val="00064F18"/>
    <w:rsid w:val="0006520A"/>
    <w:rsid w:val="000653B5"/>
    <w:rsid w:val="000656D1"/>
    <w:rsid w:val="00066360"/>
    <w:rsid w:val="00066AF8"/>
    <w:rsid w:val="00066E4A"/>
    <w:rsid w:val="00066FBF"/>
    <w:rsid w:val="00067C1B"/>
    <w:rsid w:val="000702CD"/>
    <w:rsid w:val="00070C6D"/>
    <w:rsid w:val="00071248"/>
    <w:rsid w:val="000716A6"/>
    <w:rsid w:val="000720B9"/>
    <w:rsid w:val="0007270E"/>
    <w:rsid w:val="00072A34"/>
    <w:rsid w:val="00072AF0"/>
    <w:rsid w:val="0007334C"/>
    <w:rsid w:val="00073561"/>
    <w:rsid w:val="000737F7"/>
    <w:rsid w:val="00074515"/>
    <w:rsid w:val="00074BBC"/>
    <w:rsid w:val="00074D2D"/>
    <w:rsid w:val="000758FF"/>
    <w:rsid w:val="00075A6A"/>
    <w:rsid w:val="00075F72"/>
    <w:rsid w:val="0007672F"/>
    <w:rsid w:val="00076B54"/>
    <w:rsid w:val="00076DAA"/>
    <w:rsid w:val="0007724C"/>
    <w:rsid w:val="000774F0"/>
    <w:rsid w:val="00080755"/>
    <w:rsid w:val="00080909"/>
    <w:rsid w:val="000812CA"/>
    <w:rsid w:val="000813FF"/>
    <w:rsid w:val="0008193C"/>
    <w:rsid w:val="00081942"/>
    <w:rsid w:val="00081E63"/>
    <w:rsid w:val="00081E99"/>
    <w:rsid w:val="00081F70"/>
    <w:rsid w:val="00081FC3"/>
    <w:rsid w:val="0008214E"/>
    <w:rsid w:val="00082487"/>
    <w:rsid w:val="0008258D"/>
    <w:rsid w:val="0008264F"/>
    <w:rsid w:val="0008369E"/>
    <w:rsid w:val="000839D9"/>
    <w:rsid w:val="00083E99"/>
    <w:rsid w:val="00084053"/>
    <w:rsid w:val="000841E6"/>
    <w:rsid w:val="00084385"/>
    <w:rsid w:val="00084EA9"/>
    <w:rsid w:val="00084FA8"/>
    <w:rsid w:val="00085018"/>
    <w:rsid w:val="0008514A"/>
    <w:rsid w:val="000852F5"/>
    <w:rsid w:val="000856C5"/>
    <w:rsid w:val="00085C31"/>
    <w:rsid w:val="000865B0"/>
    <w:rsid w:val="000868AF"/>
    <w:rsid w:val="000868BE"/>
    <w:rsid w:val="00086DC2"/>
    <w:rsid w:val="000902D9"/>
    <w:rsid w:val="00090C7E"/>
    <w:rsid w:val="00090F9F"/>
    <w:rsid w:val="000911AC"/>
    <w:rsid w:val="000914D6"/>
    <w:rsid w:val="00091FF6"/>
    <w:rsid w:val="000921C1"/>
    <w:rsid w:val="00092600"/>
    <w:rsid w:val="0009262B"/>
    <w:rsid w:val="00092CA7"/>
    <w:rsid w:val="000931B3"/>
    <w:rsid w:val="00093310"/>
    <w:rsid w:val="00093671"/>
    <w:rsid w:val="00093A87"/>
    <w:rsid w:val="00093C86"/>
    <w:rsid w:val="00093D16"/>
    <w:rsid w:val="00093E33"/>
    <w:rsid w:val="000942F1"/>
    <w:rsid w:val="0009445C"/>
    <w:rsid w:val="000945BD"/>
    <w:rsid w:val="00094754"/>
    <w:rsid w:val="00094784"/>
    <w:rsid w:val="000949A5"/>
    <w:rsid w:val="00094EAD"/>
    <w:rsid w:val="00094F69"/>
    <w:rsid w:val="00095024"/>
    <w:rsid w:val="00095155"/>
    <w:rsid w:val="00095200"/>
    <w:rsid w:val="000952C9"/>
    <w:rsid w:val="00095AD3"/>
    <w:rsid w:val="00095FE5"/>
    <w:rsid w:val="00096181"/>
    <w:rsid w:val="00096284"/>
    <w:rsid w:val="00096683"/>
    <w:rsid w:val="000967C7"/>
    <w:rsid w:val="0009695E"/>
    <w:rsid w:val="00096F49"/>
    <w:rsid w:val="000977CC"/>
    <w:rsid w:val="000978AC"/>
    <w:rsid w:val="00097C36"/>
    <w:rsid w:val="000A00EA"/>
    <w:rsid w:val="000A059A"/>
    <w:rsid w:val="000A0A00"/>
    <w:rsid w:val="000A0C6B"/>
    <w:rsid w:val="000A1443"/>
    <w:rsid w:val="000A1A64"/>
    <w:rsid w:val="000A1BC0"/>
    <w:rsid w:val="000A24A1"/>
    <w:rsid w:val="000A2785"/>
    <w:rsid w:val="000A2EF6"/>
    <w:rsid w:val="000A2F9E"/>
    <w:rsid w:val="000A3289"/>
    <w:rsid w:val="000A3452"/>
    <w:rsid w:val="000A3B9E"/>
    <w:rsid w:val="000A3E47"/>
    <w:rsid w:val="000A44D9"/>
    <w:rsid w:val="000A4533"/>
    <w:rsid w:val="000A45A6"/>
    <w:rsid w:val="000A4626"/>
    <w:rsid w:val="000A4AEA"/>
    <w:rsid w:val="000A522B"/>
    <w:rsid w:val="000A545E"/>
    <w:rsid w:val="000A588A"/>
    <w:rsid w:val="000A6039"/>
    <w:rsid w:val="000A6496"/>
    <w:rsid w:val="000A6796"/>
    <w:rsid w:val="000A7453"/>
    <w:rsid w:val="000A757F"/>
    <w:rsid w:val="000A7D08"/>
    <w:rsid w:val="000B0121"/>
    <w:rsid w:val="000B0182"/>
    <w:rsid w:val="000B0608"/>
    <w:rsid w:val="000B0670"/>
    <w:rsid w:val="000B0BCD"/>
    <w:rsid w:val="000B0D0A"/>
    <w:rsid w:val="000B0E08"/>
    <w:rsid w:val="000B0E75"/>
    <w:rsid w:val="000B0FEA"/>
    <w:rsid w:val="000B1BBB"/>
    <w:rsid w:val="000B2DCB"/>
    <w:rsid w:val="000B3360"/>
    <w:rsid w:val="000B38E8"/>
    <w:rsid w:val="000B3979"/>
    <w:rsid w:val="000B4168"/>
    <w:rsid w:val="000B5288"/>
    <w:rsid w:val="000B52B8"/>
    <w:rsid w:val="000B5CE0"/>
    <w:rsid w:val="000B5CFC"/>
    <w:rsid w:val="000B66E1"/>
    <w:rsid w:val="000B6CAC"/>
    <w:rsid w:val="000B6FEA"/>
    <w:rsid w:val="000B73AB"/>
    <w:rsid w:val="000B7612"/>
    <w:rsid w:val="000B78AE"/>
    <w:rsid w:val="000B7B62"/>
    <w:rsid w:val="000B7C45"/>
    <w:rsid w:val="000B7C8C"/>
    <w:rsid w:val="000C02E6"/>
    <w:rsid w:val="000C0332"/>
    <w:rsid w:val="000C0618"/>
    <w:rsid w:val="000C0C72"/>
    <w:rsid w:val="000C1096"/>
    <w:rsid w:val="000C11EC"/>
    <w:rsid w:val="000C129B"/>
    <w:rsid w:val="000C1BDB"/>
    <w:rsid w:val="000C2019"/>
    <w:rsid w:val="000C25F1"/>
    <w:rsid w:val="000C2A88"/>
    <w:rsid w:val="000C2F9B"/>
    <w:rsid w:val="000C3703"/>
    <w:rsid w:val="000C39BE"/>
    <w:rsid w:val="000C3C8A"/>
    <w:rsid w:val="000C3DF9"/>
    <w:rsid w:val="000C46F2"/>
    <w:rsid w:val="000C4906"/>
    <w:rsid w:val="000C4CF2"/>
    <w:rsid w:val="000C5370"/>
    <w:rsid w:val="000C5E91"/>
    <w:rsid w:val="000C636E"/>
    <w:rsid w:val="000C665A"/>
    <w:rsid w:val="000C6713"/>
    <w:rsid w:val="000C6923"/>
    <w:rsid w:val="000C7611"/>
    <w:rsid w:val="000C7943"/>
    <w:rsid w:val="000D0187"/>
    <w:rsid w:val="000D0311"/>
    <w:rsid w:val="000D04C3"/>
    <w:rsid w:val="000D0682"/>
    <w:rsid w:val="000D0948"/>
    <w:rsid w:val="000D0D1E"/>
    <w:rsid w:val="000D1455"/>
    <w:rsid w:val="000D167E"/>
    <w:rsid w:val="000D16CF"/>
    <w:rsid w:val="000D16FD"/>
    <w:rsid w:val="000D18FA"/>
    <w:rsid w:val="000D1BFC"/>
    <w:rsid w:val="000D1D5D"/>
    <w:rsid w:val="000D1F91"/>
    <w:rsid w:val="000D2586"/>
    <w:rsid w:val="000D26E2"/>
    <w:rsid w:val="000D272B"/>
    <w:rsid w:val="000D27CC"/>
    <w:rsid w:val="000D281A"/>
    <w:rsid w:val="000D2848"/>
    <w:rsid w:val="000D2A18"/>
    <w:rsid w:val="000D326A"/>
    <w:rsid w:val="000D3443"/>
    <w:rsid w:val="000D35C2"/>
    <w:rsid w:val="000D3E5B"/>
    <w:rsid w:val="000D4719"/>
    <w:rsid w:val="000D51FB"/>
    <w:rsid w:val="000D557C"/>
    <w:rsid w:val="000D55B9"/>
    <w:rsid w:val="000D5606"/>
    <w:rsid w:val="000D5D84"/>
    <w:rsid w:val="000D5FA9"/>
    <w:rsid w:val="000D691D"/>
    <w:rsid w:val="000D69BB"/>
    <w:rsid w:val="000D6C49"/>
    <w:rsid w:val="000D6C9E"/>
    <w:rsid w:val="000D7630"/>
    <w:rsid w:val="000D7908"/>
    <w:rsid w:val="000E0255"/>
    <w:rsid w:val="000E042D"/>
    <w:rsid w:val="000E058B"/>
    <w:rsid w:val="000E0640"/>
    <w:rsid w:val="000E0B97"/>
    <w:rsid w:val="000E135D"/>
    <w:rsid w:val="000E1CA7"/>
    <w:rsid w:val="000E1D59"/>
    <w:rsid w:val="000E223F"/>
    <w:rsid w:val="000E2518"/>
    <w:rsid w:val="000E2B82"/>
    <w:rsid w:val="000E3390"/>
    <w:rsid w:val="000E35A1"/>
    <w:rsid w:val="000E3820"/>
    <w:rsid w:val="000E4165"/>
    <w:rsid w:val="000E4DCC"/>
    <w:rsid w:val="000E502B"/>
    <w:rsid w:val="000E5B8A"/>
    <w:rsid w:val="000E5E93"/>
    <w:rsid w:val="000E5F24"/>
    <w:rsid w:val="000E5F31"/>
    <w:rsid w:val="000E6122"/>
    <w:rsid w:val="000E6196"/>
    <w:rsid w:val="000E6431"/>
    <w:rsid w:val="000E646B"/>
    <w:rsid w:val="000E67C3"/>
    <w:rsid w:val="000E6897"/>
    <w:rsid w:val="000E6DE2"/>
    <w:rsid w:val="000E6FBD"/>
    <w:rsid w:val="000E758C"/>
    <w:rsid w:val="000E78C1"/>
    <w:rsid w:val="000E79EB"/>
    <w:rsid w:val="000E7D3D"/>
    <w:rsid w:val="000E7F62"/>
    <w:rsid w:val="000F00BA"/>
    <w:rsid w:val="000F0233"/>
    <w:rsid w:val="000F1664"/>
    <w:rsid w:val="000F184D"/>
    <w:rsid w:val="000F1B8E"/>
    <w:rsid w:val="000F1F6D"/>
    <w:rsid w:val="000F24D7"/>
    <w:rsid w:val="000F265B"/>
    <w:rsid w:val="000F30FD"/>
    <w:rsid w:val="000F316A"/>
    <w:rsid w:val="000F3C74"/>
    <w:rsid w:val="000F3E1E"/>
    <w:rsid w:val="000F470F"/>
    <w:rsid w:val="000F4BB8"/>
    <w:rsid w:val="000F4C2A"/>
    <w:rsid w:val="000F4F9D"/>
    <w:rsid w:val="000F4FA9"/>
    <w:rsid w:val="000F53FB"/>
    <w:rsid w:val="000F555A"/>
    <w:rsid w:val="000F5F05"/>
    <w:rsid w:val="000F60FC"/>
    <w:rsid w:val="000F6182"/>
    <w:rsid w:val="000F7127"/>
    <w:rsid w:val="000F7932"/>
    <w:rsid w:val="000F7B54"/>
    <w:rsid w:val="000F7D84"/>
    <w:rsid w:val="001000B3"/>
    <w:rsid w:val="00100184"/>
    <w:rsid w:val="00100477"/>
    <w:rsid w:val="0010057A"/>
    <w:rsid w:val="00100931"/>
    <w:rsid w:val="00100EF2"/>
    <w:rsid w:val="00100F63"/>
    <w:rsid w:val="00100F8A"/>
    <w:rsid w:val="001025A7"/>
    <w:rsid w:val="00102E1D"/>
    <w:rsid w:val="0010374E"/>
    <w:rsid w:val="001038CE"/>
    <w:rsid w:val="001042C0"/>
    <w:rsid w:val="0010452E"/>
    <w:rsid w:val="00104A4F"/>
    <w:rsid w:val="001051A4"/>
    <w:rsid w:val="00105242"/>
    <w:rsid w:val="00105AE2"/>
    <w:rsid w:val="001060C6"/>
    <w:rsid w:val="001065E4"/>
    <w:rsid w:val="00106B80"/>
    <w:rsid w:val="00106E76"/>
    <w:rsid w:val="00106FEB"/>
    <w:rsid w:val="0010770B"/>
    <w:rsid w:val="0010795E"/>
    <w:rsid w:val="00110079"/>
    <w:rsid w:val="001101C8"/>
    <w:rsid w:val="0011032E"/>
    <w:rsid w:val="001107D2"/>
    <w:rsid w:val="00110800"/>
    <w:rsid w:val="00110A42"/>
    <w:rsid w:val="00111639"/>
    <w:rsid w:val="0011176E"/>
    <w:rsid w:val="00111BCB"/>
    <w:rsid w:val="00111F8F"/>
    <w:rsid w:val="00112957"/>
    <w:rsid w:val="00112C05"/>
    <w:rsid w:val="00112CA3"/>
    <w:rsid w:val="00112ED8"/>
    <w:rsid w:val="0011348B"/>
    <w:rsid w:val="001135E2"/>
    <w:rsid w:val="00113A2E"/>
    <w:rsid w:val="00113C42"/>
    <w:rsid w:val="00114026"/>
    <w:rsid w:val="00114A73"/>
    <w:rsid w:val="0011506D"/>
    <w:rsid w:val="00115106"/>
    <w:rsid w:val="001151B5"/>
    <w:rsid w:val="0011581F"/>
    <w:rsid w:val="0011582B"/>
    <w:rsid w:val="00115982"/>
    <w:rsid w:val="0011624D"/>
    <w:rsid w:val="0011626B"/>
    <w:rsid w:val="001169C8"/>
    <w:rsid w:val="00116C53"/>
    <w:rsid w:val="001171D9"/>
    <w:rsid w:val="0011730B"/>
    <w:rsid w:val="00117E92"/>
    <w:rsid w:val="00120073"/>
    <w:rsid w:val="00120268"/>
    <w:rsid w:val="00120730"/>
    <w:rsid w:val="001208F4"/>
    <w:rsid w:val="00120A21"/>
    <w:rsid w:val="00120F62"/>
    <w:rsid w:val="001212F7"/>
    <w:rsid w:val="00121799"/>
    <w:rsid w:val="001221B5"/>
    <w:rsid w:val="00122297"/>
    <w:rsid w:val="001222FC"/>
    <w:rsid w:val="0012280A"/>
    <w:rsid w:val="001229A0"/>
    <w:rsid w:val="00122F4D"/>
    <w:rsid w:val="001231AA"/>
    <w:rsid w:val="00123615"/>
    <w:rsid w:val="00123902"/>
    <w:rsid w:val="001242C4"/>
    <w:rsid w:val="00124A51"/>
    <w:rsid w:val="00124CE6"/>
    <w:rsid w:val="00125176"/>
    <w:rsid w:val="001257E7"/>
    <w:rsid w:val="00125FBB"/>
    <w:rsid w:val="00126400"/>
    <w:rsid w:val="00126621"/>
    <w:rsid w:val="001269E9"/>
    <w:rsid w:val="00126A49"/>
    <w:rsid w:val="00126B1D"/>
    <w:rsid w:val="00126C94"/>
    <w:rsid w:val="00126F86"/>
    <w:rsid w:val="00127D84"/>
    <w:rsid w:val="00127FA4"/>
    <w:rsid w:val="001301E9"/>
    <w:rsid w:val="001304B6"/>
    <w:rsid w:val="00130B00"/>
    <w:rsid w:val="00130C67"/>
    <w:rsid w:val="0013106A"/>
    <w:rsid w:val="0013181E"/>
    <w:rsid w:val="00131D82"/>
    <w:rsid w:val="0013214C"/>
    <w:rsid w:val="00132208"/>
    <w:rsid w:val="001323B4"/>
    <w:rsid w:val="00132728"/>
    <w:rsid w:val="001327D2"/>
    <w:rsid w:val="00132B22"/>
    <w:rsid w:val="00133162"/>
    <w:rsid w:val="00133968"/>
    <w:rsid w:val="00133AAE"/>
    <w:rsid w:val="00133D36"/>
    <w:rsid w:val="00133D6D"/>
    <w:rsid w:val="00134195"/>
    <w:rsid w:val="00134320"/>
    <w:rsid w:val="00134931"/>
    <w:rsid w:val="001355E0"/>
    <w:rsid w:val="001359CC"/>
    <w:rsid w:val="00137051"/>
    <w:rsid w:val="001375D8"/>
    <w:rsid w:val="00137645"/>
    <w:rsid w:val="00137738"/>
    <w:rsid w:val="00137B6A"/>
    <w:rsid w:val="00137E75"/>
    <w:rsid w:val="00137F54"/>
    <w:rsid w:val="0014015A"/>
    <w:rsid w:val="0014099B"/>
    <w:rsid w:val="00140E99"/>
    <w:rsid w:val="00141036"/>
    <w:rsid w:val="0014109A"/>
    <w:rsid w:val="00141C41"/>
    <w:rsid w:val="00141C51"/>
    <w:rsid w:val="00141CD5"/>
    <w:rsid w:val="00141CDF"/>
    <w:rsid w:val="00142078"/>
    <w:rsid w:val="001422AD"/>
    <w:rsid w:val="00142802"/>
    <w:rsid w:val="00142822"/>
    <w:rsid w:val="00143988"/>
    <w:rsid w:val="001439F3"/>
    <w:rsid w:val="00143F67"/>
    <w:rsid w:val="001443A7"/>
    <w:rsid w:val="00144465"/>
    <w:rsid w:val="00144709"/>
    <w:rsid w:val="00144722"/>
    <w:rsid w:val="0014476B"/>
    <w:rsid w:val="00144DDA"/>
    <w:rsid w:val="00145234"/>
    <w:rsid w:val="00145265"/>
    <w:rsid w:val="00145540"/>
    <w:rsid w:val="001456B0"/>
    <w:rsid w:val="00145956"/>
    <w:rsid w:val="00145C2E"/>
    <w:rsid w:val="00145D1E"/>
    <w:rsid w:val="00145D76"/>
    <w:rsid w:val="00146236"/>
    <w:rsid w:val="001469FB"/>
    <w:rsid w:val="00146B40"/>
    <w:rsid w:val="00146D01"/>
    <w:rsid w:val="00147185"/>
    <w:rsid w:val="001473B5"/>
    <w:rsid w:val="001479E8"/>
    <w:rsid w:val="0015000C"/>
    <w:rsid w:val="00150740"/>
    <w:rsid w:val="0015083F"/>
    <w:rsid w:val="001509D8"/>
    <w:rsid w:val="00150EFD"/>
    <w:rsid w:val="0015112C"/>
    <w:rsid w:val="0015205A"/>
    <w:rsid w:val="00152322"/>
    <w:rsid w:val="00152432"/>
    <w:rsid w:val="00152A69"/>
    <w:rsid w:val="0015302D"/>
    <w:rsid w:val="0015318F"/>
    <w:rsid w:val="001538EB"/>
    <w:rsid w:val="00153E4F"/>
    <w:rsid w:val="00154004"/>
    <w:rsid w:val="00154722"/>
    <w:rsid w:val="001547AB"/>
    <w:rsid w:val="00154A07"/>
    <w:rsid w:val="00154ACC"/>
    <w:rsid w:val="00154F29"/>
    <w:rsid w:val="00154F63"/>
    <w:rsid w:val="001553EB"/>
    <w:rsid w:val="00155FF7"/>
    <w:rsid w:val="00156887"/>
    <w:rsid w:val="00156F1D"/>
    <w:rsid w:val="00156F8F"/>
    <w:rsid w:val="00157130"/>
    <w:rsid w:val="00157683"/>
    <w:rsid w:val="001576B1"/>
    <w:rsid w:val="00157933"/>
    <w:rsid w:val="00157B6E"/>
    <w:rsid w:val="00157C62"/>
    <w:rsid w:val="0016007D"/>
    <w:rsid w:val="001601B1"/>
    <w:rsid w:val="0016047B"/>
    <w:rsid w:val="00160588"/>
    <w:rsid w:val="00160759"/>
    <w:rsid w:val="00160A1C"/>
    <w:rsid w:val="00160A4C"/>
    <w:rsid w:val="00160BA3"/>
    <w:rsid w:val="00161397"/>
    <w:rsid w:val="0016177B"/>
    <w:rsid w:val="00161F06"/>
    <w:rsid w:val="001622BF"/>
    <w:rsid w:val="00162913"/>
    <w:rsid w:val="001638D3"/>
    <w:rsid w:val="00163EFF"/>
    <w:rsid w:val="00163F66"/>
    <w:rsid w:val="0016478E"/>
    <w:rsid w:val="0016522F"/>
    <w:rsid w:val="00165B37"/>
    <w:rsid w:val="00165EC4"/>
    <w:rsid w:val="001661FB"/>
    <w:rsid w:val="00166E0C"/>
    <w:rsid w:val="001671A0"/>
    <w:rsid w:val="001674C1"/>
    <w:rsid w:val="0016767A"/>
    <w:rsid w:val="0016767F"/>
    <w:rsid w:val="00167B90"/>
    <w:rsid w:val="00167D47"/>
    <w:rsid w:val="00170060"/>
    <w:rsid w:val="001701DD"/>
    <w:rsid w:val="00170C04"/>
    <w:rsid w:val="00170D5C"/>
    <w:rsid w:val="00171134"/>
    <w:rsid w:val="00171210"/>
    <w:rsid w:val="001718DF"/>
    <w:rsid w:val="00171B7A"/>
    <w:rsid w:val="00171C33"/>
    <w:rsid w:val="00171F0C"/>
    <w:rsid w:val="001720A5"/>
    <w:rsid w:val="001722D8"/>
    <w:rsid w:val="00172662"/>
    <w:rsid w:val="00172946"/>
    <w:rsid w:val="00173376"/>
    <w:rsid w:val="00173482"/>
    <w:rsid w:val="00173565"/>
    <w:rsid w:val="001736A6"/>
    <w:rsid w:val="00173989"/>
    <w:rsid w:val="00173A3F"/>
    <w:rsid w:val="00173B07"/>
    <w:rsid w:val="00173F6F"/>
    <w:rsid w:val="001742AD"/>
    <w:rsid w:val="001745C4"/>
    <w:rsid w:val="00174622"/>
    <w:rsid w:val="00174640"/>
    <w:rsid w:val="001746F4"/>
    <w:rsid w:val="00174949"/>
    <w:rsid w:val="00174F8B"/>
    <w:rsid w:val="001751FA"/>
    <w:rsid w:val="00175332"/>
    <w:rsid w:val="00175E85"/>
    <w:rsid w:val="00176306"/>
    <w:rsid w:val="00176341"/>
    <w:rsid w:val="0017642A"/>
    <w:rsid w:val="001765AF"/>
    <w:rsid w:val="00176729"/>
    <w:rsid w:val="0017696D"/>
    <w:rsid w:val="00177933"/>
    <w:rsid w:val="00177FA6"/>
    <w:rsid w:val="00180ACA"/>
    <w:rsid w:val="001810B6"/>
    <w:rsid w:val="00181C10"/>
    <w:rsid w:val="00181D9C"/>
    <w:rsid w:val="00182184"/>
    <w:rsid w:val="00182545"/>
    <w:rsid w:val="001837FF"/>
    <w:rsid w:val="00184A87"/>
    <w:rsid w:val="00184AFB"/>
    <w:rsid w:val="00184B0E"/>
    <w:rsid w:val="00186058"/>
    <w:rsid w:val="0018657A"/>
    <w:rsid w:val="001869C1"/>
    <w:rsid w:val="0018752F"/>
    <w:rsid w:val="001902C1"/>
    <w:rsid w:val="0019058D"/>
    <w:rsid w:val="00190BDE"/>
    <w:rsid w:val="0019131C"/>
    <w:rsid w:val="001914B3"/>
    <w:rsid w:val="00191934"/>
    <w:rsid w:val="00191C90"/>
    <w:rsid w:val="0019214C"/>
    <w:rsid w:val="00193238"/>
    <w:rsid w:val="0019341F"/>
    <w:rsid w:val="0019349F"/>
    <w:rsid w:val="001937E9"/>
    <w:rsid w:val="00193838"/>
    <w:rsid w:val="001946BC"/>
    <w:rsid w:val="0019479D"/>
    <w:rsid w:val="00194AD8"/>
    <w:rsid w:val="00195222"/>
    <w:rsid w:val="001952FE"/>
    <w:rsid w:val="00195452"/>
    <w:rsid w:val="001955BE"/>
    <w:rsid w:val="00195625"/>
    <w:rsid w:val="00195C54"/>
    <w:rsid w:val="00195D80"/>
    <w:rsid w:val="00195FDB"/>
    <w:rsid w:val="001965AD"/>
    <w:rsid w:val="00196E99"/>
    <w:rsid w:val="0019749A"/>
    <w:rsid w:val="001974B0"/>
    <w:rsid w:val="001975D8"/>
    <w:rsid w:val="00197715"/>
    <w:rsid w:val="00197A13"/>
    <w:rsid w:val="00197B69"/>
    <w:rsid w:val="001A0284"/>
    <w:rsid w:val="001A09D8"/>
    <w:rsid w:val="001A0EA3"/>
    <w:rsid w:val="001A1063"/>
    <w:rsid w:val="001A178E"/>
    <w:rsid w:val="001A2B55"/>
    <w:rsid w:val="001A2E7C"/>
    <w:rsid w:val="001A32A5"/>
    <w:rsid w:val="001A3465"/>
    <w:rsid w:val="001A423A"/>
    <w:rsid w:val="001A43FA"/>
    <w:rsid w:val="001A4412"/>
    <w:rsid w:val="001A47C5"/>
    <w:rsid w:val="001A47FC"/>
    <w:rsid w:val="001A5099"/>
    <w:rsid w:val="001A50C4"/>
    <w:rsid w:val="001A51FD"/>
    <w:rsid w:val="001A54FD"/>
    <w:rsid w:val="001A59FB"/>
    <w:rsid w:val="001A5E9E"/>
    <w:rsid w:val="001A60F6"/>
    <w:rsid w:val="001A61A0"/>
    <w:rsid w:val="001A6354"/>
    <w:rsid w:val="001A6366"/>
    <w:rsid w:val="001A6A54"/>
    <w:rsid w:val="001A6C4C"/>
    <w:rsid w:val="001A6DA1"/>
    <w:rsid w:val="001A7178"/>
    <w:rsid w:val="001A723C"/>
    <w:rsid w:val="001A75EA"/>
    <w:rsid w:val="001A792D"/>
    <w:rsid w:val="001A7AE8"/>
    <w:rsid w:val="001A7DA1"/>
    <w:rsid w:val="001A7F36"/>
    <w:rsid w:val="001B0034"/>
    <w:rsid w:val="001B0D34"/>
    <w:rsid w:val="001B15C5"/>
    <w:rsid w:val="001B1C39"/>
    <w:rsid w:val="001B2021"/>
    <w:rsid w:val="001B204E"/>
    <w:rsid w:val="001B22D6"/>
    <w:rsid w:val="001B2372"/>
    <w:rsid w:val="001B287E"/>
    <w:rsid w:val="001B29A7"/>
    <w:rsid w:val="001B3443"/>
    <w:rsid w:val="001B36E4"/>
    <w:rsid w:val="001B378F"/>
    <w:rsid w:val="001B3D98"/>
    <w:rsid w:val="001B3E2A"/>
    <w:rsid w:val="001B47A6"/>
    <w:rsid w:val="001B4D20"/>
    <w:rsid w:val="001B508B"/>
    <w:rsid w:val="001B5BB0"/>
    <w:rsid w:val="001B6015"/>
    <w:rsid w:val="001B6268"/>
    <w:rsid w:val="001B63F2"/>
    <w:rsid w:val="001B693C"/>
    <w:rsid w:val="001B69CB"/>
    <w:rsid w:val="001B6B33"/>
    <w:rsid w:val="001B6E63"/>
    <w:rsid w:val="001B7114"/>
    <w:rsid w:val="001B72D1"/>
    <w:rsid w:val="001B76AE"/>
    <w:rsid w:val="001B7F82"/>
    <w:rsid w:val="001B7F84"/>
    <w:rsid w:val="001C0A77"/>
    <w:rsid w:val="001C0EF3"/>
    <w:rsid w:val="001C22B5"/>
    <w:rsid w:val="001C238A"/>
    <w:rsid w:val="001C2948"/>
    <w:rsid w:val="001C2A9B"/>
    <w:rsid w:val="001C2C3D"/>
    <w:rsid w:val="001C3534"/>
    <w:rsid w:val="001C36DE"/>
    <w:rsid w:val="001C3C37"/>
    <w:rsid w:val="001C3DD6"/>
    <w:rsid w:val="001C3E76"/>
    <w:rsid w:val="001C4299"/>
    <w:rsid w:val="001C4874"/>
    <w:rsid w:val="001C4BC6"/>
    <w:rsid w:val="001C4C3C"/>
    <w:rsid w:val="001C5025"/>
    <w:rsid w:val="001C5875"/>
    <w:rsid w:val="001C5F94"/>
    <w:rsid w:val="001C6045"/>
    <w:rsid w:val="001C6D2E"/>
    <w:rsid w:val="001C6E66"/>
    <w:rsid w:val="001C70BF"/>
    <w:rsid w:val="001C72B1"/>
    <w:rsid w:val="001C79D6"/>
    <w:rsid w:val="001C7A01"/>
    <w:rsid w:val="001C7ED8"/>
    <w:rsid w:val="001D010D"/>
    <w:rsid w:val="001D07DD"/>
    <w:rsid w:val="001D0B8D"/>
    <w:rsid w:val="001D1100"/>
    <w:rsid w:val="001D1391"/>
    <w:rsid w:val="001D18C7"/>
    <w:rsid w:val="001D1D46"/>
    <w:rsid w:val="001D2204"/>
    <w:rsid w:val="001D25D7"/>
    <w:rsid w:val="001D2ADD"/>
    <w:rsid w:val="001D3A8D"/>
    <w:rsid w:val="001D443B"/>
    <w:rsid w:val="001D472B"/>
    <w:rsid w:val="001D4AC3"/>
    <w:rsid w:val="001D50B2"/>
    <w:rsid w:val="001D53C7"/>
    <w:rsid w:val="001D5BDA"/>
    <w:rsid w:val="001D6222"/>
    <w:rsid w:val="001D6786"/>
    <w:rsid w:val="001D71F4"/>
    <w:rsid w:val="001D7645"/>
    <w:rsid w:val="001E0384"/>
    <w:rsid w:val="001E1E86"/>
    <w:rsid w:val="001E1FEF"/>
    <w:rsid w:val="001E238A"/>
    <w:rsid w:val="001E238E"/>
    <w:rsid w:val="001E2451"/>
    <w:rsid w:val="001E2483"/>
    <w:rsid w:val="001E29F0"/>
    <w:rsid w:val="001E2B1E"/>
    <w:rsid w:val="001E2CFF"/>
    <w:rsid w:val="001E2F24"/>
    <w:rsid w:val="001E30D4"/>
    <w:rsid w:val="001E3491"/>
    <w:rsid w:val="001E34DF"/>
    <w:rsid w:val="001E52EB"/>
    <w:rsid w:val="001E5D24"/>
    <w:rsid w:val="001E5FAB"/>
    <w:rsid w:val="001E61D2"/>
    <w:rsid w:val="001E62C8"/>
    <w:rsid w:val="001E64ED"/>
    <w:rsid w:val="001E7093"/>
    <w:rsid w:val="001E740C"/>
    <w:rsid w:val="001E7505"/>
    <w:rsid w:val="001E7BF5"/>
    <w:rsid w:val="001F024B"/>
    <w:rsid w:val="001F0CFF"/>
    <w:rsid w:val="001F0F8A"/>
    <w:rsid w:val="001F1235"/>
    <w:rsid w:val="001F1493"/>
    <w:rsid w:val="001F1A0C"/>
    <w:rsid w:val="001F1CB3"/>
    <w:rsid w:val="001F226B"/>
    <w:rsid w:val="001F2517"/>
    <w:rsid w:val="001F271A"/>
    <w:rsid w:val="001F3093"/>
    <w:rsid w:val="001F3510"/>
    <w:rsid w:val="001F3731"/>
    <w:rsid w:val="001F383B"/>
    <w:rsid w:val="001F38B5"/>
    <w:rsid w:val="001F3EC6"/>
    <w:rsid w:val="001F4081"/>
    <w:rsid w:val="001F4474"/>
    <w:rsid w:val="001F44CB"/>
    <w:rsid w:val="001F5914"/>
    <w:rsid w:val="001F5B44"/>
    <w:rsid w:val="001F5C7F"/>
    <w:rsid w:val="001F5D26"/>
    <w:rsid w:val="001F5ED3"/>
    <w:rsid w:val="001F691B"/>
    <w:rsid w:val="001F6B42"/>
    <w:rsid w:val="001F7361"/>
    <w:rsid w:val="001F7745"/>
    <w:rsid w:val="002000F0"/>
    <w:rsid w:val="002002A5"/>
    <w:rsid w:val="00200416"/>
    <w:rsid w:val="00200489"/>
    <w:rsid w:val="0020053A"/>
    <w:rsid w:val="00200850"/>
    <w:rsid w:val="00200A85"/>
    <w:rsid w:val="002011B0"/>
    <w:rsid w:val="00201A6F"/>
    <w:rsid w:val="00201D7C"/>
    <w:rsid w:val="002021AF"/>
    <w:rsid w:val="00202E24"/>
    <w:rsid w:val="00202EB4"/>
    <w:rsid w:val="00203181"/>
    <w:rsid w:val="00203783"/>
    <w:rsid w:val="00203803"/>
    <w:rsid w:val="0020385F"/>
    <w:rsid w:val="00203AF2"/>
    <w:rsid w:val="0020431B"/>
    <w:rsid w:val="00204514"/>
    <w:rsid w:val="002051B4"/>
    <w:rsid w:val="0020563B"/>
    <w:rsid w:val="00205753"/>
    <w:rsid w:val="002057D2"/>
    <w:rsid w:val="002062F9"/>
    <w:rsid w:val="00206730"/>
    <w:rsid w:val="002068A0"/>
    <w:rsid w:val="00206A2D"/>
    <w:rsid w:val="00207021"/>
    <w:rsid w:val="0020718D"/>
    <w:rsid w:val="0020732F"/>
    <w:rsid w:val="00207498"/>
    <w:rsid w:val="002076C3"/>
    <w:rsid w:val="00207C35"/>
    <w:rsid w:val="00207D00"/>
    <w:rsid w:val="002105C1"/>
    <w:rsid w:val="002107C7"/>
    <w:rsid w:val="002108F7"/>
    <w:rsid w:val="00210A9A"/>
    <w:rsid w:val="002116FD"/>
    <w:rsid w:val="002123F2"/>
    <w:rsid w:val="002127E2"/>
    <w:rsid w:val="0021293C"/>
    <w:rsid w:val="00212D75"/>
    <w:rsid w:val="002130E4"/>
    <w:rsid w:val="00213199"/>
    <w:rsid w:val="00213C8D"/>
    <w:rsid w:val="00213EF5"/>
    <w:rsid w:val="002144FD"/>
    <w:rsid w:val="0021490C"/>
    <w:rsid w:val="00215A2F"/>
    <w:rsid w:val="00215E62"/>
    <w:rsid w:val="00216202"/>
    <w:rsid w:val="00216BF5"/>
    <w:rsid w:val="00216EDE"/>
    <w:rsid w:val="00217A8D"/>
    <w:rsid w:val="002205A2"/>
    <w:rsid w:val="002213A5"/>
    <w:rsid w:val="00221A01"/>
    <w:rsid w:val="00222354"/>
    <w:rsid w:val="00222456"/>
    <w:rsid w:val="002227E4"/>
    <w:rsid w:val="00222961"/>
    <w:rsid w:val="002236A0"/>
    <w:rsid w:val="00223817"/>
    <w:rsid w:val="002238E3"/>
    <w:rsid w:val="00223A56"/>
    <w:rsid w:val="00223B49"/>
    <w:rsid w:val="00223D5A"/>
    <w:rsid w:val="00224278"/>
    <w:rsid w:val="00224D99"/>
    <w:rsid w:val="00224DD4"/>
    <w:rsid w:val="0022508A"/>
    <w:rsid w:val="0022540A"/>
    <w:rsid w:val="002255DC"/>
    <w:rsid w:val="00225749"/>
    <w:rsid w:val="00225A13"/>
    <w:rsid w:val="00226612"/>
    <w:rsid w:val="002267C7"/>
    <w:rsid w:val="00226EB0"/>
    <w:rsid w:val="00227066"/>
    <w:rsid w:val="002270AD"/>
    <w:rsid w:val="00227254"/>
    <w:rsid w:val="002278A0"/>
    <w:rsid w:val="00227BEA"/>
    <w:rsid w:val="00227BFA"/>
    <w:rsid w:val="00230324"/>
    <w:rsid w:val="00230721"/>
    <w:rsid w:val="002309CC"/>
    <w:rsid w:val="00230A37"/>
    <w:rsid w:val="00231420"/>
    <w:rsid w:val="00231635"/>
    <w:rsid w:val="00231BA9"/>
    <w:rsid w:val="0023209F"/>
    <w:rsid w:val="002331C6"/>
    <w:rsid w:val="002337D5"/>
    <w:rsid w:val="00233B1A"/>
    <w:rsid w:val="00233C01"/>
    <w:rsid w:val="0023413C"/>
    <w:rsid w:val="00234614"/>
    <w:rsid w:val="002346F0"/>
    <w:rsid w:val="0023480B"/>
    <w:rsid w:val="00234D14"/>
    <w:rsid w:val="00234D7D"/>
    <w:rsid w:val="00235B31"/>
    <w:rsid w:val="00235D57"/>
    <w:rsid w:val="00236251"/>
    <w:rsid w:val="0023629D"/>
    <w:rsid w:val="0023699A"/>
    <w:rsid w:val="00236F18"/>
    <w:rsid w:val="00237255"/>
    <w:rsid w:val="002373A0"/>
    <w:rsid w:val="002377D8"/>
    <w:rsid w:val="002401BE"/>
    <w:rsid w:val="002402BC"/>
    <w:rsid w:val="0024063B"/>
    <w:rsid w:val="00240CF8"/>
    <w:rsid w:val="00240DCA"/>
    <w:rsid w:val="00240E70"/>
    <w:rsid w:val="00240EAF"/>
    <w:rsid w:val="002413B7"/>
    <w:rsid w:val="002424AF"/>
    <w:rsid w:val="0024250A"/>
    <w:rsid w:val="002427AF"/>
    <w:rsid w:val="002436F2"/>
    <w:rsid w:val="002439CA"/>
    <w:rsid w:val="002439DC"/>
    <w:rsid w:val="002441D2"/>
    <w:rsid w:val="0024423B"/>
    <w:rsid w:val="00244392"/>
    <w:rsid w:val="00244608"/>
    <w:rsid w:val="00244995"/>
    <w:rsid w:val="00244DC8"/>
    <w:rsid w:val="00245209"/>
    <w:rsid w:val="00245231"/>
    <w:rsid w:val="002458BA"/>
    <w:rsid w:val="00245BBE"/>
    <w:rsid w:val="00245C69"/>
    <w:rsid w:val="00245CE9"/>
    <w:rsid w:val="0024636C"/>
    <w:rsid w:val="002465E8"/>
    <w:rsid w:val="00246A8F"/>
    <w:rsid w:val="00247073"/>
    <w:rsid w:val="00247925"/>
    <w:rsid w:val="0025009C"/>
    <w:rsid w:val="00250451"/>
    <w:rsid w:val="00251006"/>
    <w:rsid w:val="002518C6"/>
    <w:rsid w:val="00251F48"/>
    <w:rsid w:val="00252041"/>
    <w:rsid w:val="002524D5"/>
    <w:rsid w:val="00252536"/>
    <w:rsid w:val="0025260E"/>
    <w:rsid w:val="00252724"/>
    <w:rsid w:val="00252D3C"/>
    <w:rsid w:val="002530E5"/>
    <w:rsid w:val="002531B3"/>
    <w:rsid w:val="002531D7"/>
    <w:rsid w:val="00253204"/>
    <w:rsid w:val="002533D1"/>
    <w:rsid w:val="002533F1"/>
    <w:rsid w:val="00253B1D"/>
    <w:rsid w:val="00253CE5"/>
    <w:rsid w:val="002549A8"/>
    <w:rsid w:val="00254DCF"/>
    <w:rsid w:val="00254E2F"/>
    <w:rsid w:val="00254F42"/>
    <w:rsid w:val="00255044"/>
    <w:rsid w:val="0025534B"/>
    <w:rsid w:val="002556A2"/>
    <w:rsid w:val="002559DF"/>
    <w:rsid w:val="00255BB7"/>
    <w:rsid w:val="00255BF4"/>
    <w:rsid w:val="00256722"/>
    <w:rsid w:val="00256EDC"/>
    <w:rsid w:val="00257368"/>
    <w:rsid w:val="002574C4"/>
    <w:rsid w:val="0025753E"/>
    <w:rsid w:val="00257541"/>
    <w:rsid w:val="002579C0"/>
    <w:rsid w:val="00257A39"/>
    <w:rsid w:val="00257AC4"/>
    <w:rsid w:val="00257BBE"/>
    <w:rsid w:val="00260228"/>
    <w:rsid w:val="00260854"/>
    <w:rsid w:val="00260881"/>
    <w:rsid w:val="00260ADE"/>
    <w:rsid w:val="00260BD3"/>
    <w:rsid w:val="00261024"/>
    <w:rsid w:val="00261548"/>
    <w:rsid w:val="002618B2"/>
    <w:rsid w:val="00261961"/>
    <w:rsid w:val="00261D93"/>
    <w:rsid w:val="00261EEF"/>
    <w:rsid w:val="00261FCC"/>
    <w:rsid w:val="00262355"/>
    <w:rsid w:val="002624C9"/>
    <w:rsid w:val="00262A1A"/>
    <w:rsid w:val="00262A87"/>
    <w:rsid w:val="00262C0D"/>
    <w:rsid w:val="00262D22"/>
    <w:rsid w:val="00262DA6"/>
    <w:rsid w:val="002630F6"/>
    <w:rsid w:val="00263C83"/>
    <w:rsid w:val="00264258"/>
    <w:rsid w:val="00264565"/>
    <w:rsid w:val="002647EF"/>
    <w:rsid w:val="00264D26"/>
    <w:rsid w:val="00265319"/>
    <w:rsid w:val="00265EB2"/>
    <w:rsid w:val="0026668A"/>
    <w:rsid w:val="00266B1E"/>
    <w:rsid w:val="002673B6"/>
    <w:rsid w:val="00267642"/>
    <w:rsid w:val="00267AEA"/>
    <w:rsid w:val="00267FA2"/>
    <w:rsid w:val="002700E6"/>
    <w:rsid w:val="0027294B"/>
    <w:rsid w:val="00272F40"/>
    <w:rsid w:val="00272FE9"/>
    <w:rsid w:val="002735C4"/>
    <w:rsid w:val="00273C0D"/>
    <w:rsid w:val="00273EB4"/>
    <w:rsid w:val="00274682"/>
    <w:rsid w:val="00274E4B"/>
    <w:rsid w:val="00275158"/>
    <w:rsid w:val="0027543B"/>
    <w:rsid w:val="0027543E"/>
    <w:rsid w:val="002756B1"/>
    <w:rsid w:val="00275C5A"/>
    <w:rsid w:val="00275D5E"/>
    <w:rsid w:val="0027611B"/>
    <w:rsid w:val="00276E48"/>
    <w:rsid w:val="00276FDA"/>
    <w:rsid w:val="002772B6"/>
    <w:rsid w:val="0027777A"/>
    <w:rsid w:val="00277F94"/>
    <w:rsid w:val="00280B21"/>
    <w:rsid w:val="00281014"/>
    <w:rsid w:val="0028102A"/>
    <w:rsid w:val="00281743"/>
    <w:rsid w:val="002817A3"/>
    <w:rsid w:val="00282296"/>
    <w:rsid w:val="00282A30"/>
    <w:rsid w:val="00282D95"/>
    <w:rsid w:val="00282EC6"/>
    <w:rsid w:val="002830A7"/>
    <w:rsid w:val="00283151"/>
    <w:rsid w:val="00283256"/>
    <w:rsid w:val="00283621"/>
    <w:rsid w:val="00283640"/>
    <w:rsid w:val="00283DDB"/>
    <w:rsid w:val="0028458C"/>
    <w:rsid w:val="00285BCE"/>
    <w:rsid w:val="00285C34"/>
    <w:rsid w:val="00286094"/>
    <w:rsid w:val="002862D9"/>
    <w:rsid w:val="0028665D"/>
    <w:rsid w:val="00286D03"/>
    <w:rsid w:val="00287085"/>
    <w:rsid w:val="002876F1"/>
    <w:rsid w:val="00287C9A"/>
    <w:rsid w:val="00287D71"/>
    <w:rsid w:val="00287F26"/>
    <w:rsid w:val="0029088B"/>
    <w:rsid w:val="00290C33"/>
    <w:rsid w:val="00290ECC"/>
    <w:rsid w:val="00291031"/>
    <w:rsid w:val="00291508"/>
    <w:rsid w:val="002916AE"/>
    <w:rsid w:val="002918AA"/>
    <w:rsid w:val="002918FF"/>
    <w:rsid w:val="00292793"/>
    <w:rsid w:val="002930E1"/>
    <w:rsid w:val="00293268"/>
    <w:rsid w:val="00293EDD"/>
    <w:rsid w:val="00294D8B"/>
    <w:rsid w:val="00295743"/>
    <w:rsid w:val="00296941"/>
    <w:rsid w:val="00296C52"/>
    <w:rsid w:val="00296C5A"/>
    <w:rsid w:val="002970B3"/>
    <w:rsid w:val="0029757B"/>
    <w:rsid w:val="0029786D"/>
    <w:rsid w:val="00297E57"/>
    <w:rsid w:val="002A010A"/>
    <w:rsid w:val="002A025F"/>
    <w:rsid w:val="002A059F"/>
    <w:rsid w:val="002A069E"/>
    <w:rsid w:val="002A0A44"/>
    <w:rsid w:val="002A0CD6"/>
    <w:rsid w:val="002A12A5"/>
    <w:rsid w:val="002A14AB"/>
    <w:rsid w:val="002A1A9F"/>
    <w:rsid w:val="002A1C9C"/>
    <w:rsid w:val="002A2021"/>
    <w:rsid w:val="002A2AB7"/>
    <w:rsid w:val="002A2ADE"/>
    <w:rsid w:val="002A2F50"/>
    <w:rsid w:val="002A3466"/>
    <w:rsid w:val="002A394D"/>
    <w:rsid w:val="002A420F"/>
    <w:rsid w:val="002A486A"/>
    <w:rsid w:val="002A4B35"/>
    <w:rsid w:val="002A562E"/>
    <w:rsid w:val="002A6250"/>
    <w:rsid w:val="002A6459"/>
    <w:rsid w:val="002A64C6"/>
    <w:rsid w:val="002A6526"/>
    <w:rsid w:val="002A663B"/>
    <w:rsid w:val="002A67ED"/>
    <w:rsid w:val="002A7006"/>
    <w:rsid w:val="002A7591"/>
    <w:rsid w:val="002A7943"/>
    <w:rsid w:val="002B05A1"/>
    <w:rsid w:val="002B0810"/>
    <w:rsid w:val="002B09A4"/>
    <w:rsid w:val="002B10FA"/>
    <w:rsid w:val="002B1479"/>
    <w:rsid w:val="002B163D"/>
    <w:rsid w:val="002B1C1F"/>
    <w:rsid w:val="002B27C2"/>
    <w:rsid w:val="002B3906"/>
    <w:rsid w:val="002B397D"/>
    <w:rsid w:val="002B3A09"/>
    <w:rsid w:val="002B4180"/>
    <w:rsid w:val="002B4323"/>
    <w:rsid w:val="002B432F"/>
    <w:rsid w:val="002B4A2C"/>
    <w:rsid w:val="002B4C20"/>
    <w:rsid w:val="002B4E86"/>
    <w:rsid w:val="002B504F"/>
    <w:rsid w:val="002B512B"/>
    <w:rsid w:val="002B62B3"/>
    <w:rsid w:val="002B6448"/>
    <w:rsid w:val="002B6526"/>
    <w:rsid w:val="002B6754"/>
    <w:rsid w:val="002B6CCE"/>
    <w:rsid w:val="002B6E10"/>
    <w:rsid w:val="002B6F2F"/>
    <w:rsid w:val="002B7253"/>
    <w:rsid w:val="002B73BA"/>
    <w:rsid w:val="002B786C"/>
    <w:rsid w:val="002C0098"/>
    <w:rsid w:val="002C01ED"/>
    <w:rsid w:val="002C02EE"/>
    <w:rsid w:val="002C08A2"/>
    <w:rsid w:val="002C11BB"/>
    <w:rsid w:val="002C11D3"/>
    <w:rsid w:val="002C1C0C"/>
    <w:rsid w:val="002C2206"/>
    <w:rsid w:val="002C2415"/>
    <w:rsid w:val="002C2510"/>
    <w:rsid w:val="002C2654"/>
    <w:rsid w:val="002C2775"/>
    <w:rsid w:val="002C27C1"/>
    <w:rsid w:val="002C333F"/>
    <w:rsid w:val="002C36E3"/>
    <w:rsid w:val="002C4D40"/>
    <w:rsid w:val="002C5099"/>
    <w:rsid w:val="002C531E"/>
    <w:rsid w:val="002C5889"/>
    <w:rsid w:val="002C58F6"/>
    <w:rsid w:val="002C67DC"/>
    <w:rsid w:val="002C6D51"/>
    <w:rsid w:val="002C6D66"/>
    <w:rsid w:val="002C71CE"/>
    <w:rsid w:val="002C7978"/>
    <w:rsid w:val="002C7D62"/>
    <w:rsid w:val="002C7D77"/>
    <w:rsid w:val="002D08F8"/>
    <w:rsid w:val="002D19BC"/>
    <w:rsid w:val="002D1BBA"/>
    <w:rsid w:val="002D1C7C"/>
    <w:rsid w:val="002D1D40"/>
    <w:rsid w:val="002D1D4D"/>
    <w:rsid w:val="002D1F4D"/>
    <w:rsid w:val="002D24AB"/>
    <w:rsid w:val="002D39E4"/>
    <w:rsid w:val="002D3BAB"/>
    <w:rsid w:val="002D4206"/>
    <w:rsid w:val="002D4530"/>
    <w:rsid w:val="002D4DE3"/>
    <w:rsid w:val="002D4F6F"/>
    <w:rsid w:val="002D577C"/>
    <w:rsid w:val="002D59DF"/>
    <w:rsid w:val="002D62A5"/>
    <w:rsid w:val="002D6D7A"/>
    <w:rsid w:val="002D70E5"/>
    <w:rsid w:val="002D7832"/>
    <w:rsid w:val="002D7A48"/>
    <w:rsid w:val="002E01A9"/>
    <w:rsid w:val="002E03F2"/>
    <w:rsid w:val="002E0799"/>
    <w:rsid w:val="002E093B"/>
    <w:rsid w:val="002E0A39"/>
    <w:rsid w:val="002E0E8F"/>
    <w:rsid w:val="002E1071"/>
    <w:rsid w:val="002E1249"/>
    <w:rsid w:val="002E15B9"/>
    <w:rsid w:val="002E1C47"/>
    <w:rsid w:val="002E1C65"/>
    <w:rsid w:val="002E2158"/>
    <w:rsid w:val="002E21FE"/>
    <w:rsid w:val="002E22C7"/>
    <w:rsid w:val="002E2C39"/>
    <w:rsid w:val="002E2D4E"/>
    <w:rsid w:val="002E2F8A"/>
    <w:rsid w:val="002E3350"/>
    <w:rsid w:val="002E3807"/>
    <w:rsid w:val="002E393F"/>
    <w:rsid w:val="002E4320"/>
    <w:rsid w:val="002E4E0C"/>
    <w:rsid w:val="002E4F02"/>
    <w:rsid w:val="002E5ECC"/>
    <w:rsid w:val="002E6540"/>
    <w:rsid w:val="002E6545"/>
    <w:rsid w:val="002E6914"/>
    <w:rsid w:val="002E6F0E"/>
    <w:rsid w:val="002E7010"/>
    <w:rsid w:val="002E7052"/>
    <w:rsid w:val="002E70B5"/>
    <w:rsid w:val="002E73A4"/>
    <w:rsid w:val="002E7722"/>
    <w:rsid w:val="002E7F08"/>
    <w:rsid w:val="002F0184"/>
    <w:rsid w:val="002F0358"/>
    <w:rsid w:val="002F07BA"/>
    <w:rsid w:val="002F0DA9"/>
    <w:rsid w:val="002F0FB3"/>
    <w:rsid w:val="002F1014"/>
    <w:rsid w:val="002F133B"/>
    <w:rsid w:val="002F1E27"/>
    <w:rsid w:val="002F1E3B"/>
    <w:rsid w:val="002F2A87"/>
    <w:rsid w:val="002F35DB"/>
    <w:rsid w:val="002F437D"/>
    <w:rsid w:val="002F474E"/>
    <w:rsid w:val="002F4886"/>
    <w:rsid w:val="002F4A42"/>
    <w:rsid w:val="002F4A6D"/>
    <w:rsid w:val="002F4C47"/>
    <w:rsid w:val="002F4CC7"/>
    <w:rsid w:val="002F4D8D"/>
    <w:rsid w:val="002F5051"/>
    <w:rsid w:val="002F51E1"/>
    <w:rsid w:val="002F52A3"/>
    <w:rsid w:val="002F5659"/>
    <w:rsid w:val="002F57E7"/>
    <w:rsid w:val="002F5E42"/>
    <w:rsid w:val="002F643C"/>
    <w:rsid w:val="002F6EC9"/>
    <w:rsid w:val="002F71C0"/>
    <w:rsid w:val="002F74F1"/>
    <w:rsid w:val="00300889"/>
    <w:rsid w:val="00300FA4"/>
    <w:rsid w:val="00301017"/>
    <w:rsid w:val="0030135A"/>
    <w:rsid w:val="0030155F"/>
    <w:rsid w:val="00301943"/>
    <w:rsid w:val="00302000"/>
    <w:rsid w:val="003025DE"/>
    <w:rsid w:val="00303471"/>
    <w:rsid w:val="00303A4D"/>
    <w:rsid w:val="00303C45"/>
    <w:rsid w:val="0030504C"/>
    <w:rsid w:val="00305148"/>
    <w:rsid w:val="0030587B"/>
    <w:rsid w:val="00306662"/>
    <w:rsid w:val="00306D98"/>
    <w:rsid w:val="00307234"/>
    <w:rsid w:val="00307325"/>
    <w:rsid w:val="0030758B"/>
    <w:rsid w:val="0030786C"/>
    <w:rsid w:val="00310039"/>
    <w:rsid w:val="00310314"/>
    <w:rsid w:val="0031031A"/>
    <w:rsid w:val="00310423"/>
    <w:rsid w:val="0031093A"/>
    <w:rsid w:val="00310981"/>
    <w:rsid w:val="00310C29"/>
    <w:rsid w:val="0031183D"/>
    <w:rsid w:val="00311A53"/>
    <w:rsid w:val="00311D9B"/>
    <w:rsid w:val="00312111"/>
    <w:rsid w:val="003124D9"/>
    <w:rsid w:val="00312594"/>
    <w:rsid w:val="00312F95"/>
    <w:rsid w:val="003133B8"/>
    <w:rsid w:val="0031369F"/>
    <w:rsid w:val="00313FB6"/>
    <w:rsid w:val="00314591"/>
    <w:rsid w:val="0031537E"/>
    <w:rsid w:val="00315498"/>
    <w:rsid w:val="003158EC"/>
    <w:rsid w:val="00315B99"/>
    <w:rsid w:val="003162D7"/>
    <w:rsid w:val="00316474"/>
    <w:rsid w:val="00317BB8"/>
    <w:rsid w:val="003204E7"/>
    <w:rsid w:val="003217AB"/>
    <w:rsid w:val="00321CEA"/>
    <w:rsid w:val="00321D38"/>
    <w:rsid w:val="00322107"/>
    <w:rsid w:val="00322355"/>
    <w:rsid w:val="00322639"/>
    <w:rsid w:val="00322846"/>
    <w:rsid w:val="00322C2E"/>
    <w:rsid w:val="00323229"/>
    <w:rsid w:val="003235AD"/>
    <w:rsid w:val="00323BCE"/>
    <w:rsid w:val="00323C36"/>
    <w:rsid w:val="00323DCB"/>
    <w:rsid w:val="00324082"/>
    <w:rsid w:val="00324131"/>
    <w:rsid w:val="00325791"/>
    <w:rsid w:val="003259A4"/>
    <w:rsid w:val="00325D96"/>
    <w:rsid w:val="00326089"/>
    <w:rsid w:val="00326BF6"/>
    <w:rsid w:val="00326DA7"/>
    <w:rsid w:val="00326F13"/>
    <w:rsid w:val="003270E4"/>
    <w:rsid w:val="00327249"/>
    <w:rsid w:val="00327564"/>
    <w:rsid w:val="00327E8E"/>
    <w:rsid w:val="003301A9"/>
    <w:rsid w:val="00330DAA"/>
    <w:rsid w:val="00330F5C"/>
    <w:rsid w:val="00332AA5"/>
    <w:rsid w:val="00332FAB"/>
    <w:rsid w:val="00333246"/>
    <w:rsid w:val="00333318"/>
    <w:rsid w:val="00333741"/>
    <w:rsid w:val="00333A44"/>
    <w:rsid w:val="00333BD5"/>
    <w:rsid w:val="00333F49"/>
    <w:rsid w:val="00334221"/>
    <w:rsid w:val="00334E5C"/>
    <w:rsid w:val="003356F3"/>
    <w:rsid w:val="0033592A"/>
    <w:rsid w:val="003366C9"/>
    <w:rsid w:val="003368A4"/>
    <w:rsid w:val="00336BD5"/>
    <w:rsid w:val="00336DF4"/>
    <w:rsid w:val="00336F4E"/>
    <w:rsid w:val="00337067"/>
    <w:rsid w:val="0033712A"/>
    <w:rsid w:val="003371B0"/>
    <w:rsid w:val="00337492"/>
    <w:rsid w:val="003374FE"/>
    <w:rsid w:val="0033752C"/>
    <w:rsid w:val="00337C22"/>
    <w:rsid w:val="00340705"/>
    <w:rsid w:val="00340DF1"/>
    <w:rsid w:val="0034178F"/>
    <w:rsid w:val="003418D1"/>
    <w:rsid w:val="00342C83"/>
    <w:rsid w:val="00342CD9"/>
    <w:rsid w:val="00343021"/>
    <w:rsid w:val="00343443"/>
    <w:rsid w:val="00343700"/>
    <w:rsid w:val="00343FFE"/>
    <w:rsid w:val="00344245"/>
    <w:rsid w:val="00344558"/>
    <w:rsid w:val="0034480C"/>
    <w:rsid w:val="0034578F"/>
    <w:rsid w:val="00345DF2"/>
    <w:rsid w:val="00346943"/>
    <w:rsid w:val="00346CBC"/>
    <w:rsid w:val="00347223"/>
    <w:rsid w:val="00347A73"/>
    <w:rsid w:val="00350080"/>
    <w:rsid w:val="00350558"/>
    <w:rsid w:val="00350A84"/>
    <w:rsid w:val="00350DDB"/>
    <w:rsid w:val="0035102C"/>
    <w:rsid w:val="00351333"/>
    <w:rsid w:val="003517F9"/>
    <w:rsid w:val="00351BA9"/>
    <w:rsid w:val="00352887"/>
    <w:rsid w:val="00352FE4"/>
    <w:rsid w:val="003531B7"/>
    <w:rsid w:val="0035329B"/>
    <w:rsid w:val="00354549"/>
    <w:rsid w:val="003548B6"/>
    <w:rsid w:val="00354F64"/>
    <w:rsid w:val="00355FA6"/>
    <w:rsid w:val="0035620E"/>
    <w:rsid w:val="0035677D"/>
    <w:rsid w:val="00356B85"/>
    <w:rsid w:val="003575BE"/>
    <w:rsid w:val="00357806"/>
    <w:rsid w:val="00357CC9"/>
    <w:rsid w:val="00360287"/>
    <w:rsid w:val="00360345"/>
    <w:rsid w:val="00360B6F"/>
    <w:rsid w:val="00360BBC"/>
    <w:rsid w:val="00360D19"/>
    <w:rsid w:val="003618EC"/>
    <w:rsid w:val="00361A05"/>
    <w:rsid w:val="003623DA"/>
    <w:rsid w:val="003624C4"/>
    <w:rsid w:val="003628EC"/>
    <w:rsid w:val="00362D2A"/>
    <w:rsid w:val="0036389C"/>
    <w:rsid w:val="00363A3D"/>
    <w:rsid w:val="00363B00"/>
    <w:rsid w:val="00363EE2"/>
    <w:rsid w:val="003643A4"/>
    <w:rsid w:val="00364614"/>
    <w:rsid w:val="0036463B"/>
    <w:rsid w:val="003649E5"/>
    <w:rsid w:val="00364B19"/>
    <w:rsid w:val="00364CA6"/>
    <w:rsid w:val="00364E08"/>
    <w:rsid w:val="003654AC"/>
    <w:rsid w:val="00365EE2"/>
    <w:rsid w:val="00365EFA"/>
    <w:rsid w:val="00365F7E"/>
    <w:rsid w:val="00366401"/>
    <w:rsid w:val="00366F92"/>
    <w:rsid w:val="00367081"/>
    <w:rsid w:val="003674CA"/>
    <w:rsid w:val="003675F4"/>
    <w:rsid w:val="00367833"/>
    <w:rsid w:val="00367E6E"/>
    <w:rsid w:val="0037030E"/>
    <w:rsid w:val="00370332"/>
    <w:rsid w:val="0037072C"/>
    <w:rsid w:val="0037096F"/>
    <w:rsid w:val="00370C80"/>
    <w:rsid w:val="00370E61"/>
    <w:rsid w:val="00371053"/>
    <w:rsid w:val="0037108E"/>
    <w:rsid w:val="003710CF"/>
    <w:rsid w:val="0037169A"/>
    <w:rsid w:val="00371DCC"/>
    <w:rsid w:val="00373415"/>
    <w:rsid w:val="00373432"/>
    <w:rsid w:val="0037358A"/>
    <w:rsid w:val="00373A90"/>
    <w:rsid w:val="00373E67"/>
    <w:rsid w:val="00373E93"/>
    <w:rsid w:val="0037411E"/>
    <w:rsid w:val="0037437F"/>
    <w:rsid w:val="00374785"/>
    <w:rsid w:val="0037493B"/>
    <w:rsid w:val="00374A7C"/>
    <w:rsid w:val="00374C53"/>
    <w:rsid w:val="003750DF"/>
    <w:rsid w:val="003750F6"/>
    <w:rsid w:val="00375C37"/>
    <w:rsid w:val="00375EF0"/>
    <w:rsid w:val="00375FCC"/>
    <w:rsid w:val="003760FC"/>
    <w:rsid w:val="00376270"/>
    <w:rsid w:val="003762C6"/>
    <w:rsid w:val="00376BF1"/>
    <w:rsid w:val="003777A7"/>
    <w:rsid w:val="00377803"/>
    <w:rsid w:val="00377ACC"/>
    <w:rsid w:val="00377E45"/>
    <w:rsid w:val="003803E5"/>
    <w:rsid w:val="00380738"/>
    <w:rsid w:val="00380BB7"/>
    <w:rsid w:val="00380C95"/>
    <w:rsid w:val="00380FA2"/>
    <w:rsid w:val="00381001"/>
    <w:rsid w:val="0038104E"/>
    <w:rsid w:val="003817A7"/>
    <w:rsid w:val="00381AB8"/>
    <w:rsid w:val="00381D55"/>
    <w:rsid w:val="00382479"/>
    <w:rsid w:val="003831CB"/>
    <w:rsid w:val="00383309"/>
    <w:rsid w:val="0038358F"/>
    <w:rsid w:val="0038365C"/>
    <w:rsid w:val="0038369B"/>
    <w:rsid w:val="00383B78"/>
    <w:rsid w:val="00383ECB"/>
    <w:rsid w:val="003841FF"/>
    <w:rsid w:val="00384444"/>
    <w:rsid w:val="00384F54"/>
    <w:rsid w:val="003851BD"/>
    <w:rsid w:val="0038544D"/>
    <w:rsid w:val="003854F7"/>
    <w:rsid w:val="00385A9D"/>
    <w:rsid w:val="00385B02"/>
    <w:rsid w:val="00385B8B"/>
    <w:rsid w:val="00385DBA"/>
    <w:rsid w:val="0038617D"/>
    <w:rsid w:val="003862EC"/>
    <w:rsid w:val="00386628"/>
    <w:rsid w:val="00386780"/>
    <w:rsid w:val="00386B06"/>
    <w:rsid w:val="00387121"/>
    <w:rsid w:val="00387D98"/>
    <w:rsid w:val="003902B1"/>
    <w:rsid w:val="0039077C"/>
    <w:rsid w:val="00390E0A"/>
    <w:rsid w:val="0039127B"/>
    <w:rsid w:val="0039130A"/>
    <w:rsid w:val="0039179C"/>
    <w:rsid w:val="0039193B"/>
    <w:rsid w:val="003919B2"/>
    <w:rsid w:val="00391E41"/>
    <w:rsid w:val="00391F28"/>
    <w:rsid w:val="0039363A"/>
    <w:rsid w:val="00393F39"/>
    <w:rsid w:val="00393F7A"/>
    <w:rsid w:val="00394F69"/>
    <w:rsid w:val="0039531E"/>
    <w:rsid w:val="00396811"/>
    <w:rsid w:val="00396896"/>
    <w:rsid w:val="00396AAD"/>
    <w:rsid w:val="00396FD0"/>
    <w:rsid w:val="00397760"/>
    <w:rsid w:val="00397946"/>
    <w:rsid w:val="003A0102"/>
    <w:rsid w:val="003A0C64"/>
    <w:rsid w:val="003A134C"/>
    <w:rsid w:val="003A1775"/>
    <w:rsid w:val="003A1A7A"/>
    <w:rsid w:val="003A1F9C"/>
    <w:rsid w:val="003A2012"/>
    <w:rsid w:val="003A2027"/>
    <w:rsid w:val="003A2392"/>
    <w:rsid w:val="003A2657"/>
    <w:rsid w:val="003A2831"/>
    <w:rsid w:val="003A3158"/>
    <w:rsid w:val="003A33A8"/>
    <w:rsid w:val="003A3C25"/>
    <w:rsid w:val="003A3C9E"/>
    <w:rsid w:val="003A3CB6"/>
    <w:rsid w:val="003A3ED1"/>
    <w:rsid w:val="003A41AD"/>
    <w:rsid w:val="003A44DB"/>
    <w:rsid w:val="003A465C"/>
    <w:rsid w:val="003A4C14"/>
    <w:rsid w:val="003A5198"/>
    <w:rsid w:val="003A54E6"/>
    <w:rsid w:val="003A59A1"/>
    <w:rsid w:val="003A59CD"/>
    <w:rsid w:val="003A610F"/>
    <w:rsid w:val="003A6344"/>
    <w:rsid w:val="003A63FF"/>
    <w:rsid w:val="003A6A05"/>
    <w:rsid w:val="003A6B33"/>
    <w:rsid w:val="003A6C64"/>
    <w:rsid w:val="003A770D"/>
    <w:rsid w:val="003A7883"/>
    <w:rsid w:val="003A7A8B"/>
    <w:rsid w:val="003A7C1D"/>
    <w:rsid w:val="003B00C5"/>
    <w:rsid w:val="003B00CB"/>
    <w:rsid w:val="003B04DD"/>
    <w:rsid w:val="003B0D5D"/>
    <w:rsid w:val="003B1174"/>
    <w:rsid w:val="003B1290"/>
    <w:rsid w:val="003B1AAD"/>
    <w:rsid w:val="003B206B"/>
    <w:rsid w:val="003B26CD"/>
    <w:rsid w:val="003B2E5B"/>
    <w:rsid w:val="003B2FC3"/>
    <w:rsid w:val="003B3135"/>
    <w:rsid w:val="003B3971"/>
    <w:rsid w:val="003B3B44"/>
    <w:rsid w:val="003B486D"/>
    <w:rsid w:val="003B5010"/>
    <w:rsid w:val="003B5045"/>
    <w:rsid w:val="003B544E"/>
    <w:rsid w:val="003B55D1"/>
    <w:rsid w:val="003B5A48"/>
    <w:rsid w:val="003B5B44"/>
    <w:rsid w:val="003B5B61"/>
    <w:rsid w:val="003B5FE2"/>
    <w:rsid w:val="003B6680"/>
    <w:rsid w:val="003B692C"/>
    <w:rsid w:val="003B6F14"/>
    <w:rsid w:val="003B70C4"/>
    <w:rsid w:val="003B72CD"/>
    <w:rsid w:val="003C1654"/>
    <w:rsid w:val="003C18D9"/>
    <w:rsid w:val="003C1E8D"/>
    <w:rsid w:val="003C2B6C"/>
    <w:rsid w:val="003C2F77"/>
    <w:rsid w:val="003C30A2"/>
    <w:rsid w:val="003C3237"/>
    <w:rsid w:val="003C39F1"/>
    <w:rsid w:val="003C4249"/>
    <w:rsid w:val="003C48EA"/>
    <w:rsid w:val="003C51F7"/>
    <w:rsid w:val="003C5542"/>
    <w:rsid w:val="003C5F58"/>
    <w:rsid w:val="003C6634"/>
    <w:rsid w:val="003C6A7E"/>
    <w:rsid w:val="003C706D"/>
    <w:rsid w:val="003C7158"/>
    <w:rsid w:val="003C718A"/>
    <w:rsid w:val="003C7559"/>
    <w:rsid w:val="003C79F4"/>
    <w:rsid w:val="003C7A9C"/>
    <w:rsid w:val="003C7AB8"/>
    <w:rsid w:val="003C7C15"/>
    <w:rsid w:val="003C7D19"/>
    <w:rsid w:val="003C7D2A"/>
    <w:rsid w:val="003C7D2F"/>
    <w:rsid w:val="003D064A"/>
    <w:rsid w:val="003D0A2A"/>
    <w:rsid w:val="003D0C5A"/>
    <w:rsid w:val="003D0E99"/>
    <w:rsid w:val="003D0FE0"/>
    <w:rsid w:val="003D1828"/>
    <w:rsid w:val="003D1A13"/>
    <w:rsid w:val="003D1A79"/>
    <w:rsid w:val="003D1DE4"/>
    <w:rsid w:val="003D1E9A"/>
    <w:rsid w:val="003D1EB2"/>
    <w:rsid w:val="003D2422"/>
    <w:rsid w:val="003D33A4"/>
    <w:rsid w:val="003D340E"/>
    <w:rsid w:val="003D35B2"/>
    <w:rsid w:val="003D39A1"/>
    <w:rsid w:val="003D3D07"/>
    <w:rsid w:val="003D3F34"/>
    <w:rsid w:val="003D3FBF"/>
    <w:rsid w:val="003D433D"/>
    <w:rsid w:val="003D4A30"/>
    <w:rsid w:val="003D4BA2"/>
    <w:rsid w:val="003D4C08"/>
    <w:rsid w:val="003D4DF1"/>
    <w:rsid w:val="003D4EE2"/>
    <w:rsid w:val="003D515F"/>
    <w:rsid w:val="003D51F8"/>
    <w:rsid w:val="003D54F3"/>
    <w:rsid w:val="003D578A"/>
    <w:rsid w:val="003D584E"/>
    <w:rsid w:val="003D5AB9"/>
    <w:rsid w:val="003D5B0A"/>
    <w:rsid w:val="003D5BF9"/>
    <w:rsid w:val="003D5D9B"/>
    <w:rsid w:val="003D69EB"/>
    <w:rsid w:val="003D6B65"/>
    <w:rsid w:val="003D7452"/>
    <w:rsid w:val="003D79AF"/>
    <w:rsid w:val="003D79BB"/>
    <w:rsid w:val="003D7C98"/>
    <w:rsid w:val="003D7CAF"/>
    <w:rsid w:val="003D7D6A"/>
    <w:rsid w:val="003D7D9D"/>
    <w:rsid w:val="003D7DDA"/>
    <w:rsid w:val="003E0543"/>
    <w:rsid w:val="003E0AEF"/>
    <w:rsid w:val="003E0E93"/>
    <w:rsid w:val="003E16B9"/>
    <w:rsid w:val="003E1824"/>
    <w:rsid w:val="003E2628"/>
    <w:rsid w:val="003E2874"/>
    <w:rsid w:val="003E3A44"/>
    <w:rsid w:val="003E40C6"/>
    <w:rsid w:val="003E41F6"/>
    <w:rsid w:val="003E4238"/>
    <w:rsid w:val="003E45CD"/>
    <w:rsid w:val="003E473D"/>
    <w:rsid w:val="003E4CD7"/>
    <w:rsid w:val="003E4F38"/>
    <w:rsid w:val="003E54A1"/>
    <w:rsid w:val="003E5603"/>
    <w:rsid w:val="003E587F"/>
    <w:rsid w:val="003E5E67"/>
    <w:rsid w:val="003E60FD"/>
    <w:rsid w:val="003E6710"/>
    <w:rsid w:val="003E6D02"/>
    <w:rsid w:val="003E6DC2"/>
    <w:rsid w:val="003E73B3"/>
    <w:rsid w:val="003E749E"/>
    <w:rsid w:val="003E7CE1"/>
    <w:rsid w:val="003F00D5"/>
    <w:rsid w:val="003F0B55"/>
    <w:rsid w:val="003F21EE"/>
    <w:rsid w:val="003F2592"/>
    <w:rsid w:val="003F26FC"/>
    <w:rsid w:val="003F2D85"/>
    <w:rsid w:val="003F2FC0"/>
    <w:rsid w:val="003F2FD2"/>
    <w:rsid w:val="003F3694"/>
    <w:rsid w:val="003F37E7"/>
    <w:rsid w:val="003F3B65"/>
    <w:rsid w:val="003F4156"/>
    <w:rsid w:val="003F4AFF"/>
    <w:rsid w:val="003F4DA5"/>
    <w:rsid w:val="003F5936"/>
    <w:rsid w:val="003F5ADF"/>
    <w:rsid w:val="003F6018"/>
    <w:rsid w:val="003F62F2"/>
    <w:rsid w:val="003F65F3"/>
    <w:rsid w:val="003F6E89"/>
    <w:rsid w:val="003F7180"/>
    <w:rsid w:val="003F7569"/>
    <w:rsid w:val="003F7B05"/>
    <w:rsid w:val="003F7DA7"/>
    <w:rsid w:val="004000F9"/>
    <w:rsid w:val="004005E0"/>
    <w:rsid w:val="00400B29"/>
    <w:rsid w:val="00400B9F"/>
    <w:rsid w:val="00401754"/>
    <w:rsid w:val="00401847"/>
    <w:rsid w:val="004020EE"/>
    <w:rsid w:val="00402160"/>
    <w:rsid w:val="004024FA"/>
    <w:rsid w:val="00402812"/>
    <w:rsid w:val="00402963"/>
    <w:rsid w:val="00402F50"/>
    <w:rsid w:val="00403F78"/>
    <w:rsid w:val="004042B3"/>
    <w:rsid w:val="00404BA1"/>
    <w:rsid w:val="00404F27"/>
    <w:rsid w:val="00404F43"/>
    <w:rsid w:val="0040504B"/>
    <w:rsid w:val="004053C1"/>
    <w:rsid w:val="0040559B"/>
    <w:rsid w:val="004059F4"/>
    <w:rsid w:val="0040611E"/>
    <w:rsid w:val="004061F0"/>
    <w:rsid w:val="004063B9"/>
    <w:rsid w:val="004063E3"/>
    <w:rsid w:val="004064CD"/>
    <w:rsid w:val="00406B65"/>
    <w:rsid w:val="00407074"/>
    <w:rsid w:val="00407A15"/>
    <w:rsid w:val="00407CF2"/>
    <w:rsid w:val="00407FE5"/>
    <w:rsid w:val="004101B0"/>
    <w:rsid w:val="00410326"/>
    <w:rsid w:val="004103FD"/>
    <w:rsid w:val="00410708"/>
    <w:rsid w:val="00410EC7"/>
    <w:rsid w:val="004114E9"/>
    <w:rsid w:val="00411AB2"/>
    <w:rsid w:val="00411B39"/>
    <w:rsid w:val="0041265F"/>
    <w:rsid w:val="004127A7"/>
    <w:rsid w:val="004129C7"/>
    <w:rsid w:val="00412A41"/>
    <w:rsid w:val="00412D70"/>
    <w:rsid w:val="00412DAA"/>
    <w:rsid w:val="00412FD8"/>
    <w:rsid w:val="0041317C"/>
    <w:rsid w:val="004134E0"/>
    <w:rsid w:val="00413765"/>
    <w:rsid w:val="00413A1E"/>
    <w:rsid w:val="00413AE5"/>
    <w:rsid w:val="0041400C"/>
    <w:rsid w:val="0041401F"/>
    <w:rsid w:val="00414476"/>
    <w:rsid w:val="00414564"/>
    <w:rsid w:val="0041498C"/>
    <w:rsid w:val="00414C2E"/>
    <w:rsid w:val="00414C44"/>
    <w:rsid w:val="00414DB5"/>
    <w:rsid w:val="004151CF"/>
    <w:rsid w:val="004157DE"/>
    <w:rsid w:val="00415B7F"/>
    <w:rsid w:val="00415E71"/>
    <w:rsid w:val="00415F8B"/>
    <w:rsid w:val="00416364"/>
    <w:rsid w:val="004166DD"/>
    <w:rsid w:val="004173C2"/>
    <w:rsid w:val="0041796C"/>
    <w:rsid w:val="00417BA3"/>
    <w:rsid w:val="00420189"/>
    <w:rsid w:val="0042047F"/>
    <w:rsid w:val="00420881"/>
    <w:rsid w:val="00420AA6"/>
    <w:rsid w:val="00420B45"/>
    <w:rsid w:val="00420B9F"/>
    <w:rsid w:val="00420DEE"/>
    <w:rsid w:val="00420DF6"/>
    <w:rsid w:val="00420E92"/>
    <w:rsid w:val="00421038"/>
    <w:rsid w:val="00421336"/>
    <w:rsid w:val="004215B0"/>
    <w:rsid w:val="004217CA"/>
    <w:rsid w:val="0042192C"/>
    <w:rsid w:val="00422260"/>
    <w:rsid w:val="00422DA8"/>
    <w:rsid w:val="00423871"/>
    <w:rsid w:val="0042389B"/>
    <w:rsid w:val="00423BE3"/>
    <w:rsid w:val="00423D04"/>
    <w:rsid w:val="0042413F"/>
    <w:rsid w:val="00424C11"/>
    <w:rsid w:val="0042594A"/>
    <w:rsid w:val="00425D15"/>
    <w:rsid w:val="00426C54"/>
    <w:rsid w:val="004275D8"/>
    <w:rsid w:val="00427DA8"/>
    <w:rsid w:val="00427EC3"/>
    <w:rsid w:val="00430320"/>
    <w:rsid w:val="0043033B"/>
    <w:rsid w:val="0043041B"/>
    <w:rsid w:val="0043140B"/>
    <w:rsid w:val="0043190C"/>
    <w:rsid w:val="004319F8"/>
    <w:rsid w:val="00431DC8"/>
    <w:rsid w:val="00431E55"/>
    <w:rsid w:val="004321F6"/>
    <w:rsid w:val="0043222B"/>
    <w:rsid w:val="004322D5"/>
    <w:rsid w:val="004322F8"/>
    <w:rsid w:val="00433044"/>
    <w:rsid w:val="0043305D"/>
    <w:rsid w:val="0043351C"/>
    <w:rsid w:val="00433764"/>
    <w:rsid w:val="00433DDC"/>
    <w:rsid w:val="00434088"/>
    <w:rsid w:val="00434193"/>
    <w:rsid w:val="004345F4"/>
    <w:rsid w:val="00434DD2"/>
    <w:rsid w:val="00436477"/>
    <w:rsid w:val="004364E0"/>
    <w:rsid w:val="00436F28"/>
    <w:rsid w:val="004375B9"/>
    <w:rsid w:val="00437608"/>
    <w:rsid w:val="00437ED7"/>
    <w:rsid w:val="00440407"/>
    <w:rsid w:val="00440A2E"/>
    <w:rsid w:val="00440EB7"/>
    <w:rsid w:val="00440FC7"/>
    <w:rsid w:val="00441015"/>
    <w:rsid w:val="00441BD3"/>
    <w:rsid w:val="00441F19"/>
    <w:rsid w:val="00442026"/>
    <w:rsid w:val="0044218C"/>
    <w:rsid w:val="004421FA"/>
    <w:rsid w:val="0044256A"/>
    <w:rsid w:val="004428D0"/>
    <w:rsid w:val="00442B96"/>
    <w:rsid w:val="00442D83"/>
    <w:rsid w:val="00443C71"/>
    <w:rsid w:val="0044409D"/>
    <w:rsid w:val="00444185"/>
    <w:rsid w:val="004442C7"/>
    <w:rsid w:val="004443A7"/>
    <w:rsid w:val="0044442C"/>
    <w:rsid w:val="00444C23"/>
    <w:rsid w:val="00445258"/>
    <w:rsid w:val="004454EC"/>
    <w:rsid w:val="0044585C"/>
    <w:rsid w:val="00445868"/>
    <w:rsid w:val="00445941"/>
    <w:rsid w:val="00445957"/>
    <w:rsid w:val="00445FAE"/>
    <w:rsid w:val="004464EB"/>
    <w:rsid w:val="004469F0"/>
    <w:rsid w:val="00446A00"/>
    <w:rsid w:val="00446B02"/>
    <w:rsid w:val="00446B06"/>
    <w:rsid w:val="00446CE6"/>
    <w:rsid w:val="0044787E"/>
    <w:rsid w:val="00447A16"/>
    <w:rsid w:val="00447D26"/>
    <w:rsid w:val="00447DFC"/>
    <w:rsid w:val="004502AC"/>
    <w:rsid w:val="004506A4"/>
    <w:rsid w:val="004506BF"/>
    <w:rsid w:val="0045072C"/>
    <w:rsid w:val="00450751"/>
    <w:rsid w:val="00450E2C"/>
    <w:rsid w:val="004513CD"/>
    <w:rsid w:val="00451B49"/>
    <w:rsid w:val="00451CDB"/>
    <w:rsid w:val="00451E60"/>
    <w:rsid w:val="00451EA1"/>
    <w:rsid w:val="00451EDA"/>
    <w:rsid w:val="00452B19"/>
    <w:rsid w:val="00452B71"/>
    <w:rsid w:val="00453727"/>
    <w:rsid w:val="00453919"/>
    <w:rsid w:val="00453A02"/>
    <w:rsid w:val="004540C1"/>
    <w:rsid w:val="00454E7B"/>
    <w:rsid w:val="00455D45"/>
    <w:rsid w:val="0045656E"/>
    <w:rsid w:val="00456B29"/>
    <w:rsid w:val="00456C50"/>
    <w:rsid w:val="004570EF"/>
    <w:rsid w:val="004601F1"/>
    <w:rsid w:val="004603BD"/>
    <w:rsid w:val="00461088"/>
    <w:rsid w:val="004615BF"/>
    <w:rsid w:val="0046206C"/>
    <w:rsid w:val="0046223E"/>
    <w:rsid w:val="00462265"/>
    <w:rsid w:val="004622E6"/>
    <w:rsid w:val="00463646"/>
    <w:rsid w:val="004639A2"/>
    <w:rsid w:val="00464060"/>
    <w:rsid w:val="00464595"/>
    <w:rsid w:val="00465219"/>
    <w:rsid w:val="004652C9"/>
    <w:rsid w:val="004658B5"/>
    <w:rsid w:val="0046640A"/>
    <w:rsid w:val="00466AFC"/>
    <w:rsid w:val="004675C9"/>
    <w:rsid w:val="0046777C"/>
    <w:rsid w:val="0047064A"/>
    <w:rsid w:val="004709A4"/>
    <w:rsid w:val="004709EB"/>
    <w:rsid w:val="00470CCF"/>
    <w:rsid w:val="00470F72"/>
    <w:rsid w:val="00471491"/>
    <w:rsid w:val="00471B6A"/>
    <w:rsid w:val="00471EA5"/>
    <w:rsid w:val="00472A79"/>
    <w:rsid w:val="00472B88"/>
    <w:rsid w:val="00472F0E"/>
    <w:rsid w:val="00473257"/>
    <w:rsid w:val="00473489"/>
    <w:rsid w:val="004735AA"/>
    <w:rsid w:val="004737EF"/>
    <w:rsid w:val="00473F19"/>
    <w:rsid w:val="00473FC7"/>
    <w:rsid w:val="00474F54"/>
    <w:rsid w:val="0047535F"/>
    <w:rsid w:val="004757DA"/>
    <w:rsid w:val="00475AFE"/>
    <w:rsid w:val="00475E22"/>
    <w:rsid w:val="00475E31"/>
    <w:rsid w:val="004760D7"/>
    <w:rsid w:val="00476382"/>
    <w:rsid w:val="004767DD"/>
    <w:rsid w:val="00476CD6"/>
    <w:rsid w:val="00477495"/>
    <w:rsid w:val="00480121"/>
    <w:rsid w:val="00480852"/>
    <w:rsid w:val="0048088E"/>
    <w:rsid w:val="00480B64"/>
    <w:rsid w:val="00480C08"/>
    <w:rsid w:val="00480C74"/>
    <w:rsid w:val="00480F2B"/>
    <w:rsid w:val="00481497"/>
    <w:rsid w:val="00481521"/>
    <w:rsid w:val="004816CA"/>
    <w:rsid w:val="004818AC"/>
    <w:rsid w:val="00481A46"/>
    <w:rsid w:val="00482019"/>
    <w:rsid w:val="004822AE"/>
    <w:rsid w:val="0048258C"/>
    <w:rsid w:val="00482720"/>
    <w:rsid w:val="004835E7"/>
    <w:rsid w:val="00483672"/>
    <w:rsid w:val="0048381D"/>
    <w:rsid w:val="00484485"/>
    <w:rsid w:val="00484ECD"/>
    <w:rsid w:val="004851F3"/>
    <w:rsid w:val="00485420"/>
    <w:rsid w:val="004854FF"/>
    <w:rsid w:val="0048597B"/>
    <w:rsid w:val="004859E1"/>
    <w:rsid w:val="00485F35"/>
    <w:rsid w:val="004865B3"/>
    <w:rsid w:val="004867E2"/>
    <w:rsid w:val="00486FFC"/>
    <w:rsid w:val="0048726C"/>
    <w:rsid w:val="00487429"/>
    <w:rsid w:val="00490251"/>
    <w:rsid w:val="004905C4"/>
    <w:rsid w:val="00490B17"/>
    <w:rsid w:val="00490FA3"/>
    <w:rsid w:val="00491108"/>
    <w:rsid w:val="0049121F"/>
    <w:rsid w:val="0049159F"/>
    <w:rsid w:val="00491822"/>
    <w:rsid w:val="00491B3A"/>
    <w:rsid w:val="00491D84"/>
    <w:rsid w:val="00491EDA"/>
    <w:rsid w:val="00491F9F"/>
    <w:rsid w:val="00492AF5"/>
    <w:rsid w:val="00492C6F"/>
    <w:rsid w:val="00492CFD"/>
    <w:rsid w:val="004935B0"/>
    <w:rsid w:val="004937AD"/>
    <w:rsid w:val="00494207"/>
    <w:rsid w:val="0049449F"/>
    <w:rsid w:val="00494DD5"/>
    <w:rsid w:val="00494E00"/>
    <w:rsid w:val="0049505E"/>
    <w:rsid w:val="004954CC"/>
    <w:rsid w:val="0049601E"/>
    <w:rsid w:val="004962D2"/>
    <w:rsid w:val="00497652"/>
    <w:rsid w:val="00497A7D"/>
    <w:rsid w:val="00497D2A"/>
    <w:rsid w:val="00497ED4"/>
    <w:rsid w:val="004A02C4"/>
    <w:rsid w:val="004A06C8"/>
    <w:rsid w:val="004A0DA1"/>
    <w:rsid w:val="004A13D6"/>
    <w:rsid w:val="004A1593"/>
    <w:rsid w:val="004A1678"/>
    <w:rsid w:val="004A181B"/>
    <w:rsid w:val="004A1BA8"/>
    <w:rsid w:val="004A27B9"/>
    <w:rsid w:val="004A2A8E"/>
    <w:rsid w:val="004A2AD5"/>
    <w:rsid w:val="004A3AC8"/>
    <w:rsid w:val="004A3FB8"/>
    <w:rsid w:val="004A3FFE"/>
    <w:rsid w:val="004A445B"/>
    <w:rsid w:val="004A4626"/>
    <w:rsid w:val="004A46E0"/>
    <w:rsid w:val="004A50AE"/>
    <w:rsid w:val="004A52E9"/>
    <w:rsid w:val="004A5359"/>
    <w:rsid w:val="004A557D"/>
    <w:rsid w:val="004A5989"/>
    <w:rsid w:val="004A5B58"/>
    <w:rsid w:val="004A6040"/>
    <w:rsid w:val="004A63EA"/>
    <w:rsid w:val="004A6546"/>
    <w:rsid w:val="004A6597"/>
    <w:rsid w:val="004A69E3"/>
    <w:rsid w:val="004A7183"/>
    <w:rsid w:val="004A76AB"/>
    <w:rsid w:val="004A76E5"/>
    <w:rsid w:val="004A7824"/>
    <w:rsid w:val="004A7848"/>
    <w:rsid w:val="004A793B"/>
    <w:rsid w:val="004B03A4"/>
    <w:rsid w:val="004B0971"/>
    <w:rsid w:val="004B0F7C"/>
    <w:rsid w:val="004B1465"/>
    <w:rsid w:val="004B1669"/>
    <w:rsid w:val="004B1CB4"/>
    <w:rsid w:val="004B299B"/>
    <w:rsid w:val="004B2BAF"/>
    <w:rsid w:val="004B2F18"/>
    <w:rsid w:val="004B3164"/>
    <w:rsid w:val="004B3C59"/>
    <w:rsid w:val="004B3DDB"/>
    <w:rsid w:val="004B4221"/>
    <w:rsid w:val="004B44FD"/>
    <w:rsid w:val="004B459F"/>
    <w:rsid w:val="004B4ABF"/>
    <w:rsid w:val="004B4B85"/>
    <w:rsid w:val="004B4EAA"/>
    <w:rsid w:val="004B5BF2"/>
    <w:rsid w:val="004B5CFC"/>
    <w:rsid w:val="004B63D7"/>
    <w:rsid w:val="004B6DFC"/>
    <w:rsid w:val="004B6F79"/>
    <w:rsid w:val="004B6FBA"/>
    <w:rsid w:val="004B7076"/>
    <w:rsid w:val="004B73EC"/>
    <w:rsid w:val="004B774D"/>
    <w:rsid w:val="004C015B"/>
    <w:rsid w:val="004C0356"/>
    <w:rsid w:val="004C04D5"/>
    <w:rsid w:val="004C0A85"/>
    <w:rsid w:val="004C16E9"/>
    <w:rsid w:val="004C17A3"/>
    <w:rsid w:val="004C1861"/>
    <w:rsid w:val="004C1BD1"/>
    <w:rsid w:val="004C1CFB"/>
    <w:rsid w:val="004C2921"/>
    <w:rsid w:val="004C2AC2"/>
    <w:rsid w:val="004C2E46"/>
    <w:rsid w:val="004C32DF"/>
    <w:rsid w:val="004C345E"/>
    <w:rsid w:val="004C350D"/>
    <w:rsid w:val="004C3818"/>
    <w:rsid w:val="004C3921"/>
    <w:rsid w:val="004C3B02"/>
    <w:rsid w:val="004C4465"/>
    <w:rsid w:val="004C4623"/>
    <w:rsid w:val="004C4696"/>
    <w:rsid w:val="004C4AED"/>
    <w:rsid w:val="004C55DF"/>
    <w:rsid w:val="004C5729"/>
    <w:rsid w:val="004C60C3"/>
    <w:rsid w:val="004C61A8"/>
    <w:rsid w:val="004C68C7"/>
    <w:rsid w:val="004C6D25"/>
    <w:rsid w:val="004C7062"/>
    <w:rsid w:val="004C71E9"/>
    <w:rsid w:val="004C72A8"/>
    <w:rsid w:val="004C743A"/>
    <w:rsid w:val="004D023A"/>
    <w:rsid w:val="004D0774"/>
    <w:rsid w:val="004D0B95"/>
    <w:rsid w:val="004D0FEC"/>
    <w:rsid w:val="004D112C"/>
    <w:rsid w:val="004D1BF3"/>
    <w:rsid w:val="004D2C2D"/>
    <w:rsid w:val="004D3050"/>
    <w:rsid w:val="004D3162"/>
    <w:rsid w:val="004D31D0"/>
    <w:rsid w:val="004D3AB6"/>
    <w:rsid w:val="004D4733"/>
    <w:rsid w:val="004D4DA2"/>
    <w:rsid w:val="004D4EAA"/>
    <w:rsid w:val="004D60B8"/>
    <w:rsid w:val="004D60D2"/>
    <w:rsid w:val="004D627C"/>
    <w:rsid w:val="004D69B5"/>
    <w:rsid w:val="004D6AEE"/>
    <w:rsid w:val="004D6B5F"/>
    <w:rsid w:val="004D6C28"/>
    <w:rsid w:val="004D6C72"/>
    <w:rsid w:val="004D7227"/>
    <w:rsid w:val="004D75A8"/>
    <w:rsid w:val="004D7A68"/>
    <w:rsid w:val="004D7B5E"/>
    <w:rsid w:val="004D7C3E"/>
    <w:rsid w:val="004E05AB"/>
    <w:rsid w:val="004E072C"/>
    <w:rsid w:val="004E0844"/>
    <w:rsid w:val="004E08BB"/>
    <w:rsid w:val="004E0E7F"/>
    <w:rsid w:val="004E0EB8"/>
    <w:rsid w:val="004E0F22"/>
    <w:rsid w:val="004E18E9"/>
    <w:rsid w:val="004E19F7"/>
    <w:rsid w:val="004E1A72"/>
    <w:rsid w:val="004E21C3"/>
    <w:rsid w:val="004E2ADC"/>
    <w:rsid w:val="004E2F52"/>
    <w:rsid w:val="004E3B68"/>
    <w:rsid w:val="004E3BA1"/>
    <w:rsid w:val="004E43B2"/>
    <w:rsid w:val="004E4C8D"/>
    <w:rsid w:val="004E4E51"/>
    <w:rsid w:val="004E4F95"/>
    <w:rsid w:val="004E51DE"/>
    <w:rsid w:val="004E5489"/>
    <w:rsid w:val="004E557A"/>
    <w:rsid w:val="004E5B41"/>
    <w:rsid w:val="004E5D6D"/>
    <w:rsid w:val="004E5E1A"/>
    <w:rsid w:val="004E5E99"/>
    <w:rsid w:val="004E6B65"/>
    <w:rsid w:val="004E73AE"/>
    <w:rsid w:val="004E77A6"/>
    <w:rsid w:val="004E7924"/>
    <w:rsid w:val="004E7DED"/>
    <w:rsid w:val="004E7FB6"/>
    <w:rsid w:val="004F1D02"/>
    <w:rsid w:val="004F2017"/>
    <w:rsid w:val="004F238C"/>
    <w:rsid w:val="004F2679"/>
    <w:rsid w:val="004F2F21"/>
    <w:rsid w:val="004F357F"/>
    <w:rsid w:val="004F3DE5"/>
    <w:rsid w:val="004F4241"/>
    <w:rsid w:val="004F4247"/>
    <w:rsid w:val="004F44B6"/>
    <w:rsid w:val="004F4AD0"/>
    <w:rsid w:val="004F4B79"/>
    <w:rsid w:val="004F5CB9"/>
    <w:rsid w:val="004F5D07"/>
    <w:rsid w:val="004F6348"/>
    <w:rsid w:val="004F690B"/>
    <w:rsid w:val="004F6913"/>
    <w:rsid w:val="004F6F8C"/>
    <w:rsid w:val="004F77BB"/>
    <w:rsid w:val="004F7865"/>
    <w:rsid w:val="004F78D3"/>
    <w:rsid w:val="00500523"/>
    <w:rsid w:val="00500AA9"/>
    <w:rsid w:val="00500E65"/>
    <w:rsid w:val="00501274"/>
    <w:rsid w:val="00501417"/>
    <w:rsid w:val="00501737"/>
    <w:rsid w:val="0050174E"/>
    <w:rsid w:val="00501854"/>
    <w:rsid w:val="00501F51"/>
    <w:rsid w:val="00501FF8"/>
    <w:rsid w:val="00502127"/>
    <w:rsid w:val="0050219B"/>
    <w:rsid w:val="0050282D"/>
    <w:rsid w:val="00502CB6"/>
    <w:rsid w:val="00502EEE"/>
    <w:rsid w:val="00502F1E"/>
    <w:rsid w:val="0050343A"/>
    <w:rsid w:val="00503F17"/>
    <w:rsid w:val="00503F3A"/>
    <w:rsid w:val="00504347"/>
    <w:rsid w:val="00504D71"/>
    <w:rsid w:val="0050525B"/>
    <w:rsid w:val="005055A5"/>
    <w:rsid w:val="00505EFD"/>
    <w:rsid w:val="00506081"/>
    <w:rsid w:val="005068EF"/>
    <w:rsid w:val="00506928"/>
    <w:rsid w:val="00506C0D"/>
    <w:rsid w:val="00507129"/>
    <w:rsid w:val="005077EF"/>
    <w:rsid w:val="00507CF1"/>
    <w:rsid w:val="00510C41"/>
    <w:rsid w:val="00510EED"/>
    <w:rsid w:val="0051107D"/>
    <w:rsid w:val="0051112E"/>
    <w:rsid w:val="005116BA"/>
    <w:rsid w:val="00511AD5"/>
    <w:rsid w:val="00511B65"/>
    <w:rsid w:val="00511C14"/>
    <w:rsid w:val="00511DC7"/>
    <w:rsid w:val="00512596"/>
    <w:rsid w:val="005128E0"/>
    <w:rsid w:val="00512AD0"/>
    <w:rsid w:val="005135CE"/>
    <w:rsid w:val="00513C1A"/>
    <w:rsid w:val="005142C5"/>
    <w:rsid w:val="005145B1"/>
    <w:rsid w:val="00514CE7"/>
    <w:rsid w:val="0051501B"/>
    <w:rsid w:val="005152B5"/>
    <w:rsid w:val="00515886"/>
    <w:rsid w:val="00515B2A"/>
    <w:rsid w:val="00515E2F"/>
    <w:rsid w:val="005165E7"/>
    <w:rsid w:val="00516B69"/>
    <w:rsid w:val="00516DE3"/>
    <w:rsid w:val="005170DD"/>
    <w:rsid w:val="005177C7"/>
    <w:rsid w:val="00517FC6"/>
    <w:rsid w:val="00520CF4"/>
    <w:rsid w:val="00520EAD"/>
    <w:rsid w:val="00521210"/>
    <w:rsid w:val="0052123C"/>
    <w:rsid w:val="00521319"/>
    <w:rsid w:val="00521DD5"/>
    <w:rsid w:val="0052228A"/>
    <w:rsid w:val="005223E0"/>
    <w:rsid w:val="00522BC8"/>
    <w:rsid w:val="00522C17"/>
    <w:rsid w:val="00522E60"/>
    <w:rsid w:val="00522E9D"/>
    <w:rsid w:val="0052329D"/>
    <w:rsid w:val="00523C28"/>
    <w:rsid w:val="00523DCD"/>
    <w:rsid w:val="00524690"/>
    <w:rsid w:val="005248F2"/>
    <w:rsid w:val="00525131"/>
    <w:rsid w:val="005263CF"/>
    <w:rsid w:val="00526E88"/>
    <w:rsid w:val="0052721E"/>
    <w:rsid w:val="00527387"/>
    <w:rsid w:val="00527F8C"/>
    <w:rsid w:val="00530BF0"/>
    <w:rsid w:val="00530D68"/>
    <w:rsid w:val="0053176B"/>
    <w:rsid w:val="00531EFD"/>
    <w:rsid w:val="00531FD9"/>
    <w:rsid w:val="00532606"/>
    <w:rsid w:val="00532942"/>
    <w:rsid w:val="005329C8"/>
    <w:rsid w:val="0053340B"/>
    <w:rsid w:val="005339E9"/>
    <w:rsid w:val="00533F9B"/>
    <w:rsid w:val="005341B3"/>
    <w:rsid w:val="0053420B"/>
    <w:rsid w:val="00534EDC"/>
    <w:rsid w:val="00535F5A"/>
    <w:rsid w:val="005361C0"/>
    <w:rsid w:val="0053622D"/>
    <w:rsid w:val="00536CFA"/>
    <w:rsid w:val="00536F42"/>
    <w:rsid w:val="00537182"/>
    <w:rsid w:val="00537777"/>
    <w:rsid w:val="00537D19"/>
    <w:rsid w:val="005400C8"/>
    <w:rsid w:val="005402C4"/>
    <w:rsid w:val="005406B9"/>
    <w:rsid w:val="00540A61"/>
    <w:rsid w:val="00540D11"/>
    <w:rsid w:val="00541EDD"/>
    <w:rsid w:val="00542743"/>
    <w:rsid w:val="0054276D"/>
    <w:rsid w:val="0054282D"/>
    <w:rsid w:val="00542B5C"/>
    <w:rsid w:val="00542C2D"/>
    <w:rsid w:val="005430BC"/>
    <w:rsid w:val="00543337"/>
    <w:rsid w:val="0054350D"/>
    <w:rsid w:val="0054378A"/>
    <w:rsid w:val="00543F23"/>
    <w:rsid w:val="005447B0"/>
    <w:rsid w:val="005453CB"/>
    <w:rsid w:val="00545543"/>
    <w:rsid w:val="00545F7D"/>
    <w:rsid w:val="0054650C"/>
    <w:rsid w:val="00546526"/>
    <w:rsid w:val="0054668E"/>
    <w:rsid w:val="00546DF6"/>
    <w:rsid w:val="00546F82"/>
    <w:rsid w:val="005478BA"/>
    <w:rsid w:val="005478BD"/>
    <w:rsid w:val="005479E3"/>
    <w:rsid w:val="00547E58"/>
    <w:rsid w:val="00547F6C"/>
    <w:rsid w:val="00550FEB"/>
    <w:rsid w:val="0055122C"/>
    <w:rsid w:val="00551985"/>
    <w:rsid w:val="005520E2"/>
    <w:rsid w:val="00552BD3"/>
    <w:rsid w:val="005532A0"/>
    <w:rsid w:val="00553A3B"/>
    <w:rsid w:val="00553EDA"/>
    <w:rsid w:val="00554154"/>
    <w:rsid w:val="005546FB"/>
    <w:rsid w:val="00554805"/>
    <w:rsid w:val="00554C98"/>
    <w:rsid w:val="00555109"/>
    <w:rsid w:val="00555150"/>
    <w:rsid w:val="0055543E"/>
    <w:rsid w:val="00555D97"/>
    <w:rsid w:val="00555DF5"/>
    <w:rsid w:val="00555F5A"/>
    <w:rsid w:val="0055634A"/>
    <w:rsid w:val="00556476"/>
    <w:rsid w:val="0055685D"/>
    <w:rsid w:val="0055699E"/>
    <w:rsid w:val="00556B35"/>
    <w:rsid w:val="00556DBA"/>
    <w:rsid w:val="005571C9"/>
    <w:rsid w:val="005572B9"/>
    <w:rsid w:val="0055741A"/>
    <w:rsid w:val="005576FB"/>
    <w:rsid w:val="00557EBD"/>
    <w:rsid w:val="00557F27"/>
    <w:rsid w:val="00557F54"/>
    <w:rsid w:val="00560916"/>
    <w:rsid w:val="00560C37"/>
    <w:rsid w:val="00560E3A"/>
    <w:rsid w:val="005611B7"/>
    <w:rsid w:val="00561651"/>
    <w:rsid w:val="005618D4"/>
    <w:rsid w:val="00561E2F"/>
    <w:rsid w:val="00562F8B"/>
    <w:rsid w:val="005631AD"/>
    <w:rsid w:val="005632D3"/>
    <w:rsid w:val="005639E5"/>
    <w:rsid w:val="00563A79"/>
    <w:rsid w:val="00564867"/>
    <w:rsid w:val="00564B29"/>
    <w:rsid w:val="005650FD"/>
    <w:rsid w:val="00565BE8"/>
    <w:rsid w:val="00565C79"/>
    <w:rsid w:val="00565CEF"/>
    <w:rsid w:val="00565DF0"/>
    <w:rsid w:val="005661A1"/>
    <w:rsid w:val="0056658C"/>
    <w:rsid w:val="0056696F"/>
    <w:rsid w:val="00566B26"/>
    <w:rsid w:val="00570501"/>
    <w:rsid w:val="005705C1"/>
    <w:rsid w:val="005706D8"/>
    <w:rsid w:val="00570F9C"/>
    <w:rsid w:val="00570FDF"/>
    <w:rsid w:val="005713B5"/>
    <w:rsid w:val="00571619"/>
    <w:rsid w:val="00572269"/>
    <w:rsid w:val="0057228A"/>
    <w:rsid w:val="0057244A"/>
    <w:rsid w:val="00572656"/>
    <w:rsid w:val="00572688"/>
    <w:rsid w:val="00572F26"/>
    <w:rsid w:val="00573C3B"/>
    <w:rsid w:val="00573D36"/>
    <w:rsid w:val="00574B43"/>
    <w:rsid w:val="005750C5"/>
    <w:rsid w:val="005751EB"/>
    <w:rsid w:val="005752C1"/>
    <w:rsid w:val="005752DE"/>
    <w:rsid w:val="00575575"/>
    <w:rsid w:val="00575D60"/>
    <w:rsid w:val="00575D8D"/>
    <w:rsid w:val="00575E44"/>
    <w:rsid w:val="00575E8F"/>
    <w:rsid w:val="0057623C"/>
    <w:rsid w:val="00576972"/>
    <w:rsid w:val="00576F31"/>
    <w:rsid w:val="00576F5C"/>
    <w:rsid w:val="00577146"/>
    <w:rsid w:val="00577248"/>
    <w:rsid w:val="005773B4"/>
    <w:rsid w:val="005774F0"/>
    <w:rsid w:val="005775EE"/>
    <w:rsid w:val="00577EE9"/>
    <w:rsid w:val="0058031A"/>
    <w:rsid w:val="00580E8E"/>
    <w:rsid w:val="00581285"/>
    <w:rsid w:val="005814C0"/>
    <w:rsid w:val="005815F1"/>
    <w:rsid w:val="00581AF6"/>
    <w:rsid w:val="00581FAE"/>
    <w:rsid w:val="005824F7"/>
    <w:rsid w:val="00583461"/>
    <w:rsid w:val="00583699"/>
    <w:rsid w:val="00583E2C"/>
    <w:rsid w:val="00583F54"/>
    <w:rsid w:val="00584A06"/>
    <w:rsid w:val="00585B8B"/>
    <w:rsid w:val="00585CDD"/>
    <w:rsid w:val="00585DF9"/>
    <w:rsid w:val="005865EB"/>
    <w:rsid w:val="005868C4"/>
    <w:rsid w:val="00586F30"/>
    <w:rsid w:val="00587058"/>
    <w:rsid w:val="0058773D"/>
    <w:rsid w:val="00587885"/>
    <w:rsid w:val="00587F2B"/>
    <w:rsid w:val="005900D6"/>
    <w:rsid w:val="0059017E"/>
    <w:rsid w:val="0059087F"/>
    <w:rsid w:val="00591032"/>
    <w:rsid w:val="00591859"/>
    <w:rsid w:val="00591957"/>
    <w:rsid w:val="00591A6E"/>
    <w:rsid w:val="00591CF0"/>
    <w:rsid w:val="005925E9"/>
    <w:rsid w:val="00592AF3"/>
    <w:rsid w:val="00592DD1"/>
    <w:rsid w:val="00593813"/>
    <w:rsid w:val="00593C1A"/>
    <w:rsid w:val="00593EDB"/>
    <w:rsid w:val="0059413A"/>
    <w:rsid w:val="00594BF7"/>
    <w:rsid w:val="00594CC6"/>
    <w:rsid w:val="00594F4F"/>
    <w:rsid w:val="00595C11"/>
    <w:rsid w:val="005960F7"/>
    <w:rsid w:val="00596163"/>
    <w:rsid w:val="005962C5"/>
    <w:rsid w:val="00596345"/>
    <w:rsid w:val="005966F5"/>
    <w:rsid w:val="00597AD7"/>
    <w:rsid w:val="00597BF9"/>
    <w:rsid w:val="00597DC3"/>
    <w:rsid w:val="005A0361"/>
    <w:rsid w:val="005A0C11"/>
    <w:rsid w:val="005A0F1F"/>
    <w:rsid w:val="005A1981"/>
    <w:rsid w:val="005A21B4"/>
    <w:rsid w:val="005A24E8"/>
    <w:rsid w:val="005A2574"/>
    <w:rsid w:val="005A2A37"/>
    <w:rsid w:val="005A2EFF"/>
    <w:rsid w:val="005A309A"/>
    <w:rsid w:val="005A3237"/>
    <w:rsid w:val="005A373D"/>
    <w:rsid w:val="005A37EF"/>
    <w:rsid w:val="005A3B8E"/>
    <w:rsid w:val="005A4321"/>
    <w:rsid w:val="005A4A08"/>
    <w:rsid w:val="005A4E51"/>
    <w:rsid w:val="005A4EA3"/>
    <w:rsid w:val="005A4F03"/>
    <w:rsid w:val="005A53A2"/>
    <w:rsid w:val="005A545F"/>
    <w:rsid w:val="005A5A59"/>
    <w:rsid w:val="005A5AAC"/>
    <w:rsid w:val="005A5EB7"/>
    <w:rsid w:val="005A63E7"/>
    <w:rsid w:val="005A73DC"/>
    <w:rsid w:val="005A7E06"/>
    <w:rsid w:val="005B0236"/>
    <w:rsid w:val="005B033C"/>
    <w:rsid w:val="005B048B"/>
    <w:rsid w:val="005B09AD"/>
    <w:rsid w:val="005B0B58"/>
    <w:rsid w:val="005B0E79"/>
    <w:rsid w:val="005B103D"/>
    <w:rsid w:val="005B1104"/>
    <w:rsid w:val="005B144B"/>
    <w:rsid w:val="005B193F"/>
    <w:rsid w:val="005B1A75"/>
    <w:rsid w:val="005B2232"/>
    <w:rsid w:val="005B2373"/>
    <w:rsid w:val="005B2665"/>
    <w:rsid w:val="005B2670"/>
    <w:rsid w:val="005B2680"/>
    <w:rsid w:val="005B293E"/>
    <w:rsid w:val="005B2A1F"/>
    <w:rsid w:val="005B2C43"/>
    <w:rsid w:val="005B4A65"/>
    <w:rsid w:val="005B4E53"/>
    <w:rsid w:val="005B5037"/>
    <w:rsid w:val="005B57ED"/>
    <w:rsid w:val="005B580F"/>
    <w:rsid w:val="005B5857"/>
    <w:rsid w:val="005B5A1A"/>
    <w:rsid w:val="005B6458"/>
    <w:rsid w:val="005B6571"/>
    <w:rsid w:val="005B657B"/>
    <w:rsid w:val="005B6C6C"/>
    <w:rsid w:val="005B720F"/>
    <w:rsid w:val="005C0D11"/>
    <w:rsid w:val="005C14D4"/>
    <w:rsid w:val="005C19C4"/>
    <w:rsid w:val="005C19FA"/>
    <w:rsid w:val="005C1B83"/>
    <w:rsid w:val="005C248B"/>
    <w:rsid w:val="005C25FF"/>
    <w:rsid w:val="005C2D55"/>
    <w:rsid w:val="005C30A3"/>
    <w:rsid w:val="005C346B"/>
    <w:rsid w:val="005C4517"/>
    <w:rsid w:val="005C4C1E"/>
    <w:rsid w:val="005C4D1B"/>
    <w:rsid w:val="005C53FA"/>
    <w:rsid w:val="005C5934"/>
    <w:rsid w:val="005C5ABC"/>
    <w:rsid w:val="005C5AE8"/>
    <w:rsid w:val="005C602E"/>
    <w:rsid w:val="005C6E7C"/>
    <w:rsid w:val="005C70CF"/>
    <w:rsid w:val="005C7179"/>
    <w:rsid w:val="005C7725"/>
    <w:rsid w:val="005C7C40"/>
    <w:rsid w:val="005D0352"/>
    <w:rsid w:val="005D044D"/>
    <w:rsid w:val="005D062C"/>
    <w:rsid w:val="005D0ABD"/>
    <w:rsid w:val="005D0B5F"/>
    <w:rsid w:val="005D0B85"/>
    <w:rsid w:val="005D1178"/>
    <w:rsid w:val="005D18AD"/>
    <w:rsid w:val="005D1A9D"/>
    <w:rsid w:val="005D243A"/>
    <w:rsid w:val="005D2696"/>
    <w:rsid w:val="005D26B4"/>
    <w:rsid w:val="005D26D8"/>
    <w:rsid w:val="005D27BC"/>
    <w:rsid w:val="005D328F"/>
    <w:rsid w:val="005D3A57"/>
    <w:rsid w:val="005D3CD9"/>
    <w:rsid w:val="005D3E29"/>
    <w:rsid w:val="005D3F85"/>
    <w:rsid w:val="005D4DDD"/>
    <w:rsid w:val="005D50D9"/>
    <w:rsid w:val="005D59AE"/>
    <w:rsid w:val="005D5A8F"/>
    <w:rsid w:val="005D5AB8"/>
    <w:rsid w:val="005D5F75"/>
    <w:rsid w:val="005D649A"/>
    <w:rsid w:val="005D680B"/>
    <w:rsid w:val="005D73CC"/>
    <w:rsid w:val="005D7BE5"/>
    <w:rsid w:val="005D7EF3"/>
    <w:rsid w:val="005E073C"/>
    <w:rsid w:val="005E0925"/>
    <w:rsid w:val="005E1196"/>
    <w:rsid w:val="005E1204"/>
    <w:rsid w:val="005E1995"/>
    <w:rsid w:val="005E2C12"/>
    <w:rsid w:val="005E2C92"/>
    <w:rsid w:val="005E2F3B"/>
    <w:rsid w:val="005E3353"/>
    <w:rsid w:val="005E3428"/>
    <w:rsid w:val="005E3B44"/>
    <w:rsid w:val="005E4744"/>
    <w:rsid w:val="005E5275"/>
    <w:rsid w:val="005E59B4"/>
    <w:rsid w:val="005E5B64"/>
    <w:rsid w:val="005E5E6C"/>
    <w:rsid w:val="005E5F99"/>
    <w:rsid w:val="005E67AF"/>
    <w:rsid w:val="005E6CBC"/>
    <w:rsid w:val="005E72FF"/>
    <w:rsid w:val="005E736A"/>
    <w:rsid w:val="005E73C0"/>
    <w:rsid w:val="005E7596"/>
    <w:rsid w:val="005E765D"/>
    <w:rsid w:val="005E776A"/>
    <w:rsid w:val="005E782B"/>
    <w:rsid w:val="005F00E7"/>
    <w:rsid w:val="005F04FB"/>
    <w:rsid w:val="005F07ED"/>
    <w:rsid w:val="005F0F77"/>
    <w:rsid w:val="005F1246"/>
    <w:rsid w:val="005F14BF"/>
    <w:rsid w:val="005F178F"/>
    <w:rsid w:val="005F191B"/>
    <w:rsid w:val="005F210A"/>
    <w:rsid w:val="005F26A9"/>
    <w:rsid w:val="005F2706"/>
    <w:rsid w:val="005F282A"/>
    <w:rsid w:val="005F2875"/>
    <w:rsid w:val="005F2AF9"/>
    <w:rsid w:val="005F2D31"/>
    <w:rsid w:val="005F3A5D"/>
    <w:rsid w:val="005F3E36"/>
    <w:rsid w:val="005F3FC1"/>
    <w:rsid w:val="005F4BB8"/>
    <w:rsid w:val="005F4FB8"/>
    <w:rsid w:val="005F527F"/>
    <w:rsid w:val="005F5515"/>
    <w:rsid w:val="005F575F"/>
    <w:rsid w:val="005F6485"/>
    <w:rsid w:val="005F6699"/>
    <w:rsid w:val="005F6A8F"/>
    <w:rsid w:val="005F6BB7"/>
    <w:rsid w:val="005F6CC3"/>
    <w:rsid w:val="005F740F"/>
    <w:rsid w:val="005F7588"/>
    <w:rsid w:val="005F7613"/>
    <w:rsid w:val="005F787F"/>
    <w:rsid w:val="005F79B0"/>
    <w:rsid w:val="006003DE"/>
    <w:rsid w:val="00600A20"/>
    <w:rsid w:val="00601A68"/>
    <w:rsid w:val="00601D63"/>
    <w:rsid w:val="006028D3"/>
    <w:rsid w:val="0060291B"/>
    <w:rsid w:val="00602C0B"/>
    <w:rsid w:val="006038C3"/>
    <w:rsid w:val="00603DB9"/>
    <w:rsid w:val="006045DD"/>
    <w:rsid w:val="0060495F"/>
    <w:rsid w:val="0060578E"/>
    <w:rsid w:val="00606042"/>
    <w:rsid w:val="006062E8"/>
    <w:rsid w:val="006063FB"/>
    <w:rsid w:val="00606977"/>
    <w:rsid w:val="00606C3E"/>
    <w:rsid w:val="00606FBA"/>
    <w:rsid w:val="00606FDE"/>
    <w:rsid w:val="00607187"/>
    <w:rsid w:val="0060740A"/>
    <w:rsid w:val="00607669"/>
    <w:rsid w:val="006076F4"/>
    <w:rsid w:val="00607AFD"/>
    <w:rsid w:val="00607F15"/>
    <w:rsid w:val="00611AF5"/>
    <w:rsid w:val="00611B12"/>
    <w:rsid w:val="00611E07"/>
    <w:rsid w:val="00612F97"/>
    <w:rsid w:val="00613187"/>
    <w:rsid w:val="00613420"/>
    <w:rsid w:val="0061345D"/>
    <w:rsid w:val="00613626"/>
    <w:rsid w:val="006137CE"/>
    <w:rsid w:val="00613ECD"/>
    <w:rsid w:val="006148B8"/>
    <w:rsid w:val="00614A6A"/>
    <w:rsid w:val="00615190"/>
    <w:rsid w:val="0061549B"/>
    <w:rsid w:val="0061583D"/>
    <w:rsid w:val="00615992"/>
    <w:rsid w:val="006167BD"/>
    <w:rsid w:val="00616802"/>
    <w:rsid w:val="00616D6A"/>
    <w:rsid w:val="0061711C"/>
    <w:rsid w:val="0061749D"/>
    <w:rsid w:val="00617E12"/>
    <w:rsid w:val="00620C25"/>
    <w:rsid w:val="00620EC0"/>
    <w:rsid w:val="0062133F"/>
    <w:rsid w:val="0062138B"/>
    <w:rsid w:val="00621477"/>
    <w:rsid w:val="00621ADA"/>
    <w:rsid w:val="00621BBA"/>
    <w:rsid w:val="00621DB5"/>
    <w:rsid w:val="00621F55"/>
    <w:rsid w:val="00622327"/>
    <w:rsid w:val="00622C8A"/>
    <w:rsid w:val="00622D97"/>
    <w:rsid w:val="00623E55"/>
    <w:rsid w:val="00623F7B"/>
    <w:rsid w:val="0062403D"/>
    <w:rsid w:val="0062433B"/>
    <w:rsid w:val="00624B52"/>
    <w:rsid w:val="00624BD4"/>
    <w:rsid w:val="00625185"/>
    <w:rsid w:val="00626057"/>
    <w:rsid w:val="0062612C"/>
    <w:rsid w:val="006264E8"/>
    <w:rsid w:val="006276A3"/>
    <w:rsid w:val="00627B6D"/>
    <w:rsid w:val="00627CB7"/>
    <w:rsid w:val="00627F1F"/>
    <w:rsid w:val="00627FCE"/>
    <w:rsid w:val="0063002B"/>
    <w:rsid w:val="00630051"/>
    <w:rsid w:val="00630461"/>
    <w:rsid w:val="006304D4"/>
    <w:rsid w:val="0063158F"/>
    <w:rsid w:val="006317EF"/>
    <w:rsid w:val="00631981"/>
    <w:rsid w:val="00631D6B"/>
    <w:rsid w:val="00632183"/>
    <w:rsid w:val="00632347"/>
    <w:rsid w:val="006326D4"/>
    <w:rsid w:val="00632EB8"/>
    <w:rsid w:val="006330A1"/>
    <w:rsid w:val="006332CA"/>
    <w:rsid w:val="00634093"/>
    <w:rsid w:val="006340CE"/>
    <w:rsid w:val="006344F0"/>
    <w:rsid w:val="00634509"/>
    <w:rsid w:val="0063479F"/>
    <w:rsid w:val="00634B88"/>
    <w:rsid w:val="00634BF8"/>
    <w:rsid w:val="00634EF2"/>
    <w:rsid w:val="006353F0"/>
    <w:rsid w:val="00635549"/>
    <w:rsid w:val="006357B5"/>
    <w:rsid w:val="00635816"/>
    <w:rsid w:val="00636061"/>
    <w:rsid w:val="006364A1"/>
    <w:rsid w:val="006364F3"/>
    <w:rsid w:val="006365CA"/>
    <w:rsid w:val="006365D2"/>
    <w:rsid w:val="0063678E"/>
    <w:rsid w:val="00636C17"/>
    <w:rsid w:val="006377AB"/>
    <w:rsid w:val="0063795C"/>
    <w:rsid w:val="00637BFD"/>
    <w:rsid w:val="00637C5C"/>
    <w:rsid w:val="00637E6E"/>
    <w:rsid w:val="00640100"/>
    <w:rsid w:val="00641C4E"/>
    <w:rsid w:val="00641FB3"/>
    <w:rsid w:val="0064205D"/>
    <w:rsid w:val="00642DD3"/>
    <w:rsid w:val="00642E6D"/>
    <w:rsid w:val="0064316D"/>
    <w:rsid w:val="006438DC"/>
    <w:rsid w:val="00643E44"/>
    <w:rsid w:val="006442C9"/>
    <w:rsid w:val="0064434C"/>
    <w:rsid w:val="006447FE"/>
    <w:rsid w:val="00644AFF"/>
    <w:rsid w:val="0064565E"/>
    <w:rsid w:val="006461EC"/>
    <w:rsid w:val="00646256"/>
    <w:rsid w:val="0064638E"/>
    <w:rsid w:val="006464AC"/>
    <w:rsid w:val="00646C02"/>
    <w:rsid w:val="00646E7F"/>
    <w:rsid w:val="006471CC"/>
    <w:rsid w:val="0064722B"/>
    <w:rsid w:val="006472FE"/>
    <w:rsid w:val="00647A29"/>
    <w:rsid w:val="00647D53"/>
    <w:rsid w:val="00647F2C"/>
    <w:rsid w:val="00647F94"/>
    <w:rsid w:val="006500FB"/>
    <w:rsid w:val="00650328"/>
    <w:rsid w:val="00650627"/>
    <w:rsid w:val="0065079F"/>
    <w:rsid w:val="00651161"/>
    <w:rsid w:val="00651198"/>
    <w:rsid w:val="00651932"/>
    <w:rsid w:val="006529F8"/>
    <w:rsid w:val="00652A28"/>
    <w:rsid w:val="0065379F"/>
    <w:rsid w:val="0065382D"/>
    <w:rsid w:val="00653919"/>
    <w:rsid w:val="00654CC4"/>
    <w:rsid w:val="006557F5"/>
    <w:rsid w:val="00655A66"/>
    <w:rsid w:val="00655B18"/>
    <w:rsid w:val="00656188"/>
    <w:rsid w:val="00656838"/>
    <w:rsid w:val="0065683F"/>
    <w:rsid w:val="0065715A"/>
    <w:rsid w:val="0065750C"/>
    <w:rsid w:val="006575E9"/>
    <w:rsid w:val="006610F1"/>
    <w:rsid w:val="00661770"/>
    <w:rsid w:val="00661C6B"/>
    <w:rsid w:val="00661FC3"/>
    <w:rsid w:val="00662361"/>
    <w:rsid w:val="0066285F"/>
    <w:rsid w:val="00662902"/>
    <w:rsid w:val="00662D3E"/>
    <w:rsid w:val="006632FA"/>
    <w:rsid w:val="006634F9"/>
    <w:rsid w:val="00664469"/>
    <w:rsid w:val="00664705"/>
    <w:rsid w:val="006647BB"/>
    <w:rsid w:val="00664A14"/>
    <w:rsid w:val="006650EA"/>
    <w:rsid w:val="00665286"/>
    <w:rsid w:val="00665AB4"/>
    <w:rsid w:val="00666632"/>
    <w:rsid w:val="006671FF"/>
    <w:rsid w:val="006675D5"/>
    <w:rsid w:val="00667BE3"/>
    <w:rsid w:val="00667CD5"/>
    <w:rsid w:val="0067048C"/>
    <w:rsid w:val="00670C67"/>
    <w:rsid w:val="00671004"/>
    <w:rsid w:val="006711B5"/>
    <w:rsid w:val="00671337"/>
    <w:rsid w:val="00671385"/>
    <w:rsid w:val="00671586"/>
    <w:rsid w:val="006719B2"/>
    <w:rsid w:val="00671C7D"/>
    <w:rsid w:val="00671E6C"/>
    <w:rsid w:val="006722F5"/>
    <w:rsid w:val="00672511"/>
    <w:rsid w:val="00672646"/>
    <w:rsid w:val="00672D30"/>
    <w:rsid w:val="00673AF6"/>
    <w:rsid w:val="00673E89"/>
    <w:rsid w:val="00674262"/>
    <w:rsid w:val="006745BF"/>
    <w:rsid w:val="00674D97"/>
    <w:rsid w:val="00674DE5"/>
    <w:rsid w:val="00674E42"/>
    <w:rsid w:val="00675F46"/>
    <w:rsid w:val="00676114"/>
    <w:rsid w:val="00676563"/>
    <w:rsid w:val="0067673C"/>
    <w:rsid w:val="006768F5"/>
    <w:rsid w:val="00676B5A"/>
    <w:rsid w:val="00677368"/>
    <w:rsid w:val="00677B56"/>
    <w:rsid w:val="00680386"/>
    <w:rsid w:val="006810CD"/>
    <w:rsid w:val="006813F8"/>
    <w:rsid w:val="00681755"/>
    <w:rsid w:val="006819DF"/>
    <w:rsid w:val="00681E0B"/>
    <w:rsid w:val="00681F0E"/>
    <w:rsid w:val="00682112"/>
    <w:rsid w:val="00682274"/>
    <w:rsid w:val="006822A1"/>
    <w:rsid w:val="0068260C"/>
    <w:rsid w:val="006826A5"/>
    <w:rsid w:val="00682759"/>
    <w:rsid w:val="006828F5"/>
    <w:rsid w:val="00682BA6"/>
    <w:rsid w:val="00682F2A"/>
    <w:rsid w:val="0068302C"/>
    <w:rsid w:val="00683400"/>
    <w:rsid w:val="006849A1"/>
    <w:rsid w:val="00684F57"/>
    <w:rsid w:val="00684F5B"/>
    <w:rsid w:val="00685078"/>
    <w:rsid w:val="0068538B"/>
    <w:rsid w:val="00685C7D"/>
    <w:rsid w:val="00686383"/>
    <w:rsid w:val="0068639E"/>
    <w:rsid w:val="006867FC"/>
    <w:rsid w:val="00686957"/>
    <w:rsid w:val="00686E90"/>
    <w:rsid w:val="006872BA"/>
    <w:rsid w:val="00690152"/>
    <w:rsid w:val="0069019C"/>
    <w:rsid w:val="006905E3"/>
    <w:rsid w:val="00690795"/>
    <w:rsid w:val="00690981"/>
    <w:rsid w:val="00690E53"/>
    <w:rsid w:val="00691648"/>
    <w:rsid w:val="006917D7"/>
    <w:rsid w:val="00691EDA"/>
    <w:rsid w:val="006920B4"/>
    <w:rsid w:val="006926A3"/>
    <w:rsid w:val="0069298E"/>
    <w:rsid w:val="00693305"/>
    <w:rsid w:val="00693D80"/>
    <w:rsid w:val="006940AA"/>
    <w:rsid w:val="006942CB"/>
    <w:rsid w:val="0069434C"/>
    <w:rsid w:val="006946E6"/>
    <w:rsid w:val="00694739"/>
    <w:rsid w:val="006947F5"/>
    <w:rsid w:val="00694BC8"/>
    <w:rsid w:val="00694C96"/>
    <w:rsid w:val="00694F44"/>
    <w:rsid w:val="00695097"/>
    <w:rsid w:val="0069591E"/>
    <w:rsid w:val="00695DA1"/>
    <w:rsid w:val="006962CA"/>
    <w:rsid w:val="0069644B"/>
    <w:rsid w:val="006964BA"/>
    <w:rsid w:val="00696585"/>
    <w:rsid w:val="006968CB"/>
    <w:rsid w:val="00696C85"/>
    <w:rsid w:val="00696EF9"/>
    <w:rsid w:val="00696F51"/>
    <w:rsid w:val="00697171"/>
    <w:rsid w:val="006979A5"/>
    <w:rsid w:val="00697ACB"/>
    <w:rsid w:val="00697D8F"/>
    <w:rsid w:val="006A016F"/>
    <w:rsid w:val="006A052D"/>
    <w:rsid w:val="006A0922"/>
    <w:rsid w:val="006A0AD2"/>
    <w:rsid w:val="006A0DF7"/>
    <w:rsid w:val="006A101B"/>
    <w:rsid w:val="006A17D8"/>
    <w:rsid w:val="006A1D25"/>
    <w:rsid w:val="006A1EDE"/>
    <w:rsid w:val="006A23AA"/>
    <w:rsid w:val="006A2FF8"/>
    <w:rsid w:val="006A3231"/>
    <w:rsid w:val="006A3AD9"/>
    <w:rsid w:val="006A3B85"/>
    <w:rsid w:val="006A410E"/>
    <w:rsid w:val="006A4321"/>
    <w:rsid w:val="006A43D9"/>
    <w:rsid w:val="006A4FF6"/>
    <w:rsid w:val="006A51CA"/>
    <w:rsid w:val="006A5231"/>
    <w:rsid w:val="006A5593"/>
    <w:rsid w:val="006A566C"/>
    <w:rsid w:val="006A5B08"/>
    <w:rsid w:val="006A69DF"/>
    <w:rsid w:val="006A6B99"/>
    <w:rsid w:val="006A6E1E"/>
    <w:rsid w:val="006A6F87"/>
    <w:rsid w:val="006A7C7D"/>
    <w:rsid w:val="006A7E5F"/>
    <w:rsid w:val="006B05C2"/>
    <w:rsid w:val="006B09D6"/>
    <w:rsid w:val="006B0B81"/>
    <w:rsid w:val="006B0DED"/>
    <w:rsid w:val="006B0FCD"/>
    <w:rsid w:val="006B13FF"/>
    <w:rsid w:val="006B15A9"/>
    <w:rsid w:val="006B16E7"/>
    <w:rsid w:val="006B17DD"/>
    <w:rsid w:val="006B24A0"/>
    <w:rsid w:val="006B24E5"/>
    <w:rsid w:val="006B261B"/>
    <w:rsid w:val="006B2BC6"/>
    <w:rsid w:val="006B2C90"/>
    <w:rsid w:val="006B35E6"/>
    <w:rsid w:val="006B3820"/>
    <w:rsid w:val="006B3D8A"/>
    <w:rsid w:val="006B465A"/>
    <w:rsid w:val="006B4690"/>
    <w:rsid w:val="006B490C"/>
    <w:rsid w:val="006B4EC3"/>
    <w:rsid w:val="006B5575"/>
    <w:rsid w:val="006B5C74"/>
    <w:rsid w:val="006B5C84"/>
    <w:rsid w:val="006B5D3A"/>
    <w:rsid w:val="006B6429"/>
    <w:rsid w:val="006B6A8D"/>
    <w:rsid w:val="006B6DD0"/>
    <w:rsid w:val="006B779E"/>
    <w:rsid w:val="006C0399"/>
    <w:rsid w:val="006C066B"/>
    <w:rsid w:val="006C0709"/>
    <w:rsid w:val="006C0FBD"/>
    <w:rsid w:val="006C1256"/>
    <w:rsid w:val="006C1A54"/>
    <w:rsid w:val="006C2116"/>
    <w:rsid w:val="006C2817"/>
    <w:rsid w:val="006C2A8E"/>
    <w:rsid w:val="006C3188"/>
    <w:rsid w:val="006C3255"/>
    <w:rsid w:val="006C3B3C"/>
    <w:rsid w:val="006C3D4C"/>
    <w:rsid w:val="006C3F26"/>
    <w:rsid w:val="006C4591"/>
    <w:rsid w:val="006C45C6"/>
    <w:rsid w:val="006C5AE6"/>
    <w:rsid w:val="006C5BEB"/>
    <w:rsid w:val="006C5C3A"/>
    <w:rsid w:val="006C5CBF"/>
    <w:rsid w:val="006C65F4"/>
    <w:rsid w:val="006C711B"/>
    <w:rsid w:val="006C76D4"/>
    <w:rsid w:val="006C7F3E"/>
    <w:rsid w:val="006D004B"/>
    <w:rsid w:val="006D02E0"/>
    <w:rsid w:val="006D0630"/>
    <w:rsid w:val="006D0738"/>
    <w:rsid w:val="006D0D17"/>
    <w:rsid w:val="006D0FA9"/>
    <w:rsid w:val="006D1AC9"/>
    <w:rsid w:val="006D1CEE"/>
    <w:rsid w:val="006D1FFD"/>
    <w:rsid w:val="006D2131"/>
    <w:rsid w:val="006D2538"/>
    <w:rsid w:val="006D276E"/>
    <w:rsid w:val="006D3073"/>
    <w:rsid w:val="006D3161"/>
    <w:rsid w:val="006D3C7D"/>
    <w:rsid w:val="006D3CDB"/>
    <w:rsid w:val="006D412F"/>
    <w:rsid w:val="006D4189"/>
    <w:rsid w:val="006D421D"/>
    <w:rsid w:val="006D4529"/>
    <w:rsid w:val="006D4541"/>
    <w:rsid w:val="006D4659"/>
    <w:rsid w:val="006D46D0"/>
    <w:rsid w:val="006D485D"/>
    <w:rsid w:val="006D560B"/>
    <w:rsid w:val="006D5A88"/>
    <w:rsid w:val="006D5D5F"/>
    <w:rsid w:val="006D5F21"/>
    <w:rsid w:val="006D68FB"/>
    <w:rsid w:val="006D6E24"/>
    <w:rsid w:val="006D7BCD"/>
    <w:rsid w:val="006E02B5"/>
    <w:rsid w:val="006E0384"/>
    <w:rsid w:val="006E06AC"/>
    <w:rsid w:val="006E0758"/>
    <w:rsid w:val="006E0DBB"/>
    <w:rsid w:val="006E1061"/>
    <w:rsid w:val="006E168E"/>
    <w:rsid w:val="006E1AA7"/>
    <w:rsid w:val="006E1CEA"/>
    <w:rsid w:val="006E2868"/>
    <w:rsid w:val="006E2C34"/>
    <w:rsid w:val="006E33DD"/>
    <w:rsid w:val="006E34F6"/>
    <w:rsid w:val="006E387C"/>
    <w:rsid w:val="006E4C57"/>
    <w:rsid w:val="006E4CF7"/>
    <w:rsid w:val="006E4EAE"/>
    <w:rsid w:val="006E4ED9"/>
    <w:rsid w:val="006E5782"/>
    <w:rsid w:val="006E6063"/>
    <w:rsid w:val="006E6277"/>
    <w:rsid w:val="006E62CF"/>
    <w:rsid w:val="006E6574"/>
    <w:rsid w:val="006E678F"/>
    <w:rsid w:val="006E6865"/>
    <w:rsid w:val="006E6BE9"/>
    <w:rsid w:val="006E716F"/>
    <w:rsid w:val="006E78E3"/>
    <w:rsid w:val="006E7A85"/>
    <w:rsid w:val="006F02EB"/>
    <w:rsid w:val="006F0D1A"/>
    <w:rsid w:val="006F0EE4"/>
    <w:rsid w:val="006F0FB3"/>
    <w:rsid w:val="006F11CF"/>
    <w:rsid w:val="006F2170"/>
    <w:rsid w:val="006F21BA"/>
    <w:rsid w:val="006F26CA"/>
    <w:rsid w:val="006F306C"/>
    <w:rsid w:val="006F3606"/>
    <w:rsid w:val="006F37B1"/>
    <w:rsid w:val="006F3C6A"/>
    <w:rsid w:val="006F4BC6"/>
    <w:rsid w:val="006F552C"/>
    <w:rsid w:val="006F5BA0"/>
    <w:rsid w:val="006F62EC"/>
    <w:rsid w:val="006F63A5"/>
    <w:rsid w:val="006F6FD6"/>
    <w:rsid w:val="006F746A"/>
    <w:rsid w:val="006F75D8"/>
    <w:rsid w:val="006F7DFD"/>
    <w:rsid w:val="00700746"/>
    <w:rsid w:val="00701234"/>
    <w:rsid w:val="007012B5"/>
    <w:rsid w:val="0070142B"/>
    <w:rsid w:val="00701440"/>
    <w:rsid w:val="007021A7"/>
    <w:rsid w:val="0070276E"/>
    <w:rsid w:val="00702D6F"/>
    <w:rsid w:val="00702F8F"/>
    <w:rsid w:val="007034EC"/>
    <w:rsid w:val="0070353D"/>
    <w:rsid w:val="00703717"/>
    <w:rsid w:val="00703B1F"/>
    <w:rsid w:val="007046AF"/>
    <w:rsid w:val="007046C1"/>
    <w:rsid w:val="007048F6"/>
    <w:rsid w:val="00704BA1"/>
    <w:rsid w:val="00704C2D"/>
    <w:rsid w:val="00704FD1"/>
    <w:rsid w:val="007053F5"/>
    <w:rsid w:val="00705846"/>
    <w:rsid w:val="00705B86"/>
    <w:rsid w:val="00706512"/>
    <w:rsid w:val="00706883"/>
    <w:rsid w:val="00706CC5"/>
    <w:rsid w:val="00706D49"/>
    <w:rsid w:val="00706E02"/>
    <w:rsid w:val="00706E09"/>
    <w:rsid w:val="00706EFE"/>
    <w:rsid w:val="007072CA"/>
    <w:rsid w:val="007079FC"/>
    <w:rsid w:val="00707C4A"/>
    <w:rsid w:val="00710339"/>
    <w:rsid w:val="00710360"/>
    <w:rsid w:val="00710825"/>
    <w:rsid w:val="00710B6C"/>
    <w:rsid w:val="00710E04"/>
    <w:rsid w:val="007113A7"/>
    <w:rsid w:val="007117EF"/>
    <w:rsid w:val="00711A36"/>
    <w:rsid w:val="00711CEE"/>
    <w:rsid w:val="007125D3"/>
    <w:rsid w:val="00712EDE"/>
    <w:rsid w:val="007130A3"/>
    <w:rsid w:val="00713525"/>
    <w:rsid w:val="0071360B"/>
    <w:rsid w:val="0071399B"/>
    <w:rsid w:val="00713DD4"/>
    <w:rsid w:val="00714420"/>
    <w:rsid w:val="007144E8"/>
    <w:rsid w:val="00714C26"/>
    <w:rsid w:val="00714DBB"/>
    <w:rsid w:val="0071529C"/>
    <w:rsid w:val="007152D6"/>
    <w:rsid w:val="00715468"/>
    <w:rsid w:val="0071566E"/>
    <w:rsid w:val="00715836"/>
    <w:rsid w:val="007158BE"/>
    <w:rsid w:val="00715ACB"/>
    <w:rsid w:val="00716C90"/>
    <w:rsid w:val="007170DA"/>
    <w:rsid w:val="007172AD"/>
    <w:rsid w:val="0071740C"/>
    <w:rsid w:val="00717546"/>
    <w:rsid w:val="00717556"/>
    <w:rsid w:val="0071769D"/>
    <w:rsid w:val="00717B0B"/>
    <w:rsid w:val="00717C0A"/>
    <w:rsid w:val="00717E36"/>
    <w:rsid w:val="00720801"/>
    <w:rsid w:val="00720C41"/>
    <w:rsid w:val="0072101F"/>
    <w:rsid w:val="0072170C"/>
    <w:rsid w:val="00721C1A"/>
    <w:rsid w:val="00721CD3"/>
    <w:rsid w:val="00722708"/>
    <w:rsid w:val="00722B1B"/>
    <w:rsid w:val="007233F4"/>
    <w:rsid w:val="00723583"/>
    <w:rsid w:val="0072416F"/>
    <w:rsid w:val="00724228"/>
    <w:rsid w:val="00724854"/>
    <w:rsid w:val="00724938"/>
    <w:rsid w:val="007249B8"/>
    <w:rsid w:val="0072502F"/>
    <w:rsid w:val="007254F6"/>
    <w:rsid w:val="007261D2"/>
    <w:rsid w:val="00726395"/>
    <w:rsid w:val="00726C5E"/>
    <w:rsid w:val="00726F1E"/>
    <w:rsid w:val="0072711B"/>
    <w:rsid w:val="007272A9"/>
    <w:rsid w:val="007278C6"/>
    <w:rsid w:val="00727967"/>
    <w:rsid w:val="00727C94"/>
    <w:rsid w:val="00730385"/>
    <w:rsid w:val="007306C1"/>
    <w:rsid w:val="00730771"/>
    <w:rsid w:val="0073085A"/>
    <w:rsid w:val="0073093D"/>
    <w:rsid w:val="00730CC4"/>
    <w:rsid w:val="00731041"/>
    <w:rsid w:val="00731466"/>
    <w:rsid w:val="00731842"/>
    <w:rsid w:val="00731AB3"/>
    <w:rsid w:val="00731B0A"/>
    <w:rsid w:val="00731EAE"/>
    <w:rsid w:val="0073232E"/>
    <w:rsid w:val="00733073"/>
    <w:rsid w:val="007338C0"/>
    <w:rsid w:val="00734640"/>
    <w:rsid w:val="0073488B"/>
    <w:rsid w:val="00734E75"/>
    <w:rsid w:val="00734FE9"/>
    <w:rsid w:val="00735033"/>
    <w:rsid w:val="00735328"/>
    <w:rsid w:val="00735B45"/>
    <w:rsid w:val="0073675F"/>
    <w:rsid w:val="0073685B"/>
    <w:rsid w:val="0073687C"/>
    <w:rsid w:val="00736EE0"/>
    <w:rsid w:val="00736F99"/>
    <w:rsid w:val="00737D95"/>
    <w:rsid w:val="00740595"/>
    <w:rsid w:val="00740599"/>
    <w:rsid w:val="00740660"/>
    <w:rsid w:val="0074080C"/>
    <w:rsid w:val="007408DF"/>
    <w:rsid w:val="00740B9F"/>
    <w:rsid w:val="00740D7B"/>
    <w:rsid w:val="0074140F"/>
    <w:rsid w:val="00741936"/>
    <w:rsid w:val="00741CA8"/>
    <w:rsid w:val="00742016"/>
    <w:rsid w:val="00742242"/>
    <w:rsid w:val="00742B0C"/>
    <w:rsid w:val="00743291"/>
    <w:rsid w:val="0074348B"/>
    <w:rsid w:val="007438A1"/>
    <w:rsid w:val="00743B2C"/>
    <w:rsid w:val="007449BF"/>
    <w:rsid w:val="00745020"/>
    <w:rsid w:val="00745544"/>
    <w:rsid w:val="00745658"/>
    <w:rsid w:val="00745A72"/>
    <w:rsid w:val="00745B8E"/>
    <w:rsid w:val="007463FE"/>
    <w:rsid w:val="00746BC0"/>
    <w:rsid w:val="007473DD"/>
    <w:rsid w:val="007478BC"/>
    <w:rsid w:val="00747B73"/>
    <w:rsid w:val="0075005A"/>
    <w:rsid w:val="007501AB"/>
    <w:rsid w:val="007501DB"/>
    <w:rsid w:val="007507AD"/>
    <w:rsid w:val="00750AFD"/>
    <w:rsid w:val="00750FBB"/>
    <w:rsid w:val="007510B4"/>
    <w:rsid w:val="007510F2"/>
    <w:rsid w:val="00751624"/>
    <w:rsid w:val="0075173A"/>
    <w:rsid w:val="007520A8"/>
    <w:rsid w:val="00752142"/>
    <w:rsid w:val="0075236F"/>
    <w:rsid w:val="007523F9"/>
    <w:rsid w:val="0075271B"/>
    <w:rsid w:val="00753258"/>
    <w:rsid w:val="0075342C"/>
    <w:rsid w:val="0075357E"/>
    <w:rsid w:val="007538A8"/>
    <w:rsid w:val="00753946"/>
    <w:rsid w:val="00753A7E"/>
    <w:rsid w:val="00753B29"/>
    <w:rsid w:val="00753C48"/>
    <w:rsid w:val="00753D31"/>
    <w:rsid w:val="007541A4"/>
    <w:rsid w:val="00754B13"/>
    <w:rsid w:val="00754DE6"/>
    <w:rsid w:val="00755F0C"/>
    <w:rsid w:val="0075628E"/>
    <w:rsid w:val="007562F7"/>
    <w:rsid w:val="007563EE"/>
    <w:rsid w:val="00756C8B"/>
    <w:rsid w:val="00756E24"/>
    <w:rsid w:val="0075714E"/>
    <w:rsid w:val="007573E8"/>
    <w:rsid w:val="00757489"/>
    <w:rsid w:val="00757519"/>
    <w:rsid w:val="00760220"/>
    <w:rsid w:val="007604EC"/>
    <w:rsid w:val="00760C4E"/>
    <w:rsid w:val="00760F9E"/>
    <w:rsid w:val="007616E6"/>
    <w:rsid w:val="00761927"/>
    <w:rsid w:val="00761FCA"/>
    <w:rsid w:val="0076279E"/>
    <w:rsid w:val="007627BE"/>
    <w:rsid w:val="00762F81"/>
    <w:rsid w:val="00763659"/>
    <w:rsid w:val="00764235"/>
    <w:rsid w:val="00764543"/>
    <w:rsid w:val="00764869"/>
    <w:rsid w:val="00764F03"/>
    <w:rsid w:val="007650D4"/>
    <w:rsid w:val="007654EE"/>
    <w:rsid w:val="00765B1A"/>
    <w:rsid w:val="00765DC1"/>
    <w:rsid w:val="00766527"/>
    <w:rsid w:val="007671CF"/>
    <w:rsid w:val="0076740B"/>
    <w:rsid w:val="0076770D"/>
    <w:rsid w:val="00770198"/>
    <w:rsid w:val="007701A6"/>
    <w:rsid w:val="00771157"/>
    <w:rsid w:val="0077135B"/>
    <w:rsid w:val="007719FF"/>
    <w:rsid w:val="00772AC1"/>
    <w:rsid w:val="0077332A"/>
    <w:rsid w:val="00773531"/>
    <w:rsid w:val="007735F1"/>
    <w:rsid w:val="00773786"/>
    <w:rsid w:val="00773CB8"/>
    <w:rsid w:val="0077427C"/>
    <w:rsid w:val="00775061"/>
    <w:rsid w:val="00775215"/>
    <w:rsid w:val="00775C4E"/>
    <w:rsid w:val="007764E1"/>
    <w:rsid w:val="00776A29"/>
    <w:rsid w:val="00776B5E"/>
    <w:rsid w:val="00776C94"/>
    <w:rsid w:val="00777335"/>
    <w:rsid w:val="00777D96"/>
    <w:rsid w:val="00777DEF"/>
    <w:rsid w:val="00780116"/>
    <w:rsid w:val="007802FD"/>
    <w:rsid w:val="00780BA1"/>
    <w:rsid w:val="00780F2C"/>
    <w:rsid w:val="00781636"/>
    <w:rsid w:val="00781A1A"/>
    <w:rsid w:val="007821EB"/>
    <w:rsid w:val="007825A9"/>
    <w:rsid w:val="0078286F"/>
    <w:rsid w:val="0078302E"/>
    <w:rsid w:val="00783F97"/>
    <w:rsid w:val="007843F2"/>
    <w:rsid w:val="007844E4"/>
    <w:rsid w:val="007846C6"/>
    <w:rsid w:val="007846FA"/>
    <w:rsid w:val="007846FC"/>
    <w:rsid w:val="007847F4"/>
    <w:rsid w:val="00784F02"/>
    <w:rsid w:val="00785085"/>
    <w:rsid w:val="00785153"/>
    <w:rsid w:val="00785939"/>
    <w:rsid w:val="00785A9F"/>
    <w:rsid w:val="00785F42"/>
    <w:rsid w:val="007861B1"/>
    <w:rsid w:val="00787107"/>
    <w:rsid w:val="00787165"/>
    <w:rsid w:val="00787589"/>
    <w:rsid w:val="00787786"/>
    <w:rsid w:val="00787B07"/>
    <w:rsid w:val="00790422"/>
    <w:rsid w:val="00790775"/>
    <w:rsid w:val="0079092A"/>
    <w:rsid w:val="00790DC8"/>
    <w:rsid w:val="00790EB6"/>
    <w:rsid w:val="00790F1F"/>
    <w:rsid w:val="007912AB"/>
    <w:rsid w:val="007916D3"/>
    <w:rsid w:val="00791A74"/>
    <w:rsid w:val="007921A6"/>
    <w:rsid w:val="007924FE"/>
    <w:rsid w:val="007925DF"/>
    <w:rsid w:val="00792ABF"/>
    <w:rsid w:val="00792B02"/>
    <w:rsid w:val="00792B4C"/>
    <w:rsid w:val="0079306B"/>
    <w:rsid w:val="0079343F"/>
    <w:rsid w:val="007939C1"/>
    <w:rsid w:val="00793C7B"/>
    <w:rsid w:val="007941C6"/>
    <w:rsid w:val="00794331"/>
    <w:rsid w:val="00794802"/>
    <w:rsid w:val="00794A10"/>
    <w:rsid w:val="00794C8E"/>
    <w:rsid w:val="00794DAB"/>
    <w:rsid w:val="007961D1"/>
    <w:rsid w:val="00796564"/>
    <w:rsid w:val="007965AA"/>
    <w:rsid w:val="00796719"/>
    <w:rsid w:val="0079740A"/>
    <w:rsid w:val="007974E5"/>
    <w:rsid w:val="00797A83"/>
    <w:rsid w:val="007A001B"/>
    <w:rsid w:val="007A018B"/>
    <w:rsid w:val="007A0340"/>
    <w:rsid w:val="007A08AA"/>
    <w:rsid w:val="007A0A12"/>
    <w:rsid w:val="007A0CFA"/>
    <w:rsid w:val="007A132D"/>
    <w:rsid w:val="007A1345"/>
    <w:rsid w:val="007A158B"/>
    <w:rsid w:val="007A2DDB"/>
    <w:rsid w:val="007A30C2"/>
    <w:rsid w:val="007A31A5"/>
    <w:rsid w:val="007A3893"/>
    <w:rsid w:val="007A43F2"/>
    <w:rsid w:val="007A62C6"/>
    <w:rsid w:val="007A6537"/>
    <w:rsid w:val="007A6A32"/>
    <w:rsid w:val="007A6B7F"/>
    <w:rsid w:val="007A6D23"/>
    <w:rsid w:val="007A70BA"/>
    <w:rsid w:val="007A7150"/>
    <w:rsid w:val="007A7364"/>
    <w:rsid w:val="007A7FFE"/>
    <w:rsid w:val="007B060A"/>
    <w:rsid w:val="007B07C5"/>
    <w:rsid w:val="007B0904"/>
    <w:rsid w:val="007B0D68"/>
    <w:rsid w:val="007B0ED9"/>
    <w:rsid w:val="007B1330"/>
    <w:rsid w:val="007B1D65"/>
    <w:rsid w:val="007B1EA8"/>
    <w:rsid w:val="007B251D"/>
    <w:rsid w:val="007B2981"/>
    <w:rsid w:val="007B2C74"/>
    <w:rsid w:val="007B3077"/>
    <w:rsid w:val="007B3211"/>
    <w:rsid w:val="007B332E"/>
    <w:rsid w:val="007B3533"/>
    <w:rsid w:val="007B3C45"/>
    <w:rsid w:val="007B3F23"/>
    <w:rsid w:val="007B4136"/>
    <w:rsid w:val="007B4B91"/>
    <w:rsid w:val="007B4F58"/>
    <w:rsid w:val="007B528D"/>
    <w:rsid w:val="007B533D"/>
    <w:rsid w:val="007B616A"/>
    <w:rsid w:val="007B63CA"/>
    <w:rsid w:val="007B64ED"/>
    <w:rsid w:val="007B6865"/>
    <w:rsid w:val="007B6A1E"/>
    <w:rsid w:val="007B71F3"/>
    <w:rsid w:val="007B77D1"/>
    <w:rsid w:val="007C07C7"/>
    <w:rsid w:val="007C085E"/>
    <w:rsid w:val="007C0E9B"/>
    <w:rsid w:val="007C13ED"/>
    <w:rsid w:val="007C17A7"/>
    <w:rsid w:val="007C1CD9"/>
    <w:rsid w:val="007C1EE4"/>
    <w:rsid w:val="007C1FBC"/>
    <w:rsid w:val="007C1FBD"/>
    <w:rsid w:val="007C2015"/>
    <w:rsid w:val="007C2141"/>
    <w:rsid w:val="007C251E"/>
    <w:rsid w:val="007C28DC"/>
    <w:rsid w:val="007C2A05"/>
    <w:rsid w:val="007C32EF"/>
    <w:rsid w:val="007C3557"/>
    <w:rsid w:val="007C361D"/>
    <w:rsid w:val="007C46BE"/>
    <w:rsid w:val="007C47CE"/>
    <w:rsid w:val="007C487C"/>
    <w:rsid w:val="007C4A0F"/>
    <w:rsid w:val="007C4B84"/>
    <w:rsid w:val="007C51FC"/>
    <w:rsid w:val="007C54FC"/>
    <w:rsid w:val="007C5BAB"/>
    <w:rsid w:val="007C5C61"/>
    <w:rsid w:val="007C6AD2"/>
    <w:rsid w:val="007C70FF"/>
    <w:rsid w:val="007C7BA0"/>
    <w:rsid w:val="007C7C25"/>
    <w:rsid w:val="007D004F"/>
    <w:rsid w:val="007D017C"/>
    <w:rsid w:val="007D035F"/>
    <w:rsid w:val="007D0471"/>
    <w:rsid w:val="007D06B2"/>
    <w:rsid w:val="007D0B38"/>
    <w:rsid w:val="007D0D51"/>
    <w:rsid w:val="007D0EE9"/>
    <w:rsid w:val="007D1431"/>
    <w:rsid w:val="007D1FDF"/>
    <w:rsid w:val="007D28CC"/>
    <w:rsid w:val="007D2ADE"/>
    <w:rsid w:val="007D3E3B"/>
    <w:rsid w:val="007D4193"/>
    <w:rsid w:val="007D4268"/>
    <w:rsid w:val="007D47A5"/>
    <w:rsid w:val="007D4E4B"/>
    <w:rsid w:val="007D5440"/>
    <w:rsid w:val="007D5475"/>
    <w:rsid w:val="007D5B45"/>
    <w:rsid w:val="007D60B1"/>
    <w:rsid w:val="007D6261"/>
    <w:rsid w:val="007D649B"/>
    <w:rsid w:val="007D6724"/>
    <w:rsid w:val="007D69EB"/>
    <w:rsid w:val="007D6C0A"/>
    <w:rsid w:val="007D70EC"/>
    <w:rsid w:val="007E0198"/>
    <w:rsid w:val="007E0314"/>
    <w:rsid w:val="007E084A"/>
    <w:rsid w:val="007E0AF1"/>
    <w:rsid w:val="007E0B67"/>
    <w:rsid w:val="007E0BF5"/>
    <w:rsid w:val="007E128F"/>
    <w:rsid w:val="007E1B26"/>
    <w:rsid w:val="007E1C99"/>
    <w:rsid w:val="007E1DD6"/>
    <w:rsid w:val="007E2511"/>
    <w:rsid w:val="007E2B9F"/>
    <w:rsid w:val="007E2DA3"/>
    <w:rsid w:val="007E389E"/>
    <w:rsid w:val="007E39DE"/>
    <w:rsid w:val="007E3A16"/>
    <w:rsid w:val="007E426A"/>
    <w:rsid w:val="007E4DA4"/>
    <w:rsid w:val="007E569D"/>
    <w:rsid w:val="007E6370"/>
    <w:rsid w:val="007E68E4"/>
    <w:rsid w:val="007E7160"/>
    <w:rsid w:val="007E72E3"/>
    <w:rsid w:val="007E776E"/>
    <w:rsid w:val="007E7818"/>
    <w:rsid w:val="007E7D76"/>
    <w:rsid w:val="007E7F2D"/>
    <w:rsid w:val="007F0047"/>
    <w:rsid w:val="007F0AE3"/>
    <w:rsid w:val="007F0D90"/>
    <w:rsid w:val="007F1017"/>
    <w:rsid w:val="007F15F4"/>
    <w:rsid w:val="007F1629"/>
    <w:rsid w:val="007F182B"/>
    <w:rsid w:val="007F1DEC"/>
    <w:rsid w:val="007F2310"/>
    <w:rsid w:val="007F2508"/>
    <w:rsid w:val="007F262C"/>
    <w:rsid w:val="007F2C56"/>
    <w:rsid w:val="007F3FFA"/>
    <w:rsid w:val="007F426E"/>
    <w:rsid w:val="007F4A3F"/>
    <w:rsid w:val="007F4A61"/>
    <w:rsid w:val="007F4F4D"/>
    <w:rsid w:val="007F511F"/>
    <w:rsid w:val="007F5255"/>
    <w:rsid w:val="007F56CC"/>
    <w:rsid w:val="007F6140"/>
    <w:rsid w:val="007F615E"/>
    <w:rsid w:val="007F61C2"/>
    <w:rsid w:val="007F6591"/>
    <w:rsid w:val="007F69D3"/>
    <w:rsid w:val="007F6A71"/>
    <w:rsid w:val="007F70DB"/>
    <w:rsid w:val="007F7370"/>
    <w:rsid w:val="007F73EC"/>
    <w:rsid w:val="007F7E83"/>
    <w:rsid w:val="00800BDF"/>
    <w:rsid w:val="00800D8E"/>
    <w:rsid w:val="00800DC9"/>
    <w:rsid w:val="00802231"/>
    <w:rsid w:val="00802A33"/>
    <w:rsid w:val="008034BB"/>
    <w:rsid w:val="00803855"/>
    <w:rsid w:val="0080393D"/>
    <w:rsid w:val="00804482"/>
    <w:rsid w:val="0080450A"/>
    <w:rsid w:val="0080458B"/>
    <w:rsid w:val="00805142"/>
    <w:rsid w:val="0080566B"/>
    <w:rsid w:val="00805FCE"/>
    <w:rsid w:val="00806044"/>
    <w:rsid w:val="0080631A"/>
    <w:rsid w:val="00806818"/>
    <w:rsid w:val="00806839"/>
    <w:rsid w:val="00807534"/>
    <w:rsid w:val="00807A8B"/>
    <w:rsid w:val="00807AD0"/>
    <w:rsid w:val="008100A2"/>
    <w:rsid w:val="0081033B"/>
    <w:rsid w:val="00810485"/>
    <w:rsid w:val="0081058D"/>
    <w:rsid w:val="00810675"/>
    <w:rsid w:val="00810970"/>
    <w:rsid w:val="00810BD2"/>
    <w:rsid w:val="00811383"/>
    <w:rsid w:val="00811B58"/>
    <w:rsid w:val="00811C65"/>
    <w:rsid w:val="0081200A"/>
    <w:rsid w:val="00812149"/>
    <w:rsid w:val="008125A8"/>
    <w:rsid w:val="00812CAC"/>
    <w:rsid w:val="00813794"/>
    <w:rsid w:val="00813DF6"/>
    <w:rsid w:val="0081406C"/>
    <w:rsid w:val="008140DF"/>
    <w:rsid w:val="0081525E"/>
    <w:rsid w:val="00815E49"/>
    <w:rsid w:val="0081631D"/>
    <w:rsid w:val="00816361"/>
    <w:rsid w:val="0081641B"/>
    <w:rsid w:val="008166EF"/>
    <w:rsid w:val="0081692E"/>
    <w:rsid w:val="00816E9E"/>
    <w:rsid w:val="00816FEF"/>
    <w:rsid w:val="00817275"/>
    <w:rsid w:val="00820A8C"/>
    <w:rsid w:val="00820F03"/>
    <w:rsid w:val="008215FB"/>
    <w:rsid w:val="008216B3"/>
    <w:rsid w:val="00821F65"/>
    <w:rsid w:val="008220CC"/>
    <w:rsid w:val="0082240A"/>
    <w:rsid w:val="0082240C"/>
    <w:rsid w:val="008224DF"/>
    <w:rsid w:val="00822CC0"/>
    <w:rsid w:val="00823174"/>
    <w:rsid w:val="00823BC7"/>
    <w:rsid w:val="00823E7B"/>
    <w:rsid w:val="008240E0"/>
    <w:rsid w:val="008241B5"/>
    <w:rsid w:val="0082435C"/>
    <w:rsid w:val="00824773"/>
    <w:rsid w:val="00825751"/>
    <w:rsid w:val="00825A48"/>
    <w:rsid w:val="008264EB"/>
    <w:rsid w:val="0082650C"/>
    <w:rsid w:val="00826554"/>
    <w:rsid w:val="008268CE"/>
    <w:rsid w:val="008268D0"/>
    <w:rsid w:val="008270B9"/>
    <w:rsid w:val="008271C7"/>
    <w:rsid w:val="00827801"/>
    <w:rsid w:val="008278F4"/>
    <w:rsid w:val="00827946"/>
    <w:rsid w:val="00827C23"/>
    <w:rsid w:val="00830084"/>
    <w:rsid w:val="00830203"/>
    <w:rsid w:val="008302BF"/>
    <w:rsid w:val="008319DA"/>
    <w:rsid w:val="00831ED5"/>
    <w:rsid w:val="00832184"/>
    <w:rsid w:val="00832931"/>
    <w:rsid w:val="00832F1F"/>
    <w:rsid w:val="00833B05"/>
    <w:rsid w:val="00833BAC"/>
    <w:rsid w:val="008340D1"/>
    <w:rsid w:val="00834497"/>
    <w:rsid w:val="008353BE"/>
    <w:rsid w:val="008359B2"/>
    <w:rsid w:val="00835A82"/>
    <w:rsid w:val="00835DB2"/>
    <w:rsid w:val="008361FE"/>
    <w:rsid w:val="0083620D"/>
    <w:rsid w:val="008362B4"/>
    <w:rsid w:val="00836A20"/>
    <w:rsid w:val="00836DD3"/>
    <w:rsid w:val="008371EC"/>
    <w:rsid w:val="008374C9"/>
    <w:rsid w:val="00837DE3"/>
    <w:rsid w:val="00840AC4"/>
    <w:rsid w:val="00840B61"/>
    <w:rsid w:val="00840CA2"/>
    <w:rsid w:val="008412BD"/>
    <w:rsid w:val="0084136A"/>
    <w:rsid w:val="00841944"/>
    <w:rsid w:val="00841D5F"/>
    <w:rsid w:val="00841D65"/>
    <w:rsid w:val="0084349D"/>
    <w:rsid w:val="0084350E"/>
    <w:rsid w:val="0084374F"/>
    <w:rsid w:val="00843AA0"/>
    <w:rsid w:val="008445C4"/>
    <w:rsid w:val="00844A22"/>
    <w:rsid w:val="008456F9"/>
    <w:rsid w:val="00845C1E"/>
    <w:rsid w:val="008464FE"/>
    <w:rsid w:val="00846ECB"/>
    <w:rsid w:val="00847703"/>
    <w:rsid w:val="00847DF5"/>
    <w:rsid w:val="008508B6"/>
    <w:rsid w:val="00850DBF"/>
    <w:rsid w:val="00851491"/>
    <w:rsid w:val="0085160D"/>
    <w:rsid w:val="008517E4"/>
    <w:rsid w:val="00851C84"/>
    <w:rsid w:val="0085249E"/>
    <w:rsid w:val="0085309D"/>
    <w:rsid w:val="0085310E"/>
    <w:rsid w:val="00853B4E"/>
    <w:rsid w:val="00853EB4"/>
    <w:rsid w:val="0085405C"/>
    <w:rsid w:val="008544F3"/>
    <w:rsid w:val="008545DC"/>
    <w:rsid w:val="00855355"/>
    <w:rsid w:val="00855BBF"/>
    <w:rsid w:val="008564B7"/>
    <w:rsid w:val="00856897"/>
    <w:rsid w:val="00856E9A"/>
    <w:rsid w:val="0085730D"/>
    <w:rsid w:val="00857484"/>
    <w:rsid w:val="0085772A"/>
    <w:rsid w:val="00857E99"/>
    <w:rsid w:val="00860205"/>
    <w:rsid w:val="0086027A"/>
    <w:rsid w:val="008602C3"/>
    <w:rsid w:val="008605F8"/>
    <w:rsid w:val="0086075D"/>
    <w:rsid w:val="0086118C"/>
    <w:rsid w:val="008612D3"/>
    <w:rsid w:val="0086159E"/>
    <w:rsid w:val="00861DC4"/>
    <w:rsid w:val="00862502"/>
    <w:rsid w:val="00862C49"/>
    <w:rsid w:val="00862CC1"/>
    <w:rsid w:val="0086407B"/>
    <w:rsid w:val="008640B3"/>
    <w:rsid w:val="008641D7"/>
    <w:rsid w:val="008642A7"/>
    <w:rsid w:val="00864388"/>
    <w:rsid w:val="00864725"/>
    <w:rsid w:val="0086487C"/>
    <w:rsid w:val="00864EC5"/>
    <w:rsid w:val="00864FAA"/>
    <w:rsid w:val="00865032"/>
    <w:rsid w:val="008655AE"/>
    <w:rsid w:val="00865EAF"/>
    <w:rsid w:val="00865F19"/>
    <w:rsid w:val="008660D4"/>
    <w:rsid w:val="00866168"/>
    <w:rsid w:val="0086616A"/>
    <w:rsid w:val="00866C8F"/>
    <w:rsid w:val="00867197"/>
    <w:rsid w:val="00867528"/>
    <w:rsid w:val="00867609"/>
    <w:rsid w:val="00867610"/>
    <w:rsid w:val="008678D0"/>
    <w:rsid w:val="008708B8"/>
    <w:rsid w:val="008709FA"/>
    <w:rsid w:val="00870C83"/>
    <w:rsid w:val="008710CC"/>
    <w:rsid w:val="00871FA9"/>
    <w:rsid w:val="00872249"/>
    <w:rsid w:val="00872880"/>
    <w:rsid w:val="008728E9"/>
    <w:rsid w:val="008736AC"/>
    <w:rsid w:val="0087382E"/>
    <w:rsid w:val="0087400F"/>
    <w:rsid w:val="00874534"/>
    <w:rsid w:val="008758D1"/>
    <w:rsid w:val="00876060"/>
    <w:rsid w:val="008762E2"/>
    <w:rsid w:val="0087752E"/>
    <w:rsid w:val="008776E4"/>
    <w:rsid w:val="0087771B"/>
    <w:rsid w:val="00877A18"/>
    <w:rsid w:val="008809DB"/>
    <w:rsid w:val="00880F51"/>
    <w:rsid w:val="00881913"/>
    <w:rsid w:val="00881CC9"/>
    <w:rsid w:val="00882539"/>
    <w:rsid w:val="00882874"/>
    <w:rsid w:val="00882B74"/>
    <w:rsid w:val="00882D7B"/>
    <w:rsid w:val="00882E3C"/>
    <w:rsid w:val="00882F91"/>
    <w:rsid w:val="0088308A"/>
    <w:rsid w:val="00883787"/>
    <w:rsid w:val="00883906"/>
    <w:rsid w:val="00883BCC"/>
    <w:rsid w:val="0088405A"/>
    <w:rsid w:val="00884254"/>
    <w:rsid w:val="008843A3"/>
    <w:rsid w:val="00884531"/>
    <w:rsid w:val="00884DDE"/>
    <w:rsid w:val="00884FA2"/>
    <w:rsid w:val="008850B4"/>
    <w:rsid w:val="0088523F"/>
    <w:rsid w:val="008855E4"/>
    <w:rsid w:val="00886A62"/>
    <w:rsid w:val="00886B1C"/>
    <w:rsid w:val="00886CD2"/>
    <w:rsid w:val="0088721D"/>
    <w:rsid w:val="008872D1"/>
    <w:rsid w:val="00887719"/>
    <w:rsid w:val="00887BD3"/>
    <w:rsid w:val="00887CF3"/>
    <w:rsid w:val="008902DB"/>
    <w:rsid w:val="0089037A"/>
    <w:rsid w:val="00890550"/>
    <w:rsid w:val="0089150B"/>
    <w:rsid w:val="00891653"/>
    <w:rsid w:val="0089198E"/>
    <w:rsid w:val="00891AD4"/>
    <w:rsid w:val="00891E6F"/>
    <w:rsid w:val="008925E4"/>
    <w:rsid w:val="0089275D"/>
    <w:rsid w:val="008928CB"/>
    <w:rsid w:val="00892A36"/>
    <w:rsid w:val="00892C83"/>
    <w:rsid w:val="00893239"/>
    <w:rsid w:val="00893A7E"/>
    <w:rsid w:val="00893AC3"/>
    <w:rsid w:val="00893C32"/>
    <w:rsid w:val="00893D06"/>
    <w:rsid w:val="00893DFE"/>
    <w:rsid w:val="00893F53"/>
    <w:rsid w:val="0089420E"/>
    <w:rsid w:val="00894489"/>
    <w:rsid w:val="008945CB"/>
    <w:rsid w:val="0089474C"/>
    <w:rsid w:val="00894CD6"/>
    <w:rsid w:val="00894FC7"/>
    <w:rsid w:val="008954E3"/>
    <w:rsid w:val="00895A22"/>
    <w:rsid w:val="00896279"/>
    <w:rsid w:val="008963A5"/>
    <w:rsid w:val="00896825"/>
    <w:rsid w:val="008969EE"/>
    <w:rsid w:val="00896B02"/>
    <w:rsid w:val="00896D5D"/>
    <w:rsid w:val="00896D99"/>
    <w:rsid w:val="0089708F"/>
    <w:rsid w:val="008971B9"/>
    <w:rsid w:val="008978FD"/>
    <w:rsid w:val="00897BBE"/>
    <w:rsid w:val="00897E60"/>
    <w:rsid w:val="008A015A"/>
    <w:rsid w:val="008A07A5"/>
    <w:rsid w:val="008A0BFA"/>
    <w:rsid w:val="008A0E9B"/>
    <w:rsid w:val="008A1C2F"/>
    <w:rsid w:val="008A1DAB"/>
    <w:rsid w:val="008A2239"/>
    <w:rsid w:val="008A254E"/>
    <w:rsid w:val="008A2A7F"/>
    <w:rsid w:val="008A2F8F"/>
    <w:rsid w:val="008A311C"/>
    <w:rsid w:val="008A3158"/>
    <w:rsid w:val="008A3363"/>
    <w:rsid w:val="008A3371"/>
    <w:rsid w:val="008A3C3E"/>
    <w:rsid w:val="008A43C8"/>
    <w:rsid w:val="008A4694"/>
    <w:rsid w:val="008A5095"/>
    <w:rsid w:val="008A5B65"/>
    <w:rsid w:val="008A66D6"/>
    <w:rsid w:val="008A66E0"/>
    <w:rsid w:val="008A7000"/>
    <w:rsid w:val="008A79DE"/>
    <w:rsid w:val="008B0585"/>
    <w:rsid w:val="008B0C32"/>
    <w:rsid w:val="008B1757"/>
    <w:rsid w:val="008B195E"/>
    <w:rsid w:val="008B1A26"/>
    <w:rsid w:val="008B1C33"/>
    <w:rsid w:val="008B2091"/>
    <w:rsid w:val="008B2242"/>
    <w:rsid w:val="008B24C5"/>
    <w:rsid w:val="008B2876"/>
    <w:rsid w:val="008B2953"/>
    <w:rsid w:val="008B3170"/>
    <w:rsid w:val="008B32E9"/>
    <w:rsid w:val="008B3555"/>
    <w:rsid w:val="008B393D"/>
    <w:rsid w:val="008B3B52"/>
    <w:rsid w:val="008B40F6"/>
    <w:rsid w:val="008B42C7"/>
    <w:rsid w:val="008B4B6F"/>
    <w:rsid w:val="008B4C4E"/>
    <w:rsid w:val="008B5074"/>
    <w:rsid w:val="008B526C"/>
    <w:rsid w:val="008B54EA"/>
    <w:rsid w:val="008B5562"/>
    <w:rsid w:val="008B5DD5"/>
    <w:rsid w:val="008B6A68"/>
    <w:rsid w:val="008B6D32"/>
    <w:rsid w:val="008B729E"/>
    <w:rsid w:val="008B7992"/>
    <w:rsid w:val="008B7D7E"/>
    <w:rsid w:val="008C1D1A"/>
    <w:rsid w:val="008C206A"/>
    <w:rsid w:val="008C24E3"/>
    <w:rsid w:val="008C2BF5"/>
    <w:rsid w:val="008C2DB0"/>
    <w:rsid w:val="008C2EED"/>
    <w:rsid w:val="008C3B82"/>
    <w:rsid w:val="008C41F5"/>
    <w:rsid w:val="008C55DD"/>
    <w:rsid w:val="008C5610"/>
    <w:rsid w:val="008C5739"/>
    <w:rsid w:val="008C65D1"/>
    <w:rsid w:val="008C67AF"/>
    <w:rsid w:val="008C6BEB"/>
    <w:rsid w:val="008C6E5F"/>
    <w:rsid w:val="008C70B5"/>
    <w:rsid w:val="008C7282"/>
    <w:rsid w:val="008C74C6"/>
    <w:rsid w:val="008C7ECB"/>
    <w:rsid w:val="008D00E0"/>
    <w:rsid w:val="008D02F7"/>
    <w:rsid w:val="008D08A1"/>
    <w:rsid w:val="008D0F24"/>
    <w:rsid w:val="008D19A1"/>
    <w:rsid w:val="008D1CD9"/>
    <w:rsid w:val="008D2237"/>
    <w:rsid w:val="008D24B8"/>
    <w:rsid w:val="008D2697"/>
    <w:rsid w:val="008D2E31"/>
    <w:rsid w:val="008D2EB2"/>
    <w:rsid w:val="008D2F8E"/>
    <w:rsid w:val="008D31FA"/>
    <w:rsid w:val="008D34A8"/>
    <w:rsid w:val="008D3B86"/>
    <w:rsid w:val="008D3E4D"/>
    <w:rsid w:val="008D43FD"/>
    <w:rsid w:val="008D4755"/>
    <w:rsid w:val="008D4C3D"/>
    <w:rsid w:val="008D52BA"/>
    <w:rsid w:val="008D5927"/>
    <w:rsid w:val="008D6A51"/>
    <w:rsid w:val="008D743C"/>
    <w:rsid w:val="008D7732"/>
    <w:rsid w:val="008D78C2"/>
    <w:rsid w:val="008D7D55"/>
    <w:rsid w:val="008D7E9A"/>
    <w:rsid w:val="008E042C"/>
    <w:rsid w:val="008E08B5"/>
    <w:rsid w:val="008E0BF7"/>
    <w:rsid w:val="008E0D3C"/>
    <w:rsid w:val="008E1349"/>
    <w:rsid w:val="008E1602"/>
    <w:rsid w:val="008E1B9E"/>
    <w:rsid w:val="008E1CC6"/>
    <w:rsid w:val="008E2207"/>
    <w:rsid w:val="008E26BD"/>
    <w:rsid w:val="008E290A"/>
    <w:rsid w:val="008E2973"/>
    <w:rsid w:val="008E31DB"/>
    <w:rsid w:val="008E3270"/>
    <w:rsid w:val="008E3828"/>
    <w:rsid w:val="008E456F"/>
    <w:rsid w:val="008E4E50"/>
    <w:rsid w:val="008E55AB"/>
    <w:rsid w:val="008E572B"/>
    <w:rsid w:val="008E5E7E"/>
    <w:rsid w:val="008E62CE"/>
    <w:rsid w:val="008E644A"/>
    <w:rsid w:val="008E6C4E"/>
    <w:rsid w:val="008E6EE1"/>
    <w:rsid w:val="008E7438"/>
    <w:rsid w:val="008E74D3"/>
    <w:rsid w:val="008E76B8"/>
    <w:rsid w:val="008E77B3"/>
    <w:rsid w:val="008E7AEF"/>
    <w:rsid w:val="008F0E7E"/>
    <w:rsid w:val="008F120A"/>
    <w:rsid w:val="008F1372"/>
    <w:rsid w:val="008F14F0"/>
    <w:rsid w:val="008F19A9"/>
    <w:rsid w:val="008F1AFC"/>
    <w:rsid w:val="008F27E0"/>
    <w:rsid w:val="008F3333"/>
    <w:rsid w:val="008F4195"/>
    <w:rsid w:val="008F4783"/>
    <w:rsid w:val="008F48EB"/>
    <w:rsid w:val="008F4E9F"/>
    <w:rsid w:val="008F4F0B"/>
    <w:rsid w:val="008F51C0"/>
    <w:rsid w:val="008F5642"/>
    <w:rsid w:val="008F5833"/>
    <w:rsid w:val="008F5F79"/>
    <w:rsid w:val="008F66CE"/>
    <w:rsid w:val="008F67CE"/>
    <w:rsid w:val="008F7744"/>
    <w:rsid w:val="008F79D6"/>
    <w:rsid w:val="00900C34"/>
    <w:rsid w:val="0090124A"/>
    <w:rsid w:val="009012FF"/>
    <w:rsid w:val="009014C0"/>
    <w:rsid w:val="0090170E"/>
    <w:rsid w:val="0090177A"/>
    <w:rsid w:val="00901AB0"/>
    <w:rsid w:val="00901C49"/>
    <w:rsid w:val="00901E57"/>
    <w:rsid w:val="00902881"/>
    <w:rsid w:val="00902944"/>
    <w:rsid w:val="009029D9"/>
    <w:rsid w:val="00902AE9"/>
    <w:rsid w:val="00902E1A"/>
    <w:rsid w:val="00904162"/>
    <w:rsid w:val="009044C7"/>
    <w:rsid w:val="00904512"/>
    <w:rsid w:val="00904620"/>
    <w:rsid w:val="009046C4"/>
    <w:rsid w:val="009046F2"/>
    <w:rsid w:val="00904DA8"/>
    <w:rsid w:val="0090572B"/>
    <w:rsid w:val="00905A5E"/>
    <w:rsid w:val="00905E6E"/>
    <w:rsid w:val="00906142"/>
    <w:rsid w:val="009062A5"/>
    <w:rsid w:val="00906464"/>
    <w:rsid w:val="00906CE3"/>
    <w:rsid w:val="00907699"/>
    <w:rsid w:val="00907A78"/>
    <w:rsid w:val="00907B16"/>
    <w:rsid w:val="00910625"/>
    <w:rsid w:val="00910BAE"/>
    <w:rsid w:val="00910FA7"/>
    <w:rsid w:val="00911272"/>
    <w:rsid w:val="00911339"/>
    <w:rsid w:val="00912A23"/>
    <w:rsid w:val="00912C14"/>
    <w:rsid w:val="00913217"/>
    <w:rsid w:val="009132B5"/>
    <w:rsid w:val="009135D6"/>
    <w:rsid w:val="00913A60"/>
    <w:rsid w:val="00914753"/>
    <w:rsid w:val="00914C77"/>
    <w:rsid w:val="00915C47"/>
    <w:rsid w:val="00915D61"/>
    <w:rsid w:val="0091629D"/>
    <w:rsid w:val="00916953"/>
    <w:rsid w:val="00916B7A"/>
    <w:rsid w:val="009171E9"/>
    <w:rsid w:val="009173CF"/>
    <w:rsid w:val="00917A30"/>
    <w:rsid w:val="00917A40"/>
    <w:rsid w:val="00917C54"/>
    <w:rsid w:val="00917C65"/>
    <w:rsid w:val="009200B1"/>
    <w:rsid w:val="00920A70"/>
    <w:rsid w:val="00920EEF"/>
    <w:rsid w:val="0092136D"/>
    <w:rsid w:val="009218DA"/>
    <w:rsid w:val="00921ACB"/>
    <w:rsid w:val="00923434"/>
    <w:rsid w:val="0092348C"/>
    <w:rsid w:val="0092369B"/>
    <w:rsid w:val="00923A58"/>
    <w:rsid w:val="00923D25"/>
    <w:rsid w:val="00923F43"/>
    <w:rsid w:val="0092571E"/>
    <w:rsid w:val="00925743"/>
    <w:rsid w:val="0092581C"/>
    <w:rsid w:val="00925B04"/>
    <w:rsid w:val="00925CA0"/>
    <w:rsid w:val="00926290"/>
    <w:rsid w:val="0092672D"/>
    <w:rsid w:val="00926C86"/>
    <w:rsid w:val="0092734A"/>
    <w:rsid w:val="00927403"/>
    <w:rsid w:val="00930151"/>
    <w:rsid w:val="00930207"/>
    <w:rsid w:val="00930305"/>
    <w:rsid w:val="009306A6"/>
    <w:rsid w:val="00930C26"/>
    <w:rsid w:val="00931417"/>
    <w:rsid w:val="00932082"/>
    <w:rsid w:val="009324F7"/>
    <w:rsid w:val="00932613"/>
    <w:rsid w:val="00932673"/>
    <w:rsid w:val="009329F3"/>
    <w:rsid w:val="00932A36"/>
    <w:rsid w:val="00932A6E"/>
    <w:rsid w:val="0093339F"/>
    <w:rsid w:val="009339F5"/>
    <w:rsid w:val="0093417D"/>
    <w:rsid w:val="0093428C"/>
    <w:rsid w:val="009345B4"/>
    <w:rsid w:val="00934625"/>
    <w:rsid w:val="00934988"/>
    <w:rsid w:val="00934BDF"/>
    <w:rsid w:val="0093566B"/>
    <w:rsid w:val="009365D3"/>
    <w:rsid w:val="00936684"/>
    <w:rsid w:val="00937089"/>
    <w:rsid w:val="009377F1"/>
    <w:rsid w:val="00937C3B"/>
    <w:rsid w:val="00937F4E"/>
    <w:rsid w:val="009401B3"/>
    <w:rsid w:val="00940252"/>
    <w:rsid w:val="009406CC"/>
    <w:rsid w:val="00941B8D"/>
    <w:rsid w:val="00941D94"/>
    <w:rsid w:val="00941EA4"/>
    <w:rsid w:val="00942195"/>
    <w:rsid w:val="00942338"/>
    <w:rsid w:val="00942A0C"/>
    <w:rsid w:val="00942B20"/>
    <w:rsid w:val="00942CEF"/>
    <w:rsid w:val="00942FFB"/>
    <w:rsid w:val="009438FA"/>
    <w:rsid w:val="00943957"/>
    <w:rsid w:val="009441E1"/>
    <w:rsid w:val="0094432A"/>
    <w:rsid w:val="009448F2"/>
    <w:rsid w:val="00944F8A"/>
    <w:rsid w:val="00944FE0"/>
    <w:rsid w:val="00945A0A"/>
    <w:rsid w:val="0094617F"/>
    <w:rsid w:val="00946E7E"/>
    <w:rsid w:val="009470E7"/>
    <w:rsid w:val="0094710F"/>
    <w:rsid w:val="009472BD"/>
    <w:rsid w:val="00947515"/>
    <w:rsid w:val="00947705"/>
    <w:rsid w:val="00947CF4"/>
    <w:rsid w:val="00950099"/>
    <w:rsid w:val="009506AF"/>
    <w:rsid w:val="00950EC8"/>
    <w:rsid w:val="00950F64"/>
    <w:rsid w:val="009510A2"/>
    <w:rsid w:val="00951615"/>
    <w:rsid w:val="00951650"/>
    <w:rsid w:val="009518BA"/>
    <w:rsid w:val="00951E0B"/>
    <w:rsid w:val="00951E15"/>
    <w:rsid w:val="009524E5"/>
    <w:rsid w:val="00952713"/>
    <w:rsid w:val="00953257"/>
    <w:rsid w:val="0095354C"/>
    <w:rsid w:val="009541B6"/>
    <w:rsid w:val="0095474C"/>
    <w:rsid w:val="00954FA9"/>
    <w:rsid w:val="00955B18"/>
    <w:rsid w:val="00955B88"/>
    <w:rsid w:val="0095729A"/>
    <w:rsid w:val="00957D92"/>
    <w:rsid w:val="0096009B"/>
    <w:rsid w:val="0096061B"/>
    <w:rsid w:val="0096088D"/>
    <w:rsid w:val="00960CE4"/>
    <w:rsid w:val="00961178"/>
    <w:rsid w:val="0096126D"/>
    <w:rsid w:val="00961D16"/>
    <w:rsid w:val="00962107"/>
    <w:rsid w:val="00962136"/>
    <w:rsid w:val="0096222D"/>
    <w:rsid w:val="00962840"/>
    <w:rsid w:val="00962CA2"/>
    <w:rsid w:val="00962CB9"/>
    <w:rsid w:val="00962F10"/>
    <w:rsid w:val="009638AB"/>
    <w:rsid w:val="00964312"/>
    <w:rsid w:val="009645B2"/>
    <w:rsid w:val="00964C13"/>
    <w:rsid w:val="009654BE"/>
    <w:rsid w:val="009659CA"/>
    <w:rsid w:val="00965B8A"/>
    <w:rsid w:val="00965BE0"/>
    <w:rsid w:val="0096614A"/>
    <w:rsid w:val="00966554"/>
    <w:rsid w:val="009666F6"/>
    <w:rsid w:val="00966CE2"/>
    <w:rsid w:val="00967084"/>
    <w:rsid w:val="0096763F"/>
    <w:rsid w:val="009679AF"/>
    <w:rsid w:val="00967CA1"/>
    <w:rsid w:val="00970000"/>
    <w:rsid w:val="00970346"/>
    <w:rsid w:val="00970625"/>
    <w:rsid w:val="0097071F"/>
    <w:rsid w:val="009707C1"/>
    <w:rsid w:val="00971442"/>
    <w:rsid w:val="00971766"/>
    <w:rsid w:val="009717AC"/>
    <w:rsid w:val="00971C7B"/>
    <w:rsid w:val="0097208F"/>
    <w:rsid w:val="0097218B"/>
    <w:rsid w:val="009723D8"/>
    <w:rsid w:val="00972489"/>
    <w:rsid w:val="00972C6D"/>
    <w:rsid w:val="0097310A"/>
    <w:rsid w:val="009732D6"/>
    <w:rsid w:val="00973381"/>
    <w:rsid w:val="00973510"/>
    <w:rsid w:val="00973AAB"/>
    <w:rsid w:val="00973BD6"/>
    <w:rsid w:val="00973D01"/>
    <w:rsid w:val="00974ACD"/>
    <w:rsid w:val="00974F04"/>
    <w:rsid w:val="009751C1"/>
    <w:rsid w:val="00975582"/>
    <w:rsid w:val="009759DC"/>
    <w:rsid w:val="00976438"/>
    <w:rsid w:val="00976A87"/>
    <w:rsid w:val="00976DD2"/>
    <w:rsid w:val="00976E3B"/>
    <w:rsid w:val="00976EB7"/>
    <w:rsid w:val="00976F92"/>
    <w:rsid w:val="009771A1"/>
    <w:rsid w:val="00977393"/>
    <w:rsid w:val="009777BC"/>
    <w:rsid w:val="009777CB"/>
    <w:rsid w:val="00977989"/>
    <w:rsid w:val="00977B2F"/>
    <w:rsid w:val="00977BC1"/>
    <w:rsid w:val="00981086"/>
    <w:rsid w:val="009811F1"/>
    <w:rsid w:val="00981900"/>
    <w:rsid w:val="00981B0F"/>
    <w:rsid w:val="00982379"/>
    <w:rsid w:val="0098262F"/>
    <w:rsid w:val="00982B1D"/>
    <w:rsid w:val="00983363"/>
    <w:rsid w:val="0098350C"/>
    <w:rsid w:val="00983662"/>
    <w:rsid w:val="009839E9"/>
    <w:rsid w:val="00983E57"/>
    <w:rsid w:val="00984B0B"/>
    <w:rsid w:val="00984CB9"/>
    <w:rsid w:val="0098580F"/>
    <w:rsid w:val="00985C31"/>
    <w:rsid w:val="00985DE2"/>
    <w:rsid w:val="00985E75"/>
    <w:rsid w:val="00986633"/>
    <w:rsid w:val="0098675D"/>
    <w:rsid w:val="00987826"/>
    <w:rsid w:val="00987BA4"/>
    <w:rsid w:val="00987D56"/>
    <w:rsid w:val="00987DC8"/>
    <w:rsid w:val="00987FAF"/>
    <w:rsid w:val="00990643"/>
    <w:rsid w:val="00990721"/>
    <w:rsid w:val="009908AC"/>
    <w:rsid w:val="00990E1E"/>
    <w:rsid w:val="00990FEB"/>
    <w:rsid w:val="0099244F"/>
    <w:rsid w:val="00992482"/>
    <w:rsid w:val="009925EA"/>
    <w:rsid w:val="009926E0"/>
    <w:rsid w:val="009928BC"/>
    <w:rsid w:val="009931D2"/>
    <w:rsid w:val="0099451E"/>
    <w:rsid w:val="0099491A"/>
    <w:rsid w:val="00994C3C"/>
    <w:rsid w:val="00994CB4"/>
    <w:rsid w:val="00994FF3"/>
    <w:rsid w:val="00995172"/>
    <w:rsid w:val="0099587B"/>
    <w:rsid w:val="00996693"/>
    <w:rsid w:val="009967D8"/>
    <w:rsid w:val="00996B1A"/>
    <w:rsid w:val="0099739F"/>
    <w:rsid w:val="0099749B"/>
    <w:rsid w:val="009974CB"/>
    <w:rsid w:val="00997611"/>
    <w:rsid w:val="009976FC"/>
    <w:rsid w:val="009A016B"/>
    <w:rsid w:val="009A0C45"/>
    <w:rsid w:val="009A1120"/>
    <w:rsid w:val="009A18F6"/>
    <w:rsid w:val="009A1A65"/>
    <w:rsid w:val="009A1B63"/>
    <w:rsid w:val="009A1EBF"/>
    <w:rsid w:val="009A211C"/>
    <w:rsid w:val="009A25A9"/>
    <w:rsid w:val="009A273F"/>
    <w:rsid w:val="009A2807"/>
    <w:rsid w:val="009A2B63"/>
    <w:rsid w:val="009A2D17"/>
    <w:rsid w:val="009A2DCC"/>
    <w:rsid w:val="009A3BB6"/>
    <w:rsid w:val="009A4214"/>
    <w:rsid w:val="009A4777"/>
    <w:rsid w:val="009A48BE"/>
    <w:rsid w:val="009A48E9"/>
    <w:rsid w:val="009A4965"/>
    <w:rsid w:val="009A546D"/>
    <w:rsid w:val="009A569B"/>
    <w:rsid w:val="009A5928"/>
    <w:rsid w:val="009A5A6F"/>
    <w:rsid w:val="009A5ABC"/>
    <w:rsid w:val="009A5B9F"/>
    <w:rsid w:val="009A5FEF"/>
    <w:rsid w:val="009A617A"/>
    <w:rsid w:val="009A6545"/>
    <w:rsid w:val="009A6806"/>
    <w:rsid w:val="009A6DB0"/>
    <w:rsid w:val="009A6DC9"/>
    <w:rsid w:val="009A75F6"/>
    <w:rsid w:val="009A7938"/>
    <w:rsid w:val="009A7AA2"/>
    <w:rsid w:val="009A7C76"/>
    <w:rsid w:val="009A7F10"/>
    <w:rsid w:val="009B0179"/>
    <w:rsid w:val="009B0234"/>
    <w:rsid w:val="009B089F"/>
    <w:rsid w:val="009B1148"/>
    <w:rsid w:val="009B17CB"/>
    <w:rsid w:val="009B1867"/>
    <w:rsid w:val="009B1887"/>
    <w:rsid w:val="009B23C2"/>
    <w:rsid w:val="009B25DE"/>
    <w:rsid w:val="009B2640"/>
    <w:rsid w:val="009B28AE"/>
    <w:rsid w:val="009B2F7F"/>
    <w:rsid w:val="009B3375"/>
    <w:rsid w:val="009B3401"/>
    <w:rsid w:val="009B3656"/>
    <w:rsid w:val="009B3AF4"/>
    <w:rsid w:val="009B3CAD"/>
    <w:rsid w:val="009B3DA3"/>
    <w:rsid w:val="009B3E26"/>
    <w:rsid w:val="009B41A8"/>
    <w:rsid w:val="009B4FFA"/>
    <w:rsid w:val="009B59EE"/>
    <w:rsid w:val="009B5F76"/>
    <w:rsid w:val="009B6007"/>
    <w:rsid w:val="009B61A2"/>
    <w:rsid w:val="009B6C08"/>
    <w:rsid w:val="009B6DF9"/>
    <w:rsid w:val="009B7337"/>
    <w:rsid w:val="009B7C20"/>
    <w:rsid w:val="009C00A2"/>
    <w:rsid w:val="009C1271"/>
    <w:rsid w:val="009C173F"/>
    <w:rsid w:val="009C1EBE"/>
    <w:rsid w:val="009C1FC9"/>
    <w:rsid w:val="009C201C"/>
    <w:rsid w:val="009C239F"/>
    <w:rsid w:val="009C23AE"/>
    <w:rsid w:val="009C2B6F"/>
    <w:rsid w:val="009C2E43"/>
    <w:rsid w:val="009C34BE"/>
    <w:rsid w:val="009C3706"/>
    <w:rsid w:val="009C3A26"/>
    <w:rsid w:val="009C3A3A"/>
    <w:rsid w:val="009C3AEA"/>
    <w:rsid w:val="009C4211"/>
    <w:rsid w:val="009C426B"/>
    <w:rsid w:val="009C445E"/>
    <w:rsid w:val="009C4B00"/>
    <w:rsid w:val="009C4E1C"/>
    <w:rsid w:val="009C4E3A"/>
    <w:rsid w:val="009C555C"/>
    <w:rsid w:val="009C5CE1"/>
    <w:rsid w:val="009C64C0"/>
    <w:rsid w:val="009C6C3F"/>
    <w:rsid w:val="009C6CEA"/>
    <w:rsid w:val="009C75AB"/>
    <w:rsid w:val="009C77D2"/>
    <w:rsid w:val="009C7B85"/>
    <w:rsid w:val="009C7D45"/>
    <w:rsid w:val="009D00B1"/>
    <w:rsid w:val="009D0254"/>
    <w:rsid w:val="009D09C8"/>
    <w:rsid w:val="009D11B6"/>
    <w:rsid w:val="009D13B0"/>
    <w:rsid w:val="009D1A64"/>
    <w:rsid w:val="009D2CCC"/>
    <w:rsid w:val="009D2E36"/>
    <w:rsid w:val="009D2F2A"/>
    <w:rsid w:val="009D31EB"/>
    <w:rsid w:val="009D3781"/>
    <w:rsid w:val="009D3EF1"/>
    <w:rsid w:val="009D461A"/>
    <w:rsid w:val="009D4AFE"/>
    <w:rsid w:val="009D59C0"/>
    <w:rsid w:val="009D5B91"/>
    <w:rsid w:val="009D5CB1"/>
    <w:rsid w:val="009D65BD"/>
    <w:rsid w:val="009D676F"/>
    <w:rsid w:val="009D710B"/>
    <w:rsid w:val="009D792E"/>
    <w:rsid w:val="009E0594"/>
    <w:rsid w:val="009E0750"/>
    <w:rsid w:val="009E07C3"/>
    <w:rsid w:val="009E0ABD"/>
    <w:rsid w:val="009E0C6B"/>
    <w:rsid w:val="009E0DFE"/>
    <w:rsid w:val="009E11A0"/>
    <w:rsid w:val="009E1245"/>
    <w:rsid w:val="009E1E24"/>
    <w:rsid w:val="009E2BF4"/>
    <w:rsid w:val="009E2C82"/>
    <w:rsid w:val="009E31F6"/>
    <w:rsid w:val="009E395E"/>
    <w:rsid w:val="009E3F3C"/>
    <w:rsid w:val="009E415A"/>
    <w:rsid w:val="009E4C07"/>
    <w:rsid w:val="009E4C0E"/>
    <w:rsid w:val="009E4F64"/>
    <w:rsid w:val="009E6224"/>
    <w:rsid w:val="009E69C1"/>
    <w:rsid w:val="009E70A0"/>
    <w:rsid w:val="009E777F"/>
    <w:rsid w:val="009E7D41"/>
    <w:rsid w:val="009E7DE9"/>
    <w:rsid w:val="009E7F47"/>
    <w:rsid w:val="009F129A"/>
    <w:rsid w:val="009F18D3"/>
    <w:rsid w:val="009F1B94"/>
    <w:rsid w:val="009F22D1"/>
    <w:rsid w:val="009F2476"/>
    <w:rsid w:val="009F271B"/>
    <w:rsid w:val="009F3041"/>
    <w:rsid w:val="009F51EA"/>
    <w:rsid w:val="009F5660"/>
    <w:rsid w:val="009F566A"/>
    <w:rsid w:val="009F571B"/>
    <w:rsid w:val="009F5F8C"/>
    <w:rsid w:val="009F6111"/>
    <w:rsid w:val="009F6120"/>
    <w:rsid w:val="009F667F"/>
    <w:rsid w:val="009F7121"/>
    <w:rsid w:val="009F7C31"/>
    <w:rsid w:val="009F7D8D"/>
    <w:rsid w:val="00A00D76"/>
    <w:rsid w:val="00A00DCB"/>
    <w:rsid w:val="00A01179"/>
    <w:rsid w:val="00A01184"/>
    <w:rsid w:val="00A0131B"/>
    <w:rsid w:val="00A01449"/>
    <w:rsid w:val="00A019E7"/>
    <w:rsid w:val="00A01B2D"/>
    <w:rsid w:val="00A01CB8"/>
    <w:rsid w:val="00A02350"/>
    <w:rsid w:val="00A0261A"/>
    <w:rsid w:val="00A02BD0"/>
    <w:rsid w:val="00A02F75"/>
    <w:rsid w:val="00A037C2"/>
    <w:rsid w:val="00A037E9"/>
    <w:rsid w:val="00A037ED"/>
    <w:rsid w:val="00A03A20"/>
    <w:rsid w:val="00A03D43"/>
    <w:rsid w:val="00A03E2B"/>
    <w:rsid w:val="00A03E3E"/>
    <w:rsid w:val="00A040D5"/>
    <w:rsid w:val="00A0419C"/>
    <w:rsid w:val="00A04380"/>
    <w:rsid w:val="00A04786"/>
    <w:rsid w:val="00A04994"/>
    <w:rsid w:val="00A05046"/>
    <w:rsid w:val="00A05472"/>
    <w:rsid w:val="00A05789"/>
    <w:rsid w:val="00A05C32"/>
    <w:rsid w:val="00A0653F"/>
    <w:rsid w:val="00A06D54"/>
    <w:rsid w:val="00A07023"/>
    <w:rsid w:val="00A07073"/>
    <w:rsid w:val="00A07437"/>
    <w:rsid w:val="00A07678"/>
    <w:rsid w:val="00A07A49"/>
    <w:rsid w:val="00A07B04"/>
    <w:rsid w:val="00A07BA0"/>
    <w:rsid w:val="00A07E70"/>
    <w:rsid w:val="00A10B93"/>
    <w:rsid w:val="00A11081"/>
    <w:rsid w:val="00A113C7"/>
    <w:rsid w:val="00A11CD0"/>
    <w:rsid w:val="00A11DB6"/>
    <w:rsid w:val="00A12050"/>
    <w:rsid w:val="00A12F07"/>
    <w:rsid w:val="00A12FD7"/>
    <w:rsid w:val="00A137D5"/>
    <w:rsid w:val="00A13850"/>
    <w:rsid w:val="00A13948"/>
    <w:rsid w:val="00A13A1C"/>
    <w:rsid w:val="00A1445B"/>
    <w:rsid w:val="00A1528F"/>
    <w:rsid w:val="00A154A0"/>
    <w:rsid w:val="00A1555B"/>
    <w:rsid w:val="00A155C5"/>
    <w:rsid w:val="00A15643"/>
    <w:rsid w:val="00A15ADB"/>
    <w:rsid w:val="00A15B8C"/>
    <w:rsid w:val="00A16150"/>
    <w:rsid w:val="00A162A7"/>
    <w:rsid w:val="00A1636F"/>
    <w:rsid w:val="00A16AD8"/>
    <w:rsid w:val="00A16B9A"/>
    <w:rsid w:val="00A17B0B"/>
    <w:rsid w:val="00A17E8E"/>
    <w:rsid w:val="00A2021E"/>
    <w:rsid w:val="00A20571"/>
    <w:rsid w:val="00A207C0"/>
    <w:rsid w:val="00A207DD"/>
    <w:rsid w:val="00A20A7C"/>
    <w:rsid w:val="00A20EE7"/>
    <w:rsid w:val="00A2156D"/>
    <w:rsid w:val="00A2160E"/>
    <w:rsid w:val="00A21C4F"/>
    <w:rsid w:val="00A21C95"/>
    <w:rsid w:val="00A21CF3"/>
    <w:rsid w:val="00A22471"/>
    <w:rsid w:val="00A226F1"/>
    <w:rsid w:val="00A22B70"/>
    <w:rsid w:val="00A23F3F"/>
    <w:rsid w:val="00A24173"/>
    <w:rsid w:val="00A24813"/>
    <w:rsid w:val="00A252AE"/>
    <w:rsid w:val="00A2571B"/>
    <w:rsid w:val="00A2638D"/>
    <w:rsid w:val="00A26C80"/>
    <w:rsid w:val="00A26EB4"/>
    <w:rsid w:val="00A27530"/>
    <w:rsid w:val="00A275D9"/>
    <w:rsid w:val="00A27601"/>
    <w:rsid w:val="00A27942"/>
    <w:rsid w:val="00A27AEC"/>
    <w:rsid w:val="00A27BF2"/>
    <w:rsid w:val="00A30232"/>
    <w:rsid w:val="00A30398"/>
    <w:rsid w:val="00A30729"/>
    <w:rsid w:val="00A31916"/>
    <w:rsid w:val="00A31996"/>
    <w:rsid w:val="00A320DB"/>
    <w:rsid w:val="00A3243C"/>
    <w:rsid w:val="00A32F61"/>
    <w:rsid w:val="00A33A28"/>
    <w:rsid w:val="00A33C92"/>
    <w:rsid w:val="00A33DF5"/>
    <w:rsid w:val="00A33EC1"/>
    <w:rsid w:val="00A34270"/>
    <w:rsid w:val="00A342E1"/>
    <w:rsid w:val="00A34D3C"/>
    <w:rsid w:val="00A3533E"/>
    <w:rsid w:val="00A35696"/>
    <w:rsid w:val="00A35725"/>
    <w:rsid w:val="00A35878"/>
    <w:rsid w:val="00A35D08"/>
    <w:rsid w:val="00A35D16"/>
    <w:rsid w:val="00A35D5E"/>
    <w:rsid w:val="00A3611F"/>
    <w:rsid w:val="00A3628F"/>
    <w:rsid w:val="00A36457"/>
    <w:rsid w:val="00A365D4"/>
    <w:rsid w:val="00A36B8F"/>
    <w:rsid w:val="00A377F6"/>
    <w:rsid w:val="00A37997"/>
    <w:rsid w:val="00A37BCD"/>
    <w:rsid w:val="00A40124"/>
    <w:rsid w:val="00A4149E"/>
    <w:rsid w:val="00A414C2"/>
    <w:rsid w:val="00A41689"/>
    <w:rsid w:val="00A41993"/>
    <w:rsid w:val="00A421A0"/>
    <w:rsid w:val="00A4223D"/>
    <w:rsid w:val="00A4249D"/>
    <w:rsid w:val="00A4258F"/>
    <w:rsid w:val="00A42592"/>
    <w:rsid w:val="00A42B8B"/>
    <w:rsid w:val="00A42C63"/>
    <w:rsid w:val="00A43817"/>
    <w:rsid w:val="00A43C59"/>
    <w:rsid w:val="00A43F69"/>
    <w:rsid w:val="00A4414D"/>
    <w:rsid w:val="00A44196"/>
    <w:rsid w:val="00A4475A"/>
    <w:rsid w:val="00A44DF8"/>
    <w:rsid w:val="00A458F9"/>
    <w:rsid w:val="00A45BAE"/>
    <w:rsid w:val="00A46291"/>
    <w:rsid w:val="00A46CAC"/>
    <w:rsid w:val="00A46F90"/>
    <w:rsid w:val="00A4763E"/>
    <w:rsid w:val="00A47802"/>
    <w:rsid w:val="00A5003C"/>
    <w:rsid w:val="00A50ECD"/>
    <w:rsid w:val="00A51349"/>
    <w:rsid w:val="00A514D0"/>
    <w:rsid w:val="00A518F3"/>
    <w:rsid w:val="00A51EE6"/>
    <w:rsid w:val="00A520DD"/>
    <w:rsid w:val="00A52597"/>
    <w:rsid w:val="00A52729"/>
    <w:rsid w:val="00A53051"/>
    <w:rsid w:val="00A53636"/>
    <w:rsid w:val="00A53675"/>
    <w:rsid w:val="00A53F39"/>
    <w:rsid w:val="00A54260"/>
    <w:rsid w:val="00A54AFE"/>
    <w:rsid w:val="00A5545B"/>
    <w:rsid w:val="00A554DF"/>
    <w:rsid w:val="00A55879"/>
    <w:rsid w:val="00A55A61"/>
    <w:rsid w:val="00A55DC8"/>
    <w:rsid w:val="00A564D7"/>
    <w:rsid w:val="00A56A14"/>
    <w:rsid w:val="00A56B6A"/>
    <w:rsid w:val="00A571E4"/>
    <w:rsid w:val="00A5722E"/>
    <w:rsid w:val="00A573B3"/>
    <w:rsid w:val="00A57699"/>
    <w:rsid w:val="00A578DC"/>
    <w:rsid w:val="00A57F8D"/>
    <w:rsid w:val="00A60AEA"/>
    <w:rsid w:val="00A610E4"/>
    <w:rsid w:val="00A6135E"/>
    <w:rsid w:val="00A6171F"/>
    <w:rsid w:val="00A61E4A"/>
    <w:rsid w:val="00A62032"/>
    <w:rsid w:val="00A6216B"/>
    <w:rsid w:val="00A62792"/>
    <w:rsid w:val="00A62885"/>
    <w:rsid w:val="00A6353B"/>
    <w:rsid w:val="00A63F57"/>
    <w:rsid w:val="00A640E2"/>
    <w:rsid w:val="00A64419"/>
    <w:rsid w:val="00A64827"/>
    <w:rsid w:val="00A648A6"/>
    <w:rsid w:val="00A64AAC"/>
    <w:rsid w:val="00A64D65"/>
    <w:rsid w:val="00A6506B"/>
    <w:rsid w:val="00A65757"/>
    <w:rsid w:val="00A65C84"/>
    <w:rsid w:val="00A66013"/>
    <w:rsid w:val="00A66BA1"/>
    <w:rsid w:val="00A66BCF"/>
    <w:rsid w:val="00A6725B"/>
    <w:rsid w:val="00A672ED"/>
    <w:rsid w:val="00A67391"/>
    <w:rsid w:val="00A678D7"/>
    <w:rsid w:val="00A67931"/>
    <w:rsid w:val="00A7028F"/>
    <w:rsid w:val="00A70605"/>
    <w:rsid w:val="00A716E0"/>
    <w:rsid w:val="00A717B7"/>
    <w:rsid w:val="00A71949"/>
    <w:rsid w:val="00A7194B"/>
    <w:rsid w:val="00A7197F"/>
    <w:rsid w:val="00A71AB8"/>
    <w:rsid w:val="00A71F51"/>
    <w:rsid w:val="00A72029"/>
    <w:rsid w:val="00A72B58"/>
    <w:rsid w:val="00A73134"/>
    <w:rsid w:val="00A731AA"/>
    <w:rsid w:val="00A735B6"/>
    <w:rsid w:val="00A7365A"/>
    <w:rsid w:val="00A7374E"/>
    <w:rsid w:val="00A73AE0"/>
    <w:rsid w:val="00A73B64"/>
    <w:rsid w:val="00A73CD4"/>
    <w:rsid w:val="00A73F09"/>
    <w:rsid w:val="00A75015"/>
    <w:rsid w:val="00A75AA4"/>
    <w:rsid w:val="00A75D15"/>
    <w:rsid w:val="00A76001"/>
    <w:rsid w:val="00A763F6"/>
    <w:rsid w:val="00A7649B"/>
    <w:rsid w:val="00A76688"/>
    <w:rsid w:val="00A7687D"/>
    <w:rsid w:val="00A76B1A"/>
    <w:rsid w:val="00A76BDB"/>
    <w:rsid w:val="00A76C33"/>
    <w:rsid w:val="00A776B0"/>
    <w:rsid w:val="00A777B2"/>
    <w:rsid w:val="00A8032D"/>
    <w:rsid w:val="00A80AE4"/>
    <w:rsid w:val="00A81008"/>
    <w:rsid w:val="00A81C01"/>
    <w:rsid w:val="00A81C89"/>
    <w:rsid w:val="00A8201E"/>
    <w:rsid w:val="00A8209C"/>
    <w:rsid w:val="00A82548"/>
    <w:rsid w:val="00A825AA"/>
    <w:rsid w:val="00A825D4"/>
    <w:rsid w:val="00A828F6"/>
    <w:rsid w:val="00A82B73"/>
    <w:rsid w:val="00A8317A"/>
    <w:rsid w:val="00A831D5"/>
    <w:rsid w:val="00A83276"/>
    <w:rsid w:val="00A8333E"/>
    <w:rsid w:val="00A83738"/>
    <w:rsid w:val="00A8413B"/>
    <w:rsid w:val="00A84CC4"/>
    <w:rsid w:val="00A85DD6"/>
    <w:rsid w:val="00A860F0"/>
    <w:rsid w:val="00A860F2"/>
    <w:rsid w:val="00A86A88"/>
    <w:rsid w:val="00A86D0D"/>
    <w:rsid w:val="00A86E8B"/>
    <w:rsid w:val="00A86FAA"/>
    <w:rsid w:val="00A87164"/>
    <w:rsid w:val="00A871A9"/>
    <w:rsid w:val="00A8732D"/>
    <w:rsid w:val="00A8748A"/>
    <w:rsid w:val="00A878FC"/>
    <w:rsid w:val="00A87FA2"/>
    <w:rsid w:val="00A9030C"/>
    <w:rsid w:val="00A9075D"/>
    <w:rsid w:val="00A90CBE"/>
    <w:rsid w:val="00A913B4"/>
    <w:rsid w:val="00A92990"/>
    <w:rsid w:val="00A92B11"/>
    <w:rsid w:val="00A92EF0"/>
    <w:rsid w:val="00A92FF1"/>
    <w:rsid w:val="00A93072"/>
    <w:rsid w:val="00A93730"/>
    <w:rsid w:val="00A938BD"/>
    <w:rsid w:val="00A93953"/>
    <w:rsid w:val="00A93B27"/>
    <w:rsid w:val="00A93F14"/>
    <w:rsid w:val="00A94A14"/>
    <w:rsid w:val="00A94B84"/>
    <w:rsid w:val="00A94C61"/>
    <w:rsid w:val="00A94F28"/>
    <w:rsid w:val="00A95063"/>
    <w:rsid w:val="00A954A2"/>
    <w:rsid w:val="00A95516"/>
    <w:rsid w:val="00A959D8"/>
    <w:rsid w:val="00A95E59"/>
    <w:rsid w:val="00A963EF"/>
    <w:rsid w:val="00A96CD5"/>
    <w:rsid w:val="00A97253"/>
    <w:rsid w:val="00A97330"/>
    <w:rsid w:val="00A97A94"/>
    <w:rsid w:val="00A97C72"/>
    <w:rsid w:val="00AA019E"/>
    <w:rsid w:val="00AA02CB"/>
    <w:rsid w:val="00AA02F0"/>
    <w:rsid w:val="00AA0458"/>
    <w:rsid w:val="00AA04B7"/>
    <w:rsid w:val="00AA079D"/>
    <w:rsid w:val="00AA0BBF"/>
    <w:rsid w:val="00AA0EDA"/>
    <w:rsid w:val="00AA113D"/>
    <w:rsid w:val="00AA1DC3"/>
    <w:rsid w:val="00AA2119"/>
    <w:rsid w:val="00AA27A8"/>
    <w:rsid w:val="00AA2913"/>
    <w:rsid w:val="00AA2D75"/>
    <w:rsid w:val="00AA39F7"/>
    <w:rsid w:val="00AA3D60"/>
    <w:rsid w:val="00AA4F02"/>
    <w:rsid w:val="00AA4FD9"/>
    <w:rsid w:val="00AA5DEB"/>
    <w:rsid w:val="00AA5FB5"/>
    <w:rsid w:val="00AA6BD5"/>
    <w:rsid w:val="00AA6BD8"/>
    <w:rsid w:val="00AA6C7D"/>
    <w:rsid w:val="00AA7244"/>
    <w:rsid w:val="00AA7F44"/>
    <w:rsid w:val="00AA7FD6"/>
    <w:rsid w:val="00AB0220"/>
    <w:rsid w:val="00AB042A"/>
    <w:rsid w:val="00AB0985"/>
    <w:rsid w:val="00AB11AD"/>
    <w:rsid w:val="00AB1514"/>
    <w:rsid w:val="00AB1542"/>
    <w:rsid w:val="00AB15B5"/>
    <w:rsid w:val="00AB19EF"/>
    <w:rsid w:val="00AB1E6F"/>
    <w:rsid w:val="00AB2495"/>
    <w:rsid w:val="00AB2D34"/>
    <w:rsid w:val="00AB3430"/>
    <w:rsid w:val="00AB37B9"/>
    <w:rsid w:val="00AB3F6E"/>
    <w:rsid w:val="00AB43A5"/>
    <w:rsid w:val="00AB4AD1"/>
    <w:rsid w:val="00AB4E24"/>
    <w:rsid w:val="00AB560F"/>
    <w:rsid w:val="00AB5E07"/>
    <w:rsid w:val="00AB627F"/>
    <w:rsid w:val="00AB64B1"/>
    <w:rsid w:val="00AB6578"/>
    <w:rsid w:val="00AB73FE"/>
    <w:rsid w:val="00AB7510"/>
    <w:rsid w:val="00AB7717"/>
    <w:rsid w:val="00AB794F"/>
    <w:rsid w:val="00AB7990"/>
    <w:rsid w:val="00AB7CFA"/>
    <w:rsid w:val="00AB7D01"/>
    <w:rsid w:val="00AC0686"/>
    <w:rsid w:val="00AC0714"/>
    <w:rsid w:val="00AC0790"/>
    <w:rsid w:val="00AC0A6E"/>
    <w:rsid w:val="00AC128B"/>
    <w:rsid w:val="00AC12ED"/>
    <w:rsid w:val="00AC1C1A"/>
    <w:rsid w:val="00AC1FC8"/>
    <w:rsid w:val="00AC22A8"/>
    <w:rsid w:val="00AC2BA6"/>
    <w:rsid w:val="00AC3253"/>
    <w:rsid w:val="00AC35E9"/>
    <w:rsid w:val="00AC36AC"/>
    <w:rsid w:val="00AC3729"/>
    <w:rsid w:val="00AC3844"/>
    <w:rsid w:val="00AC39EF"/>
    <w:rsid w:val="00AC47CE"/>
    <w:rsid w:val="00AC4863"/>
    <w:rsid w:val="00AC4AB6"/>
    <w:rsid w:val="00AC4E18"/>
    <w:rsid w:val="00AC523F"/>
    <w:rsid w:val="00AC5361"/>
    <w:rsid w:val="00AC5B42"/>
    <w:rsid w:val="00AC5B48"/>
    <w:rsid w:val="00AC63D3"/>
    <w:rsid w:val="00AC747C"/>
    <w:rsid w:val="00AC7959"/>
    <w:rsid w:val="00AD01CA"/>
    <w:rsid w:val="00AD054B"/>
    <w:rsid w:val="00AD08AA"/>
    <w:rsid w:val="00AD0AEF"/>
    <w:rsid w:val="00AD0B31"/>
    <w:rsid w:val="00AD0C57"/>
    <w:rsid w:val="00AD1048"/>
    <w:rsid w:val="00AD1450"/>
    <w:rsid w:val="00AD15E8"/>
    <w:rsid w:val="00AD172D"/>
    <w:rsid w:val="00AD1808"/>
    <w:rsid w:val="00AD1B4E"/>
    <w:rsid w:val="00AD1C53"/>
    <w:rsid w:val="00AD1DC3"/>
    <w:rsid w:val="00AD1F15"/>
    <w:rsid w:val="00AD1F80"/>
    <w:rsid w:val="00AD2034"/>
    <w:rsid w:val="00AD294A"/>
    <w:rsid w:val="00AD356D"/>
    <w:rsid w:val="00AD39D0"/>
    <w:rsid w:val="00AD3D7B"/>
    <w:rsid w:val="00AD48B9"/>
    <w:rsid w:val="00AD4ACA"/>
    <w:rsid w:val="00AD4C39"/>
    <w:rsid w:val="00AD4FFD"/>
    <w:rsid w:val="00AD5618"/>
    <w:rsid w:val="00AD63EB"/>
    <w:rsid w:val="00AD6502"/>
    <w:rsid w:val="00AD6780"/>
    <w:rsid w:val="00AD6924"/>
    <w:rsid w:val="00AD7285"/>
    <w:rsid w:val="00AE030C"/>
    <w:rsid w:val="00AE0695"/>
    <w:rsid w:val="00AE0A41"/>
    <w:rsid w:val="00AE187C"/>
    <w:rsid w:val="00AE1E96"/>
    <w:rsid w:val="00AE1EC3"/>
    <w:rsid w:val="00AE226A"/>
    <w:rsid w:val="00AE2C27"/>
    <w:rsid w:val="00AE306C"/>
    <w:rsid w:val="00AE3162"/>
    <w:rsid w:val="00AE3235"/>
    <w:rsid w:val="00AE3CDC"/>
    <w:rsid w:val="00AE3DC7"/>
    <w:rsid w:val="00AE3DFA"/>
    <w:rsid w:val="00AE3E7E"/>
    <w:rsid w:val="00AE4C97"/>
    <w:rsid w:val="00AE4F01"/>
    <w:rsid w:val="00AE5493"/>
    <w:rsid w:val="00AE577D"/>
    <w:rsid w:val="00AE59C0"/>
    <w:rsid w:val="00AE5B35"/>
    <w:rsid w:val="00AE6277"/>
    <w:rsid w:val="00AE7400"/>
    <w:rsid w:val="00AE7B65"/>
    <w:rsid w:val="00AE7E53"/>
    <w:rsid w:val="00AF0097"/>
    <w:rsid w:val="00AF0297"/>
    <w:rsid w:val="00AF1058"/>
    <w:rsid w:val="00AF1315"/>
    <w:rsid w:val="00AF18A1"/>
    <w:rsid w:val="00AF19BF"/>
    <w:rsid w:val="00AF1AF7"/>
    <w:rsid w:val="00AF1CCF"/>
    <w:rsid w:val="00AF2790"/>
    <w:rsid w:val="00AF27D6"/>
    <w:rsid w:val="00AF2DC3"/>
    <w:rsid w:val="00AF341F"/>
    <w:rsid w:val="00AF36CA"/>
    <w:rsid w:val="00AF40A2"/>
    <w:rsid w:val="00AF42D5"/>
    <w:rsid w:val="00AF4BD7"/>
    <w:rsid w:val="00AF4E13"/>
    <w:rsid w:val="00AF4F29"/>
    <w:rsid w:val="00AF521E"/>
    <w:rsid w:val="00AF5335"/>
    <w:rsid w:val="00AF5D83"/>
    <w:rsid w:val="00AF62F2"/>
    <w:rsid w:val="00AF6BCB"/>
    <w:rsid w:val="00AF7608"/>
    <w:rsid w:val="00AF77FF"/>
    <w:rsid w:val="00AF7C5A"/>
    <w:rsid w:val="00B004CA"/>
    <w:rsid w:val="00B00B46"/>
    <w:rsid w:val="00B0169D"/>
    <w:rsid w:val="00B028B3"/>
    <w:rsid w:val="00B02B30"/>
    <w:rsid w:val="00B02D25"/>
    <w:rsid w:val="00B02E28"/>
    <w:rsid w:val="00B033E5"/>
    <w:rsid w:val="00B03A00"/>
    <w:rsid w:val="00B03A63"/>
    <w:rsid w:val="00B03E1D"/>
    <w:rsid w:val="00B04957"/>
    <w:rsid w:val="00B04AC7"/>
    <w:rsid w:val="00B05300"/>
    <w:rsid w:val="00B05486"/>
    <w:rsid w:val="00B06042"/>
    <w:rsid w:val="00B06B9D"/>
    <w:rsid w:val="00B06BDB"/>
    <w:rsid w:val="00B06D01"/>
    <w:rsid w:val="00B074A9"/>
    <w:rsid w:val="00B0764B"/>
    <w:rsid w:val="00B07C1C"/>
    <w:rsid w:val="00B10010"/>
    <w:rsid w:val="00B108F9"/>
    <w:rsid w:val="00B109B8"/>
    <w:rsid w:val="00B10E6C"/>
    <w:rsid w:val="00B10EDF"/>
    <w:rsid w:val="00B10F77"/>
    <w:rsid w:val="00B1141D"/>
    <w:rsid w:val="00B115D5"/>
    <w:rsid w:val="00B11FE6"/>
    <w:rsid w:val="00B1202D"/>
    <w:rsid w:val="00B125BA"/>
    <w:rsid w:val="00B12661"/>
    <w:rsid w:val="00B129A4"/>
    <w:rsid w:val="00B12A41"/>
    <w:rsid w:val="00B12B68"/>
    <w:rsid w:val="00B13003"/>
    <w:rsid w:val="00B13305"/>
    <w:rsid w:val="00B13488"/>
    <w:rsid w:val="00B13A60"/>
    <w:rsid w:val="00B13A85"/>
    <w:rsid w:val="00B13C29"/>
    <w:rsid w:val="00B13CE3"/>
    <w:rsid w:val="00B1409C"/>
    <w:rsid w:val="00B14675"/>
    <w:rsid w:val="00B152A7"/>
    <w:rsid w:val="00B154DD"/>
    <w:rsid w:val="00B1611E"/>
    <w:rsid w:val="00B16373"/>
    <w:rsid w:val="00B16611"/>
    <w:rsid w:val="00B1673A"/>
    <w:rsid w:val="00B17266"/>
    <w:rsid w:val="00B1752F"/>
    <w:rsid w:val="00B179CD"/>
    <w:rsid w:val="00B201A4"/>
    <w:rsid w:val="00B201D1"/>
    <w:rsid w:val="00B2042D"/>
    <w:rsid w:val="00B20554"/>
    <w:rsid w:val="00B2091F"/>
    <w:rsid w:val="00B20978"/>
    <w:rsid w:val="00B213A6"/>
    <w:rsid w:val="00B2254E"/>
    <w:rsid w:val="00B22614"/>
    <w:rsid w:val="00B22737"/>
    <w:rsid w:val="00B227BA"/>
    <w:rsid w:val="00B227D3"/>
    <w:rsid w:val="00B22F55"/>
    <w:rsid w:val="00B233DC"/>
    <w:rsid w:val="00B235B0"/>
    <w:rsid w:val="00B23F1B"/>
    <w:rsid w:val="00B241EB"/>
    <w:rsid w:val="00B24B22"/>
    <w:rsid w:val="00B24BA4"/>
    <w:rsid w:val="00B24DF6"/>
    <w:rsid w:val="00B24F83"/>
    <w:rsid w:val="00B252C8"/>
    <w:rsid w:val="00B25B5E"/>
    <w:rsid w:val="00B25DB6"/>
    <w:rsid w:val="00B26630"/>
    <w:rsid w:val="00B26FB0"/>
    <w:rsid w:val="00B27337"/>
    <w:rsid w:val="00B27A39"/>
    <w:rsid w:val="00B27A61"/>
    <w:rsid w:val="00B27D72"/>
    <w:rsid w:val="00B30320"/>
    <w:rsid w:val="00B30694"/>
    <w:rsid w:val="00B30B13"/>
    <w:rsid w:val="00B30B8B"/>
    <w:rsid w:val="00B3156D"/>
    <w:rsid w:val="00B31CD9"/>
    <w:rsid w:val="00B32B0C"/>
    <w:rsid w:val="00B32E81"/>
    <w:rsid w:val="00B33374"/>
    <w:rsid w:val="00B33703"/>
    <w:rsid w:val="00B344E3"/>
    <w:rsid w:val="00B347D1"/>
    <w:rsid w:val="00B34FE2"/>
    <w:rsid w:val="00B35166"/>
    <w:rsid w:val="00B3561A"/>
    <w:rsid w:val="00B357D8"/>
    <w:rsid w:val="00B359C0"/>
    <w:rsid w:val="00B35ECB"/>
    <w:rsid w:val="00B35FD0"/>
    <w:rsid w:val="00B3605A"/>
    <w:rsid w:val="00B360F4"/>
    <w:rsid w:val="00B36189"/>
    <w:rsid w:val="00B36252"/>
    <w:rsid w:val="00B36690"/>
    <w:rsid w:val="00B36807"/>
    <w:rsid w:val="00B36A00"/>
    <w:rsid w:val="00B36F9B"/>
    <w:rsid w:val="00B3792B"/>
    <w:rsid w:val="00B37BC8"/>
    <w:rsid w:val="00B37BFC"/>
    <w:rsid w:val="00B37F11"/>
    <w:rsid w:val="00B401C7"/>
    <w:rsid w:val="00B40358"/>
    <w:rsid w:val="00B40657"/>
    <w:rsid w:val="00B40D0B"/>
    <w:rsid w:val="00B4119E"/>
    <w:rsid w:val="00B41614"/>
    <w:rsid w:val="00B419AB"/>
    <w:rsid w:val="00B421A9"/>
    <w:rsid w:val="00B425B7"/>
    <w:rsid w:val="00B42626"/>
    <w:rsid w:val="00B42851"/>
    <w:rsid w:val="00B42F08"/>
    <w:rsid w:val="00B42F80"/>
    <w:rsid w:val="00B433D5"/>
    <w:rsid w:val="00B433F0"/>
    <w:rsid w:val="00B435CB"/>
    <w:rsid w:val="00B43626"/>
    <w:rsid w:val="00B43A0A"/>
    <w:rsid w:val="00B43F8E"/>
    <w:rsid w:val="00B445FB"/>
    <w:rsid w:val="00B4482E"/>
    <w:rsid w:val="00B454A1"/>
    <w:rsid w:val="00B45A6C"/>
    <w:rsid w:val="00B45C19"/>
    <w:rsid w:val="00B4619D"/>
    <w:rsid w:val="00B465EC"/>
    <w:rsid w:val="00B46704"/>
    <w:rsid w:val="00B47627"/>
    <w:rsid w:val="00B47C4A"/>
    <w:rsid w:val="00B5001D"/>
    <w:rsid w:val="00B505C8"/>
    <w:rsid w:val="00B50797"/>
    <w:rsid w:val="00B50BB4"/>
    <w:rsid w:val="00B50DB8"/>
    <w:rsid w:val="00B51028"/>
    <w:rsid w:val="00B513FC"/>
    <w:rsid w:val="00B51476"/>
    <w:rsid w:val="00B51541"/>
    <w:rsid w:val="00B5155F"/>
    <w:rsid w:val="00B518D6"/>
    <w:rsid w:val="00B51982"/>
    <w:rsid w:val="00B51B18"/>
    <w:rsid w:val="00B52024"/>
    <w:rsid w:val="00B5320A"/>
    <w:rsid w:val="00B53654"/>
    <w:rsid w:val="00B53905"/>
    <w:rsid w:val="00B546DB"/>
    <w:rsid w:val="00B547DD"/>
    <w:rsid w:val="00B54B5B"/>
    <w:rsid w:val="00B5562E"/>
    <w:rsid w:val="00B55862"/>
    <w:rsid w:val="00B55A5A"/>
    <w:rsid w:val="00B55D65"/>
    <w:rsid w:val="00B56247"/>
    <w:rsid w:val="00B56305"/>
    <w:rsid w:val="00B56805"/>
    <w:rsid w:val="00B56F20"/>
    <w:rsid w:val="00B57000"/>
    <w:rsid w:val="00B57119"/>
    <w:rsid w:val="00B6056E"/>
    <w:rsid w:val="00B605DF"/>
    <w:rsid w:val="00B60883"/>
    <w:rsid w:val="00B60939"/>
    <w:rsid w:val="00B60AFD"/>
    <w:rsid w:val="00B610B5"/>
    <w:rsid w:val="00B61147"/>
    <w:rsid w:val="00B613A3"/>
    <w:rsid w:val="00B61748"/>
    <w:rsid w:val="00B61825"/>
    <w:rsid w:val="00B61B39"/>
    <w:rsid w:val="00B626A5"/>
    <w:rsid w:val="00B62715"/>
    <w:rsid w:val="00B62942"/>
    <w:rsid w:val="00B631B1"/>
    <w:rsid w:val="00B63805"/>
    <w:rsid w:val="00B63F43"/>
    <w:rsid w:val="00B64007"/>
    <w:rsid w:val="00B645C8"/>
    <w:rsid w:val="00B654B6"/>
    <w:rsid w:val="00B65611"/>
    <w:rsid w:val="00B65691"/>
    <w:rsid w:val="00B658B4"/>
    <w:rsid w:val="00B65F49"/>
    <w:rsid w:val="00B66496"/>
    <w:rsid w:val="00B66620"/>
    <w:rsid w:val="00B66D21"/>
    <w:rsid w:val="00B66F4E"/>
    <w:rsid w:val="00B67714"/>
    <w:rsid w:val="00B7007C"/>
    <w:rsid w:val="00B701BC"/>
    <w:rsid w:val="00B702CF"/>
    <w:rsid w:val="00B70609"/>
    <w:rsid w:val="00B70E5C"/>
    <w:rsid w:val="00B70E8E"/>
    <w:rsid w:val="00B70F87"/>
    <w:rsid w:val="00B7183C"/>
    <w:rsid w:val="00B71917"/>
    <w:rsid w:val="00B71C0C"/>
    <w:rsid w:val="00B725A9"/>
    <w:rsid w:val="00B72C6C"/>
    <w:rsid w:val="00B7345A"/>
    <w:rsid w:val="00B736E9"/>
    <w:rsid w:val="00B73F00"/>
    <w:rsid w:val="00B7424B"/>
    <w:rsid w:val="00B7485C"/>
    <w:rsid w:val="00B74DE2"/>
    <w:rsid w:val="00B74EC8"/>
    <w:rsid w:val="00B74EF2"/>
    <w:rsid w:val="00B75611"/>
    <w:rsid w:val="00B75AE8"/>
    <w:rsid w:val="00B75CE5"/>
    <w:rsid w:val="00B76666"/>
    <w:rsid w:val="00B76C92"/>
    <w:rsid w:val="00B777DB"/>
    <w:rsid w:val="00B77B61"/>
    <w:rsid w:val="00B77BD7"/>
    <w:rsid w:val="00B77DCE"/>
    <w:rsid w:val="00B77DD3"/>
    <w:rsid w:val="00B77F5A"/>
    <w:rsid w:val="00B80347"/>
    <w:rsid w:val="00B8038B"/>
    <w:rsid w:val="00B80EF2"/>
    <w:rsid w:val="00B80EFD"/>
    <w:rsid w:val="00B81717"/>
    <w:rsid w:val="00B818A4"/>
    <w:rsid w:val="00B819F9"/>
    <w:rsid w:val="00B81B5E"/>
    <w:rsid w:val="00B81D9A"/>
    <w:rsid w:val="00B82C3E"/>
    <w:rsid w:val="00B83034"/>
    <w:rsid w:val="00B83216"/>
    <w:rsid w:val="00B83739"/>
    <w:rsid w:val="00B84117"/>
    <w:rsid w:val="00B846FF"/>
    <w:rsid w:val="00B84717"/>
    <w:rsid w:val="00B850CB"/>
    <w:rsid w:val="00B851AD"/>
    <w:rsid w:val="00B858F0"/>
    <w:rsid w:val="00B85AA2"/>
    <w:rsid w:val="00B86133"/>
    <w:rsid w:val="00B8649C"/>
    <w:rsid w:val="00B866A2"/>
    <w:rsid w:val="00B8695D"/>
    <w:rsid w:val="00B86B86"/>
    <w:rsid w:val="00B86E4F"/>
    <w:rsid w:val="00B8796E"/>
    <w:rsid w:val="00B87AB1"/>
    <w:rsid w:val="00B87E5B"/>
    <w:rsid w:val="00B87F0A"/>
    <w:rsid w:val="00B900E8"/>
    <w:rsid w:val="00B904CC"/>
    <w:rsid w:val="00B90EF1"/>
    <w:rsid w:val="00B90F35"/>
    <w:rsid w:val="00B911AA"/>
    <w:rsid w:val="00B91BEB"/>
    <w:rsid w:val="00B91BF3"/>
    <w:rsid w:val="00B9209C"/>
    <w:rsid w:val="00B923FE"/>
    <w:rsid w:val="00B92483"/>
    <w:rsid w:val="00B92D0B"/>
    <w:rsid w:val="00B9321B"/>
    <w:rsid w:val="00B933A3"/>
    <w:rsid w:val="00B9356E"/>
    <w:rsid w:val="00B93FCA"/>
    <w:rsid w:val="00B9423E"/>
    <w:rsid w:val="00B94945"/>
    <w:rsid w:val="00B9498D"/>
    <w:rsid w:val="00B94DD6"/>
    <w:rsid w:val="00B94EA1"/>
    <w:rsid w:val="00B954EF"/>
    <w:rsid w:val="00B95584"/>
    <w:rsid w:val="00B95CB3"/>
    <w:rsid w:val="00B95F58"/>
    <w:rsid w:val="00B962B3"/>
    <w:rsid w:val="00B9738F"/>
    <w:rsid w:val="00B97CA2"/>
    <w:rsid w:val="00BA0A75"/>
    <w:rsid w:val="00BA0BBF"/>
    <w:rsid w:val="00BA0BE2"/>
    <w:rsid w:val="00BA0FA0"/>
    <w:rsid w:val="00BA1608"/>
    <w:rsid w:val="00BA1F48"/>
    <w:rsid w:val="00BA2010"/>
    <w:rsid w:val="00BA2739"/>
    <w:rsid w:val="00BA2A18"/>
    <w:rsid w:val="00BA322D"/>
    <w:rsid w:val="00BA3728"/>
    <w:rsid w:val="00BA3803"/>
    <w:rsid w:val="00BA4209"/>
    <w:rsid w:val="00BA451A"/>
    <w:rsid w:val="00BA46C1"/>
    <w:rsid w:val="00BA498F"/>
    <w:rsid w:val="00BA4BC6"/>
    <w:rsid w:val="00BA4C5A"/>
    <w:rsid w:val="00BA5032"/>
    <w:rsid w:val="00BA55B4"/>
    <w:rsid w:val="00BA55F9"/>
    <w:rsid w:val="00BA63FA"/>
    <w:rsid w:val="00BA66B7"/>
    <w:rsid w:val="00BA6B6D"/>
    <w:rsid w:val="00BB00B3"/>
    <w:rsid w:val="00BB0BDD"/>
    <w:rsid w:val="00BB0BF1"/>
    <w:rsid w:val="00BB0C29"/>
    <w:rsid w:val="00BB0DFF"/>
    <w:rsid w:val="00BB1118"/>
    <w:rsid w:val="00BB1684"/>
    <w:rsid w:val="00BB176C"/>
    <w:rsid w:val="00BB1A61"/>
    <w:rsid w:val="00BB1AE0"/>
    <w:rsid w:val="00BB219B"/>
    <w:rsid w:val="00BB2A73"/>
    <w:rsid w:val="00BB2D81"/>
    <w:rsid w:val="00BB3410"/>
    <w:rsid w:val="00BB3A45"/>
    <w:rsid w:val="00BB466A"/>
    <w:rsid w:val="00BB475B"/>
    <w:rsid w:val="00BB49DF"/>
    <w:rsid w:val="00BB4ACC"/>
    <w:rsid w:val="00BB51C1"/>
    <w:rsid w:val="00BB61E1"/>
    <w:rsid w:val="00BB6CD3"/>
    <w:rsid w:val="00BB6DBF"/>
    <w:rsid w:val="00BB703E"/>
    <w:rsid w:val="00BB732D"/>
    <w:rsid w:val="00BB7405"/>
    <w:rsid w:val="00BB7766"/>
    <w:rsid w:val="00BB7DD5"/>
    <w:rsid w:val="00BC05C9"/>
    <w:rsid w:val="00BC0CF7"/>
    <w:rsid w:val="00BC151A"/>
    <w:rsid w:val="00BC19A7"/>
    <w:rsid w:val="00BC1A21"/>
    <w:rsid w:val="00BC2996"/>
    <w:rsid w:val="00BC2FB0"/>
    <w:rsid w:val="00BC312C"/>
    <w:rsid w:val="00BC3440"/>
    <w:rsid w:val="00BC3631"/>
    <w:rsid w:val="00BC38C0"/>
    <w:rsid w:val="00BC3957"/>
    <w:rsid w:val="00BC4948"/>
    <w:rsid w:val="00BC4D88"/>
    <w:rsid w:val="00BC591F"/>
    <w:rsid w:val="00BC6266"/>
    <w:rsid w:val="00BC6AF8"/>
    <w:rsid w:val="00BC6B91"/>
    <w:rsid w:val="00BC7538"/>
    <w:rsid w:val="00BC787C"/>
    <w:rsid w:val="00BC7D6D"/>
    <w:rsid w:val="00BD005E"/>
    <w:rsid w:val="00BD01B3"/>
    <w:rsid w:val="00BD07AE"/>
    <w:rsid w:val="00BD1604"/>
    <w:rsid w:val="00BD1A6D"/>
    <w:rsid w:val="00BD2108"/>
    <w:rsid w:val="00BD2395"/>
    <w:rsid w:val="00BD26EC"/>
    <w:rsid w:val="00BD28B1"/>
    <w:rsid w:val="00BD2988"/>
    <w:rsid w:val="00BD2B64"/>
    <w:rsid w:val="00BD2B6E"/>
    <w:rsid w:val="00BD2ED5"/>
    <w:rsid w:val="00BD33E3"/>
    <w:rsid w:val="00BD3596"/>
    <w:rsid w:val="00BD365D"/>
    <w:rsid w:val="00BD395D"/>
    <w:rsid w:val="00BD4021"/>
    <w:rsid w:val="00BD4070"/>
    <w:rsid w:val="00BD4412"/>
    <w:rsid w:val="00BD4797"/>
    <w:rsid w:val="00BD4C43"/>
    <w:rsid w:val="00BD4D15"/>
    <w:rsid w:val="00BD4E77"/>
    <w:rsid w:val="00BD559A"/>
    <w:rsid w:val="00BD5919"/>
    <w:rsid w:val="00BD68A3"/>
    <w:rsid w:val="00BD6938"/>
    <w:rsid w:val="00BD6CF3"/>
    <w:rsid w:val="00BD75E2"/>
    <w:rsid w:val="00BD770E"/>
    <w:rsid w:val="00BD77ED"/>
    <w:rsid w:val="00BD7C4C"/>
    <w:rsid w:val="00BD7E9C"/>
    <w:rsid w:val="00BD7F72"/>
    <w:rsid w:val="00BE024D"/>
    <w:rsid w:val="00BE0A5A"/>
    <w:rsid w:val="00BE0ECA"/>
    <w:rsid w:val="00BE165C"/>
    <w:rsid w:val="00BE18CD"/>
    <w:rsid w:val="00BE2180"/>
    <w:rsid w:val="00BE21F2"/>
    <w:rsid w:val="00BE221A"/>
    <w:rsid w:val="00BE2492"/>
    <w:rsid w:val="00BE24BA"/>
    <w:rsid w:val="00BE2A08"/>
    <w:rsid w:val="00BE2B41"/>
    <w:rsid w:val="00BE3331"/>
    <w:rsid w:val="00BE3962"/>
    <w:rsid w:val="00BE3E8A"/>
    <w:rsid w:val="00BE4275"/>
    <w:rsid w:val="00BE47A8"/>
    <w:rsid w:val="00BE51F6"/>
    <w:rsid w:val="00BE55AF"/>
    <w:rsid w:val="00BE5683"/>
    <w:rsid w:val="00BE5988"/>
    <w:rsid w:val="00BE5A12"/>
    <w:rsid w:val="00BE5EAD"/>
    <w:rsid w:val="00BE60EE"/>
    <w:rsid w:val="00BE6414"/>
    <w:rsid w:val="00BE6F68"/>
    <w:rsid w:val="00BE7E5D"/>
    <w:rsid w:val="00BE7F1D"/>
    <w:rsid w:val="00BF052B"/>
    <w:rsid w:val="00BF06AE"/>
    <w:rsid w:val="00BF087A"/>
    <w:rsid w:val="00BF0ADF"/>
    <w:rsid w:val="00BF0C34"/>
    <w:rsid w:val="00BF0F95"/>
    <w:rsid w:val="00BF1188"/>
    <w:rsid w:val="00BF128A"/>
    <w:rsid w:val="00BF1F0C"/>
    <w:rsid w:val="00BF239F"/>
    <w:rsid w:val="00BF2433"/>
    <w:rsid w:val="00BF2E3F"/>
    <w:rsid w:val="00BF2E6E"/>
    <w:rsid w:val="00BF3337"/>
    <w:rsid w:val="00BF39EB"/>
    <w:rsid w:val="00BF46C9"/>
    <w:rsid w:val="00BF4A29"/>
    <w:rsid w:val="00BF502B"/>
    <w:rsid w:val="00BF51C8"/>
    <w:rsid w:val="00BF52A2"/>
    <w:rsid w:val="00BF52DA"/>
    <w:rsid w:val="00BF59E2"/>
    <w:rsid w:val="00BF61C9"/>
    <w:rsid w:val="00BF6A4D"/>
    <w:rsid w:val="00BF6C94"/>
    <w:rsid w:val="00BF6CAC"/>
    <w:rsid w:val="00BF6CD6"/>
    <w:rsid w:val="00BF6DF9"/>
    <w:rsid w:val="00BF74BA"/>
    <w:rsid w:val="00BF75CA"/>
    <w:rsid w:val="00BF7B90"/>
    <w:rsid w:val="00BF7CBE"/>
    <w:rsid w:val="00C00217"/>
    <w:rsid w:val="00C00424"/>
    <w:rsid w:val="00C00BB0"/>
    <w:rsid w:val="00C01120"/>
    <w:rsid w:val="00C01C98"/>
    <w:rsid w:val="00C01D91"/>
    <w:rsid w:val="00C0237C"/>
    <w:rsid w:val="00C0295A"/>
    <w:rsid w:val="00C02E6E"/>
    <w:rsid w:val="00C02F64"/>
    <w:rsid w:val="00C03358"/>
    <w:rsid w:val="00C036FB"/>
    <w:rsid w:val="00C03A67"/>
    <w:rsid w:val="00C03D6B"/>
    <w:rsid w:val="00C04364"/>
    <w:rsid w:val="00C046AF"/>
    <w:rsid w:val="00C04866"/>
    <w:rsid w:val="00C05317"/>
    <w:rsid w:val="00C05371"/>
    <w:rsid w:val="00C05635"/>
    <w:rsid w:val="00C05A9C"/>
    <w:rsid w:val="00C05B9D"/>
    <w:rsid w:val="00C05FC4"/>
    <w:rsid w:val="00C05FD6"/>
    <w:rsid w:val="00C07678"/>
    <w:rsid w:val="00C07760"/>
    <w:rsid w:val="00C077C3"/>
    <w:rsid w:val="00C07B45"/>
    <w:rsid w:val="00C07F9F"/>
    <w:rsid w:val="00C108F7"/>
    <w:rsid w:val="00C10D64"/>
    <w:rsid w:val="00C113B3"/>
    <w:rsid w:val="00C1179F"/>
    <w:rsid w:val="00C125AC"/>
    <w:rsid w:val="00C12799"/>
    <w:rsid w:val="00C127B9"/>
    <w:rsid w:val="00C12843"/>
    <w:rsid w:val="00C128CD"/>
    <w:rsid w:val="00C128FA"/>
    <w:rsid w:val="00C12C14"/>
    <w:rsid w:val="00C12E2F"/>
    <w:rsid w:val="00C12E97"/>
    <w:rsid w:val="00C12EF4"/>
    <w:rsid w:val="00C1328E"/>
    <w:rsid w:val="00C1390E"/>
    <w:rsid w:val="00C139CE"/>
    <w:rsid w:val="00C142F0"/>
    <w:rsid w:val="00C143E3"/>
    <w:rsid w:val="00C145A9"/>
    <w:rsid w:val="00C14712"/>
    <w:rsid w:val="00C148CB"/>
    <w:rsid w:val="00C15151"/>
    <w:rsid w:val="00C15B37"/>
    <w:rsid w:val="00C15F04"/>
    <w:rsid w:val="00C15FF3"/>
    <w:rsid w:val="00C16104"/>
    <w:rsid w:val="00C16718"/>
    <w:rsid w:val="00C16870"/>
    <w:rsid w:val="00C16929"/>
    <w:rsid w:val="00C16AE2"/>
    <w:rsid w:val="00C1797B"/>
    <w:rsid w:val="00C179B3"/>
    <w:rsid w:val="00C17B6C"/>
    <w:rsid w:val="00C17E3F"/>
    <w:rsid w:val="00C17E50"/>
    <w:rsid w:val="00C200AA"/>
    <w:rsid w:val="00C20290"/>
    <w:rsid w:val="00C20654"/>
    <w:rsid w:val="00C206C9"/>
    <w:rsid w:val="00C209F6"/>
    <w:rsid w:val="00C20B45"/>
    <w:rsid w:val="00C20F11"/>
    <w:rsid w:val="00C20F59"/>
    <w:rsid w:val="00C2309D"/>
    <w:rsid w:val="00C237ED"/>
    <w:rsid w:val="00C24632"/>
    <w:rsid w:val="00C246D6"/>
    <w:rsid w:val="00C248E7"/>
    <w:rsid w:val="00C24A50"/>
    <w:rsid w:val="00C24BAC"/>
    <w:rsid w:val="00C24CCA"/>
    <w:rsid w:val="00C2517E"/>
    <w:rsid w:val="00C252A0"/>
    <w:rsid w:val="00C25418"/>
    <w:rsid w:val="00C25BA4"/>
    <w:rsid w:val="00C25D96"/>
    <w:rsid w:val="00C25D9C"/>
    <w:rsid w:val="00C26815"/>
    <w:rsid w:val="00C268F7"/>
    <w:rsid w:val="00C26B08"/>
    <w:rsid w:val="00C2778B"/>
    <w:rsid w:val="00C27ABD"/>
    <w:rsid w:val="00C27B79"/>
    <w:rsid w:val="00C303C1"/>
    <w:rsid w:val="00C305B6"/>
    <w:rsid w:val="00C30D4A"/>
    <w:rsid w:val="00C30DDD"/>
    <w:rsid w:val="00C31305"/>
    <w:rsid w:val="00C313E2"/>
    <w:rsid w:val="00C3141B"/>
    <w:rsid w:val="00C31649"/>
    <w:rsid w:val="00C3183D"/>
    <w:rsid w:val="00C32AC1"/>
    <w:rsid w:val="00C33779"/>
    <w:rsid w:val="00C33C18"/>
    <w:rsid w:val="00C33C5C"/>
    <w:rsid w:val="00C33C65"/>
    <w:rsid w:val="00C3434C"/>
    <w:rsid w:val="00C3508B"/>
    <w:rsid w:val="00C35632"/>
    <w:rsid w:val="00C37454"/>
    <w:rsid w:val="00C37AA7"/>
    <w:rsid w:val="00C4022E"/>
    <w:rsid w:val="00C40385"/>
    <w:rsid w:val="00C403A7"/>
    <w:rsid w:val="00C40D16"/>
    <w:rsid w:val="00C40D84"/>
    <w:rsid w:val="00C40D9B"/>
    <w:rsid w:val="00C41542"/>
    <w:rsid w:val="00C41768"/>
    <w:rsid w:val="00C41975"/>
    <w:rsid w:val="00C41D58"/>
    <w:rsid w:val="00C42331"/>
    <w:rsid w:val="00C423AE"/>
    <w:rsid w:val="00C42737"/>
    <w:rsid w:val="00C43EEE"/>
    <w:rsid w:val="00C43FD5"/>
    <w:rsid w:val="00C440EF"/>
    <w:rsid w:val="00C44206"/>
    <w:rsid w:val="00C450A3"/>
    <w:rsid w:val="00C45BC9"/>
    <w:rsid w:val="00C45FC0"/>
    <w:rsid w:val="00C4703D"/>
    <w:rsid w:val="00C474DF"/>
    <w:rsid w:val="00C475AA"/>
    <w:rsid w:val="00C503C7"/>
    <w:rsid w:val="00C506D3"/>
    <w:rsid w:val="00C50E29"/>
    <w:rsid w:val="00C510DD"/>
    <w:rsid w:val="00C516D1"/>
    <w:rsid w:val="00C527C7"/>
    <w:rsid w:val="00C5286B"/>
    <w:rsid w:val="00C534E0"/>
    <w:rsid w:val="00C53B6F"/>
    <w:rsid w:val="00C53C07"/>
    <w:rsid w:val="00C53C98"/>
    <w:rsid w:val="00C54280"/>
    <w:rsid w:val="00C552B1"/>
    <w:rsid w:val="00C5574E"/>
    <w:rsid w:val="00C562F2"/>
    <w:rsid w:val="00C565E6"/>
    <w:rsid w:val="00C569C8"/>
    <w:rsid w:val="00C56FCF"/>
    <w:rsid w:val="00C572F6"/>
    <w:rsid w:val="00C57916"/>
    <w:rsid w:val="00C57B6C"/>
    <w:rsid w:val="00C57D2F"/>
    <w:rsid w:val="00C61138"/>
    <w:rsid w:val="00C61216"/>
    <w:rsid w:val="00C61A59"/>
    <w:rsid w:val="00C61B8E"/>
    <w:rsid w:val="00C6277E"/>
    <w:rsid w:val="00C6287F"/>
    <w:rsid w:val="00C628A6"/>
    <w:rsid w:val="00C62C1D"/>
    <w:rsid w:val="00C63053"/>
    <w:rsid w:val="00C63774"/>
    <w:rsid w:val="00C63B07"/>
    <w:rsid w:val="00C63C40"/>
    <w:rsid w:val="00C63C81"/>
    <w:rsid w:val="00C63D2C"/>
    <w:rsid w:val="00C64275"/>
    <w:rsid w:val="00C64344"/>
    <w:rsid w:val="00C65108"/>
    <w:rsid w:val="00C651B6"/>
    <w:rsid w:val="00C65576"/>
    <w:rsid w:val="00C659A7"/>
    <w:rsid w:val="00C65EE1"/>
    <w:rsid w:val="00C66165"/>
    <w:rsid w:val="00C663F6"/>
    <w:rsid w:val="00C66450"/>
    <w:rsid w:val="00C6716F"/>
    <w:rsid w:val="00C673DE"/>
    <w:rsid w:val="00C675C0"/>
    <w:rsid w:val="00C67D3D"/>
    <w:rsid w:val="00C67FB6"/>
    <w:rsid w:val="00C70023"/>
    <w:rsid w:val="00C7060A"/>
    <w:rsid w:val="00C70AD9"/>
    <w:rsid w:val="00C70C3B"/>
    <w:rsid w:val="00C711BA"/>
    <w:rsid w:val="00C7142C"/>
    <w:rsid w:val="00C7151A"/>
    <w:rsid w:val="00C717A4"/>
    <w:rsid w:val="00C717E3"/>
    <w:rsid w:val="00C71F60"/>
    <w:rsid w:val="00C72241"/>
    <w:rsid w:val="00C72FFC"/>
    <w:rsid w:val="00C7306D"/>
    <w:rsid w:val="00C73467"/>
    <w:rsid w:val="00C73E0C"/>
    <w:rsid w:val="00C7401C"/>
    <w:rsid w:val="00C744B6"/>
    <w:rsid w:val="00C74A2B"/>
    <w:rsid w:val="00C74A60"/>
    <w:rsid w:val="00C750C8"/>
    <w:rsid w:val="00C75486"/>
    <w:rsid w:val="00C7560F"/>
    <w:rsid w:val="00C75886"/>
    <w:rsid w:val="00C75B32"/>
    <w:rsid w:val="00C75FA4"/>
    <w:rsid w:val="00C75FAE"/>
    <w:rsid w:val="00C77453"/>
    <w:rsid w:val="00C77740"/>
    <w:rsid w:val="00C77D46"/>
    <w:rsid w:val="00C805BF"/>
    <w:rsid w:val="00C80A0E"/>
    <w:rsid w:val="00C80A86"/>
    <w:rsid w:val="00C8143D"/>
    <w:rsid w:val="00C81D3A"/>
    <w:rsid w:val="00C8213F"/>
    <w:rsid w:val="00C82806"/>
    <w:rsid w:val="00C8303F"/>
    <w:rsid w:val="00C832C4"/>
    <w:rsid w:val="00C83B98"/>
    <w:rsid w:val="00C84DAD"/>
    <w:rsid w:val="00C84E6E"/>
    <w:rsid w:val="00C85154"/>
    <w:rsid w:val="00C85A70"/>
    <w:rsid w:val="00C85A71"/>
    <w:rsid w:val="00C85AE7"/>
    <w:rsid w:val="00C85FB6"/>
    <w:rsid w:val="00C85FF9"/>
    <w:rsid w:val="00C8602F"/>
    <w:rsid w:val="00C863D5"/>
    <w:rsid w:val="00C86E34"/>
    <w:rsid w:val="00C8724F"/>
    <w:rsid w:val="00C876DD"/>
    <w:rsid w:val="00C8797A"/>
    <w:rsid w:val="00C900B8"/>
    <w:rsid w:val="00C90197"/>
    <w:rsid w:val="00C90B82"/>
    <w:rsid w:val="00C90BFC"/>
    <w:rsid w:val="00C90C71"/>
    <w:rsid w:val="00C90F08"/>
    <w:rsid w:val="00C916A8"/>
    <w:rsid w:val="00C91B37"/>
    <w:rsid w:val="00C91CCB"/>
    <w:rsid w:val="00C91F7E"/>
    <w:rsid w:val="00C91FD1"/>
    <w:rsid w:val="00C9214F"/>
    <w:rsid w:val="00C926A3"/>
    <w:rsid w:val="00C92830"/>
    <w:rsid w:val="00C931CF"/>
    <w:rsid w:val="00C93781"/>
    <w:rsid w:val="00C938C7"/>
    <w:rsid w:val="00C938CF"/>
    <w:rsid w:val="00C93A22"/>
    <w:rsid w:val="00C94053"/>
    <w:rsid w:val="00C940CA"/>
    <w:rsid w:val="00C947CE"/>
    <w:rsid w:val="00C9481C"/>
    <w:rsid w:val="00C94CB9"/>
    <w:rsid w:val="00C94E5C"/>
    <w:rsid w:val="00C95095"/>
    <w:rsid w:val="00C950B5"/>
    <w:rsid w:val="00C9599D"/>
    <w:rsid w:val="00C95F42"/>
    <w:rsid w:val="00C9624D"/>
    <w:rsid w:val="00C9698D"/>
    <w:rsid w:val="00C969DA"/>
    <w:rsid w:val="00C9779C"/>
    <w:rsid w:val="00C97ACF"/>
    <w:rsid w:val="00C97D70"/>
    <w:rsid w:val="00C97EF8"/>
    <w:rsid w:val="00CA0223"/>
    <w:rsid w:val="00CA0A86"/>
    <w:rsid w:val="00CA0CBD"/>
    <w:rsid w:val="00CA141E"/>
    <w:rsid w:val="00CA152D"/>
    <w:rsid w:val="00CA2134"/>
    <w:rsid w:val="00CA2412"/>
    <w:rsid w:val="00CA2C0D"/>
    <w:rsid w:val="00CA2C77"/>
    <w:rsid w:val="00CA2E1F"/>
    <w:rsid w:val="00CA391F"/>
    <w:rsid w:val="00CA3B39"/>
    <w:rsid w:val="00CA444F"/>
    <w:rsid w:val="00CA4465"/>
    <w:rsid w:val="00CA5245"/>
    <w:rsid w:val="00CA5E26"/>
    <w:rsid w:val="00CA63C1"/>
    <w:rsid w:val="00CA6B54"/>
    <w:rsid w:val="00CA6F94"/>
    <w:rsid w:val="00CA71F4"/>
    <w:rsid w:val="00CA743C"/>
    <w:rsid w:val="00CA7B09"/>
    <w:rsid w:val="00CA7CFE"/>
    <w:rsid w:val="00CB06C7"/>
    <w:rsid w:val="00CB108F"/>
    <w:rsid w:val="00CB1294"/>
    <w:rsid w:val="00CB12A5"/>
    <w:rsid w:val="00CB1481"/>
    <w:rsid w:val="00CB1737"/>
    <w:rsid w:val="00CB1748"/>
    <w:rsid w:val="00CB1CAC"/>
    <w:rsid w:val="00CB1D86"/>
    <w:rsid w:val="00CB1E59"/>
    <w:rsid w:val="00CB2789"/>
    <w:rsid w:val="00CB2F2A"/>
    <w:rsid w:val="00CB2FA1"/>
    <w:rsid w:val="00CB3C66"/>
    <w:rsid w:val="00CB3ECB"/>
    <w:rsid w:val="00CB3F6F"/>
    <w:rsid w:val="00CB4184"/>
    <w:rsid w:val="00CB4A87"/>
    <w:rsid w:val="00CB4BCF"/>
    <w:rsid w:val="00CB4CCD"/>
    <w:rsid w:val="00CB5005"/>
    <w:rsid w:val="00CB53AB"/>
    <w:rsid w:val="00CB58A5"/>
    <w:rsid w:val="00CB5954"/>
    <w:rsid w:val="00CB5B1A"/>
    <w:rsid w:val="00CB6B22"/>
    <w:rsid w:val="00CB74BE"/>
    <w:rsid w:val="00CB765F"/>
    <w:rsid w:val="00CB77B8"/>
    <w:rsid w:val="00CB785C"/>
    <w:rsid w:val="00CB7901"/>
    <w:rsid w:val="00CB7D97"/>
    <w:rsid w:val="00CB7E4A"/>
    <w:rsid w:val="00CB7F5F"/>
    <w:rsid w:val="00CC071C"/>
    <w:rsid w:val="00CC0C5E"/>
    <w:rsid w:val="00CC0F68"/>
    <w:rsid w:val="00CC1237"/>
    <w:rsid w:val="00CC1352"/>
    <w:rsid w:val="00CC1987"/>
    <w:rsid w:val="00CC1B39"/>
    <w:rsid w:val="00CC1BFA"/>
    <w:rsid w:val="00CC1D02"/>
    <w:rsid w:val="00CC1E67"/>
    <w:rsid w:val="00CC2302"/>
    <w:rsid w:val="00CC235E"/>
    <w:rsid w:val="00CC2E73"/>
    <w:rsid w:val="00CC2E9F"/>
    <w:rsid w:val="00CC2F61"/>
    <w:rsid w:val="00CC31FB"/>
    <w:rsid w:val="00CC35EA"/>
    <w:rsid w:val="00CC3848"/>
    <w:rsid w:val="00CC3D1A"/>
    <w:rsid w:val="00CC3DF8"/>
    <w:rsid w:val="00CC4666"/>
    <w:rsid w:val="00CC5EAE"/>
    <w:rsid w:val="00CC6229"/>
    <w:rsid w:val="00CC6992"/>
    <w:rsid w:val="00CC6AA6"/>
    <w:rsid w:val="00CC6C13"/>
    <w:rsid w:val="00CC6D5E"/>
    <w:rsid w:val="00CC6F1A"/>
    <w:rsid w:val="00CC7696"/>
    <w:rsid w:val="00CC78DC"/>
    <w:rsid w:val="00CC7A5F"/>
    <w:rsid w:val="00CC7C36"/>
    <w:rsid w:val="00CC7E23"/>
    <w:rsid w:val="00CD0200"/>
    <w:rsid w:val="00CD1184"/>
    <w:rsid w:val="00CD1310"/>
    <w:rsid w:val="00CD1BF7"/>
    <w:rsid w:val="00CD2B62"/>
    <w:rsid w:val="00CD2EA7"/>
    <w:rsid w:val="00CD307B"/>
    <w:rsid w:val="00CD33A0"/>
    <w:rsid w:val="00CD3559"/>
    <w:rsid w:val="00CD36D2"/>
    <w:rsid w:val="00CD370E"/>
    <w:rsid w:val="00CD3F77"/>
    <w:rsid w:val="00CD4868"/>
    <w:rsid w:val="00CD488C"/>
    <w:rsid w:val="00CD4A8A"/>
    <w:rsid w:val="00CD4F78"/>
    <w:rsid w:val="00CD511C"/>
    <w:rsid w:val="00CD5BED"/>
    <w:rsid w:val="00CD5BFA"/>
    <w:rsid w:val="00CD5D4D"/>
    <w:rsid w:val="00CD5ED9"/>
    <w:rsid w:val="00CD6268"/>
    <w:rsid w:val="00CD6329"/>
    <w:rsid w:val="00CD6819"/>
    <w:rsid w:val="00CD6ADC"/>
    <w:rsid w:val="00CD7058"/>
    <w:rsid w:val="00CD7193"/>
    <w:rsid w:val="00CD7520"/>
    <w:rsid w:val="00CD7C15"/>
    <w:rsid w:val="00CD7CEA"/>
    <w:rsid w:val="00CD7D90"/>
    <w:rsid w:val="00CE1277"/>
    <w:rsid w:val="00CE1541"/>
    <w:rsid w:val="00CE1596"/>
    <w:rsid w:val="00CE167E"/>
    <w:rsid w:val="00CE1E53"/>
    <w:rsid w:val="00CE2BC3"/>
    <w:rsid w:val="00CE3041"/>
    <w:rsid w:val="00CE3279"/>
    <w:rsid w:val="00CE34B8"/>
    <w:rsid w:val="00CE3512"/>
    <w:rsid w:val="00CE357D"/>
    <w:rsid w:val="00CE35EA"/>
    <w:rsid w:val="00CE3741"/>
    <w:rsid w:val="00CE38C8"/>
    <w:rsid w:val="00CE3AE6"/>
    <w:rsid w:val="00CE3D1B"/>
    <w:rsid w:val="00CE4680"/>
    <w:rsid w:val="00CE46A6"/>
    <w:rsid w:val="00CE4B09"/>
    <w:rsid w:val="00CE4EFB"/>
    <w:rsid w:val="00CE524F"/>
    <w:rsid w:val="00CE56F2"/>
    <w:rsid w:val="00CE58CC"/>
    <w:rsid w:val="00CE6274"/>
    <w:rsid w:val="00CE6B56"/>
    <w:rsid w:val="00CE773A"/>
    <w:rsid w:val="00CE77B6"/>
    <w:rsid w:val="00CF03DD"/>
    <w:rsid w:val="00CF0794"/>
    <w:rsid w:val="00CF09E4"/>
    <w:rsid w:val="00CF19C1"/>
    <w:rsid w:val="00CF1DC1"/>
    <w:rsid w:val="00CF1E73"/>
    <w:rsid w:val="00CF2084"/>
    <w:rsid w:val="00CF214C"/>
    <w:rsid w:val="00CF25FB"/>
    <w:rsid w:val="00CF2817"/>
    <w:rsid w:val="00CF2B8D"/>
    <w:rsid w:val="00CF2CF6"/>
    <w:rsid w:val="00CF33CD"/>
    <w:rsid w:val="00CF3A1B"/>
    <w:rsid w:val="00CF3A53"/>
    <w:rsid w:val="00CF456B"/>
    <w:rsid w:val="00CF45EA"/>
    <w:rsid w:val="00CF48B1"/>
    <w:rsid w:val="00CF4EF3"/>
    <w:rsid w:val="00CF4FB4"/>
    <w:rsid w:val="00CF554B"/>
    <w:rsid w:val="00CF5643"/>
    <w:rsid w:val="00CF575A"/>
    <w:rsid w:val="00CF5A22"/>
    <w:rsid w:val="00CF5F90"/>
    <w:rsid w:val="00CF6192"/>
    <w:rsid w:val="00CF62D6"/>
    <w:rsid w:val="00CF71E1"/>
    <w:rsid w:val="00CF79EA"/>
    <w:rsid w:val="00CF7B5D"/>
    <w:rsid w:val="00CF7B9A"/>
    <w:rsid w:val="00CF7C00"/>
    <w:rsid w:val="00CF7E46"/>
    <w:rsid w:val="00D0084F"/>
    <w:rsid w:val="00D0095F"/>
    <w:rsid w:val="00D009BF"/>
    <w:rsid w:val="00D00DDC"/>
    <w:rsid w:val="00D01026"/>
    <w:rsid w:val="00D015E7"/>
    <w:rsid w:val="00D01696"/>
    <w:rsid w:val="00D02090"/>
    <w:rsid w:val="00D0262E"/>
    <w:rsid w:val="00D02705"/>
    <w:rsid w:val="00D029FC"/>
    <w:rsid w:val="00D03679"/>
    <w:rsid w:val="00D03DFA"/>
    <w:rsid w:val="00D0403B"/>
    <w:rsid w:val="00D04064"/>
    <w:rsid w:val="00D041BB"/>
    <w:rsid w:val="00D04450"/>
    <w:rsid w:val="00D0546C"/>
    <w:rsid w:val="00D056F3"/>
    <w:rsid w:val="00D05E3D"/>
    <w:rsid w:val="00D05E97"/>
    <w:rsid w:val="00D0602F"/>
    <w:rsid w:val="00D06139"/>
    <w:rsid w:val="00D064CD"/>
    <w:rsid w:val="00D067AA"/>
    <w:rsid w:val="00D06E61"/>
    <w:rsid w:val="00D07233"/>
    <w:rsid w:val="00D1025B"/>
    <w:rsid w:val="00D1068E"/>
    <w:rsid w:val="00D10A8C"/>
    <w:rsid w:val="00D110BD"/>
    <w:rsid w:val="00D11342"/>
    <w:rsid w:val="00D116BE"/>
    <w:rsid w:val="00D11BEC"/>
    <w:rsid w:val="00D11FB9"/>
    <w:rsid w:val="00D13220"/>
    <w:rsid w:val="00D13675"/>
    <w:rsid w:val="00D139BA"/>
    <w:rsid w:val="00D13AC3"/>
    <w:rsid w:val="00D141E1"/>
    <w:rsid w:val="00D14232"/>
    <w:rsid w:val="00D14A1C"/>
    <w:rsid w:val="00D1525A"/>
    <w:rsid w:val="00D15314"/>
    <w:rsid w:val="00D15B48"/>
    <w:rsid w:val="00D15F3B"/>
    <w:rsid w:val="00D161E1"/>
    <w:rsid w:val="00D164C4"/>
    <w:rsid w:val="00D16570"/>
    <w:rsid w:val="00D16D8B"/>
    <w:rsid w:val="00D16DA0"/>
    <w:rsid w:val="00D1719C"/>
    <w:rsid w:val="00D17416"/>
    <w:rsid w:val="00D17591"/>
    <w:rsid w:val="00D17D6C"/>
    <w:rsid w:val="00D2000F"/>
    <w:rsid w:val="00D20135"/>
    <w:rsid w:val="00D202DB"/>
    <w:rsid w:val="00D20DBB"/>
    <w:rsid w:val="00D20EF9"/>
    <w:rsid w:val="00D212AA"/>
    <w:rsid w:val="00D21370"/>
    <w:rsid w:val="00D21437"/>
    <w:rsid w:val="00D2155B"/>
    <w:rsid w:val="00D21600"/>
    <w:rsid w:val="00D21740"/>
    <w:rsid w:val="00D21A3C"/>
    <w:rsid w:val="00D21D84"/>
    <w:rsid w:val="00D21E5C"/>
    <w:rsid w:val="00D223F5"/>
    <w:rsid w:val="00D228D2"/>
    <w:rsid w:val="00D23CFF"/>
    <w:rsid w:val="00D23D11"/>
    <w:rsid w:val="00D23D2E"/>
    <w:rsid w:val="00D23DAC"/>
    <w:rsid w:val="00D23DE9"/>
    <w:rsid w:val="00D24469"/>
    <w:rsid w:val="00D244B6"/>
    <w:rsid w:val="00D2499F"/>
    <w:rsid w:val="00D24B8C"/>
    <w:rsid w:val="00D24FC1"/>
    <w:rsid w:val="00D2529C"/>
    <w:rsid w:val="00D25CBF"/>
    <w:rsid w:val="00D25D65"/>
    <w:rsid w:val="00D27186"/>
    <w:rsid w:val="00D2726F"/>
    <w:rsid w:val="00D27391"/>
    <w:rsid w:val="00D273B2"/>
    <w:rsid w:val="00D2754D"/>
    <w:rsid w:val="00D27666"/>
    <w:rsid w:val="00D27B11"/>
    <w:rsid w:val="00D27B27"/>
    <w:rsid w:val="00D27BC9"/>
    <w:rsid w:val="00D27E34"/>
    <w:rsid w:val="00D27FDA"/>
    <w:rsid w:val="00D303D4"/>
    <w:rsid w:val="00D30C4A"/>
    <w:rsid w:val="00D30D5B"/>
    <w:rsid w:val="00D30DC7"/>
    <w:rsid w:val="00D31696"/>
    <w:rsid w:val="00D31BC9"/>
    <w:rsid w:val="00D32E4B"/>
    <w:rsid w:val="00D330F4"/>
    <w:rsid w:val="00D333B0"/>
    <w:rsid w:val="00D33BE9"/>
    <w:rsid w:val="00D33C9D"/>
    <w:rsid w:val="00D33D8F"/>
    <w:rsid w:val="00D33F93"/>
    <w:rsid w:val="00D3432B"/>
    <w:rsid w:val="00D3447F"/>
    <w:rsid w:val="00D3542A"/>
    <w:rsid w:val="00D3542C"/>
    <w:rsid w:val="00D357FF"/>
    <w:rsid w:val="00D35981"/>
    <w:rsid w:val="00D35A01"/>
    <w:rsid w:val="00D36246"/>
    <w:rsid w:val="00D36B2C"/>
    <w:rsid w:val="00D36E57"/>
    <w:rsid w:val="00D37067"/>
    <w:rsid w:val="00D40932"/>
    <w:rsid w:val="00D411FB"/>
    <w:rsid w:val="00D42371"/>
    <w:rsid w:val="00D424C7"/>
    <w:rsid w:val="00D426CC"/>
    <w:rsid w:val="00D432AE"/>
    <w:rsid w:val="00D43B2A"/>
    <w:rsid w:val="00D43CF1"/>
    <w:rsid w:val="00D43D83"/>
    <w:rsid w:val="00D43F15"/>
    <w:rsid w:val="00D44B4B"/>
    <w:rsid w:val="00D4537E"/>
    <w:rsid w:val="00D460B2"/>
    <w:rsid w:val="00D46716"/>
    <w:rsid w:val="00D46842"/>
    <w:rsid w:val="00D47575"/>
    <w:rsid w:val="00D47749"/>
    <w:rsid w:val="00D478CB"/>
    <w:rsid w:val="00D501C8"/>
    <w:rsid w:val="00D50734"/>
    <w:rsid w:val="00D50915"/>
    <w:rsid w:val="00D51B75"/>
    <w:rsid w:val="00D51C3D"/>
    <w:rsid w:val="00D5243B"/>
    <w:rsid w:val="00D52443"/>
    <w:rsid w:val="00D5288D"/>
    <w:rsid w:val="00D5301F"/>
    <w:rsid w:val="00D533EC"/>
    <w:rsid w:val="00D53570"/>
    <w:rsid w:val="00D53757"/>
    <w:rsid w:val="00D53872"/>
    <w:rsid w:val="00D53955"/>
    <w:rsid w:val="00D53A1C"/>
    <w:rsid w:val="00D53C67"/>
    <w:rsid w:val="00D53E94"/>
    <w:rsid w:val="00D53EFC"/>
    <w:rsid w:val="00D5452C"/>
    <w:rsid w:val="00D548AF"/>
    <w:rsid w:val="00D55043"/>
    <w:rsid w:val="00D55CAB"/>
    <w:rsid w:val="00D562B3"/>
    <w:rsid w:val="00D5636F"/>
    <w:rsid w:val="00D56A4A"/>
    <w:rsid w:val="00D56A95"/>
    <w:rsid w:val="00D5729C"/>
    <w:rsid w:val="00D579C2"/>
    <w:rsid w:val="00D57E19"/>
    <w:rsid w:val="00D6076E"/>
    <w:rsid w:val="00D608D1"/>
    <w:rsid w:val="00D61065"/>
    <w:rsid w:val="00D61398"/>
    <w:rsid w:val="00D618DE"/>
    <w:rsid w:val="00D61D35"/>
    <w:rsid w:val="00D62467"/>
    <w:rsid w:val="00D624DB"/>
    <w:rsid w:val="00D63117"/>
    <w:rsid w:val="00D6327F"/>
    <w:rsid w:val="00D6357A"/>
    <w:rsid w:val="00D63A3A"/>
    <w:rsid w:val="00D64A19"/>
    <w:rsid w:val="00D64F2C"/>
    <w:rsid w:val="00D650F3"/>
    <w:rsid w:val="00D65259"/>
    <w:rsid w:val="00D65300"/>
    <w:rsid w:val="00D65719"/>
    <w:rsid w:val="00D65AD2"/>
    <w:rsid w:val="00D65CDF"/>
    <w:rsid w:val="00D66454"/>
    <w:rsid w:val="00D665AE"/>
    <w:rsid w:val="00D66A99"/>
    <w:rsid w:val="00D66CB4"/>
    <w:rsid w:val="00D66F74"/>
    <w:rsid w:val="00D6746F"/>
    <w:rsid w:val="00D67543"/>
    <w:rsid w:val="00D67A9B"/>
    <w:rsid w:val="00D705AA"/>
    <w:rsid w:val="00D7073C"/>
    <w:rsid w:val="00D70F16"/>
    <w:rsid w:val="00D7109D"/>
    <w:rsid w:val="00D715E4"/>
    <w:rsid w:val="00D71BB2"/>
    <w:rsid w:val="00D71F63"/>
    <w:rsid w:val="00D7229A"/>
    <w:rsid w:val="00D72617"/>
    <w:rsid w:val="00D72668"/>
    <w:rsid w:val="00D72698"/>
    <w:rsid w:val="00D727CF"/>
    <w:rsid w:val="00D72F57"/>
    <w:rsid w:val="00D72FC3"/>
    <w:rsid w:val="00D73073"/>
    <w:rsid w:val="00D7366D"/>
    <w:rsid w:val="00D736A0"/>
    <w:rsid w:val="00D736C4"/>
    <w:rsid w:val="00D739EF"/>
    <w:rsid w:val="00D743E2"/>
    <w:rsid w:val="00D744EB"/>
    <w:rsid w:val="00D744FF"/>
    <w:rsid w:val="00D745A8"/>
    <w:rsid w:val="00D74964"/>
    <w:rsid w:val="00D74997"/>
    <w:rsid w:val="00D749D4"/>
    <w:rsid w:val="00D74A51"/>
    <w:rsid w:val="00D74E69"/>
    <w:rsid w:val="00D7562E"/>
    <w:rsid w:val="00D7581B"/>
    <w:rsid w:val="00D75945"/>
    <w:rsid w:val="00D75984"/>
    <w:rsid w:val="00D759E1"/>
    <w:rsid w:val="00D75EE2"/>
    <w:rsid w:val="00D76267"/>
    <w:rsid w:val="00D76395"/>
    <w:rsid w:val="00D76A44"/>
    <w:rsid w:val="00D76EF8"/>
    <w:rsid w:val="00D77187"/>
    <w:rsid w:val="00D77EBC"/>
    <w:rsid w:val="00D80B09"/>
    <w:rsid w:val="00D80BBF"/>
    <w:rsid w:val="00D81193"/>
    <w:rsid w:val="00D815EF"/>
    <w:rsid w:val="00D81949"/>
    <w:rsid w:val="00D81DFF"/>
    <w:rsid w:val="00D81F26"/>
    <w:rsid w:val="00D82069"/>
    <w:rsid w:val="00D822E2"/>
    <w:rsid w:val="00D8248B"/>
    <w:rsid w:val="00D8248F"/>
    <w:rsid w:val="00D828FD"/>
    <w:rsid w:val="00D82B1A"/>
    <w:rsid w:val="00D82E0A"/>
    <w:rsid w:val="00D830FF"/>
    <w:rsid w:val="00D8353B"/>
    <w:rsid w:val="00D839CA"/>
    <w:rsid w:val="00D84329"/>
    <w:rsid w:val="00D843F2"/>
    <w:rsid w:val="00D84424"/>
    <w:rsid w:val="00D84771"/>
    <w:rsid w:val="00D84CFD"/>
    <w:rsid w:val="00D858CA"/>
    <w:rsid w:val="00D85B8B"/>
    <w:rsid w:val="00D86231"/>
    <w:rsid w:val="00D864D1"/>
    <w:rsid w:val="00D86582"/>
    <w:rsid w:val="00D86973"/>
    <w:rsid w:val="00D86CD1"/>
    <w:rsid w:val="00D87095"/>
    <w:rsid w:val="00D873DA"/>
    <w:rsid w:val="00D90284"/>
    <w:rsid w:val="00D907AC"/>
    <w:rsid w:val="00D907B1"/>
    <w:rsid w:val="00D907DA"/>
    <w:rsid w:val="00D90DA8"/>
    <w:rsid w:val="00D90FE6"/>
    <w:rsid w:val="00D912AB"/>
    <w:rsid w:val="00D91923"/>
    <w:rsid w:val="00D91B4D"/>
    <w:rsid w:val="00D92147"/>
    <w:rsid w:val="00D921E6"/>
    <w:rsid w:val="00D92B3E"/>
    <w:rsid w:val="00D92D43"/>
    <w:rsid w:val="00D92D9D"/>
    <w:rsid w:val="00D936F5"/>
    <w:rsid w:val="00D93753"/>
    <w:rsid w:val="00D941F6"/>
    <w:rsid w:val="00D94852"/>
    <w:rsid w:val="00D94B68"/>
    <w:rsid w:val="00D94F41"/>
    <w:rsid w:val="00D9595C"/>
    <w:rsid w:val="00D95B74"/>
    <w:rsid w:val="00D9618E"/>
    <w:rsid w:val="00D96754"/>
    <w:rsid w:val="00D96FDC"/>
    <w:rsid w:val="00D97762"/>
    <w:rsid w:val="00D97985"/>
    <w:rsid w:val="00D97AE2"/>
    <w:rsid w:val="00D97AF5"/>
    <w:rsid w:val="00D97D6D"/>
    <w:rsid w:val="00D97E44"/>
    <w:rsid w:val="00DA0147"/>
    <w:rsid w:val="00DA0545"/>
    <w:rsid w:val="00DA107D"/>
    <w:rsid w:val="00DA1398"/>
    <w:rsid w:val="00DA1535"/>
    <w:rsid w:val="00DA1B61"/>
    <w:rsid w:val="00DA248F"/>
    <w:rsid w:val="00DA28D8"/>
    <w:rsid w:val="00DA29D8"/>
    <w:rsid w:val="00DA2D7E"/>
    <w:rsid w:val="00DA3167"/>
    <w:rsid w:val="00DA3252"/>
    <w:rsid w:val="00DA3845"/>
    <w:rsid w:val="00DA3860"/>
    <w:rsid w:val="00DA4783"/>
    <w:rsid w:val="00DA4DC3"/>
    <w:rsid w:val="00DA4DE5"/>
    <w:rsid w:val="00DA5E01"/>
    <w:rsid w:val="00DA625E"/>
    <w:rsid w:val="00DA6501"/>
    <w:rsid w:val="00DA6765"/>
    <w:rsid w:val="00DA6B60"/>
    <w:rsid w:val="00DA70EA"/>
    <w:rsid w:val="00DA71D4"/>
    <w:rsid w:val="00DA77A5"/>
    <w:rsid w:val="00DB0723"/>
    <w:rsid w:val="00DB0A77"/>
    <w:rsid w:val="00DB0E36"/>
    <w:rsid w:val="00DB1845"/>
    <w:rsid w:val="00DB2037"/>
    <w:rsid w:val="00DB2238"/>
    <w:rsid w:val="00DB225D"/>
    <w:rsid w:val="00DB2285"/>
    <w:rsid w:val="00DB271F"/>
    <w:rsid w:val="00DB2723"/>
    <w:rsid w:val="00DB275C"/>
    <w:rsid w:val="00DB2CB9"/>
    <w:rsid w:val="00DB2EB1"/>
    <w:rsid w:val="00DB3D7A"/>
    <w:rsid w:val="00DB3DBF"/>
    <w:rsid w:val="00DB481C"/>
    <w:rsid w:val="00DB484F"/>
    <w:rsid w:val="00DB4B5F"/>
    <w:rsid w:val="00DB5076"/>
    <w:rsid w:val="00DB595D"/>
    <w:rsid w:val="00DB5F3B"/>
    <w:rsid w:val="00DB668D"/>
    <w:rsid w:val="00DB735A"/>
    <w:rsid w:val="00DB73C7"/>
    <w:rsid w:val="00DB7BD1"/>
    <w:rsid w:val="00DB7BD5"/>
    <w:rsid w:val="00DB7DAD"/>
    <w:rsid w:val="00DB7E91"/>
    <w:rsid w:val="00DC04F6"/>
    <w:rsid w:val="00DC0690"/>
    <w:rsid w:val="00DC0ACC"/>
    <w:rsid w:val="00DC13F2"/>
    <w:rsid w:val="00DC18F3"/>
    <w:rsid w:val="00DC1C65"/>
    <w:rsid w:val="00DC1D65"/>
    <w:rsid w:val="00DC2107"/>
    <w:rsid w:val="00DC2B92"/>
    <w:rsid w:val="00DC34B6"/>
    <w:rsid w:val="00DC3C57"/>
    <w:rsid w:val="00DC4064"/>
    <w:rsid w:val="00DC4CCF"/>
    <w:rsid w:val="00DC542D"/>
    <w:rsid w:val="00DC5501"/>
    <w:rsid w:val="00DC5838"/>
    <w:rsid w:val="00DC58EE"/>
    <w:rsid w:val="00DC5DE4"/>
    <w:rsid w:val="00DC6ACD"/>
    <w:rsid w:val="00DC7154"/>
    <w:rsid w:val="00DC73A6"/>
    <w:rsid w:val="00DC776B"/>
    <w:rsid w:val="00DC77C3"/>
    <w:rsid w:val="00DC7E8A"/>
    <w:rsid w:val="00DD0A52"/>
    <w:rsid w:val="00DD0C34"/>
    <w:rsid w:val="00DD0D11"/>
    <w:rsid w:val="00DD0F78"/>
    <w:rsid w:val="00DD116A"/>
    <w:rsid w:val="00DD128F"/>
    <w:rsid w:val="00DD1324"/>
    <w:rsid w:val="00DD15FC"/>
    <w:rsid w:val="00DD167F"/>
    <w:rsid w:val="00DD273C"/>
    <w:rsid w:val="00DD2AD0"/>
    <w:rsid w:val="00DD2E38"/>
    <w:rsid w:val="00DD3515"/>
    <w:rsid w:val="00DD378A"/>
    <w:rsid w:val="00DD39A5"/>
    <w:rsid w:val="00DD3F28"/>
    <w:rsid w:val="00DD3F61"/>
    <w:rsid w:val="00DD4446"/>
    <w:rsid w:val="00DD4523"/>
    <w:rsid w:val="00DD4537"/>
    <w:rsid w:val="00DD4D08"/>
    <w:rsid w:val="00DD4E15"/>
    <w:rsid w:val="00DD522D"/>
    <w:rsid w:val="00DD530B"/>
    <w:rsid w:val="00DD58C3"/>
    <w:rsid w:val="00DD68F9"/>
    <w:rsid w:val="00DD6F07"/>
    <w:rsid w:val="00DD7535"/>
    <w:rsid w:val="00DD7B67"/>
    <w:rsid w:val="00DD7CC9"/>
    <w:rsid w:val="00DE0ABC"/>
    <w:rsid w:val="00DE15B3"/>
    <w:rsid w:val="00DE171E"/>
    <w:rsid w:val="00DE1C03"/>
    <w:rsid w:val="00DE2304"/>
    <w:rsid w:val="00DE3138"/>
    <w:rsid w:val="00DE37B1"/>
    <w:rsid w:val="00DE37DF"/>
    <w:rsid w:val="00DE37F8"/>
    <w:rsid w:val="00DE3A01"/>
    <w:rsid w:val="00DE3C02"/>
    <w:rsid w:val="00DE4273"/>
    <w:rsid w:val="00DE42AB"/>
    <w:rsid w:val="00DE4FCB"/>
    <w:rsid w:val="00DE5904"/>
    <w:rsid w:val="00DE5AFF"/>
    <w:rsid w:val="00DE5D07"/>
    <w:rsid w:val="00DE6C51"/>
    <w:rsid w:val="00DE6D74"/>
    <w:rsid w:val="00DE6F34"/>
    <w:rsid w:val="00DE7027"/>
    <w:rsid w:val="00DE7089"/>
    <w:rsid w:val="00DE72A7"/>
    <w:rsid w:val="00DE7832"/>
    <w:rsid w:val="00DE7CD2"/>
    <w:rsid w:val="00DE7EBA"/>
    <w:rsid w:val="00DF0068"/>
    <w:rsid w:val="00DF0878"/>
    <w:rsid w:val="00DF10E2"/>
    <w:rsid w:val="00DF12E7"/>
    <w:rsid w:val="00DF18FC"/>
    <w:rsid w:val="00DF26CD"/>
    <w:rsid w:val="00DF2E77"/>
    <w:rsid w:val="00DF2F76"/>
    <w:rsid w:val="00DF305A"/>
    <w:rsid w:val="00DF3498"/>
    <w:rsid w:val="00DF34F5"/>
    <w:rsid w:val="00DF37D9"/>
    <w:rsid w:val="00DF3813"/>
    <w:rsid w:val="00DF40A2"/>
    <w:rsid w:val="00DF5D2B"/>
    <w:rsid w:val="00DF6341"/>
    <w:rsid w:val="00DF66A9"/>
    <w:rsid w:val="00DF6ABF"/>
    <w:rsid w:val="00DF6C5B"/>
    <w:rsid w:val="00DF784D"/>
    <w:rsid w:val="00DF79B7"/>
    <w:rsid w:val="00E00229"/>
    <w:rsid w:val="00E00E8E"/>
    <w:rsid w:val="00E01031"/>
    <w:rsid w:val="00E01391"/>
    <w:rsid w:val="00E01D2F"/>
    <w:rsid w:val="00E0278D"/>
    <w:rsid w:val="00E029A6"/>
    <w:rsid w:val="00E02DDD"/>
    <w:rsid w:val="00E037A6"/>
    <w:rsid w:val="00E04242"/>
    <w:rsid w:val="00E0448D"/>
    <w:rsid w:val="00E050C1"/>
    <w:rsid w:val="00E05630"/>
    <w:rsid w:val="00E05707"/>
    <w:rsid w:val="00E05800"/>
    <w:rsid w:val="00E0590E"/>
    <w:rsid w:val="00E05AB2"/>
    <w:rsid w:val="00E05D59"/>
    <w:rsid w:val="00E05FCE"/>
    <w:rsid w:val="00E06307"/>
    <w:rsid w:val="00E068C2"/>
    <w:rsid w:val="00E06DBB"/>
    <w:rsid w:val="00E0719E"/>
    <w:rsid w:val="00E071E0"/>
    <w:rsid w:val="00E07527"/>
    <w:rsid w:val="00E0763C"/>
    <w:rsid w:val="00E07C28"/>
    <w:rsid w:val="00E07C81"/>
    <w:rsid w:val="00E10149"/>
    <w:rsid w:val="00E10301"/>
    <w:rsid w:val="00E1072A"/>
    <w:rsid w:val="00E11340"/>
    <w:rsid w:val="00E118F1"/>
    <w:rsid w:val="00E122A1"/>
    <w:rsid w:val="00E12BB6"/>
    <w:rsid w:val="00E12BE0"/>
    <w:rsid w:val="00E12E1A"/>
    <w:rsid w:val="00E13693"/>
    <w:rsid w:val="00E13850"/>
    <w:rsid w:val="00E13B90"/>
    <w:rsid w:val="00E13D47"/>
    <w:rsid w:val="00E141D6"/>
    <w:rsid w:val="00E14AD6"/>
    <w:rsid w:val="00E14D91"/>
    <w:rsid w:val="00E1517C"/>
    <w:rsid w:val="00E15AF6"/>
    <w:rsid w:val="00E15D09"/>
    <w:rsid w:val="00E15DC9"/>
    <w:rsid w:val="00E1605A"/>
    <w:rsid w:val="00E16372"/>
    <w:rsid w:val="00E16382"/>
    <w:rsid w:val="00E164E4"/>
    <w:rsid w:val="00E16AD8"/>
    <w:rsid w:val="00E16ED0"/>
    <w:rsid w:val="00E16FC4"/>
    <w:rsid w:val="00E17AF3"/>
    <w:rsid w:val="00E17FFA"/>
    <w:rsid w:val="00E20043"/>
    <w:rsid w:val="00E202D1"/>
    <w:rsid w:val="00E20782"/>
    <w:rsid w:val="00E208AF"/>
    <w:rsid w:val="00E20E4D"/>
    <w:rsid w:val="00E20ED6"/>
    <w:rsid w:val="00E20F98"/>
    <w:rsid w:val="00E21358"/>
    <w:rsid w:val="00E2167D"/>
    <w:rsid w:val="00E2249B"/>
    <w:rsid w:val="00E2253D"/>
    <w:rsid w:val="00E22938"/>
    <w:rsid w:val="00E22A0D"/>
    <w:rsid w:val="00E230DA"/>
    <w:rsid w:val="00E23943"/>
    <w:rsid w:val="00E23CEC"/>
    <w:rsid w:val="00E24242"/>
    <w:rsid w:val="00E244F6"/>
    <w:rsid w:val="00E24C02"/>
    <w:rsid w:val="00E24EB2"/>
    <w:rsid w:val="00E25220"/>
    <w:rsid w:val="00E258DB"/>
    <w:rsid w:val="00E259B2"/>
    <w:rsid w:val="00E25E47"/>
    <w:rsid w:val="00E268BF"/>
    <w:rsid w:val="00E269A7"/>
    <w:rsid w:val="00E26D5F"/>
    <w:rsid w:val="00E27091"/>
    <w:rsid w:val="00E2749E"/>
    <w:rsid w:val="00E274E4"/>
    <w:rsid w:val="00E2771E"/>
    <w:rsid w:val="00E27A52"/>
    <w:rsid w:val="00E30063"/>
    <w:rsid w:val="00E3021B"/>
    <w:rsid w:val="00E311EF"/>
    <w:rsid w:val="00E3149E"/>
    <w:rsid w:val="00E318E9"/>
    <w:rsid w:val="00E32148"/>
    <w:rsid w:val="00E32180"/>
    <w:rsid w:val="00E32CE8"/>
    <w:rsid w:val="00E333BC"/>
    <w:rsid w:val="00E33957"/>
    <w:rsid w:val="00E33A78"/>
    <w:rsid w:val="00E33C16"/>
    <w:rsid w:val="00E34948"/>
    <w:rsid w:val="00E34DC8"/>
    <w:rsid w:val="00E35066"/>
    <w:rsid w:val="00E3597A"/>
    <w:rsid w:val="00E362FB"/>
    <w:rsid w:val="00E3631D"/>
    <w:rsid w:val="00E37569"/>
    <w:rsid w:val="00E37EDE"/>
    <w:rsid w:val="00E401B2"/>
    <w:rsid w:val="00E4163A"/>
    <w:rsid w:val="00E41C0F"/>
    <w:rsid w:val="00E41E30"/>
    <w:rsid w:val="00E428D0"/>
    <w:rsid w:val="00E4297F"/>
    <w:rsid w:val="00E4298B"/>
    <w:rsid w:val="00E42BB0"/>
    <w:rsid w:val="00E42F73"/>
    <w:rsid w:val="00E43D70"/>
    <w:rsid w:val="00E43FA5"/>
    <w:rsid w:val="00E4429E"/>
    <w:rsid w:val="00E444F1"/>
    <w:rsid w:val="00E446B8"/>
    <w:rsid w:val="00E446BF"/>
    <w:rsid w:val="00E44DFA"/>
    <w:rsid w:val="00E45AD3"/>
    <w:rsid w:val="00E45FD4"/>
    <w:rsid w:val="00E466F3"/>
    <w:rsid w:val="00E46C8D"/>
    <w:rsid w:val="00E47057"/>
    <w:rsid w:val="00E47881"/>
    <w:rsid w:val="00E478B8"/>
    <w:rsid w:val="00E47B2C"/>
    <w:rsid w:val="00E47F52"/>
    <w:rsid w:val="00E5016D"/>
    <w:rsid w:val="00E501EF"/>
    <w:rsid w:val="00E5054D"/>
    <w:rsid w:val="00E51560"/>
    <w:rsid w:val="00E51821"/>
    <w:rsid w:val="00E51865"/>
    <w:rsid w:val="00E5261B"/>
    <w:rsid w:val="00E535AC"/>
    <w:rsid w:val="00E5373D"/>
    <w:rsid w:val="00E53A85"/>
    <w:rsid w:val="00E53D81"/>
    <w:rsid w:val="00E53FC8"/>
    <w:rsid w:val="00E54347"/>
    <w:rsid w:val="00E54B60"/>
    <w:rsid w:val="00E54D70"/>
    <w:rsid w:val="00E54DF1"/>
    <w:rsid w:val="00E5514F"/>
    <w:rsid w:val="00E55379"/>
    <w:rsid w:val="00E55424"/>
    <w:rsid w:val="00E55607"/>
    <w:rsid w:val="00E557B4"/>
    <w:rsid w:val="00E55915"/>
    <w:rsid w:val="00E5591E"/>
    <w:rsid w:val="00E55AED"/>
    <w:rsid w:val="00E55BB5"/>
    <w:rsid w:val="00E561CC"/>
    <w:rsid w:val="00E567C1"/>
    <w:rsid w:val="00E56E22"/>
    <w:rsid w:val="00E57235"/>
    <w:rsid w:val="00E600CC"/>
    <w:rsid w:val="00E60189"/>
    <w:rsid w:val="00E604A3"/>
    <w:rsid w:val="00E61112"/>
    <w:rsid w:val="00E611DF"/>
    <w:rsid w:val="00E61410"/>
    <w:rsid w:val="00E61AE3"/>
    <w:rsid w:val="00E61CA6"/>
    <w:rsid w:val="00E61D8E"/>
    <w:rsid w:val="00E61F6C"/>
    <w:rsid w:val="00E62324"/>
    <w:rsid w:val="00E62BEB"/>
    <w:rsid w:val="00E6370A"/>
    <w:rsid w:val="00E645BD"/>
    <w:rsid w:val="00E645E3"/>
    <w:rsid w:val="00E64630"/>
    <w:rsid w:val="00E64B16"/>
    <w:rsid w:val="00E65723"/>
    <w:rsid w:val="00E65D41"/>
    <w:rsid w:val="00E65DA8"/>
    <w:rsid w:val="00E65E79"/>
    <w:rsid w:val="00E66BA2"/>
    <w:rsid w:val="00E66D14"/>
    <w:rsid w:val="00E67416"/>
    <w:rsid w:val="00E67560"/>
    <w:rsid w:val="00E67634"/>
    <w:rsid w:val="00E67AD3"/>
    <w:rsid w:val="00E67B0A"/>
    <w:rsid w:val="00E7007A"/>
    <w:rsid w:val="00E70770"/>
    <w:rsid w:val="00E711C8"/>
    <w:rsid w:val="00E718B6"/>
    <w:rsid w:val="00E71B3B"/>
    <w:rsid w:val="00E71B61"/>
    <w:rsid w:val="00E71ECF"/>
    <w:rsid w:val="00E721BA"/>
    <w:rsid w:val="00E723BA"/>
    <w:rsid w:val="00E728FB"/>
    <w:rsid w:val="00E72C97"/>
    <w:rsid w:val="00E72FBF"/>
    <w:rsid w:val="00E7304D"/>
    <w:rsid w:val="00E73581"/>
    <w:rsid w:val="00E74796"/>
    <w:rsid w:val="00E74CEA"/>
    <w:rsid w:val="00E75253"/>
    <w:rsid w:val="00E75313"/>
    <w:rsid w:val="00E754BC"/>
    <w:rsid w:val="00E7599F"/>
    <w:rsid w:val="00E75ABD"/>
    <w:rsid w:val="00E76C5E"/>
    <w:rsid w:val="00E76F1E"/>
    <w:rsid w:val="00E76FAC"/>
    <w:rsid w:val="00E77181"/>
    <w:rsid w:val="00E772EB"/>
    <w:rsid w:val="00E7746F"/>
    <w:rsid w:val="00E774E6"/>
    <w:rsid w:val="00E776C8"/>
    <w:rsid w:val="00E77769"/>
    <w:rsid w:val="00E77AF9"/>
    <w:rsid w:val="00E77C81"/>
    <w:rsid w:val="00E77D75"/>
    <w:rsid w:val="00E8012A"/>
    <w:rsid w:val="00E80335"/>
    <w:rsid w:val="00E809B4"/>
    <w:rsid w:val="00E81DBB"/>
    <w:rsid w:val="00E81E76"/>
    <w:rsid w:val="00E82780"/>
    <w:rsid w:val="00E829C6"/>
    <w:rsid w:val="00E833F7"/>
    <w:rsid w:val="00E839F1"/>
    <w:rsid w:val="00E83BDF"/>
    <w:rsid w:val="00E83D34"/>
    <w:rsid w:val="00E83D4F"/>
    <w:rsid w:val="00E84BD7"/>
    <w:rsid w:val="00E84C63"/>
    <w:rsid w:val="00E84D06"/>
    <w:rsid w:val="00E8542E"/>
    <w:rsid w:val="00E85E48"/>
    <w:rsid w:val="00E8688B"/>
    <w:rsid w:val="00E86CB8"/>
    <w:rsid w:val="00E86FCC"/>
    <w:rsid w:val="00E87057"/>
    <w:rsid w:val="00E87222"/>
    <w:rsid w:val="00E872FF"/>
    <w:rsid w:val="00E87320"/>
    <w:rsid w:val="00E87A1D"/>
    <w:rsid w:val="00E87A2F"/>
    <w:rsid w:val="00E87C76"/>
    <w:rsid w:val="00E90789"/>
    <w:rsid w:val="00E9094A"/>
    <w:rsid w:val="00E90CEB"/>
    <w:rsid w:val="00E90D50"/>
    <w:rsid w:val="00E90F8D"/>
    <w:rsid w:val="00E91433"/>
    <w:rsid w:val="00E917A9"/>
    <w:rsid w:val="00E91D35"/>
    <w:rsid w:val="00E91F04"/>
    <w:rsid w:val="00E91F11"/>
    <w:rsid w:val="00E926A5"/>
    <w:rsid w:val="00E93A61"/>
    <w:rsid w:val="00E93E79"/>
    <w:rsid w:val="00E941ED"/>
    <w:rsid w:val="00E948FA"/>
    <w:rsid w:val="00E95B06"/>
    <w:rsid w:val="00E95E68"/>
    <w:rsid w:val="00E960B5"/>
    <w:rsid w:val="00E96244"/>
    <w:rsid w:val="00E962CC"/>
    <w:rsid w:val="00E96FF3"/>
    <w:rsid w:val="00E9704A"/>
    <w:rsid w:val="00E976F5"/>
    <w:rsid w:val="00E977AA"/>
    <w:rsid w:val="00E97B59"/>
    <w:rsid w:val="00EA011F"/>
    <w:rsid w:val="00EA07B6"/>
    <w:rsid w:val="00EA0D45"/>
    <w:rsid w:val="00EA110F"/>
    <w:rsid w:val="00EA13F6"/>
    <w:rsid w:val="00EA17C3"/>
    <w:rsid w:val="00EA1D3B"/>
    <w:rsid w:val="00EA225A"/>
    <w:rsid w:val="00EA25EB"/>
    <w:rsid w:val="00EA2BCC"/>
    <w:rsid w:val="00EA2CAA"/>
    <w:rsid w:val="00EA2D63"/>
    <w:rsid w:val="00EA2D8B"/>
    <w:rsid w:val="00EA2E5F"/>
    <w:rsid w:val="00EA31A9"/>
    <w:rsid w:val="00EA34AF"/>
    <w:rsid w:val="00EA3758"/>
    <w:rsid w:val="00EA3864"/>
    <w:rsid w:val="00EA3C69"/>
    <w:rsid w:val="00EA4365"/>
    <w:rsid w:val="00EA5B4D"/>
    <w:rsid w:val="00EA6105"/>
    <w:rsid w:val="00EA620E"/>
    <w:rsid w:val="00EA6401"/>
    <w:rsid w:val="00EA6C28"/>
    <w:rsid w:val="00EA6F6D"/>
    <w:rsid w:val="00EA741A"/>
    <w:rsid w:val="00EA7F1C"/>
    <w:rsid w:val="00EB0525"/>
    <w:rsid w:val="00EB15B6"/>
    <w:rsid w:val="00EB1607"/>
    <w:rsid w:val="00EB18D3"/>
    <w:rsid w:val="00EB1AA2"/>
    <w:rsid w:val="00EB200D"/>
    <w:rsid w:val="00EB2D61"/>
    <w:rsid w:val="00EB2F5D"/>
    <w:rsid w:val="00EB3104"/>
    <w:rsid w:val="00EB3251"/>
    <w:rsid w:val="00EB32C4"/>
    <w:rsid w:val="00EB3D06"/>
    <w:rsid w:val="00EB47BB"/>
    <w:rsid w:val="00EB4916"/>
    <w:rsid w:val="00EB4EE9"/>
    <w:rsid w:val="00EB4F8C"/>
    <w:rsid w:val="00EB4FDA"/>
    <w:rsid w:val="00EB5369"/>
    <w:rsid w:val="00EB56BA"/>
    <w:rsid w:val="00EB699D"/>
    <w:rsid w:val="00EB6F35"/>
    <w:rsid w:val="00EC00C9"/>
    <w:rsid w:val="00EC06E9"/>
    <w:rsid w:val="00EC0AA8"/>
    <w:rsid w:val="00EC0D81"/>
    <w:rsid w:val="00EC0DD9"/>
    <w:rsid w:val="00EC1638"/>
    <w:rsid w:val="00EC1BB0"/>
    <w:rsid w:val="00EC1DA0"/>
    <w:rsid w:val="00EC2649"/>
    <w:rsid w:val="00EC2A75"/>
    <w:rsid w:val="00EC2E29"/>
    <w:rsid w:val="00EC308E"/>
    <w:rsid w:val="00EC31ED"/>
    <w:rsid w:val="00EC3F26"/>
    <w:rsid w:val="00EC4305"/>
    <w:rsid w:val="00EC4646"/>
    <w:rsid w:val="00EC46F7"/>
    <w:rsid w:val="00EC47AF"/>
    <w:rsid w:val="00EC4BD3"/>
    <w:rsid w:val="00EC4DD8"/>
    <w:rsid w:val="00EC4E37"/>
    <w:rsid w:val="00EC5836"/>
    <w:rsid w:val="00EC688C"/>
    <w:rsid w:val="00EC6E76"/>
    <w:rsid w:val="00EC6F93"/>
    <w:rsid w:val="00EC7698"/>
    <w:rsid w:val="00EC78C9"/>
    <w:rsid w:val="00ED00D7"/>
    <w:rsid w:val="00ED02B3"/>
    <w:rsid w:val="00ED09D1"/>
    <w:rsid w:val="00ED0CBB"/>
    <w:rsid w:val="00ED0F62"/>
    <w:rsid w:val="00ED0F9F"/>
    <w:rsid w:val="00ED1266"/>
    <w:rsid w:val="00ED12E3"/>
    <w:rsid w:val="00ED13B5"/>
    <w:rsid w:val="00ED1437"/>
    <w:rsid w:val="00ED20D6"/>
    <w:rsid w:val="00ED2425"/>
    <w:rsid w:val="00ED2593"/>
    <w:rsid w:val="00ED26AE"/>
    <w:rsid w:val="00ED2A38"/>
    <w:rsid w:val="00ED2DB6"/>
    <w:rsid w:val="00ED317E"/>
    <w:rsid w:val="00ED3A7A"/>
    <w:rsid w:val="00ED3BE7"/>
    <w:rsid w:val="00ED3EEB"/>
    <w:rsid w:val="00ED4278"/>
    <w:rsid w:val="00ED431B"/>
    <w:rsid w:val="00ED4724"/>
    <w:rsid w:val="00ED472E"/>
    <w:rsid w:val="00ED4B04"/>
    <w:rsid w:val="00ED4D1C"/>
    <w:rsid w:val="00ED4DA4"/>
    <w:rsid w:val="00ED4FEC"/>
    <w:rsid w:val="00ED57EA"/>
    <w:rsid w:val="00ED5B6A"/>
    <w:rsid w:val="00ED5BD4"/>
    <w:rsid w:val="00ED62CF"/>
    <w:rsid w:val="00ED6591"/>
    <w:rsid w:val="00ED6870"/>
    <w:rsid w:val="00ED6CB4"/>
    <w:rsid w:val="00ED75A1"/>
    <w:rsid w:val="00ED7753"/>
    <w:rsid w:val="00ED785A"/>
    <w:rsid w:val="00EE07D3"/>
    <w:rsid w:val="00EE0F05"/>
    <w:rsid w:val="00EE13AC"/>
    <w:rsid w:val="00EE1996"/>
    <w:rsid w:val="00EE1A39"/>
    <w:rsid w:val="00EE1C01"/>
    <w:rsid w:val="00EE2063"/>
    <w:rsid w:val="00EE22AF"/>
    <w:rsid w:val="00EE244C"/>
    <w:rsid w:val="00EE2741"/>
    <w:rsid w:val="00EE2A20"/>
    <w:rsid w:val="00EE2B01"/>
    <w:rsid w:val="00EE3106"/>
    <w:rsid w:val="00EE4114"/>
    <w:rsid w:val="00EE4194"/>
    <w:rsid w:val="00EE436A"/>
    <w:rsid w:val="00EE515C"/>
    <w:rsid w:val="00EE5294"/>
    <w:rsid w:val="00EE5AB3"/>
    <w:rsid w:val="00EE6340"/>
    <w:rsid w:val="00EE66A1"/>
    <w:rsid w:val="00EE7434"/>
    <w:rsid w:val="00EE7606"/>
    <w:rsid w:val="00EE7A2F"/>
    <w:rsid w:val="00EE7FE2"/>
    <w:rsid w:val="00EF00B3"/>
    <w:rsid w:val="00EF0171"/>
    <w:rsid w:val="00EF0886"/>
    <w:rsid w:val="00EF08D3"/>
    <w:rsid w:val="00EF0D71"/>
    <w:rsid w:val="00EF0DAB"/>
    <w:rsid w:val="00EF119F"/>
    <w:rsid w:val="00EF17A3"/>
    <w:rsid w:val="00EF1B25"/>
    <w:rsid w:val="00EF1DA0"/>
    <w:rsid w:val="00EF26C8"/>
    <w:rsid w:val="00EF2792"/>
    <w:rsid w:val="00EF2E73"/>
    <w:rsid w:val="00EF3060"/>
    <w:rsid w:val="00EF31FB"/>
    <w:rsid w:val="00EF3436"/>
    <w:rsid w:val="00EF371A"/>
    <w:rsid w:val="00EF3897"/>
    <w:rsid w:val="00EF4142"/>
    <w:rsid w:val="00EF4747"/>
    <w:rsid w:val="00EF4BF8"/>
    <w:rsid w:val="00EF57D6"/>
    <w:rsid w:val="00EF5D1F"/>
    <w:rsid w:val="00EF6D02"/>
    <w:rsid w:val="00EF6F4D"/>
    <w:rsid w:val="00EF75F7"/>
    <w:rsid w:val="00EF7727"/>
    <w:rsid w:val="00EF7882"/>
    <w:rsid w:val="00EF7E4E"/>
    <w:rsid w:val="00F008EB"/>
    <w:rsid w:val="00F00A3E"/>
    <w:rsid w:val="00F014FE"/>
    <w:rsid w:val="00F015C3"/>
    <w:rsid w:val="00F01F9A"/>
    <w:rsid w:val="00F021D8"/>
    <w:rsid w:val="00F02245"/>
    <w:rsid w:val="00F02253"/>
    <w:rsid w:val="00F022E7"/>
    <w:rsid w:val="00F02EFF"/>
    <w:rsid w:val="00F0376A"/>
    <w:rsid w:val="00F03C2E"/>
    <w:rsid w:val="00F04A66"/>
    <w:rsid w:val="00F04B4B"/>
    <w:rsid w:val="00F0500B"/>
    <w:rsid w:val="00F05010"/>
    <w:rsid w:val="00F0514C"/>
    <w:rsid w:val="00F0516C"/>
    <w:rsid w:val="00F05357"/>
    <w:rsid w:val="00F05C06"/>
    <w:rsid w:val="00F067A2"/>
    <w:rsid w:val="00F06984"/>
    <w:rsid w:val="00F06F66"/>
    <w:rsid w:val="00F07526"/>
    <w:rsid w:val="00F07784"/>
    <w:rsid w:val="00F07905"/>
    <w:rsid w:val="00F07B9E"/>
    <w:rsid w:val="00F07BC3"/>
    <w:rsid w:val="00F07EC2"/>
    <w:rsid w:val="00F1022D"/>
    <w:rsid w:val="00F10D84"/>
    <w:rsid w:val="00F1116F"/>
    <w:rsid w:val="00F1167D"/>
    <w:rsid w:val="00F1263A"/>
    <w:rsid w:val="00F12B05"/>
    <w:rsid w:val="00F1301F"/>
    <w:rsid w:val="00F13398"/>
    <w:rsid w:val="00F139C5"/>
    <w:rsid w:val="00F14D79"/>
    <w:rsid w:val="00F153DB"/>
    <w:rsid w:val="00F15B77"/>
    <w:rsid w:val="00F15C5F"/>
    <w:rsid w:val="00F15C7F"/>
    <w:rsid w:val="00F16600"/>
    <w:rsid w:val="00F167D1"/>
    <w:rsid w:val="00F16882"/>
    <w:rsid w:val="00F16B91"/>
    <w:rsid w:val="00F16EB7"/>
    <w:rsid w:val="00F17046"/>
    <w:rsid w:val="00F17714"/>
    <w:rsid w:val="00F177D6"/>
    <w:rsid w:val="00F17978"/>
    <w:rsid w:val="00F21126"/>
    <w:rsid w:val="00F21236"/>
    <w:rsid w:val="00F21F04"/>
    <w:rsid w:val="00F226A1"/>
    <w:rsid w:val="00F22CBC"/>
    <w:rsid w:val="00F22E2D"/>
    <w:rsid w:val="00F230A1"/>
    <w:rsid w:val="00F231BA"/>
    <w:rsid w:val="00F23289"/>
    <w:rsid w:val="00F2329F"/>
    <w:rsid w:val="00F239DF"/>
    <w:rsid w:val="00F240C8"/>
    <w:rsid w:val="00F2432B"/>
    <w:rsid w:val="00F24837"/>
    <w:rsid w:val="00F2556B"/>
    <w:rsid w:val="00F25685"/>
    <w:rsid w:val="00F2575F"/>
    <w:rsid w:val="00F25E8C"/>
    <w:rsid w:val="00F26493"/>
    <w:rsid w:val="00F268ED"/>
    <w:rsid w:val="00F269BA"/>
    <w:rsid w:val="00F26DD3"/>
    <w:rsid w:val="00F272BE"/>
    <w:rsid w:val="00F27565"/>
    <w:rsid w:val="00F27FBD"/>
    <w:rsid w:val="00F305BC"/>
    <w:rsid w:val="00F30821"/>
    <w:rsid w:val="00F30A83"/>
    <w:rsid w:val="00F30D50"/>
    <w:rsid w:val="00F310D4"/>
    <w:rsid w:val="00F31A6F"/>
    <w:rsid w:val="00F31AB0"/>
    <w:rsid w:val="00F31CC5"/>
    <w:rsid w:val="00F31D5A"/>
    <w:rsid w:val="00F31E5C"/>
    <w:rsid w:val="00F32045"/>
    <w:rsid w:val="00F32181"/>
    <w:rsid w:val="00F32E40"/>
    <w:rsid w:val="00F3338A"/>
    <w:rsid w:val="00F33975"/>
    <w:rsid w:val="00F33DE9"/>
    <w:rsid w:val="00F33FBD"/>
    <w:rsid w:val="00F34058"/>
    <w:rsid w:val="00F341B1"/>
    <w:rsid w:val="00F34628"/>
    <w:rsid w:val="00F34759"/>
    <w:rsid w:val="00F34CCD"/>
    <w:rsid w:val="00F34D5D"/>
    <w:rsid w:val="00F35B0F"/>
    <w:rsid w:val="00F35B5A"/>
    <w:rsid w:val="00F35E6D"/>
    <w:rsid w:val="00F3619A"/>
    <w:rsid w:val="00F3641F"/>
    <w:rsid w:val="00F3645A"/>
    <w:rsid w:val="00F36B24"/>
    <w:rsid w:val="00F3748C"/>
    <w:rsid w:val="00F37F73"/>
    <w:rsid w:val="00F40AAA"/>
    <w:rsid w:val="00F40BA7"/>
    <w:rsid w:val="00F40F9D"/>
    <w:rsid w:val="00F41302"/>
    <w:rsid w:val="00F41ACD"/>
    <w:rsid w:val="00F41F40"/>
    <w:rsid w:val="00F42234"/>
    <w:rsid w:val="00F42485"/>
    <w:rsid w:val="00F4283F"/>
    <w:rsid w:val="00F4297A"/>
    <w:rsid w:val="00F42F07"/>
    <w:rsid w:val="00F433E7"/>
    <w:rsid w:val="00F43858"/>
    <w:rsid w:val="00F438C7"/>
    <w:rsid w:val="00F43B0E"/>
    <w:rsid w:val="00F43D33"/>
    <w:rsid w:val="00F4475E"/>
    <w:rsid w:val="00F448FE"/>
    <w:rsid w:val="00F451C0"/>
    <w:rsid w:val="00F4521A"/>
    <w:rsid w:val="00F45445"/>
    <w:rsid w:val="00F45503"/>
    <w:rsid w:val="00F45F4A"/>
    <w:rsid w:val="00F460B3"/>
    <w:rsid w:val="00F4616E"/>
    <w:rsid w:val="00F46258"/>
    <w:rsid w:val="00F4648C"/>
    <w:rsid w:val="00F46644"/>
    <w:rsid w:val="00F46A69"/>
    <w:rsid w:val="00F46CB6"/>
    <w:rsid w:val="00F46D57"/>
    <w:rsid w:val="00F470E6"/>
    <w:rsid w:val="00F4756D"/>
    <w:rsid w:val="00F47DE8"/>
    <w:rsid w:val="00F47E93"/>
    <w:rsid w:val="00F508B8"/>
    <w:rsid w:val="00F50B4E"/>
    <w:rsid w:val="00F50C32"/>
    <w:rsid w:val="00F50E8E"/>
    <w:rsid w:val="00F514BA"/>
    <w:rsid w:val="00F51B38"/>
    <w:rsid w:val="00F51E1B"/>
    <w:rsid w:val="00F5200D"/>
    <w:rsid w:val="00F523B7"/>
    <w:rsid w:val="00F5269B"/>
    <w:rsid w:val="00F52703"/>
    <w:rsid w:val="00F52A05"/>
    <w:rsid w:val="00F52A92"/>
    <w:rsid w:val="00F52B71"/>
    <w:rsid w:val="00F5304D"/>
    <w:rsid w:val="00F53207"/>
    <w:rsid w:val="00F5342E"/>
    <w:rsid w:val="00F53BF1"/>
    <w:rsid w:val="00F5425A"/>
    <w:rsid w:val="00F542C1"/>
    <w:rsid w:val="00F5448E"/>
    <w:rsid w:val="00F547AC"/>
    <w:rsid w:val="00F54941"/>
    <w:rsid w:val="00F550E3"/>
    <w:rsid w:val="00F5532A"/>
    <w:rsid w:val="00F55B29"/>
    <w:rsid w:val="00F55C2E"/>
    <w:rsid w:val="00F55E73"/>
    <w:rsid w:val="00F55EDA"/>
    <w:rsid w:val="00F56C80"/>
    <w:rsid w:val="00F56E95"/>
    <w:rsid w:val="00F5719E"/>
    <w:rsid w:val="00F57D6C"/>
    <w:rsid w:val="00F60092"/>
    <w:rsid w:val="00F60158"/>
    <w:rsid w:val="00F60262"/>
    <w:rsid w:val="00F6131D"/>
    <w:rsid w:val="00F618E3"/>
    <w:rsid w:val="00F61C18"/>
    <w:rsid w:val="00F61D5A"/>
    <w:rsid w:val="00F62180"/>
    <w:rsid w:val="00F623D7"/>
    <w:rsid w:val="00F62A4C"/>
    <w:rsid w:val="00F62B66"/>
    <w:rsid w:val="00F62C03"/>
    <w:rsid w:val="00F62F85"/>
    <w:rsid w:val="00F62F9C"/>
    <w:rsid w:val="00F630D0"/>
    <w:rsid w:val="00F631CC"/>
    <w:rsid w:val="00F634C9"/>
    <w:rsid w:val="00F6355F"/>
    <w:rsid w:val="00F6369F"/>
    <w:rsid w:val="00F63C2E"/>
    <w:rsid w:val="00F64283"/>
    <w:rsid w:val="00F64FB1"/>
    <w:rsid w:val="00F6517F"/>
    <w:rsid w:val="00F657C3"/>
    <w:rsid w:val="00F65F4B"/>
    <w:rsid w:val="00F67A69"/>
    <w:rsid w:val="00F70500"/>
    <w:rsid w:val="00F705FD"/>
    <w:rsid w:val="00F70BFF"/>
    <w:rsid w:val="00F70C0F"/>
    <w:rsid w:val="00F70C9D"/>
    <w:rsid w:val="00F71892"/>
    <w:rsid w:val="00F71A68"/>
    <w:rsid w:val="00F72076"/>
    <w:rsid w:val="00F7293A"/>
    <w:rsid w:val="00F729F0"/>
    <w:rsid w:val="00F72B5E"/>
    <w:rsid w:val="00F72C11"/>
    <w:rsid w:val="00F7302E"/>
    <w:rsid w:val="00F736BD"/>
    <w:rsid w:val="00F73E08"/>
    <w:rsid w:val="00F74847"/>
    <w:rsid w:val="00F74C49"/>
    <w:rsid w:val="00F74CD9"/>
    <w:rsid w:val="00F75153"/>
    <w:rsid w:val="00F752AC"/>
    <w:rsid w:val="00F7594B"/>
    <w:rsid w:val="00F75D44"/>
    <w:rsid w:val="00F7746F"/>
    <w:rsid w:val="00F80038"/>
    <w:rsid w:val="00F806BB"/>
    <w:rsid w:val="00F80A7B"/>
    <w:rsid w:val="00F80B96"/>
    <w:rsid w:val="00F80C5D"/>
    <w:rsid w:val="00F80E5D"/>
    <w:rsid w:val="00F81A5A"/>
    <w:rsid w:val="00F81D38"/>
    <w:rsid w:val="00F81E78"/>
    <w:rsid w:val="00F82246"/>
    <w:rsid w:val="00F82E40"/>
    <w:rsid w:val="00F83916"/>
    <w:rsid w:val="00F848E6"/>
    <w:rsid w:val="00F84918"/>
    <w:rsid w:val="00F84991"/>
    <w:rsid w:val="00F84F8A"/>
    <w:rsid w:val="00F851C8"/>
    <w:rsid w:val="00F851CE"/>
    <w:rsid w:val="00F853B1"/>
    <w:rsid w:val="00F8543B"/>
    <w:rsid w:val="00F854D8"/>
    <w:rsid w:val="00F858D5"/>
    <w:rsid w:val="00F85D1D"/>
    <w:rsid w:val="00F86583"/>
    <w:rsid w:val="00F8673A"/>
    <w:rsid w:val="00F8710E"/>
    <w:rsid w:val="00F87C50"/>
    <w:rsid w:val="00F900A3"/>
    <w:rsid w:val="00F902AC"/>
    <w:rsid w:val="00F9054D"/>
    <w:rsid w:val="00F90840"/>
    <w:rsid w:val="00F90CD9"/>
    <w:rsid w:val="00F91124"/>
    <w:rsid w:val="00F91219"/>
    <w:rsid w:val="00F915FF"/>
    <w:rsid w:val="00F92392"/>
    <w:rsid w:val="00F92444"/>
    <w:rsid w:val="00F9245D"/>
    <w:rsid w:val="00F928A5"/>
    <w:rsid w:val="00F936B6"/>
    <w:rsid w:val="00F9393E"/>
    <w:rsid w:val="00F93DFF"/>
    <w:rsid w:val="00F94405"/>
    <w:rsid w:val="00F94B41"/>
    <w:rsid w:val="00F94DD6"/>
    <w:rsid w:val="00F94E71"/>
    <w:rsid w:val="00F95032"/>
    <w:rsid w:val="00F9521D"/>
    <w:rsid w:val="00F95AD4"/>
    <w:rsid w:val="00F95F1A"/>
    <w:rsid w:val="00F9656C"/>
    <w:rsid w:val="00F96CE4"/>
    <w:rsid w:val="00F96DB0"/>
    <w:rsid w:val="00F96EB1"/>
    <w:rsid w:val="00F96FD0"/>
    <w:rsid w:val="00F971DF"/>
    <w:rsid w:val="00F973AA"/>
    <w:rsid w:val="00F97A78"/>
    <w:rsid w:val="00F97B80"/>
    <w:rsid w:val="00F97C59"/>
    <w:rsid w:val="00FA06E6"/>
    <w:rsid w:val="00FA09D0"/>
    <w:rsid w:val="00FA0B20"/>
    <w:rsid w:val="00FA162D"/>
    <w:rsid w:val="00FA24E7"/>
    <w:rsid w:val="00FA27F4"/>
    <w:rsid w:val="00FA295B"/>
    <w:rsid w:val="00FA3515"/>
    <w:rsid w:val="00FA4119"/>
    <w:rsid w:val="00FA482F"/>
    <w:rsid w:val="00FA4B4E"/>
    <w:rsid w:val="00FA4D7D"/>
    <w:rsid w:val="00FA578D"/>
    <w:rsid w:val="00FA59F7"/>
    <w:rsid w:val="00FA5EE6"/>
    <w:rsid w:val="00FA7007"/>
    <w:rsid w:val="00FA784C"/>
    <w:rsid w:val="00FA7956"/>
    <w:rsid w:val="00FA7DF0"/>
    <w:rsid w:val="00FA7F29"/>
    <w:rsid w:val="00FA7F70"/>
    <w:rsid w:val="00FA7F99"/>
    <w:rsid w:val="00FA7FB9"/>
    <w:rsid w:val="00FB00B1"/>
    <w:rsid w:val="00FB047D"/>
    <w:rsid w:val="00FB0824"/>
    <w:rsid w:val="00FB0F04"/>
    <w:rsid w:val="00FB189C"/>
    <w:rsid w:val="00FB25D0"/>
    <w:rsid w:val="00FB2DA5"/>
    <w:rsid w:val="00FB2FCB"/>
    <w:rsid w:val="00FB3DEE"/>
    <w:rsid w:val="00FB43C1"/>
    <w:rsid w:val="00FB43D7"/>
    <w:rsid w:val="00FB4745"/>
    <w:rsid w:val="00FB4870"/>
    <w:rsid w:val="00FB4C9C"/>
    <w:rsid w:val="00FB4DDE"/>
    <w:rsid w:val="00FB59E5"/>
    <w:rsid w:val="00FB5B1B"/>
    <w:rsid w:val="00FB5C0D"/>
    <w:rsid w:val="00FB5EDC"/>
    <w:rsid w:val="00FB6293"/>
    <w:rsid w:val="00FB66EC"/>
    <w:rsid w:val="00FB6996"/>
    <w:rsid w:val="00FB6ECE"/>
    <w:rsid w:val="00FB76D0"/>
    <w:rsid w:val="00FB78CF"/>
    <w:rsid w:val="00FB7C55"/>
    <w:rsid w:val="00FC052A"/>
    <w:rsid w:val="00FC05CD"/>
    <w:rsid w:val="00FC080E"/>
    <w:rsid w:val="00FC1074"/>
    <w:rsid w:val="00FC1884"/>
    <w:rsid w:val="00FC2809"/>
    <w:rsid w:val="00FC28EA"/>
    <w:rsid w:val="00FC2F40"/>
    <w:rsid w:val="00FC2F73"/>
    <w:rsid w:val="00FC3326"/>
    <w:rsid w:val="00FC359A"/>
    <w:rsid w:val="00FC371D"/>
    <w:rsid w:val="00FC3BD3"/>
    <w:rsid w:val="00FC488D"/>
    <w:rsid w:val="00FC51C8"/>
    <w:rsid w:val="00FC5239"/>
    <w:rsid w:val="00FC55A5"/>
    <w:rsid w:val="00FC5C64"/>
    <w:rsid w:val="00FC5F0B"/>
    <w:rsid w:val="00FC64DA"/>
    <w:rsid w:val="00FC6FAB"/>
    <w:rsid w:val="00FC70FA"/>
    <w:rsid w:val="00FC717D"/>
    <w:rsid w:val="00FC739F"/>
    <w:rsid w:val="00FC75B3"/>
    <w:rsid w:val="00FC7A8D"/>
    <w:rsid w:val="00FD07B1"/>
    <w:rsid w:val="00FD0839"/>
    <w:rsid w:val="00FD09FE"/>
    <w:rsid w:val="00FD0D05"/>
    <w:rsid w:val="00FD1A6C"/>
    <w:rsid w:val="00FD1BEF"/>
    <w:rsid w:val="00FD1DBA"/>
    <w:rsid w:val="00FD2100"/>
    <w:rsid w:val="00FD2140"/>
    <w:rsid w:val="00FD234E"/>
    <w:rsid w:val="00FD2704"/>
    <w:rsid w:val="00FD2D1F"/>
    <w:rsid w:val="00FD3105"/>
    <w:rsid w:val="00FD436C"/>
    <w:rsid w:val="00FD446D"/>
    <w:rsid w:val="00FD4A12"/>
    <w:rsid w:val="00FD4A83"/>
    <w:rsid w:val="00FD4AA9"/>
    <w:rsid w:val="00FD4BBB"/>
    <w:rsid w:val="00FD4F09"/>
    <w:rsid w:val="00FD4F2C"/>
    <w:rsid w:val="00FD5A4E"/>
    <w:rsid w:val="00FD6039"/>
    <w:rsid w:val="00FD6394"/>
    <w:rsid w:val="00FD69B5"/>
    <w:rsid w:val="00FD7846"/>
    <w:rsid w:val="00FD7F78"/>
    <w:rsid w:val="00FE04E8"/>
    <w:rsid w:val="00FE06AF"/>
    <w:rsid w:val="00FE0E26"/>
    <w:rsid w:val="00FE0E6C"/>
    <w:rsid w:val="00FE1008"/>
    <w:rsid w:val="00FE1BF1"/>
    <w:rsid w:val="00FE1CDC"/>
    <w:rsid w:val="00FE2491"/>
    <w:rsid w:val="00FE260B"/>
    <w:rsid w:val="00FE2D21"/>
    <w:rsid w:val="00FE33BF"/>
    <w:rsid w:val="00FE37D6"/>
    <w:rsid w:val="00FE3EFC"/>
    <w:rsid w:val="00FE4E0B"/>
    <w:rsid w:val="00FE4F89"/>
    <w:rsid w:val="00FE52FB"/>
    <w:rsid w:val="00FE5536"/>
    <w:rsid w:val="00FE6540"/>
    <w:rsid w:val="00FE65DD"/>
    <w:rsid w:val="00FE66B3"/>
    <w:rsid w:val="00FE70C3"/>
    <w:rsid w:val="00FE72CF"/>
    <w:rsid w:val="00FE7CA4"/>
    <w:rsid w:val="00FE7DE8"/>
    <w:rsid w:val="00FE7E70"/>
    <w:rsid w:val="00FF01AF"/>
    <w:rsid w:val="00FF01DE"/>
    <w:rsid w:val="00FF07D5"/>
    <w:rsid w:val="00FF1480"/>
    <w:rsid w:val="00FF17CF"/>
    <w:rsid w:val="00FF1A8B"/>
    <w:rsid w:val="00FF1B39"/>
    <w:rsid w:val="00FF1C5D"/>
    <w:rsid w:val="00FF1E65"/>
    <w:rsid w:val="00FF2205"/>
    <w:rsid w:val="00FF2229"/>
    <w:rsid w:val="00FF2AD9"/>
    <w:rsid w:val="00FF3343"/>
    <w:rsid w:val="00FF3580"/>
    <w:rsid w:val="00FF359F"/>
    <w:rsid w:val="00FF37C1"/>
    <w:rsid w:val="00FF3DCF"/>
    <w:rsid w:val="00FF3F96"/>
    <w:rsid w:val="00FF43FD"/>
    <w:rsid w:val="00FF46BE"/>
    <w:rsid w:val="00FF492C"/>
    <w:rsid w:val="00FF4A21"/>
    <w:rsid w:val="00FF4CF5"/>
    <w:rsid w:val="00FF56D1"/>
    <w:rsid w:val="00FF5AA3"/>
    <w:rsid w:val="00FF5AD8"/>
    <w:rsid w:val="00FF5C5D"/>
    <w:rsid w:val="00FF6062"/>
    <w:rsid w:val="00FF62D8"/>
    <w:rsid w:val="00FF63BD"/>
    <w:rsid w:val="00FF6B23"/>
    <w:rsid w:val="00FF6F2C"/>
    <w:rsid w:val="00FF7557"/>
    <w:rsid w:val="00FF7A7C"/>
    <w:rsid w:val="00FF7BF9"/>
    <w:rsid w:val="00FF7CA0"/>
    <w:rsid w:val="00FF7DD4"/>
    <w:rsid w:val="03C52482"/>
    <w:rsid w:val="09C34E2E"/>
    <w:rsid w:val="0B52ECD3"/>
    <w:rsid w:val="0B608B1A"/>
    <w:rsid w:val="0D2C536F"/>
    <w:rsid w:val="0E75DED6"/>
    <w:rsid w:val="101D5C71"/>
    <w:rsid w:val="10537BDC"/>
    <w:rsid w:val="12926E99"/>
    <w:rsid w:val="13B0EED1"/>
    <w:rsid w:val="16D6C4D9"/>
    <w:rsid w:val="179FF837"/>
    <w:rsid w:val="1979EF50"/>
    <w:rsid w:val="1AE01099"/>
    <w:rsid w:val="1DD27602"/>
    <w:rsid w:val="1E4A2369"/>
    <w:rsid w:val="27811364"/>
    <w:rsid w:val="29247551"/>
    <w:rsid w:val="2958084C"/>
    <w:rsid w:val="2BDEB797"/>
    <w:rsid w:val="2DA0F838"/>
    <w:rsid w:val="2F0B8772"/>
    <w:rsid w:val="304344DE"/>
    <w:rsid w:val="34552F46"/>
    <w:rsid w:val="35AA997D"/>
    <w:rsid w:val="373411D5"/>
    <w:rsid w:val="37415D32"/>
    <w:rsid w:val="39E65C15"/>
    <w:rsid w:val="3B3EE13C"/>
    <w:rsid w:val="3E0B1842"/>
    <w:rsid w:val="3E14594E"/>
    <w:rsid w:val="3EBA1DD0"/>
    <w:rsid w:val="3ED13AEF"/>
    <w:rsid w:val="3F9438FF"/>
    <w:rsid w:val="407492B3"/>
    <w:rsid w:val="4408B1AC"/>
    <w:rsid w:val="46D17D71"/>
    <w:rsid w:val="49DD9AB6"/>
    <w:rsid w:val="4A6D45CD"/>
    <w:rsid w:val="4E3EE73D"/>
    <w:rsid w:val="5047D553"/>
    <w:rsid w:val="50788D4E"/>
    <w:rsid w:val="56A11689"/>
    <w:rsid w:val="57EFE821"/>
    <w:rsid w:val="59993C42"/>
    <w:rsid w:val="5ACAC5FD"/>
    <w:rsid w:val="5E43AF30"/>
    <w:rsid w:val="5F03A76C"/>
    <w:rsid w:val="5F7F8BC5"/>
    <w:rsid w:val="60D22B40"/>
    <w:rsid w:val="62C5DC83"/>
    <w:rsid w:val="652AA527"/>
    <w:rsid w:val="676A44A6"/>
    <w:rsid w:val="6CA58350"/>
    <w:rsid w:val="6CC595ED"/>
    <w:rsid w:val="6D9D0434"/>
    <w:rsid w:val="768886C7"/>
    <w:rsid w:val="76C7308A"/>
    <w:rsid w:val="772674AB"/>
    <w:rsid w:val="78ADB634"/>
    <w:rsid w:val="7925B026"/>
    <w:rsid w:val="799CBB4B"/>
    <w:rsid w:val="7A735857"/>
    <w:rsid w:val="7B25DE91"/>
    <w:rsid w:val="7D69DBA8"/>
    <w:rsid w:val="7DF8D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72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PHE Table Grid,Lash Style Table,Section 3- footnotes,Table Grid nm,HealthConsult"/>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627CB7"/>
    <w:rPr>
      <w:rFonts w:ascii="Arial Narrow" w:eastAsiaTheme="majorEastAsia" w:hAnsi="Arial Narrow"/>
      <w:b/>
      <w:i/>
      <w:iCs/>
      <w:szCs w:val="24"/>
    </w:rPr>
  </w:style>
  <w:style w:type="paragraph" w:customStyle="1" w:styleId="2-SectionHeading">
    <w:name w:val="2-Section Heading"/>
    <w:next w:val="3-BodyText"/>
    <w:qFormat/>
    <w:rsid w:val="004C3B02"/>
    <w:pPr>
      <w:keepNext/>
      <w:numPr>
        <w:numId w:val="1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18"/>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1720A5"/>
    <w:pPr>
      <w:keepNext/>
      <w:spacing w:before="120" w:after="120"/>
    </w:pPr>
    <w:rPr>
      <w:rFonts w:asciiTheme="minorHAnsi" w:eastAsiaTheme="majorEastAsia" w:hAnsiTheme="minorHAnsi" w:cstheme="majorBidi"/>
      <w:iCs/>
      <w:color w:val="000000" w:themeColor="text1"/>
      <w:spacing w:val="5"/>
      <w:kern w:val="28"/>
      <w:szCs w:val="36"/>
      <w:lang w:eastAsia="en-US"/>
    </w:rPr>
  </w:style>
  <w:style w:type="character" w:customStyle="1" w:styleId="4-SubsectionHeadingChar">
    <w:name w:val="4-Subsection Heading Char"/>
    <w:basedOn w:val="Heading2Char"/>
    <w:link w:val="4-SubsectionHeading"/>
    <w:rsid w:val="001720A5"/>
    <w:rPr>
      <w:rFonts w:asciiTheme="minorHAnsi" w:eastAsiaTheme="majorEastAsia" w:hAnsiTheme="minorHAnsi" w:cstheme="majorBidi"/>
      <w:b/>
      <w:i/>
      <w:iCs/>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9C2B6F"/>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9C2B6F"/>
    <w:rPr>
      <w:rFonts w:ascii="Arial Narrow" w:hAnsi="Arial Narrow" w:cs="Arial"/>
      <w:snapToGrid w:val="0"/>
      <w:sz w:val="18"/>
      <w:szCs w:val="22"/>
    </w:rPr>
  </w:style>
  <w:style w:type="table" w:customStyle="1" w:styleId="PBACTableStyle">
    <w:name w:val="PBAC Table Style"/>
    <w:basedOn w:val="TableGrid1"/>
    <w:uiPriority w:val="99"/>
    <w:rsid w:val="00867197"/>
    <w:pPr>
      <w:widowControl w:val="0"/>
      <w:spacing w:before="120"/>
      <w:contextualSpacing/>
      <w:jc w:val="center"/>
    </w:pPr>
    <w:rPr>
      <w:rFonts w:ascii="Arial Narrow" w:eastAsiaTheme="minorHAnsi" w:hAnsi="Arial Narrow" w:cstheme="minorBidi"/>
      <w:color w:val="000000" w:themeColor="text1"/>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Autospacing="0" w:afterLines="0" w:afterAutospacing="0" w:line="240" w:lineRule="auto"/>
        <w:ind w:leftChars="0" w:left="0" w:rightChars="0" w:right="0"/>
        <w:contextualSpacing/>
        <w:jc w:val="left"/>
      </w:pPr>
      <w:rPr>
        <w:rFonts w:ascii="Times" w:hAnsi="Times"/>
        <w:sz w:val="20"/>
      </w:rPr>
    </w:tblStylePr>
    <w:tblStylePr w:type="lastCol">
      <w:pPr>
        <w:wordWrap/>
        <w:spacing w:beforeLines="0" w:beforeAutospacing="0" w:afterLines="0" w:afterAutospacing="0" w:line="240" w:lineRule="auto"/>
        <w:ind w:leftChars="0" w:left="0" w:rightChars="0" w:right="0" w:firstLineChars="0" w:firstLine="0"/>
      </w:pPr>
      <w:rPr>
        <w:rFonts w:ascii="Times" w:hAnsi="Times"/>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86719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0B73AB"/>
    <w:rPr>
      <w:sz w:val="20"/>
      <w:szCs w:val="20"/>
    </w:rPr>
  </w:style>
  <w:style w:type="character" w:customStyle="1" w:styleId="FootnoteTextChar">
    <w:name w:val="Footnote Text Char"/>
    <w:basedOn w:val="DefaultParagraphFont"/>
    <w:link w:val="FootnoteText"/>
    <w:uiPriority w:val="99"/>
    <w:rsid w:val="000B73AB"/>
    <w:rPr>
      <w:rFonts w:ascii="Calibri" w:hAnsi="Calibri" w:cs="Arial"/>
    </w:rPr>
  </w:style>
  <w:style w:type="character" w:styleId="FootnoteReference">
    <w:name w:val="footnote reference"/>
    <w:basedOn w:val="DefaultParagraphFont"/>
    <w:uiPriority w:val="99"/>
    <w:semiHidden/>
    <w:unhideWhenUsed/>
    <w:rsid w:val="000B73AB"/>
    <w:rPr>
      <w:vertAlign w:val="superscript"/>
    </w:rPr>
  </w:style>
  <w:style w:type="table" w:customStyle="1" w:styleId="RTIAMCPTable1">
    <w:name w:val="RTI AMCP Table1"/>
    <w:basedOn w:val="TableNormal"/>
    <w:next w:val="TableGrid"/>
    <w:uiPriority w:val="39"/>
    <w:rsid w:val="0020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Text0"/>
    <w:link w:val="TableHeadingChar"/>
    <w:qFormat/>
    <w:rsid w:val="00A41993"/>
    <w:pPr>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locked/>
    <w:rsid w:val="00A41993"/>
    <w:rPr>
      <w:rFonts w:ascii="Arial Narrow" w:eastAsiaTheme="majorEastAsia" w:hAnsi="Arial Narrow" w:cs="Arial"/>
      <w:b/>
      <w:lang w:bidi="en-US"/>
    </w:rPr>
  </w:style>
  <w:style w:type="character" w:styleId="UnresolvedMention">
    <w:name w:val="Unresolved Mention"/>
    <w:basedOn w:val="DefaultParagraphFont"/>
    <w:uiPriority w:val="99"/>
    <w:semiHidden/>
    <w:unhideWhenUsed/>
    <w:rsid w:val="003D7CAF"/>
    <w:rPr>
      <w:color w:val="605E5C"/>
      <w:shd w:val="clear" w:color="auto" w:fill="E1DFDD"/>
    </w:rPr>
  </w:style>
  <w:style w:type="character" w:customStyle="1" w:styleId="normaltextrun">
    <w:name w:val="normaltextrun"/>
    <w:basedOn w:val="DefaultParagraphFont"/>
    <w:rsid w:val="00E97B59"/>
  </w:style>
  <w:style w:type="character" w:customStyle="1" w:styleId="ListBulletChar">
    <w:name w:val="List Bullet Char"/>
    <w:basedOn w:val="DefaultParagraphFont"/>
    <w:link w:val="ListBullet"/>
    <w:rsid w:val="00543337"/>
    <w:rPr>
      <w:rFonts w:ascii="Calibri" w:hAnsi="Calibri" w:cs="Arial"/>
      <w:sz w:val="24"/>
      <w:szCs w:val="24"/>
    </w:rPr>
  </w:style>
  <w:style w:type="table" w:customStyle="1" w:styleId="AZTable">
    <w:name w:val="AZ Table"/>
    <w:basedOn w:val="TableNormal"/>
    <w:uiPriority w:val="99"/>
    <w:rsid w:val="00F96D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Sources">
    <w:name w:val="Sources"/>
    <w:basedOn w:val="Normal"/>
    <w:link w:val="SourcesChar"/>
    <w:qFormat/>
    <w:rsid w:val="00756E24"/>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756E24"/>
    <w:rPr>
      <w:rFonts w:ascii="Arial" w:eastAsiaTheme="minorHAnsi" w:hAnsi="Arial" w:cstheme="minorBidi"/>
      <w:sz w:val="16"/>
      <w:szCs w:val="22"/>
      <w:lang w:eastAsia="en-US"/>
    </w:rPr>
  </w:style>
  <w:style w:type="table" w:customStyle="1" w:styleId="RTIAMCPTable2">
    <w:name w:val="RTI AMCP Table2"/>
    <w:basedOn w:val="TableNormal"/>
    <w:next w:val="TableGrid"/>
    <w:uiPriority w:val="59"/>
    <w:rsid w:val="0081525E"/>
    <w:pPr>
      <w:spacing w:line="360" w:lineRule="auto"/>
    </w:pPr>
    <w:rPr>
      <w:rFonts w:eastAsia="SimSun"/>
    </w:rPr>
    <w:tblPr/>
  </w:style>
  <w:style w:type="paragraph" w:customStyle="1" w:styleId="EndNoteBibliographyTitle">
    <w:name w:val="EndNote Bibliography Title"/>
    <w:basedOn w:val="Normal"/>
    <w:link w:val="EndNoteBibliographyTitleChar"/>
    <w:rsid w:val="0081525E"/>
    <w:pPr>
      <w:spacing w:line="360" w:lineRule="auto"/>
      <w:jc w:val="center"/>
    </w:pPr>
    <w:rPr>
      <w:rFonts w:eastAsiaTheme="majorEastAsia" w:cs="Calibri"/>
      <w:noProof/>
      <w:lang w:val="en-US" w:eastAsia="en-US" w:bidi="en-US"/>
    </w:rPr>
  </w:style>
  <w:style w:type="character" w:customStyle="1" w:styleId="EndNoteBibliographyTitleChar">
    <w:name w:val="EndNote Bibliography Title Char"/>
    <w:basedOn w:val="TableTextChar0"/>
    <w:link w:val="EndNoteBibliographyTitle"/>
    <w:rsid w:val="0081525E"/>
    <w:rPr>
      <w:rFonts w:ascii="Calibri" w:eastAsiaTheme="majorEastAsia" w:hAnsi="Calibri" w:cs="Calibri"/>
      <w:bCs w:val="0"/>
      <w:noProof/>
      <w:sz w:val="24"/>
      <w:szCs w:val="24"/>
      <w:lang w:val="en-US" w:eastAsia="en-US" w:bidi="en-US"/>
    </w:rPr>
  </w:style>
  <w:style w:type="table" w:customStyle="1" w:styleId="TableGrid10">
    <w:name w:val="Table Grid1"/>
    <w:basedOn w:val="TableNormal"/>
    <w:next w:val="TableGrid"/>
    <w:uiPriority w:val="39"/>
    <w:rsid w:val="0081525E"/>
    <w:rPr>
      <w:rFonts w:asciiTheme="minorHAnsi" w:eastAsiaTheme="minorHAnsi" w:hAnsiTheme="minorHAnsi" w:cstheme="minorBidi"/>
      <w:sz w:val="22"/>
      <w:szCs w:val="22"/>
      <w:lang w:eastAsia="en-US"/>
    </w:rPr>
    <w:tblPr/>
  </w:style>
  <w:style w:type="paragraph" w:customStyle="1" w:styleId="EndNoteBibliography">
    <w:name w:val="EndNote Bibliography"/>
    <w:basedOn w:val="Normal"/>
    <w:link w:val="EndNoteBibliographyChar"/>
    <w:rsid w:val="0081525E"/>
    <w:rPr>
      <w:rFonts w:cs="Calibri"/>
      <w:noProof/>
    </w:rPr>
  </w:style>
  <w:style w:type="character" w:customStyle="1" w:styleId="EndNoteBibliographyChar">
    <w:name w:val="EndNote Bibliography Char"/>
    <w:basedOn w:val="ListBulletChar"/>
    <w:link w:val="EndNoteBibliography"/>
    <w:rsid w:val="0081525E"/>
    <w:rPr>
      <w:rFonts w:ascii="Calibri" w:hAnsi="Calibri" w:cs="Calibri"/>
      <w:noProof/>
      <w:sz w:val="24"/>
      <w:szCs w:val="24"/>
    </w:rPr>
  </w:style>
  <w:style w:type="character" w:styleId="Mention">
    <w:name w:val="Mention"/>
    <w:basedOn w:val="DefaultParagraphFont"/>
    <w:uiPriority w:val="99"/>
    <w:unhideWhenUsed/>
    <w:rsid w:val="004A445B"/>
    <w:rPr>
      <w:color w:val="2B579A"/>
      <w:shd w:val="clear" w:color="auto" w:fill="E1DFDD"/>
    </w:rPr>
  </w:style>
  <w:style w:type="paragraph" w:customStyle="1" w:styleId="COMESH2">
    <w:name w:val="COM ES H2"/>
    <w:next w:val="COMESnumberedpara"/>
    <w:qFormat/>
    <w:rsid w:val="001A47FC"/>
    <w:pPr>
      <w:keepNext/>
      <w:spacing w:before="240" w:after="120"/>
      <w:ind w:left="720" w:hanging="720"/>
      <w:outlineLvl w:val="0"/>
    </w:pPr>
    <w:rPr>
      <w:rFonts w:asciiTheme="minorHAnsi" w:hAnsiTheme="minorHAnsi" w:cs="Arial"/>
      <w:b/>
      <w:snapToGrid w:val="0"/>
      <w:sz w:val="32"/>
      <w:szCs w:val="32"/>
    </w:rPr>
  </w:style>
  <w:style w:type="paragraph" w:customStyle="1" w:styleId="COMESnumberedpara">
    <w:name w:val="COM ES numbered para"/>
    <w:link w:val="COMESnumberedparaChar"/>
    <w:qFormat/>
    <w:rsid w:val="001A47FC"/>
    <w:pPr>
      <w:spacing w:before="60" w:after="60"/>
      <w:ind w:left="720" w:hanging="720"/>
      <w:jc w:val="both"/>
    </w:pPr>
    <w:rPr>
      <w:rFonts w:asciiTheme="minorHAnsi" w:eastAsiaTheme="minorHAnsi" w:hAnsiTheme="minorHAnsi" w:cstheme="minorBidi"/>
      <w:sz w:val="24"/>
      <w:szCs w:val="22"/>
    </w:rPr>
  </w:style>
  <w:style w:type="character" w:customStyle="1" w:styleId="COMESnumberedparaChar">
    <w:name w:val="COM ES numbered para Char"/>
    <w:basedOn w:val="DefaultParagraphFont"/>
    <w:link w:val="COMESnumberedpara"/>
    <w:rsid w:val="001A47FC"/>
    <w:rPr>
      <w:rFonts w:asciiTheme="minorHAnsi" w:eastAsiaTheme="minorHAnsi" w:hAnsiTheme="minorHAnsi" w:cstheme="minorBidi"/>
      <w:sz w:val="24"/>
      <w:szCs w:val="22"/>
    </w:rPr>
  </w:style>
  <w:style w:type="paragraph" w:customStyle="1" w:styleId="pf0">
    <w:name w:val="pf0"/>
    <w:basedOn w:val="Normal"/>
    <w:rsid w:val="00422DA8"/>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422D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cancer-screening/breastscreen-australia-monitoring-report-2025/contents/outcomes-aboriginal-torres-strait-islander-women/mortality-from-breast-cancer" TargetMode="External"/><Relationship Id="rId2" Type="http://schemas.openxmlformats.org/officeDocument/2006/relationships/hyperlink" Target="https://www.aihw.gov.au/getmedia/ea870f59-a9e4-4772-8fa8-e1206b56a552/cancer-data-in-australia.pdf?v=20250120122647&amp;inline=true" TargetMode="External"/><Relationship Id="rId1" Type="http://schemas.openxmlformats.org/officeDocument/2006/relationships/hyperlink" Target="https://www.canceraustralia.gov.au/cancer-types/breast-cancer/breast-cancer-australia-statistics" TargetMode="External"/><Relationship Id="rId4" Type="http://schemas.openxmlformats.org/officeDocument/2006/relationships/hyperlink" Target="https://pmc.ncbi.nlm.nih.gov/articles/PMC12836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76F5B1C2-6698-40AF-BD80-214A4D9E8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7D727-7043-40BD-8083-028877985BE0}">
  <ds:schemaRefs>
    <ds:schemaRef ds:uri="http://schemas.microsoft.com/sharepoint/v3/contenttype/form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CC28BC6A-462C-4DA9-9237-E842839872A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20067</Words>
  <Characters>108564</Characters>
  <Application>Microsoft Office Word</Application>
  <DocSecurity>0</DocSecurity>
  <Lines>2647</Lines>
  <Paragraphs>1513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127118</CharactersWithSpaces>
  <SharedDoc>false</SharedDoc>
  <HLinks>
    <vt:vector size="42" baseType="variant">
      <vt:variant>
        <vt:i4>4128806</vt:i4>
      </vt:variant>
      <vt:variant>
        <vt:i4>9</vt:i4>
      </vt:variant>
      <vt:variant>
        <vt:i4>0</vt:i4>
      </vt:variant>
      <vt:variant>
        <vt:i4>5</vt:i4>
      </vt:variant>
      <vt:variant>
        <vt:lpwstr>https://pmc.ncbi.nlm.nih.gov/articles/PMC12836521/</vt:lpwstr>
      </vt:variant>
      <vt:variant>
        <vt:lpwstr/>
      </vt:variant>
      <vt:variant>
        <vt:i4>196677</vt:i4>
      </vt:variant>
      <vt:variant>
        <vt:i4>6</vt:i4>
      </vt:variant>
      <vt:variant>
        <vt:i4>0</vt:i4>
      </vt:variant>
      <vt:variant>
        <vt:i4>5</vt:i4>
      </vt:variant>
      <vt:variant>
        <vt:lpwstr>https://www.aihw.gov.au/reports/cancer-screening/breastscreen-australia-monitoring-report-2025/contents/outcomes-aboriginal-torres-strait-islander-women/mortality-from-breast-cancer</vt:lpwstr>
      </vt:variant>
      <vt:variant>
        <vt:lpwstr/>
      </vt:variant>
      <vt:variant>
        <vt:i4>8192051</vt:i4>
      </vt:variant>
      <vt:variant>
        <vt:i4>3</vt:i4>
      </vt:variant>
      <vt:variant>
        <vt:i4>0</vt:i4>
      </vt:variant>
      <vt:variant>
        <vt:i4>5</vt:i4>
      </vt:variant>
      <vt:variant>
        <vt:lpwstr>https://www.aihw.gov.au/getmedia/ea870f59-a9e4-4772-8fa8-e1206b56a552/cancer-data-in-australia.pdf?v=20250120122647&amp;inline=true</vt:lpwstr>
      </vt:variant>
      <vt:variant>
        <vt:lpwstr/>
      </vt:variant>
      <vt:variant>
        <vt:i4>1179676</vt:i4>
      </vt:variant>
      <vt:variant>
        <vt:i4>0</vt:i4>
      </vt:variant>
      <vt:variant>
        <vt:i4>0</vt:i4>
      </vt:variant>
      <vt:variant>
        <vt:i4>5</vt:i4>
      </vt:variant>
      <vt:variant>
        <vt:lpwstr>https://www.canceraustralia.gov.au/cancer-types/breast-cancer/breast-cancer-australia-statistics</vt:lpwstr>
      </vt:variant>
      <vt:variant>
        <vt:lpwstr/>
      </vt:variant>
      <vt:variant>
        <vt:i4>7536644</vt:i4>
      </vt:variant>
      <vt:variant>
        <vt:i4>6</vt:i4>
      </vt:variant>
      <vt:variant>
        <vt:i4>0</vt:i4>
      </vt:variant>
      <vt:variant>
        <vt:i4>5</vt:i4>
      </vt:variant>
      <vt:variant>
        <vt:lpwstr>mailto:kbwd052@astrazeneca.net</vt:lpwstr>
      </vt:variant>
      <vt:variant>
        <vt:lpwstr/>
      </vt:variant>
      <vt:variant>
        <vt:i4>7536652</vt:i4>
      </vt:variant>
      <vt:variant>
        <vt:i4>3</vt:i4>
      </vt:variant>
      <vt:variant>
        <vt:i4>0</vt:i4>
      </vt:variant>
      <vt:variant>
        <vt:i4>5</vt:i4>
      </vt:variant>
      <vt:variant>
        <vt:lpwstr>mailto:kxtz697@astrazeneca.net</vt:lpwstr>
      </vt:variant>
      <vt:variant>
        <vt:lpwstr/>
      </vt:variant>
      <vt:variant>
        <vt:i4>7536644</vt:i4>
      </vt:variant>
      <vt:variant>
        <vt:i4>0</vt:i4>
      </vt:variant>
      <vt:variant>
        <vt:i4>0</vt:i4>
      </vt:variant>
      <vt:variant>
        <vt:i4>5</vt:i4>
      </vt:variant>
      <vt:variant>
        <vt:lpwstr>mailto:kbwd052@astrazeneca.net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2026-07-07T06:00:00Z</dcterms:created>
  <dcterms:modified xsi:type="dcterms:W3CDTF">2026-07-07T06:00:00Z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4732d290,68d2206c,66b93e77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40cfe4db,58f1e329,6abba974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2026-05-29T09:30:39Z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6a585a09-74ef-475d-9d1c-e4a5f36723f3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Order">
    <vt:r8>55581600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0x0101007FED174C5281F747A8037A05221D6DBD</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docLang">
    <vt:lpwstr>en</vt:lpwstr>
  </property>
  <property fmtid="{D5CDD505-2E9C-101B-9397-08002B2CF9AE}" pid="26" name="MSIP_Label_7cd3e8b9-ffed-43a8-b7f4-cc2fa0382d36_Extended_MSFT_Method">
    <vt:lpwstr>Standard</vt:lpwstr>
  </property>
  <property fmtid="{D5CDD505-2E9C-101B-9397-08002B2CF9AE}" pid="27" name="Sensitivity">
    <vt:lpwstr>OFFICIAL</vt:lpwstr>
  </property>
  <property fmtid="{D5CDD505-2E9C-101B-9397-08002B2CF9AE}" pid="28" name="xd_Signature">
    <vt:bool>false</vt:bool>
  </property>
</Properties>
</file>